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ackground w:color="F2F2F2" w:themeColor="background1"/>
  <w:body>
    <w:sdt>
      <w:sdtPr>
        <w:alias w:val="pagrindine"/>
        <w:tag w:val="part_36504ae8d86b4824893e35cbdd2b2f2e"/>
        <w:lock w:val="sdtLocked"/>
        <w:richText/>
      </w:sdtPr>
      <w:sdtContent>
        <w:p>
          <w:pPr>
            <w:tabs>
              <w:tab w:val="center" w:pos="4819"/>
              <w:tab w:val="right" w:pos="9638"/>
            </w:tabs>
            <w:ind w:left="284" w:right="142"/>
            <w:jc w:val="both"/>
            <w:rPr>
              <w:rFonts w:eastAsia="MS Mincho"/>
              <w:kern w:val="2"/>
              <w:sz w:val="22"/>
              <w:szCs w:val="24"/>
            </w:rPr>
          </w:pPr>
        </w:p>
        <w:p>
          <w:pPr>
            <w:spacing w:line="276" w:lineRule="auto"/>
            <w:ind w:left="284"/>
            <w:rPr>
              <w:rFonts w:eastAsia="MS Mincho"/>
              <w:kern w:val="2"/>
              <w:sz w:val="22"/>
              <w:szCs w:val="24"/>
            </w:rPr>
          </w:pPr>
          <w:r>
            <w:rPr>
              <w:rFonts w:eastAsia="MS Mincho"/>
              <w:kern w:val="2"/>
              <w:sz w:val="22"/>
              <w:szCs w:val="24"/>
              <w:lang w:val="en-US"/>
            </w:rPr>
            <w:drawing>
              <wp:anchor distT="0" distB="0" distL="114300" distR="114300" simplePos="0" relativeHeight="251660288" behindDoc="0" locked="0" layoutInCell="1" allowOverlap="1" wp14:anchorId="5A94CE79" wp14:editId="506E3B7C">
                <wp:simplePos x="0" y="0"/>
                <wp:positionH relativeFrom="column">
                  <wp:posOffset>279885</wp:posOffset>
                </wp:positionH>
                <wp:positionV relativeFrom="paragraph">
                  <wp:posOffset>8778</wp:posOffset>
                </wp:positionV>
                <wp:extent cx="2286000" cy="2234436"/>
                <wp:effectExtent l="0" t="0" r="0" b="0"/>
                <wp:wrapNone/>
                <wp:docPr id="2" name="Paveikslėlis 1">
                  <a:extLst xmlns:a="http://schemas.openxmlformats.org/drawingml/2006/main">
                    <a:ext uri="{FF2B5EF4-FFF2-40B4-BE49-F238E27FC236}">
                      <a16:creationId xmlns:a16="http://schemas.microsoft.com/office/drawing/2014/main" id="{2D6AF2A2-4CBC-FA6A-77E6-BB6520EC5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a:extLst>
                            <a:ext uri="{FF2B5EF4-FFF2-40B4-BE49-F238E27FC236}">
                              <a16:creationId xmlns:a16="http://schemas.microsoft.com/office/drawing/2014/main" id="{2D6AF2A2-4CBC-FA6A-77E6-BB6520EC5E06}"/>
                            </a:ext>
                          </a:extLst>
                        </pic:cNvPr>
                        <pic:cNvPicPr>
                          <a:picLocks noChangeAspect="1"/>
                        </pic:cNvPicPr>
                      </pic:nvPicPr>
                      <pic:blipFill rotWithShape="1">
                        <a:blip r:embed="rId7" cstate="print">
                          <a:extLst>
                            <a:ext uri="{BEBA8EAE-BF5A-486C-A8C5-ECC9F3942E4B}">
                              <a14:imgProps xmlns:a14="http://schemas.microsoft.com/office/drawing/2010/main">
                                <a14:imgLayer r:embed="rId8">
                                  <a14:imgEffect>
                                    <a14:backgroundRemoval t="11268" b="72144" l="19875" r="80595">
                                      <a14:foregroundMark x1="45383" y1="11268" x2="45383" y2="11268"/>
                                      <a14:foregroundMark x1="19875" y1="40845" x2="19875" y2="40845"/>
                                      <a14:foregroundMark x1="45383" y1="72300" x2="45383" y2="72300"/>
                                      <a14:foregroundMark x1="80595" y1="36776" x2="80595" y2="36776"/>
                                    </a14:backgroundRemoval>
                                  </a14:imgEffect>
                                </a14:imgLayer>
                              </a14:imgProps>
                            </a:ext>
                            <a:ext uri="{28A0092B-C50C-407E-A947-70E740481C1C}">
                              <a14:useLocalDpi xmlns:a14="http://schemas.microsoft.com/office/drawing/2010/main" val="0"/>
                            </a:ext>
                          </a:extLst>
                        </a:blip>
                        <a:srcRect l="13958" t="6072" r="12857" b="22390"/>
                        <a:stretch/>
                      </pic:blipFill>
                      <pic:spPr>
                        <a:xfrm>
                          <a:off x="0" y="0"/>
                          <a:ext cx="2286000" cy="2234436"/>
                        </a:xfrm>
                        <a:prstGeom prst="rect">
                          <a:avLst/>
                        </a:prstGeom>
                      </pic:spPr>
                    </pic:pic>
                  </a:graphicData>
                </a:graphic>
                <wp14:sizeRelH relativeFrom="margin">
                  <wp14:pctWidth>0</wp14:pctWidth>
                </wp14:sizeRelH>
                <wp14:sizeRelV relativeFrom="margin">
                  <wp14:pctHeight>0</wp14:pctHeight>
                </wp14:sizeRelV>
              </wp:anchor>
            </w:drawing>
            <w:drawing>
              <wp:anchor distT="0" distB="0" distL="114300" distR="114300" simplePos="0" relativeHeight="251645952" behindDoc="0" locked="0" layoutInCell="1" allowOverlap="1" wp14:anchorId="0E35F9DC" wp14:editId="0456B54F">
                <wp:simplePos x="0" y="0"/>
                <wp:positionH relativeFrom="column">
                  <wp:posOffset>-8568</wp:posOffset>
                </wp:positionH>
                <wp:positionV relativeFrom="paragraph">
                  <wp:posOffset>-534016</wp:posOffset>
                </wp:positionV>
                <wp:extent cx="6496335" cy="9712325"/>
                <wp:effectExtent l="0" t="0" r="0" b="0"/>
                <wp:wrapNone/>
                <wp:docPr id="934361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61275" name="Picture 934361275"/>
                        <pic:cNvPicPr/>
                      </pic:nvPicPr>
                      <pic:blipFill rotWithShape="1">
                        <a:blip r:embed="rId9">
                          <a:duotone>
                            <a:prstClr val="black"/>
                            <a:schemeClr val="bg2">
                              <a:tint val="45000"/>
                              <a:satMod val="400000"/>
                            </a:schemeClr>
                          </a:duotone>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23908" t="-4" r="38463" b="4"/>
                        <a:stretch/>
                      </pic:blipFill>
                      <pic:spPr bwMode="auto">
                        <a:xfrm>
                          <a:off x="0" y="0"/>
                          <a:ext cx="6496335" cy="971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rPr>
              <w:sz w:val="10"/>
              <w:szCs w:val="10"/>
            </w:rPr>
          </w:pPr>
        </w:p>
        <w:p>
          <w:pPr>
            <w:spacing w:line="276" w:lineRule="auto"/>
            <w:rPr>
              <w:rFonts w:eastAsia="MS Mincho"/>
              <w:kern w:val="2"/>
              <w:sz w:val="22"/>
              <w:szCs w:val="24"/>
            </w:rPr>
          </w:pPr>
          <w:r>
            <w:rPr>
              <w:rFonts w:eastAsia="MS Mincho"/>
              <w:kern w:val="2"/>
              <w:sz w:val="22"/>
              <w:szCs w:val="24"/>
              <w:lang w:val="en-US"/>
            </w:rPr>
            <mc:AlternateContent>
              <mc:Choice Requires="wps">
                <w:drawing>
                  <wp:anchor distT="0" distB="0" distL="114300" distR="114300" simplePos="0" relativeHeight="251663360" behindDoc="0" locked="0" layoutInCell="1" allowOverlap="1" wp14:anchorId="2A58F781" wp14:editId="0F08BE24">
                    <wp:simplePos x="0" y="0"/>
                    <wp:positionH relativeFrom="margin">
                      <wp:align>left</wp:align>
                    </wp:positionH>
                    <wp:positionV relativeFrom="paragraph">
                      <wp:posOffset>5003717</wp:posOffset>
                    </wp:positionV>
                    <wp:extent cx="5581650" cy="2713328"/>
                    <wp:effectExtent l="0" t="0" r="0" b="0"/>
                    <wp:wrapNone/>
                    <wp:docPr id="67575290"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71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0"/>
                                    <w:szCs w:val="10"/>
                                  </w:rPr>
                                </w:pPr>
                              </w:p>
                              <w:p>
                                <w:pPr>
                                  <w:overflowPunct w:val="0"/>
                                  <w:spacing w:line="276" w:lineRule="auto"/>
                                  <w:ind w:left="284" w:right="142"/>
                                  <w:textAlignment w:val="baseline"/>
                                  <w:rPr>
                                    <w:rFonts w:eastAsia="MS PGothic"/>
                                    <w:b/>
                                    <w:bCs/>
                                    <w:caps/>
                                    <w:color w:val="F2F2F2"/>
                                    <w:kern w:val="24"/>
                                    <w:sz w:val="64"/>
                                    <w:szCs w:val="64"/>
                                  </w:rPr>
                                </w:pPr>
                                <w:r>
                                  <w:rPr>
                                    <w:rFonts w:eastAsia="MS PGothic"/>
                                    <w:b/>
                                    <w:bCs/>
                                    <w:caps/>
                                    <w:color w:val="F2F2F2"/>
                                    <w:kern w:val="24"/>
                                    <w:sz w:val="64"/>
                                    <w:szCs w:val="64"/>
                                  </w:rPr>
                                  <w:t xml:space="preserve">ŠIAULIŲ MIESTO </w:t>
                                </w:r>
                                <w:r>
                                  <w:rPr>
                                    <w:rFonts w:eastAsia="MS PGothic"/>
                                    <w:b/>
                                    <w:bCs/>
                                    <w:caps/>
                                    <w:color w:val="F2F2F2"/>
                                    <w:kern w:val="24"/>
                                    <w:sz w:val="64"/>
                                    <w:szCs w:val="64"/>
                                    <w:lang w:val="en-US"/>
                                  </w:rPr>
                                  <w:t>2025 – 2033 met</w:t>
                                </w:r>
                                <w:r>
                                  <w:rPr>
                                    <w:rFonts w:eastAsia="MS PGothic"/>
                                    <w:b/>
                                    <w:bCs/>
                                    <w:caps/>
                                    <w:color w:val="F2F2F2"/>
                                    <w:kern w:val="24"/>
                                    <w:sz w:val="64"/>
                                    <w:szCs w:val="64"/>
                                  </w:rPr>
                                  <w:t>ų strateginis plėtros planas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8F781" id="_x0000_t202" coordsize="21600,21600" o:spt="202" path="m,l,21600r21600,l21600,xe">
                    <v:stroke joinstyle="miter"/>
                    <v:path gradientshapeok="t" o:connecttype="rect"/>
                  </v:shapetype>
                  <v:shape id="TextBox 9" o:spid="_x0000_s1026" type="#_x0000_t202" style="position:absolute;margin-left:0;margin-top:394pt;width:439.5pt;height:21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i72puQIAAMAFAAAOAAAAZHJzL2Uyb0RvYy54bWysVNtu2zAMfR+wfxD07vpS31GnaON4GNBd gHYfoNhyLMyWPEmJ0w3791FykqYtBgzb/GBIInV4SB7x6no/9GhHpWKCF9i/8DCivBYN45sCf3mo nBQjpQlvSC84LfAjVfh68fbN1TTmNBCd6BsqEYBwlU9jgTutx9x1Vd3RgagLMVIOxlbIgWjYyo3b SDIB+tC7gefF7iRkM0pRU6XgtJyNeGHx25bW+lPbKqpRX2Dgpu1f2v/a/N3FFck3kowdqw80yF+w GAjjEPQEVRJN0FayV1ADq6VQotUXtRhc0baspjYHyMb3XmRz35GR2lygOGo8lUn9P9j64+6zRKwp cJxESRRkUCROBujUA93rW7FHmanRNKocXO9HcNZ7OIZe23zVeCfqrwpxsewI39AbKcXUUdIAR9/c dM+uzjjKgKynD6KBKGSrhQXat3IwBYSSIEAHGo+n/gATVMNhFKV+HIGpBluQ+JeXQWpjkPx4fZRK v6NiQGZRYAkCsPBkd6e0oUPyo4uJxkXF+t6KoOfPDsBxPoHgcNXYDA3b0x+Zl63SVRo6YRCvnNAr S+emWoZOXPlJVF6Wy2Xp/zRx/TDvWNNQbsIc9eWHf9a/g9JnZZwUpkTPGgNnKCm5WS97iXYE9F3Z 71CQMzf3OQ1bBMjlRUp+EHq3QeZUcZo4YRVGTpZ4qeP52W0We2EWltXzlO4Yp/+eEpoKnEVBNKvp t7l59nudG8kHpmGC9GwocHpyIrnR4Io3trWasH5en5XC0H8qBbT72GirWCPSWa56v94DipHxWjSP oF0pQFmgQhh7sOiE/I7RBCOkwOrblkiKUf+eg/4zPwzBTdtNGCUBbOS5ZX1uIbwGqAJrjOblUs9z ajtKtukg0vziuLiBN9Myq+YnVoeXBmPCJnUYaWYOne+t19PgXfwCAAD//wMAUEsDBBQABgAIAAAA IQBuVAW33QAAAAkBAAAPAAAAZHJzL2Rvd25yZXYueG1sTI/NTsMwEITvSLyDtUjcqN1CaRriVAjE FdTyI3HbxtskIl5HsduEt2c5wW1WM5r9pthMvlMnGmIb2MJ8ZkARV8G1XFt4e326ykDFhOywC0wW vinCpjw/KzB3YeQtnXapVlLCMUcLTUp9rnWsGvIYZ6EnFu8QBo9JzqHWbsBRyn2nF8bcao8ty4cG e3poqPraHb2F9+fD58eNeakf/bIfw2Q0+7W29vJiur8DlWhKf2H4xRd0KIVpH47souosyJBkYZVl IsTOVmsRe8kt5str0GWh/y8ofwAAAP//AwBQSwECLQAUAAYACAAAACEAtoM4kv4AAADhAQAAEwAA AAAAAAAAAAAAAAAAAAAAW0NvbnRlbnRfVHlwZXNdLnhtbFBLAQItABQABgAIAAAAIQA4/SH/1gAA AJQBAAALAAAAAAAAAAAAAAAAAC8BAABfcmVscy8ucmVsc1BLAQItABQABgAIAAAAIQDZi72puQIA AMAFAAAOAAAAAAAAAAAAAAAAAC4CAABkcnMvZTJvRG9jLnhtbFBLAQItABQABgAIAAAAIQBuVAW3 3QAAAAkBAAAPAAAAAAAAAAAAAAAAABMFAABkcnMvZG93bnJldi54bWxQSwUGAAAAAAQABADzAAAA HQYAAAAA " filled="f" stroked="f">
                    <v:textbox>
                      <w:txbxContent>
                        <w:p>
                          <w:pPr>
                            <w:rPr>
                              <w:sz w:val="10"/>
                              <w:szCs w:val="10"/>
                            </w:rPr>
                          </w:pPr>
                        </w:p>
                        <w:p w14:paraId="27CA522A" w14:textId="1605B3A8">
                          <w:pPr>
                            <w:overflowPunct w:val="0"/>
                            <w:spacing w:line="276"/>
                            <w:ind w:left="284" w:right="142"/>
                            <w:textAlignment w:val="baseline"/>
                            <w:rPr>
                              <w:rFonts w:ascii="Times New Roman" w:hAnsi="Times New Roman" w:eastAsia="MS PGothic" w:cs="Times New Roman"/>
                              <w:b/>
                              <w:bCs/>
                              <w:caps/>
                              <w:color w:val="F2F2F2"/>
                              <w:kern w:val="24"/>
                              <w:sz w:val="64"/>
                              <w:szCs w:val="64"/>
                            </w:rPr>
                          </w:pPr>
                          <w:r>
                            <w:rPr>
                              <w:rFonts w:ascii="Times New Roman" w:hAnsi="Times New Roman" w:eastAsia="MS PGothic" w:cs="Times New Roman"/>
                              <w:b/>
                              <w:bCs/>
                              <w:caps/>
                              <w:color w:val="F2F2F2"/>
                              <w:kern w:val="24"/>
                              <w:sz w:val="64"/>
                              <w:szCs w:val="64"/>
                            </w:rPr>
                            <w:t xml:space="preserve">ŠIAULIŲ MIESTO </w:t>
                          </w:r>
                          <w:r>
                            <w:rPr>
                              <w:rFonts w:ascii="Times New Roman" w:hAnsi="Times New Roman" w:eastAsia="MS PGothic" w:cs="Times New Roman"/>
                              <w:b/>
                              <w:bCs/>
                              <w:caps/>
                              <w:color w:val="F2F2F2"/>
                              <w:kern w:val="24"/>
                              <w:sz w:val="64"/>
                              <w:szCs w:val="64"/>
                              <w:lang w:val="en-US"/>
                            </w:rPr>
                            <w:t>2025 – 2033 met</w:t>
                          </w:r>
                          <w:r>
                            <w:rPr>
                              <w:rFonts w:ascii="Times New Roman" w:hAnsi="Times New Roman" w:eastAsia="MS PGothic" w:cs="Times New Roman"/>
                              <w:b/>
                              <w:bCs/>
                              <w:caps/>
                              <w:color w:val="F2F2F2"/>
                              <w:kern w:val="24"/>
                              <w:sz w:val="64"/>
                              <w:szCs w:val="64"/>
                            </w:rPr>
                            <w:t>ų strateginis plėtros planas</w:t>
                          </w:r>
                        </w:p>
                      </w:txbxContent>
                    </v:textbox>
                    <w10:wrap anchorx="margin"/>
                  </v:shape>
                </w:pict>
              </mc:Fallback>
            </mc:AlternateContent>
            <mc:AlternateContent>
              <mc:Choice Requires="wps">
                <w:drawing>
                  <wp:anchor distT="0" distB="0" distL="114300" distR="114300" simplePos="0" relativeHeight="251676672" behindDoc="0" locked="0" layoutInCell="1" allowOverlap="1" wp14:anchorId="7A7D99EE" wp14:editId="5DBF5465">
                    <wp:simplePos x="0" y="0"/>
                    <wp:positionH relativeFrom="margin">
                      <wp:align>center</wp:align>
                    </wp:positionH>
                    <wp:positionV relativeFrom="paragraph">
                      <wp:posOffset>8266430</wp:posOffset>
                    </wp:positionV>
                    <wp:extent cx="850900" cy="482600"/>
                    <wp:effectExtent l="0" t="0" r="0" b="0"/>
                    <wp:wrapNone/>
                    <wp:docPr id="25130830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0"/>
                                    <w:szCs w:val="10"/>
                                  </w:rPr>
                                </w:pPr>
                              </w:p>
                              <w:p>
                                <w:pPr>
                                  <w:overflowPunct w:val="0"/>
                                  <w:spacing w:line="276" w:lineRule="auto"/>
                                  <w:ind w:right="142"/>
                                  <w:jc w:val="center"/>
                                  <w:textAlignment w:val="baseline"/>
                                  <w:rPr>
                                    <w:rFonts w:eastAsia="MS PGothic"/>
                                    <w:b/>
                                    <w:bCs/>
                                    <w:caps/>
                                    <w:color w:val="F2F2F2"/>
                                    <w:kern w:val="24"/>
                                    <w:sz w:val="36"/>
                                    <w:szCs w:val="36"/>
                                    <w:lang w:val="en-US"/>
                                  </w:rPr>
                                </w:pPr>
                                <w:r>
                                  <w:rPr>
                                    <w:rFonts w:eastAsia="MS PGothic"/>
                                    <w:b/>
                                    <w:bCs/>
                                    <w:caps/>
                                    <w:color w:val="F2F2F2"/>
                                    <w:kern w:val="24"/>
                                    <w:sz w:val="36"/>
                                    <w:szCs w:val="36"/>
                                    <w:lang w:val="en-US"/>
                                  </w:rPr>
                                  <w:t>2024</w:t>
                                </w:r>
                              </w:p>
                              <w:p>
                                <w:pPr>
                                  <w:rPr>
                                    <w:sz w:val="10"/>
                                    <w:szCs w:val="10"/>
                                  </w:rPr>
                                </w:pPr>
                              </w:p>
                              <w:p>
                                <w:pPr>
                                  <w:overflowPunct w:val="0"/>
                                  <w:spacing w:line="276" w:lineRule="auto"/>
                                  <w:ind w:right="142"/>
                                  <w:jc w:val="center"/>
                                  <w:textAlignment w:val="baseline"/>
                                  <w:rPr>
                                    <w:rFonts w:ascii="Bahnschrift SemiBold SemiConden" w:eastAsia="MS PGothic" w:hAnsi="Bahnschrift SemiBold SemiConden"/>
                                    <w:caps/>
                                    <w:color w:val="F2F2F2"/>
                                    <w:kern w:val="24"/>
                                    <w:sz w:val="36"/>
                                    <w:szCs w:val="3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D99EE" id="_x0000_s1027" type="#_x0000_t202" style="position:absolute;margin-left:0;margin-top:650.9pt;width:67pt;height:38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qvoNuwIAAMYFAAAOAAAAZHJzL2Uyb0RvYy54bWysVG1vmzAQ/j5p/8Hyd4qhhAAqqdoQpknd i9TuBzhggjWwme2EdNP++84mSdNWk6ZtfEC27/zcPXeP7+p633dox5TmUuQ4uCAYMVHJmotNjr88 lF6CkTZU1LSTguX4kWl8vXj75mocMhbKVnY1UwhAhM7GIcetMUPm+7pqWU/1hRyYAGMjVU8NbNXG rxUdAb3v/JCQ2B+lqgclK6Y1nBaTES8cftOwynxqGs0M6nIMuRn3V+6/tn9/cUWzjaJDy6tDGvQv sugpFxD0BFVQQ9FW8VdQPa+U1LIxF5Xsfdk0vGKOA7AJyAs29y0dmOMCxdHDqUz6/8FWH3efFeJ1 jsNZcEmSSxJjJGgPrXpge3Mr9yi1RRoHnYHv/QDeZg/H0GxHWA93svqqkZDLlooNu1FKji2jNSQZ 2Jv+2dUJR1uQ9fhB1hCFbo10QPtG9baCUBME6NCsx1ODIBNUwWEyIykBSwWmKAljWNsINDteHpQ2 75jskV3kWEH/HTjd3WkzuR5dbCwhS951cE6zTjw7AMzpBELDVWuzSbiW/khJukpWSeRFYbzyIlIU 3k25jLy4DOaz4rJYLovgp40bRFnL65oJG+YoryD6s/YdhD4J4yQwLTteWzibklab9bJTaEdB3qX7 DgU5c/Ofp+HqBVxeUArCiNyGqVfGydyLymjmpXOSeCRIb9OYRGlUlM8p3XHB/p0SGnOczsLZpKXf ciPue82NZj03MEA63oM6Tk40swpcidq11lDeTeuzUtj0n0oB7T422unVSnQSq9mv9+59ODFbLa9l /QgCVhIEBlqE4QeLVqrvGI0wSHKsv22pYhh17wU8gjSIIjt53CaazUPYqHPL+txCRQVQOTYYTcul mabVdlB800Kk6dkJeQMPp+FO1E9ZHZ4bDAvH7TDY7DQ63zuvp/G7+AUAAP//AwBQSwMEFAAGAAgA AAAhALFmArjdAAAACgEAAA8AAABkcnMvZG93bnJldi54bWxMj09PwzAMxe9IfIfISNxYMjbYKE0n BOIK2vgjcfMar61onKrJ1vLtcU9ws9+znn8v34y+VSfqYxPYwnxmQBGXwTVcWXh/e75ag4oJ2WEb mCz8UIRNcX6WY+bCwFs67VKlJIRjhhbqlLpM61jW5DHOQkcs3iH0HpOsfaVdj4OE+1ZfG3OrPTYs H2rs6LGm8nt39BY+Xg5fn0vzWj35m24Io9Hs77S1lxfjwz2oRGP6O4YJX9ChEKZ9OLKLqrUgRZKo CzOXBpO/WIq0n4bVag26yPX/CsUvAAAA//8DAFBLAQItABQABgAIAAAAIQC2gziS/gAAAOEBAAAT AAAAAAAAAAAAAAAAAAAAAABbQ29udGVudF9UeXBlc10ueG1sUEsBAi0AFAAGAAgAAAAhADj9If/W AAAAlAEAAAsAAAAAAAAAAAAAAAAALwEAAF9yZWxzLy5yZWxzUEsBAi0AFAAGAAgAAAAhAJuq+g27 AgAAxgUAAA4AAAAAAAAAAAAAAAAALgIAAGRycy9lMm9Eb2MueG1sUEsBAi0AFAAGAAgAAAAhALFm ArjdAAAACgEAAA8AAAAAAAAAAAAAAAAAFQUAAGRycy9kb3ducmV2LnhtbFBLBQYAAAAABAAEAPMA AAAfBgAAAAA= " filled="f" stroked="f">
                    <v:textbox>
                      <w:txbxContent>
                        <w:p>
                          <w:pPr>
                            <w:rPr>
                              <w:sz w:val="10"/>
                              <w:szCs w:val="10"/>
                            </w:rPr>
                          </w:pPr>
                        </w:p>
                        <w:p w14:paraId="53100AAE" w14:textId="109126AC">
                          <w:pPr>
                            <w:overflowPunct w:val="0"/>
                            <w:spacing w:line="276"/>
                            <w:ind w:right="142"/>
                            <w:jc w:val="center"/>
                            <w:textAlignment w:val="baseline"/>
                            <w:rPr>
                              <w:rFonts w:ascii="Times New Roman" w:hAnsi="Times New Roman" w:eastAsia="MS PGothic" w:cs="Times New Roman"/>
                              <w:b/>
                              <w:bCs/>
                              <w:caps/>
                              <w:color w:val="F2F2F2"/>
                              <w:kern w:val="24"/>
                              <w:sz w:val="36"/>
                              <w:szCs w:val="36"/>
                              <w:lang w:val="en-US"/>
                            </w:rPr>
                          </w:pPr>
                          <w:r>
                            <w:rPr>
                              <w:rFonts w:ascii="Times New Roman" w:hAnsi="Times New Roman" w:eastAsia="MS PGothic" w:cs="Times New Roman"/>
                              <w:b/>
                              <w:bCs/>
                              <w:caps/>
                              <w:color w:val="F2F2F2"/>
                              <w:kern w:val="24"/>
                              <w:sz w:val="36"/>
                              <w:szCs w:val="36"/>
                              <w:lang w:val="en-US"/>
                            </w:rPr>
                            <w:t>2024</w:t>
                          </w:r>
                        </w:p>
                        <w:p>
                          <w:pPr>
                            <w:rPr>
                              <w:sz w:val="10"/>
                              <w:szCs w:val="10"/>
                            </w:rPr>
                          </w:pPr>
                        </w:p>
                        <w:p w14:paraId="37B3447D" w14:textId="77777777">
                          <w:pPr>
                            <w:overflowPunct w:val="0"/>
                            <w:spacing w:line="276"/>
                            <w:ind w:right="142"/>
                            <w:jc w:val="center"/>
                            <w:textAlignment w:val="baseline"/>
                            <w:rPr>
                              <w:rFonts w:ascii="Bahnschrift SemiBold SemiConden" w:hAnsi="Bahnschrift SemiBold SemiConden" w:eastAsia="MS PGothic"/>
                              <w:caps/>
                              <w:color w:val="F2F2F2"/>
                              <w:kern w:val="24"/>
                              <w:sz w:val="36"/>
                              <w:szCs w:val="36"/>
                              <w:lang w:val="en-US"/>
                            </w:rPr>
                          </w:pPr>
                        </w:p>
                      </w:txbxContent>
                    </v:textbox>
                    <w10:wrap anchorx="margin"/>
                  </v:shape>
                </w:pict>
              </mc:Fallback>
            </mc:AlternateContent>
            <mc:AlternateContent>
              <mc:Choice Requires="wps">
                <w:drawing>
                  <wp:anchor distT="0" distB="0" distL="114300" distR="114300" simplePos="0" relativeHeight="251662336" behindDoc="0" locked="0" layoutInCell="1" allowOverlap="1" wp14:anchorId="474B77A3" wp14:editId="4F053652">
                    <wp:simplePos x="0" y="0"/>
                    <wp:positionH relativeFrom="column">
                      <wp:posOffset>-534670</wp:posOffset>
                    </wp:positionH>
                    <wp:positionV relativeFrom="paragraph">
                      <wp:posOffset>4752975</wp:posOffset>
                    </wp:positionV>
                    <wp:extent cx="6212840" cy="3294380"/>
                    <wp:effectExtent l="8890" t="4445" r="7620" b="6350"/>
                    <wp:wrapNone/>
                    <wp:docPr id="96247926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2840" cy="3294380"/>
                            </a:xfrm>
                            <a:custGeom>
                              <a:avLst/>
                              <a:gdLst>
                                <a:gd name="T0" fmla="*/ 11305256 w 8860"/>
                                <a:gd name="T1" fmla="*/ 0 h 3896"/>
                                <a:gd name="T2" fmla="*/ 0 w 8860"/>
                                <a:gd name="T3" fmla="*/ 0 h 3896"/>
                                <a:gd name="T4" fmla="*/ 6046997 w 8860"/>
                                <a:gd name="T5" fmla="*/ 6120680 h 3896"/>
                                <a:gd name="T6" fmla="*/ 11305256 w 8860"/>
                                <a:gd name="T7" fmla="*/ 6120680 h 3896"/>
                                <a:gd name="T8" fmla="*/ 11305256 w 8860"/>
                                <a:gd name="T9" fmla="*/ 0 h 38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60" h="3896">
                                  <a:moveTo>
                                    <a:pt x="0" y="3896"/>
                                  </a:moveTo>
                                  <a:lnTo>
                                    <a:pt x="1" y="0"/>
                                  </a:lnTo>
                                  <a:lnTo>
                                    <a:pt x="8860" y="2"/>
                                  </a:lnTo>
                                  <a:lnTo>
                                    <a:pt x="8860" y="3896"/>
                                  </a:lnTo>
                                  <a:lnTo>
                                    <a:pt x="0" y="3896"/>
                                  </a:lnTo>
                                  <a:close/>
                                </a:path>
                              </a:pathLst>
                            </a:custGeom>
                            <a:solidFill>
                              <a:schemeClr val="accen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640E0C" id="Freeform 4" o:spid="_x0000_s1026" style="position:absolute;margin-left:-42.1pt;margin-top:374.25pt;width:489.2pt;height:25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860,38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H68OKQMAAHoIAAAOAAAAZHJzL2Uyb0RvYy54bWyslltv2yAUgN8n7T8gP05afUuci+pWU6tO k7qL1OwHEIxjaxg8IHG6X78D2C5um2ya1gfHcD4fzo1zenl9bBg6UKlqwfMgvogCRDkRRc13efB9 c/d+GSClMS8wE5zmwSNVwfXV2zeXXbumiagEK6hEoISrddfmQaV1uw5DRSraYHUhWspBWArZYA1L uQsLiTvQ3rAwiaIs7IQsWikIVQp2b50wuLL6y5IS/bUsFdWI5QHYpu1T2ufWPMOrS7zeSdxWNenN wP9gRYNrDoeOqm6xxmgv6xeqmppIoUSpL4hoQlGWNaHWB/Amjp5581DhllpfIDiqHcOk/p9a8uXw 0H6TxnTV3gvyQ0FEwq5V61FiFgoYtO0+iwJyiPdaWGePpWzMl+AGOtqYPo4xpUeNCGxmSZwsZxB6 ArI0Wc3SpY16iNfD52Sv9EcqrCp8uFfaJaWANxvSAnHcwLkb0FI2DPLzLkRxnEbzZJ6hDi2X2ZDI EY09NEIVSperrE/2yCQT5nU96YR5Xc/MY7Jolq1WixNWzX0yTqJsecq2zCP/4OrCQ7OzSuEu/m38 Vh56ysbYz0eEsgj+UDafpy8iHU/TcY6cJuUcOU3NOdJP0As7oRB3Q6nhaqg+cuR9+cEbwqabbcBf U4+tUKbaTTVCSW9iU1agBDgj9fB4goNjBk9P4skEB5sNPj+JpxMc6sXgi5P4bIJDJRh85ePOh95r CZ3zec+UAYKeuTXfQBSwNsEaXlGXB/YeogquublsRtKIA90Iy+inDjHcRTjwCWDcB6FewL6hUQyy 4be1ytxxgCW9F4N4+H2GeccOxPDrSJfQVzDChKIuy8Ztm+7RfxM2r4EpwerirmbMeG3HGL1hEh0w DCBMCOXalQXbN9BN3X5sbk7fwmAfJpbbH/wf1diTJycwW3RcmBOdhWbHNnDTs80cVOutKB6hf0vh xh+Ma3iphPwVoA5GXx6on3ssaYDYJw6zZRXPTMPWdjGbLxJYSF+y9SWYE1CVB0RDfbjFjXYTdt/K elfBWc5lLj7A5Chr09+thc6ufgEDzrrXD2MzQf21pZ7+Zbj6DQAA//8DAFBLAwQUAAYACAAAACEA N2ndO+EAAAAMAQAADwAAAGRycy9kb3ducmV2LnhtbEyPwU7DMAyG70i8Q2QkLmhL6cZaStOJVXAb SGxwzxLTVmuckmRb4enJTnC0/en395fL0fTsiM53lgTcThNgSMrqjhoB79vnSQ7MB0la9pZQwDd6 WFaXF6UstD3RGx43oWExhHwhBbQhDAXnXrVopJ/aASnePq0zMsTRNVw7eYrhpudpkiy4kR3FD60c sG5R7TcHI0Ct9qr++nmZ1esVNh/mKXu92Tohrq/GxwdgAcfwB8NZP6pDFZ129kDas17AJJ+nERWQ zfM7YJHI78+bXUTTRTYDXpX8f4nqFwAA//8DAFBLAQItABQABgAIAAAAIQC2gziS/gAAAOEBAAAT AAAAAAAAAAAAAAAAAAAAAABbQ29udGVudF9UeXBlc10ueG1sUEsBAi0AFAAGAAgAAAAhADj9If/W AAAAlAEAAAsAAAAAAAAAAAAAAAAALwEAAF9yZWxzLy5yZWxzUEsBAi0AFAAGAAgAAAAhADsfrw4p AwAAeggAAA4AAAAAAAAAAAAAAAAALgIAAGRycy9lMm9Eb2MueG1sUEsBAi0AFAAGAAgAAAAhADdp 3TvhAAAADAEAAA8AAAAAAAAAAAAAAAAAgwUAAGRycy9kb3ducmV2LnhtbFBLBQYAAAAABAAEAPMA AACRBgAAAAA= " path="m,3896l1,,8860,2r,3894l,3896xe" fillcolor="#fdb515 [3204]" stroked="f" strokeweight=".5pt">
                    <v:stroke joinstyle="miter"/>
                    <v:path arrowok="t" o:connecttype="custom" o:connectlocs="2147483646,0;0,0;2147483646,2147483646;2147483646,2147483646;2147483646,0" o:connectangles="0,0,0,0,0"/>
                  </v:shape>
                </w:pict>
              </mc:Fallback>
            </mc:AlternateContent>
          </w:r>
          <w:r>
            <w:rPr>
              <w:rFonts w:eastAsia="MS Mincho"/>
              <w:caps/>
              <w:color w:val="FDB515"/>
              <w:kern w:val="2"/>
              <w:sz w:val="32"/>
              <w:szCs w:val="32"/>
              <w:lang w:val="en-US"/>
            </w:rPr>
            <w:drawing>
              <wp:anchor distT="0" distB="0" distL="114300" distR="114300" simplePos="0" relativeHeight="251674624" behindDoc="0" locked="0" layoutInCell="1" allowOverlap="1" wp14:anchorId="3111903A" wp14:editId="4E2D32C9">
                <wp:simplePos x="0" y="0"/>
                <wp:positionH relativeFrom="column">
                  <wp:posOffset>5200352</wp:posOffset>
                </wp:positionH>
                <wp:positionV relativeFrom="paragraph">
                  <wp:posOffset>18415</wp:posOffset>
                </wp:positionV>
                <wp:extent cx="987497" cy="430306"/>
                <wp:effectExtent l="0" t="0" r="0" b="0"/>
                <wp:wrapNone/>
                <wp:docPr id="89792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2821" name="Picture 89792821"/>
                        <pic:cNvPicPr/>
                      </pic:nvPicPr>
                      <pic:blipFill>
                        <a:blip r:embed="rId11">
                          <a:extLst>
                            <a:ext uri="{28A0092B-C50C-407E-A947-70E740481C1C}">
                              <a14:useLocalDpi xmlns:a14="http://schemas.microsoft.com/office/drawing/2010/main" val="0"/>
                            </a:ext>
                          </a:extLst>
                        </a:blip>
                        <a:stretch>
                          <a:fillRect/>
                        </a:stretch>
                      </pic:blipFill>
                      <pic:spPr>
                        <a:xfrm>
                          <a:off x="0" y="0"/>
                          <a:ext cx="987497" cy="430306"/>
                        </a:xfrm>
                        <a:prstGeom prst="rect">
                          <a:avLst/>
                        </a:prstGeom>
                      </pic:spPr>
                    </pic:pic>
                  </a:graphicData>
                </a:graphic>
                <wp14:sizeRelH relativeFrom="margin">
                  <wp14:pctWidth>0</wp14:pctWidth>
                </wp14:sizeRelH>
                <wp14:sizeRelV relativeFrom="margin">
                  <wp14:pctHeight>0</wp14:pctHeight>
                </wp14:sizeRelV>
              </wp:anchor>
            </w:drawing>
          </w:r>
          <w:r>
            <w:rPr>
              <w:rFonts w:eastAsia="MS Mincho"/>
              <w:kern w:val="2"/>
              <w:sz w:val="22"/>
              <w:szCs w:val="24"/>
            </w:rPr>
            <w:br w:type="page"/>
          </w:r>
        </w:p>
        <w:p>
          <w:pPr>
            <w:rPr>
              <w:sz w:val="20"/>
            </w:rPr>
          </w:pPr>
        </w:p>
        <w:p>
          <w:pPr>
            <w:keepNext/>
            <w:keepLines/>
            <w:ind w:left="284" w:right="142"/>
            <w:jc w:val="both"/>
            <w:rPr>
              <w:rFonts w:eastAsia="MS Mincho"/>
              <w:b/>
              <w:bCs/>
              <w:caps/>
              <w:color w:val="FDB515"/>
              <w:kern w:val="2"/>
              <w:sz w:val="32"/>
              <w:szCs w:val="32"/>
            </w:rPr>
          </w:pPr>
          <w:r>
            <w:rPr>
              <w:rFonts w:eastAsia="MS Mincho"/>
              <w:b/>
              <w:bCs/>
              <w:caps/>
              <w:color w:val="FDB515"/>
              <w:kern w:val="2"/>
              <w:sz w:val="32"/>
              <w:szCs w:val="32"/>
            </w:rPr>
            <w:t>VARTOJAMOS SANTRUMPOS</w:t>
          </w:r>
        </w:p>
        <w:p>
          <w:pPr>
            <w:rPr>
              <w:sz w:val="10"/>
              <w:szCs w:val="10"/>
            </w:rPr>
          </w:pPr>
        </w:p>
        <w:p/>
        <w:tbl>
          <w:tblPr>
            <w:tblW w:w="8454" w:type="dxa"/>
            <w:tblBorders>
              <w:insideV w:val="double" w:sz="4" w:space="0" w:color="CB8C01"/>
            </w:tblBorders>
            <w:tblLook w:val="04A0" w:firstRow="1" w:lastRow="0" w:firstColumn="1" w:lastColumn="0" w:noHBand="0" w:noVBand="1"/>
          </w:tblPr>
          <w:tblGrid>
            <w:gridCol w:w="1710"/>
            <w:gridCol w:w="6744"/>
          </w:tblGrid>
          <w:tr>
            <w:trPr>
              <w:trHeight w:val="336"/>
            </w:trPr>
            <w:tc>
              <w:tcPr>
                <w:tcW w:w="1710" w:type="dxa"/>
                <w:shd w:val="clear" w:color="auto" w:fill="auto"/>
                <w:noWrap/>
                <w:vAlign w:val="center"/>
                <w:hideMark/>
              </w:tcPr>
              <w:p>
                <w:pPr>
                  <w:spacing w:before="120" w:after="120"/>
                  <w:ind w:left="284" w:right="142"/>
                  <w:jc w:val="right"/>
                  <w:rPr>
                    <w:b/>
                    <w:bCs/>
                    <w:color w:val="000000"/>
                    <w:kern w:val="2"/>
                    <w:sz w:val="22"/>
                    <w:szCs w:val="24"/>
                    <w:lang w:eastAsia="lt-LT"/>
                  </w:rPr>
                </w:pPr>
                <w:r>
                  <w:rPr>
                    <w:b/>
                    <w:bCs/>
                    <w:color w:val="000000"/>
                    <w:szCs w:val="24"/>
                    <w:lang w:eastAsia="lt-LT"/>
                  </w:rPr>
                  <w:t>AAA</w:t>
                </w:r>
              </w:p>
            </w:tc>
            <w:tc>
              <w:tcPr>
                <w:tcW w:w="6744" w:type="dxa"/>
                <w:shd w:val="clear" w:color="auto" w:fill="auto"/>
                <w:vAlign w:val="center"/>
                <w:hideMark/>
              </w:tcPr>
              <w:p>
                <w:pPr>
                  <w:rPr>
                    <w:szCs w:val="24"/>
                    <w:lang w:eastAsia="lt-LT"/>
                  </w:rPr>
                </w:pPr>
                <w:r>
                  <w:rPr>
                    <w:szCs w:val="24"/>
                    <w:lang w:eastAsia="lt-LT"/>
                  </w:rPr>
                  <w:t>BĮ Aplinkos apsaugos agentūra</w:t>
                </w:r>
              </w:p>
            </w:tc>
          </w:tr>
          <w:tr>
            <w:trPr>
              <w:trHeight w:val="357"/>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AAS</w:t>
                </w:r>
              </w:p>
            </w:tc>
            <w:tc>
              <w:tcPr>
                <w:tcW w:w="6744" w:type="dxa"/>
                <w:shd w:val="clear" w:color="auto" w:fill="auto"/>
                <w:vAlign w:val="center"/>
                <w:hideMark/>
              </w:tcPr>
              <w:p>
                <w:pPr>
                  <w:rPr>
                    <w:szCs w:val="24"/>
                    <w:lang w:eastAsia="lt-LT"/>
                  </w:rPr>
                </w:pPr>
                <w:r>
                  <w:rPr>
                    <w:szCs w:val="24"/>
                    <w:lang w:eastAsia="lt-LT"/>
                  </w:rPr>
                  <w:t>Asmenų aptarnavimo skyrius</w:t>
                </w:r>
              </w:p>
            </w:tc>
          </w:tr>
          <w:tr>
            <w:trPr>
              <w:trHeight w:val="379"/>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 xml:space="preserve">AIE </w:t>
                </w:r>
              </w:p>
            </w:tc>
            <w:tc>
              <w:tcPr>
                <w:tcW w:w="6744" w:type="dxa"/>
                <w:shd w:val="clear" w:color="auto" w:fill="auto"/>
                <w:vAlign w:val="center"/>
                <w:hideMark/>
              </w:tcPr>
              <w:p>
                <w:pPr>
                  <w:rPr>
                    <w:szCs w:val="24"/>
                    <w:lang w:eastAsia="lt-LT"/>
                  </w:rPr>
                </w:pPr>
                <w:r>
                  <w:rPr>
                    <w:szCs w:val="24"/>
                    <w:lang w:eastAsia="lt-LT"/>
                  </w:rPr>
                  <w:t>Atsinaujinančių išteklių energija</w:t>
                </w:r>
              </w:p>
            </w:tc>
          </w:tr>
          <w:tr>
            <w:trPr>
              <w:trHeight w:val="529"/>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Aprašas</w:t>
                </w:r>
              </w:p>
            </w:tc>
            <w:tc>
              <w:tcPr>
                <w:tcW w:w="6744" w:type="dxa"/>
                <w:shd w:val="clear" w:color="auto" w:fill="auto"/>
                <w:vAlign w:val="center"/>
                <w:hideMark/>
              </w:tcPr>
              <w:p>
                <w:pPr>
                  <w:rPr>
                    <w:szCs w:val="24"/>
                    <w:lang w:eastAsia="lt-LT"/>
                  </w:rPr>
                </w:pPr>
                <w:r>
                  <w:rPr>
                    <w:szCs w:val="24"/>
                    <w:lang w:eastAsia="lt-LT"/>
                  </w:rPr>
                  <w:t>Šiaulių miesto savivaldybės sveikatos priežiūros įstaigose finansavimo teikimo tvarkos aprašas</w:t>
                </w:r>
              </w:p>
            </w:tc>
          </w:tr>
          <w:tr>
            <w:trPr>
              <w:trHeight w:val="303"/>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APTP</w:t>
                </w:r>
              </w:p>
            </w:tc>
            <w:tc>
              <w:tcPr>
                <w:tcW w:w="6744" w:type="dxa"/>
                <w:shd w:val="clear" w:color="auto" w:fill="auto"/>
                <w:vAlign w:val="center"/>
                <w:hideMark/>
              </w:tcPr>
              <w:p>
                <w:pPr>
                  <w:rPr>
                    <w:szCs w:val="24"/>
                    <w:lang w:eastAsia="lt-LT"/>
                  </w:rPr>
                </w:pPr>
                <w:r>
                  <w:rPr>
                    <w:szCs w:val="24"/>
                    <w:lang w:eastAsia="lt-LT"/>
                  </w:rPr>
                  <w:t>Valstybinis atliekų prevencijos ir tvarkymo planas 2023–2027 m.</w:t>
                </w:r>
              </w:p>
            </w:tc>
          </w:tr>
          <w:tr>
            <w:trPr>
              <w:trHeight w:val="379"/>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AS</w:t>
                </w:r>
              </w:p>
            </w:tc>
            <w:tc>
              <w:tcPr>
                <w:tcW w:w="6744" w:type="dxa"/>
                <w:shd w:val="clear" w:color="auto" w:fill="auto"/>
                <w:vAlign w:val="center"/>
                <w:hideMark/>
              </w:tcPr>
              <w:p>
                <w:pPr>
                  <w:rPr>
                    <w:szCs w:val="24"/>
                    <w:lang w:eastAsia="lt-LT"/>
                  </w:rPr>
                </w:pPr>
                <w:r>
                  <w:rPr>
                    <w:szCs w:val="24"/>
                    <w:lang w:eastAsia="lt-LT"/>
                  </w:rPr>
                  <w:t>Architektūros skyrius</w:t>
                </w:r>
              </w:p>
            </w:tc>
          </w:tr>
          <w:tr>
            <w:trPr>
              <w:trHeight w:val="413"/>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 xml:space="preserve">d. d. </w:t>
                </w:r>
              </w:p>
            </w:tc>
            <w:tc>
              <w:tcPr>
                <w:tcW w:w="6744" w:type="dxa"/>
                <w:shd w:val="clear" w:color="auto" w:fill="auto"/>
                <w:vAlign w:val="center"/>
                <w:hideMark/>
              </w:tcPr>
              <w:p>
                <w:pPr>
                  <w:rPr>
                    <w:szCs w:val="24"/>
                    <w:lang w:eastAsia="lt-LT"/>
                  </w:rPr>
                </w:pPr>
                <w:r>
                  <w:rPr>
                    <w:szCs w:val="24"/>
                    <w:lang w:eastAsia="lt-LT"/>
                  </w:rPr>
                  <w:t>darbo dienos</w:t>
                </w:r>
              </w:p>
            </w:tc>
          </w:tr>
          <w:tr>
            <w:trPr>
              <w:trHeight w:val="413"/>
            </w:trPr>
            <w:tc>
              <w:tcPr>
                <w:tcW w:w="1710" w:type="dxa"/>
                <w:shd w:val="clear" w:color="auto" w:fill="auto"/>
                <w:noWrap/>
                <w:vAlign w:val="center"/>
              </w:tcPr>
              <w:p>
                <w:pPr>
                  <w:jc w:val="right"/>
                  <w:rPr>
                    <w:b/>
                    <w:bCs/>
                    <w:color w:val="000000"/>
                    <w:szCs w:val="24"/>
                    <w:lang w:eastAsia="lt-LT"/>
                  </w:rPr>
                </w:pPr>
                <w:r>
                  <w:rPr>
                    <w:b/>
                    <w:bCs/>
                    <w:color w:val="000000"/>
                    <w:szCs w:val="24"/>
                    <w:lang w:eastAsia="lt-LT"/>
                  </w:rPr>
                  <w:t>CSP</w:t>
                </w:r>
              </w:p>
            </w:tc>
            <w:tc>
              <w:tcPr>
                <w:tcW w:w="6744" w:type="dxa"/>
                <w:shd w:val="clear" w:color="auto" w:fill="auto"/>
                <w:vAlign w:val="center"/>
              </w:tcPr>
              <w:p>
                <w:pPr>
                  <w:rPr>
                    <w:szCs w:val="24"/>
                    <w:lang w:eastAsia="lt-LT"/>
                  </w:rPr>
                </w:pPr>
                <w:r>
                  <w:rPr>
                    <w:szCs w:val="24"/>
                    <w:lang w:eastAsia="lt-LT"/>
                  </w:rPr>
                  <w:t>Civilinės saugos poskyris</w:t>
                </w:r>
              </w:p>
            </w:tc>
          </w:tr>
          <w:tr>
            <w:trPr>
              <w:trHeight w:val="413"/>
            </w:trPr>
            <w:tc>
              <w:tcPr>
                <w:tcW w:w="1710" w:type="dxa"/>
                <w:shd w:val="clear" w:color="auto" w:fill="auto"/>
                <w:noWrap/>
                <w:vAlign w:val="center"/>
              </w:tcPr>
              <w:p>
                <w:pPr>
                  <w:jc w:val="right"/>
                  <w:rPr>
                    <w:b/>
                    <w:bCs/>
                    <w:color w:val="000000"/>
                    <w:szCs w:val="24"/>
                    <w:lang w:eastAsia="lt-LT"/>
                  </w:rPr>
                </w:pPr>
                <w:r>
                  <w:rPr>
                    <w:b/>
                    <w:bCs/>
                    <w:color w:val="000000"/>
                    <w:szCs w:val="24"/>
                    <w:lang w:eastAsia="lt-LT"/>
                  </w:rPr>
                  <w:t>CSTS</w:t>
                </w:r>
              </w:p>
            </w:tc>
            <w:tc>
              <w:tcPr>
                <w:tcW w:w="6744" w:type="dxa"/>
                <w:shd w:val="clear" w:color="auto" w:fill="auto"/>
                <w:vAlign w:val="center"/>
              </w:tcPr>
              <w:p>
                <w:pPr>
                  <w:rPr>
                    <w:szCs w:val="24"/>
                    <w:lang w:eastAsia="lt-LT"/>
                  </w:rPr>
                </w:pPr>
                <w:r>
                  <w:rPr>
                    <w:szCs w:val="24"/>
                    <w:lang w:eastAsia="lt-LT"/>
                  </w:rPr>
                  <w:t>Civilinės saugos ir teisėtvarkos skyrius</w:t>
                </w:r>
              </w:p>
            </w:tc>
          </w:tr>
          <w:tr>
            <w:trPr>
              <w:trHeight w:val="375"/>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CŠT</w:t>
                </w:r>
              </w:p>
            </w:tc>
            <w:tc>
              <w:tcPr>
                <w:tcW w:w="6744" w:type="dxa"/>
                <w:shd w:val="clear" w:color="auto" w:fill="auto"/>
                <w:vAlign w:val="center"/>
                <w:hideMark/>
              </w:tcPr>
              <w:p>
                <w:pPr>
                  <w:rPr>
                    <w:szCs w:val="24"/>
                    <w:lang w:eastAsia="lt-LT"/>
                  </w:rPr>
                </w:pPr>
                <w:r>
                  <w:rPr>
                    <w:szCs w:val="24"/>
                    <w:lang w:eastAsia="lt-LT"/>
                  </w:rPr>
                  <w:t>centralizuotas šilumos tiekimas</w:t>
                </w:r>
              </w:p>
            </w:tc>
          </w:tr>
          <w:tr>
            <w:trPr>
              <w:trHeight w:val="324"/>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DB</w:t>
                </w:r>
              </w:p>
            </w:tc>
            <w:tc>
              <w:tcPr>
                <w:tcW w:w="6744" w:type="dxa"/>
                <w:shd w:val="clear" w:color="auto" w:fill="auto"/>
                <w:vAlign w:val="center"/>
                <w:hideMark/>
              </w:tcPr>
              <w:p>
                <w:pPr>
                  <w:rPr>
                    <w:szCs w:val="24"/>
                    <w:lang w:eastAsia="lt-LT"/>
                  </w:rPr>
                </w:pPr>
                <w:r>
                  <w:rPr>
                    <w:szCs w:val="24"/>
                    <w:lang w:eastAsia="lt-LT"/>
                  </w:rPr>
                  <w:t>Dalyvaujamasis biudžetas</w:t>
                </w:r>
              </w:p>
            </w:tc>
          </w:tr>
          <w:tr>
            <w:trPr>
              <w:trHeight w:val="332"/>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DK</w:t>
                </w:r>
              </w:p>
            </w:tc>
            <w:tc>
              <w:tcPr>
                <w:tcW w:w="6744" w:type="dxa"/>
                <w:shd w:val="clear" w:color="auto" w:fill="auto"/>
                <w:vAlign w:val="center"/>
                <w:hideMark/>
              </w:tcPr>
              <w:p>
                <w:pPr>
                  <w:rPr>
                    <w:szCs w:val="24"/>
                    <w:lang w:eastAsia="lt-LT"/>
                  </w:rPr>
                </w:pPr>
                <w:r>
                  <w:rPr>
                    <w:szCs w:val="24"/>
                    <w:lang w:eastAsia="lt-LT"/>
                  </w:rPr>
                  <w:t>Darbo kodeksas</w:t>
                </w:r>
              </w:p>
            </w:tc>
          </w:tr>
          <w:tr>
            <w:trPr>
              <w:trHeight w:val="260"/>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 xml:space="preserve">DU </w:t>
                </w:r>
              </w:p>
            </w:tc>
            <w:tc>
              <w:tcPr>
                <w:tcW w:w="6744" w:type="dxa"/>
                <w:shd w:val="clear" w:color="auto" w:fill="auto"/>
                <w:vAlign w:val="center"/>
                <w:hideMark/>
              </w:tcPr>
              <w:p>
                <w:pPr>
                  <w:rPr>
                    <w:szCs w:val="24"/>
                    <w:lang w:eastAsia="lt-LT"/>
                  </w:rPr>
                </w:pPr>
                <w:r>
                  <w:rPr>
                    <w:szCs w:val="24"/>
                    <w:lang w:eastAsia="lt-LT"/>
                  </w:rPr>
                  <w:t>Darbo užmokestis</w:t>
                </w:r>
              </w:p>
            </w:tc>
          </w:tr>
          <w:tr>
            <w:trPr>
              <w:trHeight w:val="363"/>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EIS</w:t>
                </w:r>
              </w:p>
            </w:tc>
            <w:tc>
              <w:tcPr>
                <w:tcW w:w="6744" w:type="dxa"/>
                <w:shd w:val="clear" w:color="auto" w:fill="auto"/>
                <w:vAlign w:val="center"/>
                <w:hideMark/>
              </w:tcPr>
              <w:p>
                <w:pPr>
                  <w:rPr>
                    <w:szCs w:val="24"/>
                    <w:lang w:eastAsia="lt-LT"/>
                  </w:rPr>
                </w:pPr>
                <w:r>
                  <w:rPr>
                    <w:szCs w:val="24"/>
                    <w:lang w:eastAsia="lt-LT"/>
                  </w:rPr>
                  <w:t>Ekonomikos ir investicijų skyrius</w:t>
                </w:r>
              </w:p>
            </w:tc>
          </w:tr>
          <w:tr>
            <w:trPr>
              <w:trHeight w:val="525"/>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EPIPS</w:t>
                </w:r>
              </w:p>
            </w:tc>
            <w:tc>
              <w:tcPr>
                <w:tcW w:w="6744" w:type="dxa"/>
                <w:shd w:val="clear" w:color="auto" w:fill="auto"/>
                <w:vAlign w:val="center"/>
                <w:hideMark/>
              </w:tcPr>
              <w:p>
                <w:pPr>
                  <w:rPr>
                    <w:szCs w:val="24"/>
                    <w:lang w:eastAsia="lt-LT"/>
                  </w:rPr>
                </w:pPr>
                <w:r>
                  <w:rPr>
                    <w:szCs w:val="24"/>
                    <w:lang w:eastAsia="lt-LT"/>
                  </w:rPr>
                  <w:t>Šiaulių miesto ekonominės plėtros ir investicijų pritraukimo strategija</w:t>
                </w:r>
              </w:p>
            </w:tc>
          </w:tr>
          <w:tr>
            <w:trPr>
              <w:trHeight w:val="364"/>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EVE</w:t>
                </w:r>
              </w:p>
            </w:tc>
            <w:tc>
              <w:tcPr>
                <w:tcW w:w="6744" w:type="dxa"/>
                <w:shd w:val="clear" w:color="auto" w:fill="auto"/>
                <w:vAlign w:val="center"/>
                <w:hideMark/>
              </w:tcPr>
              <w:p>
                <w:pPr>
                  <w:rPr>
                    <w:szCs w:val="24"/>
                    <w:lang w:eastAsia="lt-LT"/>
                  </w:rPr>
                </w:pPr>
                <w:r>
                  <w:rPr>
                    <w:szCs w:val="24"/>
                    <w:lang w:eastAsia="lt-LT"/>
                  </w:rPr>
                  <w:t>Energijos vartojimo efektyvumas</w:t>
                </w:r>
              </w:p>
            </w:tc>
          </w:tr>
          <w:tr>
            <w:trPr>
              <w:trHeight w:val="417"/>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GKI</w:t>
                </w:r>
              </w:p>
            </w:tc>
            <w:tc>
              <w:tcPr>
                <w:tcW w:w="6744" w:type="dxa"/>
                <w:shd w:val="clear" w:color="auto" w:fill="auto"/>
                <w:vAlign w:val="center"/>
                <w:hideMark/>
              </w:tcPr>
              <w:p>
                <w:pPr>
                  <w:rPr>
                    <w:szCs w:val="24"/>
                    <w:lang w:eastAsia="lt-LT"/>
                  </w:rPr>
                </w:pPr>
                <w:r>
                  <w:rPr>
                    <w:szCs w:val="24"/>
                    <w:lang w:eastAsia="lt-LT"/>
                  </w:rPr>
                  <w:t>Gyventojų kokybės indeksas</w:t>
                </w:r>
              </w:p>
            </w:tc>
          </w:tr>
          <w:tr>
            <w:trPr>
              <w:trHeight w:val="373"/>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ITP</w:t>
                </w:r>
              </w:p>
            </w:tc>
            <w:tc>
              <w:tcPr>
                <w:tcW w:w="6744" w:type="dxa"/>
                <w:shd w:val="clear" w:color="auto" w:fill="auto"/>
                <w:vAlign w:val="center"/>
                <w:hideMark/>
              </w:tcPr>
              <w:p>
                <w:pPr>
                  <w:rPr>
                    <w:szCs w:val="24"/>
                    <w:lang w:eastAsia="lt-LT"/>
                  </w:rPr>
                </w:pPr>
                <w:r>
                  <w:rPr>
                    <w:szCs w:val="24"/>
                    <w:lang w:eastAsia="lt-LT"/>
                  </w:rPr>
                  <w:t>Informacinių technologijų poskyris</w:t>
                </w:r>
              </w:p>
            </w:tc>
          </w:tr>
          <w:tr>
            <w:trPr>
              <w:trHeight w:val="408"/>
            </w:trPr>
            <w:tc>
              <w:tcPr>
                <w:tcW w:w="1710" w:type="dxa"/>
                <w:shd w:val="clear" w:color="auto" w:fill="auto"/>
                <w:noWrap/>
                <w:vAlign w:val="bottom"/>
                <w:hideMark/>
              </w:tcPr>
              <w:p>
                <w:pPr>
                  <w:jc w:val="right"/>
                  <w:rPr>
                    <w:b/>
                    <w:bCs/>
                    <w:color w:val="000000"/>
                    <w:szCs w:val="24"/>
                    <w:lang w:eastAsia="lt-LT"/>
                  </w:rPr>
                </w:pPr>
                <w:r>
                  <w:rPr>
                    <w:b/>
                    <w:bCs/>
                    <w:color w:val="000000"/>
                    <w:szCs w:val="24"/>
                    <w:lang w:eastAsia="lt-LT"/>
                  </w:rPr>
                  <w:t>JRK</w:t>
                </w:r>
              </w:p>
            </w:tc>
            <w:tc>
              <w:tcPr>
                <w:tcW w:w="6744" w:type="dxa"/>
                <w:shd w:val="clear" w:color="auto" w:fill="auto"/>
                <w:vAlign w:val="center"/>
                <w:hideMark/>
              </w:tcPr>
              <w:p>
                <w:pPr>
                  <w:rPr>
                    <w:szCs w:val="24"/>
                    <w:lang w:eastAsia="lt-LT"/>
                  </w:rPr>
                </w:pPr>
                <w:r>
                  <w:rPr>
                    <w:szCs w:val="24"/>
                    <w:lang w:eastAsia="lt-LT"/>
                  </w:rPr>
                  <w:t>Jaunimo reikalų koordinatorius</w:t>
                </w:r>
              </w:p>
            </w:tc>
          </w:tr>
          <w:tr>
            <w:trPr>
              <w:trHeight w:val="563"/>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KAAK</w:t>
                </w:r>
              </w:p>
            </w:tc>
            <w:tc>
              <w:tcPr>
                <w:tcW w:w="6744" w:type="dxa"/>
                <w:shd w:val="clear" w:color="auto" w:fill="auto"/>
                <w:vAlign w:val="center"/>
                <w:hideMark/>
              </w:tcPr>
              <w:p>
                <w:pPr>
                  <w:rPr>
                    <w:szCs w:val="24"/>
                    <w:lang w:eastAsia="lt-LT"/>
                  </w:rPr>
                </w:pPr>
                <w:r>
                  <w:rPr>
                    <w:szCs w:val="24"/>
                    <w:lang w:eastAsia="lt-LT"/>
                  </w:rPr>
                  <w:t>Už korupcijai atsparios aplinkos kūrimą atsakingas asmuo</w:t>
                  <w:br/>
                  <w:t>(vyriausiasis specialistas)</w:t>
                </w:r>
              </w:p>
            </w:tc>
          </w:tr>
          <w:tr>
            <w:trPr>
              <w:trHeight w:val="401"/>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KC</w:t>
                </w:r>
              </w:p>
            </w:tc>
            <w:tc>
              <w:tcPr>
                <w:tcW w:w="6744" w:type="dxa"/>
                <w:shd w:val="clear" w:color="auto" w:fill="auto"/>
                <w:vAlign w:val="center"/>
                <w:hideMark/>
              </w:tcPr>
              <w:p>
                <w:pPr>
                  <w:rPr>
                    <w:szCs w:val="24"/>
                    <w:lang w:eastAsia="lt-LT"/>
                  </w:rPr>
                </w:pPr>
                <w:r>
                  <w:rPr>
                    <w:szCs w:val="24"/>
                    <w:lang w:eastAsia="lt-LT"/>
                  </w:rPr>
                  <w:t>BĮ Šiaulių kultūros centras</w:t>
                </w:r>
              </w:p>
            </w:tc>
          </w:tr>
          <w:tr>
            <w:trPr>
              <w:trHeight w:val="379"/>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KĮ</w:t>
                </w:r>
              </w:p>
            </w:tc>
            <w:tc>
              <w:tcPr>
                <w:tcW w:w="6744" w:type="dxa"/>
                <w:shd w:val="clear" w:color="auto" w:fill="auto"/>
                <w:vAlign w:val="center"/>
                <w:hideMark/>
              </w:tcPr>
              <w:p>
                <w:pPr>
                  <w:rPr>
                    <w:szCs w:val="24"/>
                    <w:lang w:eastAsia="lt-LT"/>
                  </w:rPr>
                </w:pPr>
                <w:r>
                  <w:rPr>
                    <w:szCs w:val="24"/>
                    <w:lang w:eastAsia="lt-LT"/>
                  </w:rPr>
                  <w:t>Kultūros įstaigos</w:t>
                </w:r>
              </w:p>
            </w:tc>
          </w:tr>
          <w:tr>
            <w:trPr>
              <w:trHeight w:val="399"/>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KS</w:t>
                </w:r>
              </w:p>
            </w:tc>
            <w:tc>
              <w:tcPr>
                <w:tcW w:w="6744" w:type="dxa"/>
                <w:shd w:val="clear" w:color="auto" w:fill="auto"/>
                <w:vAlign w:val="center"/>
                <w:hideMark/>
              </w:tcPr>
              <w:p>
                <w:pPr>
                  <w:rPr>
                    <w:szCs w:val="24"/>
                    <w:lang w:eastAsia="lt-LT"/>
                  </w:rPr>
                </w:pPr>
                <w:r>
                  <w:rPr>
                    <w:szCs w:val="24"/>
                    <w:lang w:eastAsia="lt-LT"/>
                  </w:rPr>
                  <w:t>Kultūros skyrius</w:t>
                </w:r>
              </w:p>
            </w:tc>
          </w:tr>
          <w:tr>
            <w:trPr>
              <w:trHeight w:val="405"/>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LGKT</w:t>
                </w:r>
              </w:p>
            </w:tc>
            <w:tc>
              <w:tcPr>
                <w:tcW w:w="6744" w:type="dxa"/>
                <w:shd w:val="clear" w:color="auto" w:fill="auto"/>
                <w:vAlign w:val="center"/>
                <w:hideMark/>
              </w:tcPr>
              <w:p>
                <w:pPr>
                  <w:rPr>
                    <w:szCs w:val="24"/>
                    <w:lang w:eastAsia="lt-LT"/>
                  </w:rPr>
                </w:pPr>
                <w:r>
                  <w:rPr>
                    <w:szCs w:val="24"/>
                    <w:lang w:eastAsia="lt-LT"/>
                  </w:rPr>
                  <w:t>BĮ Lygių galimybių kontrolieriaus tarnyba</w:t>
                </w:r>
              </w:p>
            </w:tc>
          </w:tr>
          <w:tr>
            <w:trPr>
              <w:trHeight w:val="384"/>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LKT</w:t>
                </w:r>
              </w:p>
            </w:tc>
            <w:tc>
              <w:tcPr>
                <w:tcW w:w="6744" w:type="dxa"/>
                <w:shd w:val="clear" w:color="auto" w:fill="auto"/>
                <w:vAlign w:val="center"/>
                <w:hideMark/>
              </w:tcPr>
              <w:p>
                <w:pPr>
                  <w:rPr>
                    <w:szCs w:val="24"/>
                    <w:lang w:eastAsia="lt-LT"/>
                  </w:rPr>
                </w:pPr>
                <w:r>
                  <w:rPr>
                    <w:szCs w:val="24"/>
                    <w:lang w:eastAsia="lt-LT"/>
                  </w:rPr>
                  <w:t>BĮ Lietuvos kultūros taryba</w:t>
                </w:r>
              </w:p>
            </w:tc>
          </w:tr>
          <w:tr>
            <w:trPr>
              <w:trHeight w:val="403"/>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LSC</w:t>
                </w:r>
              </w:p>
            </w:tc>
            <w:tc>
              <w:tcPr>
                <w:tcW w:w="6744" w:type="dxa"/>
                <w:shd w:val="clear" w:color="auto" w:fill="auto"/>
                <w:vAlign w:val="center"/>
                <w:hideMark/>
              </w:tcPr>
              <w:p>
                <w:pPr>
                  <w:rPr>
                    <w:szCs w:val="24"/>
                    <w:lang w:eastAsia="lt-LT"/>
                  </w:rPr>
                </w:pPr>
                <w:r>
                  <w:rPr>
                    <w:szCs w:val="24"/>
                    <w:lang w:eastAsia="lt-LT"/>
                  </w:rPr>
                  <w:t>BĮ Lietuvos sporto centras</w:t>
                </w:r>
              </w:p>
            </w:tc>
          </w:tr>
          <w:tr>
            <w:trPr>
              <w:trHeight w:val="395"/>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LT</w:t>
                </w:r>
              </w:p>
            </w:tc>
            <w:tc>
              <w:tcPr>
                <w:tcW w:w="6744" w:type="dxa"/>
                <w:shd w:val="clear" w:color="auto" w:fill="auto"/>
                <w:vAlign w:val="center"/>
                <w:hideMark/>
              </w:tcPr>
              <w:p>
                <w:pPr>
                  <w:rPr>
                    <w:szCs w:val="24"/>
                    <w:lang w:eastAsia="lt-LT"/>
                  </w:rPr>
                </w:pPr>
                <w:r>
                  <w:rPr>
                    <w:szCs w:val="24"/>
                    <w:lang w:eastAsia="lt-LT"/>
                  </w:rPr>
                  <w:t>Lietuva</w:t>
                </w:r>
              </w:p>
            </w:tc>
          </w:tr>
          <w:tr>
            <w:trPr>
              <w:trHeight w:val="387"/>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MPPS</w:t>
                </w:r>
              </w:p>
            </w:tc>
            <w:tc>
              <w:tcPr>
                <w:tcW w:w="6744" w:type="dxa"/>
                <w:shd w:val="clear" w:color="auto" w:fill="auto"/>
                <w:vAlign w:val="center"/>
                <w:hideMark/>
              </w:tcPr>
              <w:p>
                <w:pPr>
                  <w:rPr>
                    <w:szCs w:val="24"/>
                    <w:lang w:eastAsia="lt-LT"/>
                  </w:rPr>
                </w:pPr>
                <w:r>
                  <w:rPr>
                    <w:szCs w:val="24"/>
                    <w:lang w:eastAsia="lt-LT"/>
                  </w:rPr>
                  <w:t>Miesto plėtros ir paveldosaugos skyrius</w:t>
                </w:r>
              </w:p>
            </w:tc>
          </w:tr>
          <w:tr>
            <w:trPr>
              <w:trHeight w:val="407"/>
            </w:trPr>
            <w:tc>
              <w:tcPr>
                <w:tcW w:w="1710" w:type="dxa"/>
                <w:shd w:val="clear" w:color="auto" w:fill="auto"/>
                <w:vAlign w:val="center"/>
                <w:hideMark/>
              </w:tcPr>
              <w:p>
                <w:pPr>
                  <w:jc w:val="right"/>
                  <w:rPr>
                    <w:b/>
                    <w:bCs/>
                    <w:color w:val="000000"/>
                    <w:szCs w:val="24"/>
                    <w:lang w:eastAsia="lt-LT"/>
                  </w:rPr>
                </w:pPr>
                <w:r>
                  <w:rPr>
                    <w:b/>
                    <w:bCs/>
                    <w:color w:val="000000"/>
                    <w:szCs w:val="24"/>
                    <w:lang w:eastAsia="lt-LT"/>
                  </w:rPr>
                  <w:t>MŪAS</w:t>
                </w:r>
              </w:p>
            </w:tc>
            <w:tc>
              <w:tcPr>
                <w:tcW w:w="6744" w:type="dxa"/>
                <w:shd w:val="clear" w:color="auto" w:fill="auto"/>
                <w:vAlign w:val="center"/>
                <w:hideMark/>
              </w:tcPr>
              <w:p>
                <w:pPr>
                  <w:rPr>
                    <w:szCs w:val="24"/>
                    <w:lang w:eastAsia="lt-LT"/>
                  </w:rPr>
                </w:pPr>
                <w:r>
                  <w:rPr>
                    <w:szCs w:val="24"/>
                    <w:lang w:eastAsia="lt-LT"/>
                  </w:rPr>
                  <w:t>Miesto ūkio ir aplinkos skyrius</w:t>
                </w:r>
              </w:p>
            </w:tc>
          </w:tr>
          <w:tr>
            <w:trPr>
              <w:trHeight w:val="527"/>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NOK</w:t>
                </w:r>
              </w:p>
            </w:tc>
            <w:tc>
              <w:tcPr>
                <w:tcW w:w="6744" w:type="dxa"/>
                <w:shd w:val="clear" w:color="auto" w:fill="auto"/>
                <w:vAlign w:val="center"/>
                <w:hideMark/>
              </w:tcPr>
              <w:p>
                <w:pPr>
                  <w:rPr>
                    <w:szCs w:val="24"/>
                    <w:lang w:eastAsia="lt-LT"/>
                  </w:rPr>
                </w:pPr>
                <w:r>
                  <w:rPr>
                    <w:szCs w:val="24"/>
                    <w:lang w:eastAsia="lt-LT"/>
                  </w:rPr>
                  <w:t>Nevyriausybinių organizacijų koordinatorius (vyriausiasis specialistas)</w:t>
                </w:r>
              </w:p>
            </w:tc>
          </w:tr>
          <w:tr>
            <w:trPr>
              <w:trHeight w:val="520"/>
            </w:trPr>
            <w:tc>
              <w:tcPr>
                <w:tcW w:w="1710" w:type="dxa"/>
                <w:shd w:val="clear" w:color="auto" w:fill="auto"/>
                <w:noWrap/>
                <w:vAlign w:val="bottom"/>
                <w:hideMark/>
              </w:tcPr>
              <w:p>
                <w:pPr>
                  <w:spacing w:line="360" w:lineRule="auto"/>
                  <w:jc w:val="right"/>
                  <w:rPr>
                    <w:b/>
                    <w:bCs/>
                    <w:color w:val="000000"/>
                    <w:szCs w:val="24"/>
                    <w:lang w:eastAsia="lt-LT"/>
                  </w:rPr>
                </w:pPr>
                <w:r>
                  <w:rPr>
                    <w:b/>
                    <w:bCs/>
                    <w:color w:val="000000"/>
                    <w:szCs w:val="24"/>
                    <w:lang w:eastAsia="lt-LT"/>
                  </w:rPr>
                  <w:t>NŠA</w:t>
                </w:r>
              </w:p>
            </w:tc>
            <w:tc>
              <w:tcPr>
                <w:tcW w:w="6744" w:type="dxa"/>
                <w:shd w:val="clear" w:color="auto" w:fill="auto"/>
                <w:vAlign w:val="center"/>
                <w:hideMark/>
              </w:tcPr>
              <w:p>
                <w:pPr>
                  <w:rPr>
                    <w:szCs w:val="24"/>
                    <w:lang w:eastAsia="lt-LT"/>
                  </w:rPr>
                </w:pPr>
                <w:r>
                  <w:rPr>
                    <w:szCs w:val="24"/>
                    <w:lang w:eastAsia="lt-LT"/>
                  </w:rPr>
                  <w:t>BĮ Nacionalinė švietimo agentūra</w:t>
                </w:r>
              </w:p>
            </w:tc>
          </w:tr>
          <w:tr>
            <w:trPr>
              <w:trHeight w:val="520"/>
            </w:trPr>
            <w:tc>
              <w:tcPr>
                <w:tcW w:w="1710" w:type="dxa"/>
                <w:shd w:val="clear" w:color="auto" w:fill="auto"/>
                <w:noWrap/>
                <w:vAlign w:val="bottom"/>
              </w:tcPr>
              <w:p>
                <w:pPr>
                  <w:spacing w:line="360" w:lineRule="auto"/>
                  <w:jc w:val="right"/>
                  <w:rPr>
                    <w:b/>
                    <w:bCs/>
                    <w:color w:val="000000"/>
                    <w:szCs w:val="24"/>
                    <w:lang w:eastAsia="lt-LT"/>
                  </w:rPr>
                </w:pPr>
                <w:r>
                  <w:rPr>
                    <w:b/>
                    <w:bCs/>
                    <w:color w:val="000000"/>
                    <w:szCs w:val="24"/>
                    <w:lang w:eastAsia="lt-LT"/>
                  </w:rPr>
                  <w:t>Padaliniai</w:t>
                </w:r>
              </w:p>
            </w:tc>
            <w:tc>
              <w:tcPr>
                <w:tcW w:w="6744" w:type="dxa"/>
                <w:shd w:val="clear" w:color="auto" w:fill="auto"/>
                <w:vAlign w:val="center"/>
              </w:tcPr>
              <w:p>
                <w:pPr>
                  <w:rPr>
                    <w:szCs w:val="24"/>
                    <w:lang w:eastAsia="lt-LT"/>
                  </w:rPr>
                </w:pPr>
                <w:r>
                  <w:rPr>
                    <w:szCs w:val="24"/>
                    <w:lang w:eastAsia="lt-LT"/>
                  </w:rPr>
                  <w:t>Savivaldybės administracijos padaliniai</w:t>
                </w:r>
              </w:p>
            </w:tc>
          </w:tr>
          <w:tr>
            <w:trPr>
              <w:trHeight w:val="401"/>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PS</w:t>
                </w:r>
              </w:p>
            </w:tc>
            <w:tc>
              <w:tcPr>
                <w:tcW w:w="6744" w:type="dxa"/>
                <w:shd w:val="clear" w:color="auto" w:fill="auto"/>
                <w:vAlign w:val="center"/>
                <w:hideMark/>
              </w:tcPr>
              <w:p>
                <w:pPr>
                  <w:rPr>
                    <w:szCs w:val="24"/>
                    <w:lang w:eastAsia="lt-LT"/>
                  </w:rPr>
                </w:pPr>
                <w:r>
                  <w:rPr>
                    <w:szCs w:val="24"/>
                    <w:lang w:eastAsia="lt-LT"/>
                  </w:rPr>
                  <w:t>Personalo skyrius</w:t>
                </w:r>
              </w:p>
            </w:tc>
          </w:tr>
          <w:tr>
            <w:trPr>
              <w:trHeight w:val="260"/>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PVS</w:t>
                </w:r>
              </w:p>
            </w:tc>
            <w:tc>
              <w:tcPr>
                <w:tcW w:w="6744" w:type="dxa"/>
                <w:shd w:val="clear" w:color="auto" w:fill="auto"/>
                <w:vAlign w:val="center"/>
                <w:hideMark/>
              </w:tcPr>
              <w:p>
                <w:pPr>
                  <w:rPr>
                    <w:szCs w:val="24"/>
                    <w:lang w:eastAsia="lt-LT"/>
                  </w:rPr>
                </w:pPr>
                <w:r>
                  <w:rPr>
                    <w:szCs w:val="24"/>
                    <w:lang w:eastAsia="lt-LT"/>
                  </w:rPr>
                  <w:t>Projektų valdymo skyrius</w:t>
                </w:r>
              </w:p>
            </w:tc>
          </w:tr>
          <w:tr>
            <w:trPr>
              <w:trHeight w:val="395"/>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SGI</w:t>
                </w:r>
              </w:p>
            </w:tc>
            <w:tc>
              <w:tcPr>
                <w:tcW w:w="6744" w:type="dxa"/>
                <w:shd w:val="clear" w:color="auto" w:fill="auto"/>
                <w:vAlign w:val="center"/>
                <w:hideMark/>
              </w:tcPr>
              <w:p>
                <w:pPr>
                  <w:rPr>
                    <w:szCs w:val="24"/>
                    <w:lang w:eastAsia="lt-LT"/>
                  </w:rPr>
                </w:pPr>
                <w:r>
                  <w:rPr>
                    <w:szCs w:val="24"/>
                    <w:lang w:eastAsia="lt-LT"/>
                  </w:rPr>
                  <w:t>Savivaldybės gerovės indeksas</w:t>
                </w:r>
              </w:p>
            </w:tc>
          </w:tr>
          <w:tr>
            <w:trPr>
              <w:trHeight w:val="386"/>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SIKS</w:t>
                </w:r>
              </w:p>
            </w:tc>
            <w:tc>
              <w:tcPr>
                <w:tcW w:w="6744" w:type="dxa"/>
                <w:shd w:val="clear" w:color="auto" w:fill="auto"/>
                <w:vAlign w:val="center"/>
                <w:hideMark/>
              </w:tcPr>
              <w:p>
                <w:pPr>
                  <w:rPr>
                    <w:color w:val="000000"/>
                    <w:szCs w:val="24"/>
                    <w:lang w:eastAsia="lt-LT"/>
                  </w:rPr>
                </w:pPr>
                <w:r>
                  <w:rPr>
                    <w:color w:val="000000"/>
                    <w:szCs w:val="24"/>
                    <w:lang w:eastAsia="lt-LT"/>
                  </w:rPr>
                  <w:t>Socialinių išmokų ir kompensacijų skyrius</w:t>
                </w:r>
              </w:p>
            </w:tc>
          </w:tr>
          <w:tr>
            <w:trPr>
              <w:trHeight w:val="392"/>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SPFS</w:t>
                </w:r>
              </w:p>
            </w:tc>
            <w:tc>
              <w:tcPr>
                <w:tcW w:w="6744" w:type="dxa"/>
                <w:shd w:val="clear" w:color="auto" w:fill="auto"/>
                <w:vAlign w:val="center"/>
                <w:hideMark/>
              </w:tcPr>
              <w:p>
                <w:pPr>
                  <w:rPr>
                    <w:color w:val="000000"/>
                    <w:szCs w:val="24"/>
                    <w:lang w:eastAsia="lt-LT"/>
                  </w:rPr>
                </w:pPr>
                <w:r>
                  <w:rPr>
                    <w:color w:val="000000"/>
                    <w:szCs w:val="24"/>
                    <w:lang w:eastAsia="lt-LT"/>
                  </w:rPr>
                  <w:t>Strateginio planavimo ir finansų skyrius</w:t>
                </w:r>
              </w:p>
            </w:tc>
          </w:tr>
          <w:tr>
            <w:trPr>
              <w:trHeight w:val="398"/>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SPĮ</w:t>
                </w:r>
              </w:p>
            </w:tc>
            <w:tc>
              <w:tcPr>
                <w:tcW w:w="6744" w:type="dxa"/>
                <w:shd w:val="clear" w:color="auto" w:fill="auto"/>
                <w:vAlign w:val="center"/>
                <w:hideMark/>
              </w:tcPr>
              <w:p>
                <w:pPr>
                  <w:rPr>
                    <w:color w:val="000000"/>
                    <w:szCs w:val="24"/>
                    <w:lang w:eastAsia="lt-LT"/>
                  </w:rPr>
                </w:pPr>
                <w:r>
                  <w:rPr>
                    <w:color w:val="000000"/>
                    <w:szCs w:val="24"/>
                    <w:lang w:eastAsia="lt-LT"/>
                  </w:rPr>
                  <w:t>Sveikatos priežiūros įstaigos</w:t>
                </w:r>
              </w:p>
            </w:tc>
          </w:tr>
          <w:tr>
            <w:trPr>
              <w:trHeight w:val="390"/>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SPS</w:t>
                </w:r>
              </w:p>
            </w:tc>
            <w:tc>
              <w:tcPr>
                <w:tcW w:w="6744" w:type="dxa"/>
                <w:shd w:val="clear" w:color="auto" w:fill="auto"/>
                <w:vAlign w:val="center"/>
                <w:hideMark/>
              </w:tcPr>
              <w:p>
                <w:pPr>
                  <w:rPr>
                    <w:color w:val="000000"/>
                    <w:szCs w:val="24"/>
                    <w:lang w:eastAsia="lt-LT"/>
                  </w:rPr>
                </w:pPr>
                <w:r>
                  <w:rPr>
                    <w:color w:val="000000"/>
                    <w:szCs w:val="24"/>
                    <w:lang w:eastAsia="lt-LT"/>
                  </w:rPr>
                  <w:t>Socialinių paslaugų skyrius</w:t>
                </w:r>
              </w:p>
            </w:tc>
          </w:tr>
          <w:tr>
            <w:trPr>
              <w:trHeight w:val="390"/>
            </w:trPr>
            <w:tc>
              <w:tcPr>
                <w:tcW w:w="1710" w:type="dxa"/>
                <w:shd w:val="clear" w:color="auto" w:fill="auto"/>
                <w:noWrap/>
                <w:vAlign w:val="center"/>
              </w:tcPr>
              <w:p>
                <w:pPr>
                  <w:jc w:val="right"/>
                  <w:rPr>
                    <w:b/>
                    <w:bCs/>
                    <w:color w:val="000000"/>
                    <w:szCs w:val="24"/>
                    <w:lang w:eastAsia="lt-LT"/>
                  </w:rPr>
                </w:pPr>
                <w:r>
                  <w:rPr>
                    <w:b/>
                    <w:bCs/>
                    <w:color w:val="000000"/>
                    <w:szCs w:val="24"/>
                    <w:lang w:eastAsia="lt-LT"/>
                  </w:rPr>
                  <w:t>Strateginio planavimo ir finansų skyrius</w:t>
                </w:r>
              </w:p>
            </w:tc>
            <w:tc>
              <w:tcPr>
                <w:tcW w:w="6744" w:type="dxa"/>
                <w:shd w:val="clear" w:color="auto" w:fill="auto"/>
                <w:vAlign w:val="center"/>
              </w:tcPr>
              <w:p>
                <w:pPr>
                  <w:rPr>
                    <w:color w:val="000000"/>
                    <w:szCs w:val="24"/>
                    <w:lang w:eastAsia="lt-LT"/>
                  </w:rPr>
                </w:pPr>
                <w:r>
                  <w:rPr>
                    <w:color w:val="000000"/>
                    <w:szCs w:val="24"/>
                    <w:lang w:eastAsia="lt-LT"/>
                  </w:rPr>
                  <w:t>Savivaldybės administracijos Strateginio planavimo ir finansų skyrius</w:t>
                </w:r>
              </w:p>
            </w:tc>
          </w:tr>
          <w:tr>
            <w:trPr>
              <w:trHeight w:val="390"/>
            </w:trPr>
            <w:tc>
              <w:tcPr>
                <w:tcW w:w="1710" w:type="dxa"/>
                <w:shd w:val="clear" w:color="auto" w:fill="auto"/>
                <w:noWrap/>
                <w:vAlign w:val="center"/>
              </w:tcPr>
              <w:p>
                <w:pPr>
                  <w:jc w:val="right"/>
                  <w:rPr>
                    <w:b/>
                    <w:bCs/>
                    <w:color w:val="000000"/>
                    <w:szCs w:val="24"/>
                    <w:lang w:eastAsia="lt-LT"/>
                  </w:rPr>
                </w:pPr>
                <w:r>
                  <w:rPr>
                    <w:b/>
                    <w:bCs/>
                    <w:color w:val="000000"/>
                    <w:szCs w:val="24"/>
                    <w:lang w:eastAsia="lt-LT"/>
                  </w:rPr>
                  <w:t>SPT</w:t>
                </w:r>
              </w:p>
            </w:tc>
            <w:tc>
              <w:tcPr>
                <w:tcW w:w="6744" w:type="dxa"/>
                <w:shd w:val="clear" w:color="auto" w:fill="auto"/>
                <w:vAlign w:val="center"/>
              </w:tcPr>
              <w:p>
                <w:pPr>
                  <w:rPr>
                    <w:color w:val="000000"/>
                    <w:szCs w:val="24"/>
                    <w:lang w:eastAsia="lt-LT"/>
                  </w:rPr>
                </w:pPr>
                <w:r>
                  <w:rPr>
                    <w:color w:val="000000"/>
                    <w:szCs w:val="24"/>
                    <w:lang w:eastAsia="lt-LT"/>
                  </w:rPr>
                  <w:t>Strateginės plėtros taryba</w:t>
                </w:r>
              </w:p>
            </w:tc>
          </w:tr>
          <w:tr>
            <w:trPr>
              <w:trHeight w:val="409"/>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SRS</w:t>
                </w:r>
              </w:p>
            </w:tc>
            <w:tc>
              <w:tcPr>
                <w:tcW w:w="6744" w:type="dxa"/>
                <w:shd w:val="clear" w:color="auto" w:fill="auto"/>
                <w:vAlign w:val="center"/>
                <w:hideMark/>
              </w:tcPr>
              <w:p>
                <w:pPr>
                  <w:rPr>
                    <w:color w:val="000000"/>
                    <w:szCs w:val="24"/>
                    <w:lang w:eastAsia="lt-LT"/>
                  </w:rPr>
                </w:pPr>
                <w:r>
                  <w:rPr>
                    <w:color w:val="000000"/>
                    <w:szCs w:val="24"/>
                    <w:lang w:eastAsia="lt-LT"/>
                  </w:rPr>
                  <w:t>Statybos ir renovacijos skyrius</w:t>
                </w:r>
              </w:p>
            </w:tc>
          </w:tr>
          <w:tr>
            <w:trPr>
              <w:trHeight w:val="387"/>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SS</w:t>
                </w:r>
              </w:p>
            </w:tc>
            <w:tc>
              <w:tcPr>
                <w:tcW w:w="6744" w:type="dxa"/>
                <w:shd w:val="clear" w:color="auto" w:fill="auto"/>
                <w:vAlign w:val="center"/>
                <w:hideMark/>
              </w:tcPr>
              <w:p>
                <w:pPr>
                  <w:rPr>
                    <w:color w:val="000000"/>
                    <w:szCs w:val="24"/>
                    <w:lang w:eastAsia="lt-LT"/>
                  </w:rPr>
                </w:pPr>
                <w:r>
                  <w:rPr>
                    <w:color w:val="000000"/>
                    <w:szCs w:val="24"/>
                    <w:lang w:eastAsia="lt-LT"/>
                  </w:rPr>
                  <w:t>Sporto skyrius</w:t>
                </w:r>
              </w:p>
            </w:tc>
          </w:tr>
          <w:tr>
            <w:trPr>
              <w:trHeight w:val="387"/>
            </w:trPr>
            <w:tc>
              <w:tcPr>
                <w:tcW w:w="1710" w:type="dxa"/>
                <w:shd w:val="clear" w:color="auto" w:fill="auto"/>
                <w:noWrap/>
                <w:vAlign w:val="center"/>
              </w:tcPr>
              <w:p>
                <w:pPr>
                  <w:jc w:val="right"/>
                  <w:rPr>
                    <w:b/>
                    <w:bCs/>
                    <w:color w:val="000000"/>
                    <w:szCs w:val="24"/>
                    <w:lang w:eastAsia="lt-LT"/>
                  </w:rPr>
                </w:pPr>
                <w:r>
                  <w:rPr>
                    <w:b/>
                    <w:bCs/>
                    <w:color w:val="000000"/>
                    <w:szCs w:val="24"/>
                    <w:lang w:eastAsia="lt-LT"/>
                  </w:rPr>
                  <w:t>Savivaldybės taryba</w:t>
                </w:r>
              </w:p>
            </w:tc>
            <w:tc>
              <w:tcPr>
                <w:tcW w:w="6744" w:type="dxa"/>
                <w:shd w:val="clear" w:color="auto" w:fill="auto"/>
                <w:vAlign w:val="center"/>
              </w:tcPr>
              <w:p>
                <w:pPr>
                  <w:rPr>
                    <w:color w:val="000000"/>
                    <w:szCs w:val="24"/>
                    <w:lang w:eastAsia="lt-LT"/>
                  </w:rPr>
                </w:pPr>
                <w:r>
                  <w:rPr>
                    <w:color w:val="000000"/>
                    <w:szCs w:val="24"/>
                    <w:lang w:eastAsia="lt-LT"/>
                  </w:rPr>
                  <w:t>Šiaulių miesto savivaldybės taryba</w:t>
                </w:r>
              </w:p>
            </w:tc>
          </w:tr>
          <w:tr>
            <w:trPr>
              <w:trHeight w:val="394"/>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 xml:space="preserve">SUC </w:t>
                </w:r>
              </w:p>
            </w:tc>
            <w:tc>
              <w:tcPr>
                <w:tcW w:w="6744" w:type="dxa"/>
                <w:shd w:val="clear" w:color="auto" w:fill="auto"/>
                <w:vAlign w:val="center"/>
                <w:hideMark/>
              </w:tcPr>
              <w:p>
                <w:pPr>
                  <w:rPr>
                    <w:color w:val="000000"/>
                    <w:szCs w:val="24"/>
                    <w:lang w:eastAsia="lt-LT"/>
                  </w:rPr>
                </w:pPr>
                <w:r>
                  <w:rPr>
                    <w:color w:val="000000"/>
                    <w:szCs w:val="24"/>
                    <w:lang w:eastAsia="lt-LT"/>
                  </w:rPr>
                  <w:t>Sportininkų ugdymo centrai</w:t>
                </w:r>
              </w:p>
            </w:tc>
          </w:tr>
          <w:tr>
            <w:trPr>
              <w:trHeight w:val="399"/>
            </w:trPr>
            <w:tc>
              <w:tcPr>
                <w:tcW w:w="1710" w:type="dxa"/>
                <w:shd w:val="clear" w:color="auto" w:fill="auto"/>
                <w:noWrap/>
                <w:vAlign w:val="bottom"/>
                <w:hideMark/>
              </w:tcPr>
              <w:p>
                <w:pPr>
                  <w:jc w:val="right"/>
                  <w:rPr>
                    <w:b/>
                    <w:bCs/>
                    <w:color w:val="000000"/>
                    <w:szCs w:val="24"/>
                    <w:lang w:eastAsia="lt-LT"/>
                  </w:rPr>
                </w:pPr>
                <w:r>
                  <w:rPr>
                    <w:b/>
                    <w:bCs/>
                    <w:color w:val="000000"/>
                    <w:szCs w:val="24"/>
                    <w:lang w:eastAsia="lt-LT"/>
                  </w:rPr>
                  <w:t>SVP</w:t>
                </w:r>
              </w:p>
            </w:tc>
            <w:tc>
              <w:tcPr>
                <w:tcW w:w="6744" w:type="dxa"/>
                <w:shd w:val="clear" w:color="auto" w:fill="auto"/>
                <w:vAlign w:val="center"/>
                <w:hideMark/>
              </w:tcPr>
              <w:p>
                <w:pPr>
                  <w:rPr>
                    <w:color w:val="000000"/>
                    <w:szCs w:val="24"/>
                    <w:lang w:eastAsia="lt-LT"/>
                  </w:rPr>
                </w:pPr>
                <w:r>
                  <w:rPr>
                    <w:color w:val="000000"/>
                    <w:szCs w:val="24"/>
                    <w:lang w:eastAsia="lt-LT"/>
                  </w:rPr>
                  <w:t>Strateginis veiklos planas</w:t>
                </w:r>
              </w:p>
            </w:tc>
          </w:tr>
          <w:tr>
            <w:trPr>
              <w:trHeight w:val="391"/>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SvS</w:t>
                </w:r>
              </w:p>
            </w:tc>
            <w:tc>
              <w:tcPr>
                <w:tcW w:w="6744" w:type="dxa"/>
                <w:shd w:val="clear" w:color="auto" w:fill="auto"/>
                <w:vAlign w:val="center"/>
                <w:hideMark/>
              </w:tcPr>
              <w:p>
                <w:pPr>
                  <w:rPr>
                    <w:color w:val="000000"/>
                    <w:szCs w:val="24"/>
                    <w:lang w:eastAsia="lt-LT"/>
                  </w:rPr>
                </w:pPr>
                <w:r>
                  <w:rPr>
                    <w:color w:val="000000"/>
                    <w:szCs w:val="24"/>
                    <w:lang w:eastAsia="lt-LT"/>
                  </w:rPr>
                  <w:t>Sveikatos skyrius</w:t>
                </w:r>
              </w:p>
            </w:tc>
          </w:tr>
          <w:tr>
            <w:trPr>
              <w:trHeight w:val="411"/>
            </w:trPr>
            <w:tc>
              <w:tcPr>
                <w:tcW w:w="1710" w:type="dxa"/>
                <w:shd w:val="clear" w:color="auto" w:fill="auto"/>
                <w:vAlign w:val="center"/>
                <w:hideMark/>
              </w:tcPr>
              <w:p>
                <w:pPr>
                  <w:jc w:val="right"/>
                  <w:rPr>
                    <w:b/>
                    <w:bCs/>
                    <w:color w:val="000000"/>
                    <w:szCs w:val="24"/>
                    <w:lang w:eastAsia="lt-LT"/>
                  </w:rPr>
                </w:pPr>
                <w:r>
                  <w:rPr>
                    <w:b/>
                    <w:bCs/>
                    <w:color w:val="000000"/>
                    <w:szCs w:val="24"/>
                    <w:lang w:eastAsia="lt-LT"/>
                  </w:rPr>
                  <w:t>ŠE</w:t>
                </w:r>
              </w:p>
            </w:tc>
            <w:tc>
              <w:tcPr>
                <w:tcW w:w="6744" w:type="dxa"/>
                <w:shd w:val="clear" w:color="auto" w:fill="auto"/>
                <w:vAlign w:val="center"/>
                <w:hideMark/>
              </w:tcPr>
              <w:p>
                <w:pPr>
                  <w:rPr>
                    <w:color w:val="000000"/>
                    <w:szCs w:val="24"/>
                    <w:lang w:eastAsia="lt-LT"/>
                  </w:rPr>
                </w:pPr>
                <w:r>
                  <w:rPr>
                    <w:color w:val="000000"/>
                    <w:szCs w:val="24"/>
                    <w:lang w:eastAsia="lt-LT"/>
                  </w:rPr>
                  <w:t>AB „Šiaulių energija“</w:t>
                </w:r>
              </w:p>
            </w:tc>
          </w:tr>
          <w:tr>
            <w:trPr>
              <w:trHeight w:val="389"/>
            </w:trPr>
            <w:tc>
              <w:tcPr>
                <w:tcW w:w="1710" w:type="dxa"/>
                <w:shd w:val="clear" w:color="auto" w:fill="auto"/>
                <w:vAlign w:val="center"/>
                <w:hideMark/>
              </w:tcPr>
              <w:p>
                <w:pPr>
                  <w:jc w:val="right"/>
                  <w:rPr>
                    <w:b/>
                    <w:bCs/>
                    <w:color w:val="000000"/>
                    <w:szCs w:val="24"/>
                    <w:lang w:eastAsia="lt-LT"/>
                  </w:rPr>
                </w:pPr>
                <w:r>
                  <w:rPr>
                    <w:b/>
                    <w:bCs/>
                    <w:color w:val="000000"/>
                    <w:szCs w:val="24"/>
                    <w:lang w:eastAsia="lt-LT"/>
                  </w:rPr>
                  <w:t>ŠGA</w:t>
                </w:r>
              </w:p>
            </w:tc>
            <w:tc>
              <w:tcPr>
                <w:tcW w:w="6744" w:type="dxa"/>
                <w:shd w:val="clear" w:color="auto" w:fill="auto"/>
                <w:vAlign w:val="center"/>
                <w:hideMark/>
              </w:tcPr>
              <w:p>
                <w:pPr>
                  <w:rPr>
                    <w:color w:val="000000"/>
                    <w:szCs w:val="24"/>
                    <w:lang w:eastAsia="lt-LT"/>
                  </w:rPr>
                </w:pPr>
                <w:r>
                  <w:rPr>
                    <w:color w:val="000000"/>
                    <w:szCs w:val="24"/>
                    <w:lang w:eastAsia="lt-LT"/>
                  </w:rPr>
                  <w:t>UAB „Šiaulių gatvių apšvietimas“</w:t>
                </w:r>
              </w:p>
            </w:tc>
          </w:tr>
          <w:tr>
            <w:trPr>
              <w:trHeight w:val="260"/>
            </w:trPr>
            <w:tc>
              <w:tcPr>
                <w:tcW w:w="1710" w:type="dxa"/>
                <w:shd w:val="clear" w:color="auto" w:fill="auto"/>
                <w:noWrap/>
                <w:vAlign w:val="bottom"/>
                <w:hideMark/>
              </w:tcPr>
              <w:p>
                <w:pPr>
                  <w:jc w:val="right"/>
                  <w:rPr>
                    <w:b/>
                    <w:bCs/>
                    <w:color w:val="000000"/>
                    <w:szCs w:val="24"/>
                    <w:lang w:eastAsia="lt-LT"/>
                  </w:rPr>
                </w:pPr>
                <w:r>
                  <w:rPr>
                    <w:b/>
                    <w:bCs/>
                    <w:color w:val="000000"/>
                    <w:szCs w:val="24"/>
                    <w:lang w:eastAsia="lt-LT"/>
                  </w:rPr>
                  <w:t>ŠMSA / savivaldybės administracija</w:t>
                </w:r>
              </w:p>
            </w:tc>
            <w:tc>
              <w:tcPr>
                <w:tcW w:w="6744" w:type="dxa"/>
                <w:shd w:val="clear" w:color="auto" w:fill="auto"/>
                <w:noWrap/>
                <w:vAlign w:val="bottom"/>
                <w:hideMark/>
              </w:tcPr>
              <w:p>
                <w:pPr>
                  <w:spacing w:line="480" w:lineRule="auto"/>
                  <w:rPr>
                    <w:color w:val="000000"/>
                    <w:szCs w:val="24"/>
                    <w:lang w:eastAsia="lt-LT"/>
                  </w:rPr>
                </w:pPr>
                <w:r>
                  <w:rPr>
                    <w:color w:val="000000"/>
                    <w:szCs w:val="24"/>
                    <w:lang w:eastAsia="lt-LT"/>
                  </w:rPr>
                  <w:t>Šiaulių miesto savivaldybės administracija</w:t>
                </w:r>
              </w:p>
            </w:tc>
          </w:tr>
          <w:tr>
            <w:trPr>
              <w:trHeight w:val="379"/>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ŠMSM</w:t>
                </w:r>
              </w:p>
            </w:tc>
            <w:tc>
              <w:tcPr>
                <w:tcW w:w="6744" w:type="dxa"/>
                <w:shd w:val="clear" w:color="auto" w:fill="auto"/>
                <w:vAlign w:val="center"/>
                <w:hideMark/>
              </w:tcPr>
              <w:p>
                <w:pPr>
                  <w:rPr>
                    <w:color w:val="000000"/>
                    <w:szCs w:val="24"/>
                    <w:lang w:eastAsia="lt-LT"/>
                  </w:rPr>
                </w:pPr>
                <w:r>
                  <w:rPr>
                    <w:color w:val="000000"/>
                    <w:szCs w:val="24"/>
                    <w:lang w:eastAsia="lt-LT"/>
                  </w:rPr>
                  <w:t>LR Švietimo, mokslo ir sporto ministerija</w:t>
                </w:r>
              </w:p>
            </w:tc>
          </w:tr>
          <w:tr>
            <w:trPr>
              <w:trHeight w:val="400"/>
            </w:trPr>
            <w:tc>
              <w:tcPr>
                <w:tcW w:w="1710" w:type="dxa"/>
                <w:shd w:val="clear" w:color="auto" w:fill="auto"/>
                <w:vAlign w:val="center"/>
                <w:hideMark/>
              </w:tcPr>
              <w:p>
                <w:pPr>
                  <w:jc w:val="right"/>
                  <w:rPr>
                    <w:b/>
                    <w:bCs/>
                    <w:color w:val="000000"/>
                    <w:szCs w:val="24"/>
                    <w:lang w:eastAsia="lt-LT"/>
                  </w:rPr>
                </w:pPr>
                <w:r>
                  <w:rPr>
                    <w:b/>
                    <w:bCs/>
                    <w:color w:val="000000"/>
                    <w:szCs w:val="24"/>
                    <w:lang w:eastAsia="lt-LT"/>
                  </w:rPr>
                  <w:t xml:space="preserve">ŠRATC </w:t>
                </w:r>
              </w:p>
            </w:tc>
            <w:tc>
              <w:tcPr>
                <w:tcW w:w="6744" w:type="dxa"/>
                <w:shd w:val="clear" w:color="auto" w:fill="auto"/>
                <w:vAlign w:val="center"/>
                <w:hideMark/>
              </w:tcPr>
              <w:p>
                <w:pPr>
                  <w:rPr>
                    <w:szCs w:val="24"/>
                    <w:lang w:eastAsia="lt-LT"/>
                  </w:rPr>
                </w:pPr>
                <w:r>
                  <w:rPr>
                    <w:szCs w:val="24"/>
                    <w:lang w:eastAsia="lt-LT"/>
                  </w:rPr>
                  <w:t>VšĮ Šiaulių regiono atliekų tvarkymo centras</w:t>
                </w:r>
              </w:p>
            </w:tc>
          </w:tr>
          <w:tr>
            <w:trPr>
              <w:trHeight w:val="392"/>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ŠRPP</w:t>
                </w:r>
              </w:p>
            </w:tc>
            <w:tc>
              <w:tcPr>
                <w:tcW w:w="6744" w:type="dxa"/>
                <w:shd w:val="clear" w:color="auto" w:fill="auto"/>
                <w:vAlign w:val="center"/>
                <w:hideMark/>
              </w:tcPr>
              <w:p>
                <w:pPr>
                  <w:rPr>
                    <w:szCs w:val="24"/>
                    <w:lang w:eastAsia="lt-LT"/>
                  </w:rPr>
                </w:pPr>
                <w:r>
                  <w:rPr>
                    <w:szCs w:val="24"/>
                    <w:lang w:eastAsia="lt-LT"/>
                  </w:rPr>
                  <w:t>Šiaulių regiono 2022–2030 metų plėtros planas</w:t>
                </w:r>
              </w:p>
            </w:tc>
          </w:tr>
          <w:tr>
            <w:trPr>
              <w:trHeight w:val="397"/>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ŠS</w:t>
                </w:r>
              </w:p>
            </w:tc>
            <w:tc>
              <w:tcPr>
                <w:tcW w:w="6744" w:type="dxa"/>
                <w:shd w:val="clear" w:color="auto" w:fill="auto"/>
                <w:vAlign w:val="center"/>
                <w:hideMark/>
              </w:tcPr>
              <w:p>
                <w:pPr>
                  <w:rPr>
                    <w:szCs w:val="24"/>
                    <w:lang w:eastAsia="lt-LT"/>
                  </w:rPr>
                </w:pPr>
                <w:r>
                  <w:rPr>
                    <w:szCs w:val="24"/>
                    <w:lang w:eastAsia="lt-LT"/>
                  </w:rPr>
                  <w:t>Švietimo skyrius</w:t>
                </w:r>
              </w:p>
            </w:tc>
          </w:tr>
          <w:tr>
            <w:trPr>
              <w:trHeight w:val="397"/>
            </w:trPr>
            <w:tc>
              <w:tcPr>
                <w:tcW w:w="1710" w:type="dxa"/>
                <w:shd w:val="clear" w:color="auto" w:fill="auto"/>
                <w:noWrap/>
                <w:vAlign w:val="center"/>
              </w:tcPr>
              <w:p>
                <w:pPr>
                  <w:jc w:val="right"/>
                  <w:rPr>
                    <w:b/>
                    <w:bCs/>
                    <w:color w:val="000000"/>
                    <w:szCs w:val="24"/>
                    <w:lang w:eastAsia="lt-LT"/>
                  </w:rPr>
                </w:pPr>
                <w:r>
                  <w:rPr>
                    <w:b/>
                    <w:bCs/>
                    <w:color w:val="000000"/>
                    <w:szCs w:val="24"/>
                    <w:lang w:eastAsia="lt-LT"/>
                  </w:rPr>
                  <w:t>ŠSPP</w:t>
                </w:r>
              </w:p>
            </w:tc>
            <w:tc>
              <w:tcPr>
                <w:tcW w:w="6744" w:type="dxa"/>
                <w:shd w:val="clear" w:color="auto" w:fill="auto"/>
                <w:vAlign w:val="center"/>
              </w:tcPr>
              <w:p>
                <w:pPr>
                  <w:rPr>
                    <w:szCs w:val="24"/>
                    <w:lang w:eastAsia="lt-LT"/>
                  </w:rPr>
                </w:pPr>
                <w:r>
                  <w:rPr>
                    <w:szCs w:val="24"/>
                    <w:lang w:eastAsia="lt-LT"/>
                  </w:rPr>
                  <w:t>Šiaulių miesto strateginis plėtros planas</w:t>
                </w:r>
              </w:p>
            </w:tc>
          </w:tr>
          <w:tr>
            <w:trPr>
              <w:trHeight w:val="403"/>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ŠTMC</w:t>
                </w:r>
              </w:p>
            </w:tc>
            <w:tc>
              <w:tcPr>
                <w:tcW w:w="6744" w:type="dxa"/>
                <w:shd w:val="clear" w:color="auto" w:fill="auto"/>
                <w:vAlign w:val="center"/>
                <w:hideMark/>
              </w:tcPr>
              <w:p>
                <w:pPr>
                  <w:rPr>
                    <w:szCs w:val="24"/>
                    <w:lang w:eastAsia="lt-LT"/>
                  </w:rPr>
                </w:pPr>
                <w:r>
                  <w:rPr>
                    <w:szCs w:val="24"/>
                    <w:lang w:eastAsia="lt-LT"/>
                  </w:rPr>
                  <w:t>Šiaulių technologijų mokymo centras</w:t>
                </w:r>
              </w:p>
            </w:tc>
          </w:tr>
          <w:tr>
            <w:trPr>
              <w:trHeight w:val="411"/>
            </w:trPr>
            <w:tc>
              <w:tcPr>
                <w:tcW w:w="1710" w:type="dxa"/>
                <w:shd w:val="clear" w:color="auto" w:fill="auto"/>
                <w:vAlign w:val="center"/>
                <w:hideMark/>
              </w:tcPr>
              <w:p>
                <w:pPr>
                  <w:jc w:val="right"/>
                  <w:rPr>
                    <w:b/>
                    <w:bCs/>
                    <w:color w:val="000000"/>
                    <w:szCs w:val="24"/>
                    <w:lang w:eastAsia="lt-LT"/>
                  </w:rPr>
                </w:pPr>
                <w:r>
                  <w:rPr>
                    <w:b/>
                    <w:bCs/>
                    <w:color w:val="000000"/>
                    <w:szCs w:val="24"/>
                    <w:lang w:eastAsia="lt-LT"/>
                  </w:rPr>
                  <w:t>ŠV</w:t>
                </w:r>
              </w:p>
            </w:tc>
            <w:tc>
              <w:tcPr>
                <w:tcW w:w="6744" w:type="dxa"/>
                <w:shd w:val="clear" w:color="auto" w:fill="auto"/>
                <w:vAlign w:val="center"/>
                <w:hideMark/>
              </w:tcPr>
              <w:p>
                <w:pPr>
                  <w:rPr>
                    <w:szCs w:val="24"/>
                    <w:lang w:eastAsia="lt-LT"/>
                  </w:rPr>
                </w:pPr>
                <w:r>
                  <w:rPr>
                    <w:szCs w:val="24"/>
                    <w:lang w:eastAsia="lt-LT"/>
                  </w:rPr>
                  <w:t>UAB „Šiaulių vandenys“</w:t>
                </w:r>
              </w:p>
            </w:tc>
          </w:tr>
          <w:tr>
            <w:trPr>
              <w:trHeight w:val="374"/>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ŠVIS</w:t>
                </w:r>
              </w:p>
            </w:tc>
            <w:tc>
              <w:tcPr>
                <w:tcW w:w="6744" w:type="dxa"/>
                <w:shd w:val="clear" w:color="auto" w:fill="auto"/>
                <w:vAlign w:val="center"/>
                <w:hideMark/>
              </w:tcPr>
              <w:p>
                <w:pPr>
                  <w:rPr>
                    <w:szCs w:val="24"/>
                    <w:lang w:eastAsia="lt-LT"/>
                  </w:rPr>
                </w:pPr>
                <w:r>
                  <w:rPr>
                    <w:szCs w:val="24"/>
                    <w:lang w:eastAsia="lt-LT"/>
                  </w:rPr>
                  <w:t>Švietimo valdymo informacinė sistema</w:t>
                </w:r>
              </w:p>
            </w:tc>
          </w:tr>
          <w:tr>
            <w:trPr>
              <w:trHeight w:val="393"/>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ŠVK</w:t>
                </w:r>
              </w:p>
            </w:tc>
            <w:tc>
              <w:tcPr>
                <w:tcW w:w="6744" w:type="dxa"/>
                <w:shd w:val="clear" w:color="auto" w:fill="auto"/>
                <w:vAlign w:val="center"/>
                <w:hideMark/>
              </w:tcPr>
              <w:p>
                <w:pPr>
                  <w:rPr>
                    <w:szCs w:val="24"/>
                    <w:lang w:eastAsia="lt-LT"/>
                  </w:rPr>
                </w:pPr>
                <w:r>
                  <w:rPr>
                    <w:szCs w:val="24"/>
                    <w:lang w:eastAsia="lt-LT"/>
                  </w:rPr>
                  <w:t>Šiaulių valstybinė kolegija</w:t>
                </w:r>
              </w:p>
            </w:tc>
          </w:tr>
          <w:tr>
            <w:trPr>
              <w:trHeight w:val="385"/>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ŠVSB</w:t>
                </w:r>
              </w:p>
            </w:tc>
            <w:tc>
              <w:tcPr>
                <w:tcW w:w="6744" w:type="dxa"/>
                <w:shd w:val="clear" w:color="auto" w:fill="auto"/>
                <w:vAlign w:val="center"/>
                <w:hideMark/>
              </w:tcPr>
              <w:p>
                <w:pPr>
                  <w:rPr>
                    <w:szCs w:val="24"/>
                    <w:lang w:eastAsia="lt-LT"/>
                  </w:rPr>
                </w:pPr>
                <w:r>
                  <w:rPr>
                    <w:szCs w:val="24"/>
                    <w:lang w:eastAsia="lt-LT"/>
                  </w:rPr>
                  <w:t>BĮ Šiaulių miesto savivaldybės visuomenės sveikatos biuras</w:t>
                </w:r>
              </w:p>
            </w:tc>
          </w:tr>
          <w:tr>
            <w:trPr>
              <w:trHeight w:val="405"/>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TIC</w:t>
                </w:r>
              </w:p>
            </w:tc>
            <w:tc>
              <w:tcPr>
                <w:tcW w:w="6744" w:type="dxa"/>
                <w:shd w:val="clear" w:color="auto" w:fill="auto"/>
                <w:vAlign w:val="center"/>
                <w:hideMark/>
              </w:tcPr>
              <w:p>
                <w:pPr>
                  <w:rPr>
                    <w:szCs w:val="24"/>
                    <w:lang w:eastAsia="lt-LT"/>
                  </w:rPr>
                </w:pPr>
                <w:r>
                  <w:rPr>
                    <w:szCs w:val="24"/>
                    <w:lang w:eastAsia="lt-LT"/>
                  </w:rPr>
                  <w:t>BĮ Šiaulių turizmo informacijos centras</w:t>
                </w:r>
              </w:p>
            </w:tc>
          </w:tr>
          <w:tr>
            <w:trPr>
              <w:trHeight w:val="397"/>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TMG</w:t>
                </w:r>
              </w:p>
            </w:tc>
            <w:tc>
              <w:tcPr>
                <w:tcW w:w="6744" w:type="dxa"/>
                <w:shd w:val="clear" w:color="auto" w:fill="auto"/>
                <w:noWrap/>
                <w:vAlign w:val="center"/>
                <w:hideMark/>
              </w:tcPr>
              <w:p>
                <w:pPr>
                  <w:rPr>
                    <w:szCs w:val="24"/>
                    <w:lang w:eastAsia="lt-LT"/>
                  </w:rPr>
                </w:pPr>
                <w:r>
                  <w:rPr>
                    <w:szCs w:val="24"/>
                    <w:lang w:eastAsia="lt-LT"/>
                  </w:rPr>
                  <w:t>Tvarių miestų gairės</w:t>
                </w:r>
              </w:p>
            </w:tc>
          </w:tr>
          <w:tr>
            <w:trPr>
              <w:trHeight w:val="403"/>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TPS</w:t>
                </w:r>
              </w:p>
            </w:tc>
            <w:tc>
              <w:tcPr>
                <w:tcW w:w="6744" w:type="dxa"/>
                <w:shd w:val="clear" w:color="auto" w:fill="auto"/>
                <w:vAlign w:val="center"/>
                <w:hideMark/>
              </w:tcPr>
              <w:p>
                <w:pPr>
                  <w:rPr>
                    <w:szCs w:val="24"/>
                    <w:lang w:eastAsia="lt-LT"/>
                  </w:rPr>
                </w:pPr>
                <w:r>
                  <w:rPr>
                    <w:szCs w:val="24"/>
                    <w:lang w:eastAsia="lt-LT"/>
                  </w:rPr>
                  <w:t>Tvarios plėtros strategija</w:t>
                </w:r>
              </w:p>
            </w:tc>
          </w:tr>
          <w:tr>
            <w:trPr>
              <w:trHeight w:val="1090"/>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TREND</w:t>
                </w:r>
              </w:p>
            </w:tc>
            <w:tc>
              <w:tcPr>
                <w:tcW w:w="6744" w:type="dxa"/>
                <w:shd w:val="clear" w:color="auto" w:fill="auto"/>
                <w:vAlign w:val="center"/>
                <w:hideMark/>
              </w:tcPr>
              <w:p>
                <w:pPr>
                  <w:rPr>
                    <w:szCs w:val="24"/>
                    <w:lang w:eastAsia="lt-LT"/>
                  </w:rPr>
                </w:pPr>
                <w:r>
                  <w:rPr>
                    <w:szCs w:val="24"/>
                    <w:lang w:eastAsia="lt-LT"/>
                  </w:rPr>
                  <w:t>TREND formulė programoje „Microsoft Excel“, nupiešiama tiesė, mažiausiai nukrypusi nuo faktinių reikšmių, laikomasi prielaidos, kad iki 2033 m. išliks tokios pačios tendencijos kaip buvo 2015–2022(3) m.</w:t>
                </w:r>
              </w:p>
            </w:tc>
          </w:tr>
          <w:tr>
            <w:trPr>
              <w:trHeight w:val="399"/>
            </w:trPr>
            <w:tc>
              <w:tcPr>
                <w:tcW w:w="1710" w:type="dxa"/>
                <w:shd w:val="clear" w:color="auto" w:fill="auto"/>
                <w:noWrap/>
                <w:vAlign w:val="bottom"/>
              </w:tcPr>
              <w:p>
                <w:pPr>
                  <w:spacing w:line="276" w:lineRule="auto"/>
                  <w:jc w:val="right"/>
                  <w:rPr>
                    <w:b/>
                    <w:bCs/>
                    <w:color w:val="000000"/>
                    <w:szCs w:val="24"/>
                    <w:lang w:eastAsia="lt-LT"/>
                  </w:rPr>
                </w:pPr>
                <w:r>
                  <w:rPr>
                    <w:b/>
                    <w:bCs/>
                    <w:color w:val="000000"/>
                    <w:szCs w:val="24"/>
                    <w:lang w:eastAsia="lt-LT"/>
                  </w:rPr>
                  <w:t>TS</w:t>
                </w:r>
              </w:p>
            </w:tc>
            <w:tc>
              <w:tcPr>
                <w:tcW w:w="6744" w:type="dxa"/>
                <w:shd w:val="clear" w:color="auto" w:fill="auto"/>
                <w:noWrap/>
                <w:vAlign w:val="bottom"/>
              </w:tcPr>
              <w:p>
                <w:pPr>
                  <w:spacing w:line="276" w:lineRule="auto"/>
                  <w:rPr>
                    <w:szCs w:val="24"/>
                    <w:lang w:eastAsia="lt-LT"/>
                  </w:rPr>
                </w:pPr>
                <w:r>
                  <w:rPr>
                    <w:szCs w:val="24"/>
                    <w:lang w:eastAsia="lt-LT"/>
                  </w:rPr>
                  <w:t>Teisės skyrius</w:t>
                </w:r>
              </w:p>
            </w:tc>
          </w:tr>
          <w:tr>
            <w:trPr>
              <w:trHeight w:val="399"/>
            </w:trPr>
            <w:tc>
              <w:tcPr>
                <w:tcW w:w="1710" w:type="dxa"/>
                <w:shd w:val="clear" w:color="auto" w:fill="auto"/>
                <w:noWrap/>
                <w:vAlign w:val="bottom"/>
                <w:hideMark/>
              </w:tcPr>
              <w:p>
                <w:pPr>
                  <w:spacing w:line="276" w:lineRule="auto"/>
                  <w:jc w:val="right"/>
                  <w:rPr>
                    <w:b/>
                    <w:bCs/>
                    <w:color w:val="000000"/>
                    <w:szCs w:val="24"/>
                    <w:lang w:eastAsia="lt-LT"/>
                  </w:rPr>
                </w:pPr>
                <w:r>
                  <w:rPr>
                    <w:b/>
                    <w:bCs/>
                    <w:color w:val="000000"/>
                    <w:szCs w:val="24"/>
                    <w:lang w:eastAsia="lt-LT"/>
                  </w:rPr>
                  <w:t>TVS</w:t>
                </w:r>
              </w:p>
            </w:tc>
            <w:tc>
              <w:tcPr>
                <w:tcW w:w="6744" w:type="dxa"/>
                <w:shd w:val="clear" w:color="auto" w:fill="auto"/>
                <w:noWrap/>
                <w:vAlign w:val="bottom"/>
                <w:hideMark/>
              </w:tcPr>
              <w:p>
                <w:pPr>
                  <w:spacing w:line="276" w:lineRule="auto"/>
                  <w:rPr>
                    <w:szCs w:val="24"/>
                    <w:lang w:eastAsia="lt-LT"/>
                  </w:rPr>
                </w:pPr>
                <w:r>
                  <w:rPr>
                    <w:szCs w:val="24"/>
                    <w:lang w:eastAsia="lt-LT"/>
                  </w:rPr>
                  <w:t>Turto valdymo skyrius</w:t>
                </w:r>
              </w:p>
            </w:tc>
          </w:tr>
          <w:tr>
            <w:trPr>
              <w:trHeight w:val="405"/>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VDA</w:t>
                </w:r>
              </w:p>
            </w:tc>
            <w:tc>
              <w:tcPr>
                <w:tcW w:w="6744" w:type="dxa"/>
                <w:shd w:val="clear" w:color="auto" w:fill="auto"/>
                <w:vAlign w:val="center"/>
                <w:hideMark/>
              </w:tcPr>
              <w:p>
                <w:pPr>
                  <w:rPr>
                    <w:szCs w:val="24"/>
                    <w:lang w:eastAsia="lt-LT"/>
                  </w:rPr>
                </w:pPr>
                <w:r>
                  <w:rPr>
                    <w:szCs w:val="24"/>
                    <w:lang w:eastAsia="lt-LT"/>
                  </w:rPr>
                  <w:t>BĮ Valstybės duomenų agentūra</w:t>
                </w:r>
              </w:p>
            </w:tc>
          </w:tr>
          <w:tr>
            <w:trPr>
              <w:trHeight w:val="384"/>
            </w:trPr>
            <w:tc>
              <w:tcPr>
                <w:tcW w:w="1710" w:type="dxa"/>
                <w:shd w:val="clear" w:color="auto" w:fill="auto"/>
                <w:noWrap/>
                <w:vAlign w:val="bottom"/>
                <w:hideMark/>
              </w:tcPr>
              <w:p>
                <w:pPr>
                  <w:spacing w:line="276" w:lineRule="auto"/>
                  <w:jc w:val="right"/>
                  <w:rPr>
                    <w:b/>
                    <w:bCs/>
                    <w:color w:val="000000"/>
                    <w:szCs w:val="24"/>
                    <w:lang w:eastAsia="lt-LT"/>
                  </w:rPr>
                </w:pPr>
                <w:r>
                  <w:rPr>
                    <w:b/>
                    <w:bCs/>
                    <w:color w:val="000000"/>
                    <w:szCs w:val="24"/>
                    <w:lang w:eastAsia="lt-LT"/>
                  </w:rPr>
                  <w:t>VLK</w:t>
                </w:r>
              </w:p>
            </w:tc>
            <w:tc>
              <w:tcPr>
                <w:tcW w:w="6744" w:type="dxa"/>
                <w:shd w:val="clear" w:color="auto" w:fill="auto"/>
                <w:noWrap/>
                <w:vAlign w:val="bottom"/>
                <w:hideMark/>
              </w:tcPr>
              <w:p>
                <w:pPr>
                  <w:spacing w:line="276" w:lineRule="auto"/>
                  <w:rPr>
                    <w:szCs w:val="24"/>
                    <w:lang w:eastAsia="lt-LT"/>
                  </w:rPr>
                </w:pPr>
                <w:r>
                  <w:rPr>
                    <w:szCs w:val="24"/>
                    <w:lang w:eastAsia="lt-LT"/>
                  </w:rPr>
                  <w:t>BĮ Valstybinė ligonių kasa prie Sveikatos apsaugos ministerijos</w:t>
                </w:r>
              </w:p>
            </w:tc>
          </w:tr>
          <w:tr>
            <w:trPr>
              <w:trHeight w:val="390"/>
            </w:trPr>
            <w:tc>
              <w:tcPr>
                <w:tcW w:w="1710" w:type="dxa"/>
                <w:shd w:val="clear" w:color="auto" w:fill="auto"/>
                <w:noWrap/>
                <w:vAlign w:val="center"/>
              </w:tcPr>
              <w:p>
                <w:pPr>
                  <w:jc w:val="right"/>
                  <w:rPr>
                    <w:b/>
                    <w:bCs/>
                    <w:color w:val="000000"/>
                    <w:szCs w:val="24"/>
                    <w:lang w:eastAsia="lt-LT"/>
                  </w:rPr>
                </w:pPr>
                <w:r>
                  <w:rPr>
                    <w:b/>
                    <w:bCs/>
                    <w:color w:val="000000"/>
                    <w:szCs w:val="24"/>
                    <w:lang w:eastAsia="lt-LT"/>
                  </w:rPr>
                  <w:t>VPP</w:t>
                </w:r>
              </w:p>
            </w:tc>
            <w:tc>
              <w:tcPr>
                <w:tcW w:w="6744" w:type="dxa"/>
                <w:shd w:val="clear" w:color="auto" w:fill="auto"/>
                <w:vAlign w:val="center"/>
              </w:tcPr>
              <w:p>
                <w:pPr>
                  <w:rPr>
                    <w:szCs w:val="24"/>
                    <w:lang w:eastAsia="lt-LT"/>
                  </w:rPr>
                </w:pPr>
                <w:r>
                  <w:rPr>
                    <w:szCs w:val="24"/>
                    <w:lang w:eastAsia="lt-LT"/>
                  </w:rPr>
                  <w:t>Viešųjų pirkimų poskyris</w:t>
                </w:r>
              </w:p>
            </w:tc>
          </w:tr>
          <w:tr>
            <w:trPr>
              <w:trHeight w:val="390"/>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VPSP</w:t>
                </w:r>
              </w:p>
            </w:tc>
            <w:tc>
              <w:tcPr>
                <w:tcW w:w="6744" w:type="dxa"/>
                <w:shd w:val="clear" w:color="auto" w:fill="auto"/>
                <w:vAlign w:val="center"/>
                <w:hideMark/>
              </w:tcPr>
              <w:p>
                <w:pPr>
                  <w:rPr>
                    <w:szCs w:val="24"/>
                    <w:lang w:eastAsia="lt-LT"/>
                  </w:rPr>
                </w:pPr>
                <w:r>
                  <w:rPr>
                    <w:szCs w:val="24"/>
                    <w:lang w:eastAsia="lt-LT"/>
                  </w:rPr>
                  <w:t xml:space="preserve">Viešo ir privataus sektorių partnerystė </w:t>
                </w:r>
              </w:p>
            </w:tc>
          </w:tr>
          <w:tr>
            <w:trPr>
              <w:trHeight w:val="260"/>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VRK</w:t>
                </w:r>
              </w:p>
            </w:tc>
            <w:tc>
              <w:tcPr>
                <w:tcW w:w="6744" w:type="dxa"/>
                <w:shd w:val="clear" w:color="auto" w:fill="auto"/>
                <w:vAlign w:val="center"/>
                <w:hideMark/>
              </w:tcPr>
              <w:p>
                <w:pPr>
                  <w:rPr>
                    <w:szCs w:val="24"/>
                    <w:lang w:eastAsia="lt-LT"/>
                  </w:rPr>
                </w:pPr>
                <w:r>
                  <w:rPr>
                    <w:szCs w:val="24"/>
                    <w:lang w:eastAsia="lt-LT"/>
                  </w:rPr>
                  <w:t>Viešųjų ryšių koordinatorius</w:t>
                </w:r>
              </w:p>
            </w:tc>
          </w:tr>
          <w:tr>
            <w:trPr>
              <w:trHeight w:val="395"/>
            </w:trPr>
            <w:tc>
              <w:tcPr>
                <w:tcW w:w="1710" w:type="dxa"/>
                <w:shd w:val="clear" w:color="auto" w:fill="auto"/>
                <w:noWrap/>
                <w:vAlign w:val="center"/>
                <w:hideMark/>
              </w:tcPr>
              <w:p>
                <w:pPr>
                  <w:jc w:val="right"/>
                  <w:rPr>
                    <w:b/>
                    <w:bCs/>
                    <w:color w:val="000000"/>
                    <w:szCs w:val="24"/>
                    <w:lang w:eastAsia="lt-LT"/>
                  </w:rPr>
                </w:pPr>
                <w:r>
                  <w:rPr>
                    <w:b/>
                    <w:bCs/>
                    <w:color w:val="000000"/>
                    <w:szCs w:val="24"/>
                    <w:lang w:eastAsia="lt-LT"/>
                  </w:rPr>
                  <w:t>VUŠA</w:t>
                </w:r>
              </w:p>
            </w:tc>
            <w:tc>
              <w:tcPr>
                <w:tcW w:w="6744" w:type="dxa"/>
                <w:shd w:val="clear" w:color="auto" w:fill="auto"/>
                <w:vAlign w:val="center"/>
                <w:hideMark/>
              </w:tcPr>
              <w:p>
                <w:pPr>
                  <w:rPr>
                    <w:szCs w:val="24"/>
                    <w:lang w:eastAsia="lt-LT"/>
                  </w:rPr>
                </w:pPr>
                <w:r>
                  <w:rPr>
                    <w:szCs w:val="24"/>
                    <w:lang w:eastAsia="lt-LT"/>
                  </w:rPr>
                  <w:t>Vilniaus universitetas Šiaulių akademija</w:t>
                </w:r>
              </w:p>
            </w:tc>
          </w:tr>
        </w:tbl>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sdtContent>
    </w:sdt>
    <w:sdt>
      <w:sdtPr>
        <w:alias w:val="patvirtinta"/>
        <w:tag w:val="part_898f1279a6e8467695ca648f7a8f8b3a"/>
        <w:lock w:val="sdtLocked"/>
        <w:richText/>
      </w:sdtPr>
      <w:sdtContent>
        <w:p>
          <w:pPr>
            <w:spacing w:before="120" w:after="120"/>
            <w:ind w:left="5103" w:right="142"/>
            <w:jc w:val="both"/>
            <w:rPr>
              <w:kern w:val="2"/>
              <w:sz w:val="22"/>
              <w:szCs w:val="24"/>
            </w:rPr>
          </w:pPr>
          <w:r>
            <w:rPr>
              <w:szCs w:val="24"/>
            </w:rPr>
            <w:t>PATVIRTINTA</w:t>
          </w:r>
        </w:p>
        <w:p>
          <w:pPr>
            <w:ind w:left="5103"/>
            <w:rPr>
              <w:szCs w:val="24"/>
            </w:rPr>
          </w:pPr>
          <w:r>
            <w:rPr>
              <w:szCs w:val="24"/>
            </w:rPr>
            <w:t>__________________savivaldybės tarybos</w:t>
          </w:r>
        </w:p>
        <w:p>
          <w:pPr>
            <w:ind w:left="5103"/>
            <w:rPr>
              <w:szCs w:val="24"/>
            </w:rPr>
          </w:pPr>
          <w:r>
            <w:rPr>
              <w:szCs w:val="24"/>
            </w:rPr>
            <w:t>20__m. _______d. sprendimu Nr. _______</w:t>
          </w:r>
        </w:p>
        <w:p>
          <w:pPr>
            <w:jc w:val="both"/>
            <w:rPr>
              <w:b/>
              <w:szCs w:val="24"/>
            </w:rPr>
          </w:pPr>
        </w:p>
        <w:p>
          <w:pPr>
            <w:jc w:val="both"/>
            <w:rPr>
              <w:b/>
              <w:szCs w:val="24"/>
            </w:rPr>
          </w:pPr>
        </w:p>
        <w:p>
          <w:pPr>
            <w:jc w:val="center"/>
            <w:rPr>
              <w:szCs w:val="24"/>
            </w:rPr>
          </w:pPr>
          <w:sdt>
            <w:sdtPr>
              <w:alias w:val="Pavadinimas"/>
              <w:tag w:val="title_898f1279a6e8467695ca648f7a8f8b3a"/>
              <w:lock w:val="sdtLocked"/>
              <w:richText/>
            </w:sdtPr>
            <w:sdtContent>
              <w:r>
                <w:rPr>
                  <w:b/>
                  <w:bCs/>
                  <w:szCs w:val="24"/>
                </w:rPr>
                <w:t>ŠIAULIŲ MIESTO</w:t>
              </w:r>
              <w:r>
                <w:rPr>
                  <w:szCs w:val="24"/>
                </w:rPr>
                <w:t xml:space="preserve"> </w:t>
              </w:r>
              <w:r>
                <w:rPr>
                  <w:b/>
                  <w:szCs w:val="24"/>
                </w:rPr>
                <w:t>SAVIVALDYBĖS</w:t>
              </w:r>
            </w:sdtContent>
          </w:sdt>
        </w:p>
        <w:p>
          <w:pPr>
            <w:rPr>
              <w:szCs w:val="24"/>
            </w:rPr>
          </w:pPr>
        </w:p>
        <w:sdt>
          <w:sdtPr>
            <w:alias w:val="skirsnis"/>
            <w:tag w:val="part_0e8def11602a465f9704945a5a2a45cf"/>
            <w:lock w:val="sdtLocked"/>
            <w:richText/>
          </w:sdtPr>
          <w:sdtContent>
            <w:p>
              <w:pPr>
                <w:jc w:val="center"/>
                <w:rPr>
                  <w:b/>
                  <w:szCs w:val="24"/>
                </w:rPr>
              </w:pPr>
              <w:sdt>
                <w:sdtPr>
                  <w:alias w:val="Pavadinimas"/>
                  <w:tag w:val="title_0e8def11602a465f9704945a5a2a45cf"/>
                  <w:lock w:val="sdtLocked"/>
                  <w:richText/>
                </w:sdtPr>
                <w:sdtContent>
                  <w:r>
                    <w:rPr>
                      <w:b/>
                      <w:iCs/>
                      <w:szCs w:val="24"/>
                    </w:rPr>
                    <w:t>2025 –2033 METŲ</w:t>
                  </w:r>
                  <w:r>
                    <w:rPr>
                      <w:b/>
                      <w:szCs w:val="24"/>
                    </w:rPr>
                    <w:t xml:space="preserve"> STRATEGINIS PLĖTROS PLANAS</w:t>
                  </w:r>
                </w:sdtContent>
              </w:sdt>
            </w:p>
            <w:p>
              <w:pPr>
                <w:jc w:val="center"/>
                <w:rPr>
                  <w:b/>
                  <w:i/>
                  <w:color w:val="808080"/>
                  <w:szCs w:val="24"/>
                </w:rPr>
              </w:pPr>
            </w:p>
            <w:p>
              <w:pPr>
                <w:rPr>
                  <w:sz w:val="10"/>
                  <w:szCs w:val="10"/>
                </w:rPr>
              </w:pPr>
            </w:p>
            <w:p>
              <w:pPr>
                <w:jc w:val="center"/>
                <w:rPr>
                  <w:b/>
                  <w:color w:val="000000"/>
                  <w:szCs w:val="24"/>
                </w:rPr>
              </w:pPr>
            </w:p>
            <w:p>
              <w:pPr>
                <w:rPr>
                  <w:sz w:val="10"/>
                  <w:szCs w:val="10"/>
                </w:rPr>
              </w:pPr>
            </w:p>
          </w:sdtContent>
        </w:sdt>
        <w:sdt>
          <w:sdtPr>
            <w:alias w:val="skyrius"/>
            <w:tag w:val="part_fc5fec956d354fbcbc08e4f0d782cb56"/>
            <w:lock w:val="sdtLocked"/>
            <w:richText/>
          </w:sdtPr>
          <w:sdtContent>
            <w:p>
              <w:pPr>
                <w:jc w:val="center"/>
                <w:rPr>
                  <w:b/>
                  <w:color w:val="000000"/>
                  <w:szCs w:val="24"/>
                </w:rPr>
              </w:pPr>
              <w:sdt>
                <w:sdtPr>
                  <w:alias w:val="Numeris"/>
                  <w:tag w:val="nr_fc5fec956d354fbcbc08e4f0d782cb56"/>
                  <w:lock w:val="sdtLocked"/>
                  <w:richText/>
                </w:sdtPr>
                <w:sdtContent>
                  <w:r>
                    <w:rPr>
                      <w:b/>
                      <w:color w:val="000000"/>
                      <w:szCs w:val="24"/>
                    </w:rPr>
                    <w:t>I</w:t>
                  </w:r>
                </w:sdtContent>
              </w:sdt>
              <w:r>
                <w:rPr>
                  <w:b/>
                  <w:color w:val="000000"/>
                  <w:szCs w:val="24"/>
                </w:rPr>
                <w:t xml:space="preserve"> SKYRIUS</w:t>
              </w:r>
            </w:p>
            <w:p>
              <w:pPr>
                <w:jc w:val="center"/>
                <w:rPr>
                  <w:b/>
                  <w:color w:val="000000"/>
                  <w:szCs w:val="24"/>
                </w:rPr>
              </w:pPr>
              <w:sdt>
                <w:sdtPr>
                  <w:alias w:val="Pavadinimas"/>
                  <w:tag w:val="title_fc5fec956d354fbcbc08e4f0d782cb56"/>
                  <w:lock w:val="sdtLocked"/>
                  <w:richText/>
                </w:sdtPr>
                <w:sdtContent>
                  <w:r>
                    <w:rPr>
                      <w:b/>
                      <w:color w:val="000000"/>
                      <w:szCs w:val="24"/>
                    </w:rPr>
                    <w:t>BENDROJI INFORMACIJA</w:t>
                  </w:r>
                </w:sdtContent>
              </w:sdt>
            </w:p>
            <w:p>
              <w:pPr>
                <w:rPr>
                  <w:sz w:val="10"/>
                  <w:szCs w:val="10"/>
                </w:rPr>
              </w:pPr>
            </w:p>
            <w:p>
              <w:pPr>
                <w:ind w:firstLine="709"/>
                <w:jc w:val="both"/>
                <w:rPr>
                  <w:i/>
                  <w:color w:val="808080"/>
                  <w:szCs w:val="24"/>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4"/>
                </w:trPr>
                <w:tc>
                  <w:tcPr>
                    <w:tcW w:w="9640"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both"/>
                      <w:rPr>
                        <w:rFonts w:eastAsia="Calibri"/>
                        <w:b/>
                        <w:sz w:val="22"/>
                        <w:szCs w:val="24"/>
                      </w:rPr>
                    </w:pPr>
                    <w:r>
                      <w:rPr>
                        <w:rFonts w:eastAsia="Calibri"/>
                        <w:b/>
                        <w:sz w:val="22"/>
                        <w:szCs w:val="24"/>
                      </w:rPr>
                      <w:t>Planavimo laikotarpis</w:t>
                    </w:r>
                  </w:p>
                  <w:p>
                    <w:pPr>
                      <w:rPr>
                        <w:sz w:val="10"/>
                        <w:szCs w:val="10"/>
                      </w:rPr>
                    </w:pPr>
                  </w:p>
                  <w:p>
                    <w:pPr>
                      <w:jc w:val="both"/>
                      <w:rPr>
                        <w:rFonts w:eastAsia="Calibri"/>
                        <w:bCs/>
                        <w:sz w:val="22"/>
                        <w:szCs w:val="24"/>
                      </w:rPr>
                    </w:pPr>
                    <w:r>
                      <w:rPr>
                        <w:rFonts w:eastAsia="Calibri"/>
                        <w:bCs/>
                        <w:sz w:val="22"/>
                        <w:szCs w:val="24"/>
                      </w:rPr>
                      <w:t>Šiaulių miesto strateginis plėtros planas rengiamas 2025–2033 m. laikotarpiui, pasibaigus galioti 2015–2024 m. Šiaulių miesto strateginiam plėtros planui bei atsižvelgiant į Strateginio valdymo įstatymo 7 straipsnio 6 punktą, kuris numato, kad savivaldybių strateginiai plėtros planai rengiami 4–10 metų laikotarpiui.</w:t>
                    </w:r>
                  </w:p>
                </w:tc>
              </w:tr>
              <w:tr>
                <w:trPr>
                  <w:trHeight w:val="574"/>
                </w:trPr>
                <w:tc>
                  <w:tcPr>
                    <w:tcW w:w="9640"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both"/>
                      <w:rPr>
                        <w:rFonts w:eastAsia="Calibri"/>
                        <w:b/>
                        <w:sz w:val="22"/>
                        <w:szCs w:val="22"/>
                      </w:rPr>
                    </w:pPr>
                    <w:r>
                      <w:rPr>
                        <w:rFonts w:eastAsia="Calibri"/>
                        <w:b/>
                        <w:sz w:val="22"/>
                        <w:szCs w:val="22"/>
                      </w:rPr>
                      <w:t>Planavimo dokumentai, kuriais vadovautasi rengiant savivaldybės strateginį plėtros planą:</w:t>
                    </w:r>
                  </w:p>
                  <w:p>
                    <w:pPr>
                      <w:rPr>
                        <w:sz w:val="10"/>
                        <w:szCs w:val="10"/>
                      </w:rPr>
                    </w:pPr>
                  </w:p>
                  <w:p>
                    <w:pPr>
                      <w:ind w:left="720" w:hanging="360"/>
                      <w:jc w:val="both"/>
                      <w:rPr>
                        <w:rFonts w:eastAsia="Calibri"/>
                        <w:bCs/>
                        <w:sz w:val="22"/>
                        <w:szCs w:val="22"/>
                      </w:rPr>
                    </w:pPr>
                    <w:r>
                      <w:rPr>
                        <w:rFonts w:ascii="Symbol" w:eastAsia="Calibri" w:hAnsi="Symbol"/>
                        <w:bCs/>
                        <w:sz w:val="22"/>
                        <w:szCs w:val="22"/>
                      </w:rPr>
                      <w:t></w:t>
                      <w:tab/>
                    </w:r>
                    <w:r>
                      <w:rPr>
                        <w:rFonts w:eastAsia="Calibri"/>
                        <w:bCs/>
                        <w:sz w:val="22"/>
                        <w:szCs w:val="22"/>
                      </w:rPr>
                      <w:t>LR Vyriausybės nutarimas „Dėl Strateginio valdymo metodikos patvirtinimo“</w:t>
                    </w:r>
                    <w:r>
                      <w:rPr>
                        <w:rFonts w:eastAsia="MS Mincho"/>
                        <w:bCs/>
                        <w:kern w:val="2"/>
                        <w:sz w:val="22"/>
                        <w:szCs w:val="22"/>
                      </w:rPr>
                      <w:t xml:space="preserve"> </w:t>
                    </w:r>
                    <w:r>
                      <w:rPr>
                        <w:rFonts w:eastAsia="Calibri"/>
                        <w:bCs/>
                        <w:sz w:val="22"/>
                        <w:szCs w:val="22"/>
                      </w:rPr>
                      <w:t>2021 m. balandžio 28 d. Nr. 292 (galiojanti suvestinė redakcija);</w:t>
                    </w:r>
                  </w:p>
                  <w:p>
                    <w:pPr>
                      <w:ind w:left="720" w:hanging="360"/>
                      <w:jc w:val="both"/>
                      <w:rPr>
                        <w:rFonts w:eastAsia="Calibri"/>
                        <w:bCs/>
                        <w:sz w:val="22"/>
                        <w:szCs w:val="22"/>
                      </w:rPr>
                    </w:pPr>
                    <w:r>
                      <w:rPr>
                        <w:rFonts w:ascii="Symbol" w:eastAsia="Calibri" w:hAnsi="Symbol"/>
                        <w:bCs/>
                        <w:sz w:val="22"/>
                        <w:szCs w:val="22"/>
                      </w:rPr>
                      <w:t></w:t>
                      <w:tab/>
                    </w:r>
                    <w:r>
                      <w:rPr>
                        <w:rFonts w:eastAsia="Calibri"/>
                        <w:bCs/>
                        <w:sz w:val="22"/>
                        <w:szCs w:val="22"/>
                      </w:rPr>
                      <w:t xml:space="preserve">LR Strateginio valdymo įstatymas, </w:t>
                    </w:r>
                    <w:r>
                      <w:rPr>
                        <w:rFonts w:eastAsia="MS Mincho"/>
                        <w:color w:val="000000"/>
                        <w:kern w:val="2"/>
                        <w:sz w:val="22"/>
                        <w:szCs w:val="24"/>
                      </w:rPr>
                      <w:t>2020 m. birželio 25 d. Nr. XIII-3096 (galiojanti suvestinė redakcija);</w:t>
                    </w:r>
                  </w:p>
                  <w:p>
                    <w:pPr>
                      <w:ind w:left="720" w:hanging="360"/>
                      <w:jc w:val="both"/>
                      <w:rPr>
                        <w:rFonts w:eastAsia="Calibri"/>
                        <w:bCs/>
                        <w:sz w:val="22"/>
                        <w:szCs w:val="22"/>
                      </w:rPr>
                    </w:pPr>
                    <w:r>
                      <w:rPr>
                        <w:rFonts w:ascii="Symbol" w:eastAsia="Calibri" w:hAnsi="Symbol"/>
                        <w:bCs/>
                        <w:sz w:val="22"/>
                        <w:szCs w:val="22"/>
                      </w:rPr>
                      <w:t></w:t>
                      <w:tab/>
                    </w:r>
                    <w:r>
                      <w:rPr>
                        <w:rFonts w:eastAsia="Calibri"/>
                        <w:bCs/>
                        <w:sz w:val="22"/>
                        <w:szCs w:val="22"/>
                      </w:rPr>
                      <w:t>Šiaulių miesto strateginiai veiklos planai 2023</w:t>
                    </w:r>
                    <w:r>
                      <w:rPr>
                        <w:rFonts w:eastAsia="MS Mincho"/>
                        <w:kern w:val="2"/>
                        <w:sz w:val="22"/>
                        <w:szCs w:val="22"/>
                      </w:rPr>
                      <w:t>–</w:t>
                    </w:r>
                    <w:r>
                      <w:rPr>
                        <w:rFonts w:eastAsia="Calibri"/>
                        <w:bCs/>
                        <w:sz w:val="22"/>
                        <w:szCs w:val="22"/>
                      </w:rPr>
                      <w:t>2025 m. ir 2024</w:t>
                    </w:r>
                    <w:r>
                      <w:rPr>
                        <w:rFonts w:eastAsia="MS Mincho"/>
                        <w:kern w:val="2"/>
                        <w:sz w:val="22"/>
                        <w:szCs w:val="22"/>
                      </w:rPr>
                      <w:t>–</w:t>
                    </w:r>
                    <w:r>
                      <w:rPr>
                        <w:rFonts w:eastAsia="Calibri"/>
                        <w:bCs/>
                        <w:sz w:val="22"/>
                        <w:szCs w:val="22"/>
                      </w:rPr>
                      <w:t>2026 m.;</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Šiaulių miesto savivaldybės atsinaujinančių išteklių energijos naudojimo plėtros veiksmų planas;</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Šiaulių miesto bendrasis planas;</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Šiaulių miesto savivaldybės 2021–2027 m. atliekų tvarkymo planas;</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Šiaulių miesto vandens tiekimo ir nuotekų tvarkymo infrastruktūros plėtros specialusis planas;</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Šiaulių miesto aplinkos oro kokybės valdymo programa 2019–2024 m.;</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Šiaulių miesto ekonominės plėtros ir investicijų pritraukimo strategija;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Šiaulių miesto įvaizdžio rinkodaros priemonių planas;</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Šiaulių išmanaus miesto koncepcija;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Šiaulių miesto savivaldybės bendrojo ugdymo mokyklų tinklo pertvarkos 2021–2025 m. bendrasis planas;</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Šiaulių miesto darnaus judumo planas;</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Transporto organizavimo Šiaulių mieste specialusis planas;</w:t>
                    </w:r>
                  </w:p>
                  <w:p>
                    <w:pPr>
                      <w:ind w:left="720" w:hanging="360"/>
                      <w:jc w:val="both"/>
                      <w:rPr>
                        <w:rFonts w:eastAsia="Calibri"/>
                        <w:bCs/>
                        <w:sz w:val="22"/>
                        <w:szCs w:val="22"/>
                      </w:rPr>
                    </w:pPr>
                    <w:r>
                      <w:rPr>
                        <w:rFonts w:ascii="Symbol" w:eastAsia="Calibri" w:hAnsi="Symbol"/>
                        <w:bCs/>
                        <w:sz w:val="22"/>
                        <w:szCs w:val="22"/>
                      </w:rPr>
                      <w:t></w:t>
                      <w:tab/>
                    </w:r>
                    <w:r>
                      <w:rPr>
                        <w:rFonts w:eastAsia="MS Mincho"/>
                        <w:kern w:val="2"/>
                        <w:sz w:val="22"/>
                        <w:szCs w:val="22"/>
                      </w:rPr>
                      <w:t>2024–2029 m. Šiaulių miesto tvarios plėtros strategija;</w:t>
                    </w:r>
                  </w:p>
                  <w:p>
                    <w:pPr>
                      <w:ind w:left="720" w:hanging="360"/>
                      <w:jc w:val="both"/>
                      <w:rPr>
                        <w:rFonts w:eastAsia="Calibri"/>
                        <w:bCs/>
                        <w:sz w:val="22"/>
                        <w:szCs w:val="22"/>
                      </w:rPr>
                    </w:pPr>
                    <w:r>
                      <w:rPr>
                        <w:rFonts w:ascii="Symbol" w:eastAsia="Calibri" w:hAnsi="Symbol"/>
                        <w:bCs/>
                        <w:sz w:val="22"/>
                        <w:szCs w:val="22"/>
                      </w:rPr>
                      <w:t></w:t>
                      <w:tab/>
                    </w:r>
                    <w:r>
                      <w:rPr>
                        <w:rFonts w:eastAsia="MS Mincho"/>
                        <w:kern w:val="2"/>
                        <w:sz w:val="22"/>
                        <w:szCs w:val="22"/>
                      </w:rPr>
                      <w:t>2022–2030 m. Šiaulių regiono plėtros planas;</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Valstybės pažangos strategija „Lietuva 2030“;</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Valstybės pažangos strategija „Lietuva 2050“;</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2021–2030 metų nacionalinis pažangos planas;</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Lietuvos regioninės politikos baltoji knyga;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Lietuvos pristatymo užsienyje 2020–2030 m. strategija;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XVIII–os Vyriausybės programa;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Lietuvos Respublikos teritorijos bendrojo plano sprendiniai iki 2030, Konkurencinga valstybė 2030, Lietuvos Regionai 2030;</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color w:val="000000"/>
                        <w:kern w:val="24"/>
                        <w:sz w:val="22"/>
                        <w:szCs w:val="22"/>
                      </w:rPr>
                      <w:t>Lietuvos kultūros politikos strategija;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color w:val="000000"/>
                        <w:kern w:val="24"/>
                        <w:sz w:val="22"/>
                        <w:szCs w:val="22"/>
                      </w:rPr>
                      <w:t>Geros mokyklos koncepcija;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Lietuvos sveikatos 2014–2025 metų programa;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Lietuvos e. sveikatos sistemos 2017–2025 metų plėtros programa;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Nacionalinė visuomenės sveikatos priežiūros 2016–2023 metų plėtros programa;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color w:val="000000"/>
                        <w:kern w:val="2"/>
                        <w:sz w:val="22"/>
                        <w:szCs w:val="22"/>
                      </w:rPr>
                      <w:t>2022–2030 m. sveikatos išsaugojimo ir stiprinimo plėtros programa;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Nacionalinė klimato kaitos valdymo politikos strategija;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Nacionalinė aplinkos apsaugos strategija;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Nacionalinė energetinės nepriklausomybės strategija;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Nacionalinis energetikos ir klimato srities veiksmų planas 2021–2030 m.;</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Nacionalinio saugumo strategija;</w:t>
                    </w:r>
                  </w:p>
                  <w:p>
                    <w:pPr>
                      <w:spacing w:line="276" w:lineRule="auto"/>
                      <w:ind w:left="720" w:right="142" w:hanging="360"/>
                      <w:jc w:val="both"/>
                      <w:rPr>
                        <w:rFonts w:eastAsia="MS Mincho"/>
                        <w:kern w:val="2"/>
                        <w:sz w:val="22"/>
                        <w:szCs w:val="22"/>
                      </w:rPr>
                    </w:pPr>
                    <w:r>
                      <w:rPr>
                        <w:rFonts w:ascii="Symbol" w:eastAsia="MS Mincho" w:hAnsi="Symbol"/>
                        <w:kern w:val="2"/>
                        <w:sz w:val="22"/>
                        <w:szCs w:val="22"/>
                      </w:rPr>
                      <w:t></w:t>
                      <w:tab/>
                    </w:r>
                    <w:r>
                      <w:rPr>
                        <w:rFonts w:eastAsia="MS Mincho"/>
                        <w:kern w:val="2"/>
                        <w:sz w:val="22"/>
                        <w:szCs w:val="22"/>
                      </w:rPr>
                      <w:t>Nacionalinis oro taršos mažinimo planas;</w:t>
                    </w:r>
                  </w:p>
                  <w:p>
                    <w:pPr>
                      <w:ind w:left="720" w:hanging="360"/>
                      <w:jc w:val="both"/>
                      <w:rPr>
                        <w:rFonts w:eastAsia="Calibri"/>
                        <w:bCs/>
                        <w:sz w:val="22"/>
                        <w:szCs w:val="22"/>
                      </w:rPr>
                    </w:pPr>
                    <w:r>
                      <w:rPr>
                        <w:rFonts w:ascii="Symbol" w:eastAsia="Calibri" w:hAnsi="Symbol"/>
                        <w:bCs/>
                        <w:sz w:val="22"/>
                        <w:szCs w:val="22"/>
                      </w:rPr>
                      <w:t></w:t>
                      <w:tab/>
                    </w:r>
                    <w:r>
                      <w:rPr>
                        <w:rFonts w:eastAsia="MS Mincho"/>
                        <w:kern w:val="2"/>
                        <w:sz w:val="22"/>
                        <w:szCs w:val="22"/>
                      </w:rPr>
                      <w:t xml:space="preserve">Naujas žiedinės ekonomikos veiksmų planas; </w:t>
                    </w:r>
                  </w:p>
                  <w:p>
                    <w:pPr>
                      <w:ind w:left="720" w:hanging="360"/>
                      <w:jc w:val="both"/>
                      <w:rPr>
                        <w:rFonts w:eastAsia="Calibri"/>
                        <w:bCs/>
                        <w:sz w:val="22"/>
                        <w:szCs w:val="22"/>
                      </w:rPr>
                    </w:pPr>
                    <w:r>
                      <w:rPr>
                        <w:rFonts w:ascii="Symbol" w:eastAsia="Calibri" w:hAnsi="Symbol"/>
                        <w:bCs/>
                        <w:sz w:val="22"/>
                        <w:szCs w:val="22"/>
                      </w:rPr>
                      <w:t></w:t>
                      <w:tab/>
                    </w:r>
                    <w:r>
                      <w:rPr>
                        <w:rFonts w:eastAsia="MS Mincho"/>
                        <w:kern w:val="2"/>
                        <w:sz w:val="22"/>
                        <w:szCs w:val="22"/>
                      </w:rPr>
                      <w:t>Ir kt.</w:t>
                    </w:r>
                  </w:p>
                  <w:p>
                    <w:pPr>
                      <w:ind w:left="720"/>
                      <w:jc w:val="both"/>
                      <w:rPr>
                        <w:rFonts w:eastAsia="Calibri"/>
                        <w:bCs/>
                        <w:sz w:val="22"/>
                        <w:szCs w:val="22"/>
                      </w:rPr>
                    </w:pPr>
                  </w:p>
                </w:tc>
              </w:tr>
            </w:tbl>
            <w:p>
              <w:pPr>
                <w:jc w:val="both"/>
                <w:rPr>
                  <w:i/>
                  <w:color w:val="808080"/>
                  <w:szCs w:val="24"/>
                </w:rPr>
              </w:pPr>
            </w:p>
            <w:p>
              <w:pPr>
                <w:rPr>
                  <w:sz w:val="10"/>
                  <w:szCs w:val="10"/>
                </w:rPr>
              </w:pPr>
            </w:p>
          </w:sdtContent>
        </w:sdt>
        <w:sdt>
          <w:sdtPr>
            <w:alias w:val="skyrius"/>
            <w:tag w:val="part_d40b60b48b404502a023bfaafe5d61c2"/>
            <w:lock w:val="sdtLocked"/>
            <w:richText/>
          </w:sdtPr>
          <w:sdtContent>
            <w:p>
              <w:pPr>
                <w:jc w:val="center"/>
                <w:rPr>
                  <w:b/>
                  <w:color w:val="000000"/>
                  <w:szCs w:val="24"/>
                </w:rPr>
              </w:pPr>
              <w:sdt>
                <w:sdtPr>
                  <w:alias w:val="Numeris"/>
                  <w:tag w:val="nr_d40b60b48b404502a023bfaafe5d61c2"/>
                  <w:lock w:val="sdtLocked"/>
                  <w:richText/>
                </w:sdtPr>
                <w:sdtContent>
                  <w:r>
                    <w:rPr>
                      <w:b/>
                      <w:color w:val="000000"/>
                      <w:szCs w:val="24"/>
                    </w:rPr>
                    <w:t>II</w:t>
                  </w:r>
                </w:sdtContent>
              </w:sdt>
              <w:r>
                <w:rPr>
                  <w:b/>
                  <w:color w:val="000000"/>
                  <w:szCs w:val="24"/>
                </w:rPr>
                <w:t xml:space="preserve"> SKYRIUS</w:t>
              </w:r>
            </w:p>
            <w:p>
              <w:pPr>
                <w:jc w:val="center"/>
                <w:rPr>
                  <w:b/>
                  <w:color w:val="000000"/>
                  <w:szCs w:val="24"/>
                </w:rPr>
              </w:pPr>
              <w:sdt>
                <w:sdtPr>
                  <w:alias w:val="Pavadinimas"/>
                  <w:tag w:val="title_d40b60b48b404502a023bfaafe5d61c2"/>
                  <w:lock w:val="sdtLocked"/>
                  <w:richText/>
                </w:sdtPr>
                <w:sdtContent>
                  <w:r>
                    <w:rPr>
                      <w:b/>
                      <w:color w:val="000000"/>
                      <w:szCs w:val="24"/>
                    </w:rPr>
                    <w:t>SAVIVALDYBĖS ESAMOS SITUACIJOS ANALIZĖ</w:t>
                  </w:r>
                </w:sdtContent>
              </w:sdt>
            </w:p>
            <w:p>
              <w:pPr>
                <w:rPr>
                  <w:sz w:val="10"/>
                  <w:szCs w:val="10"/>
                </w:rPr>
              </w:pPr>
            </w:p>
            <w:p>
              <w:pPr>
                <w:ind w:firstLine="709"/>
                <w:jc w:val="both"/>
                <w:rPr>
                  <w:i/>
                  <w:color w:val="808080"/>
                  <w:szCs w:val="24"/>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jc w:val="both"/>
                      <w:rPr>
                        <w:rFonts w:eastAsia="Calibri"/>
                        <w:b/>
                        <w:sz w:val="22"/>
                        <w:szCs w:val="24"/>
                      </w:rPr>
                    </w:pPr>
                    <w:r>
                      <w:rPr>
                        <w:rFonts w:eastAsia="Calibri"/>
                        <w:b/>
                        <w:sz w:val="22"/>
                        <w:szCs w:val="24"/>
                      </w:rPr>
                      <w:t>Savivaldybės problemų ir jų priežasčių nustatymas</w:t>
                    </w:r>
                  </w:p>
                  <w:p>
                    <w:pPr>
                      <w:rPr>
                        <w:sz w:val="10"/>
                        <w:szCs w:val="10"/>
                      </w:rPr>
                    </w:pPr>
                  </w:p>
                  <w:p>
                    <w:pPr>
                      <w:jc w:val="both"/>
                      <w:rPr>
                        <w:rFonts w:eastAsia="Calibri"/>
                        <w:bCs/>
                        <w:sz w:val="22"/>
                        <w:szCs w:val="24"/>
                      </w:rPr>
                    </w:pPr>
                    <w:r>
                      <w:rPr>
                        <w:rFonts w:eastAsia="Calibri"/>
                        <w:bCs/>
                        <w:sz w:val="22"/>
                        <w:szCs w:val="24"/>
                      </w:rPr>
                      <w:t>Šiame skyriuje pateikiamos identifikuotos svarbiausios Šiaulių miesto problemos (ne prioriteto tvarka), galimos jų priežastys, kurias tikslinga spręsti atitinkamais veiksmais ir priemonėmis:</w:t>
                    </w:r>
                  </w:p>
                  <w:p>
                    <w:pPr>
                      <w:rPr>
                        <w:sz w:val="10"/>
                        <w:szCs w:val="10"/>
                      </w:rPr>
                    </w:pPr>
                  </w:p>
                  <w:p>
                    <w:pPr>
                      <w:ind w:left="714" w:hanging="357"/>
                      <w:jc w:val="both"/>
                      <w:rPr>
                        <w:rFonts w:eastAsia="Calibri"/>
                        <w:b/>
                        <w:sz w:val="22"/>
                        <w:szCs w:val="24"/>
                      </w:rPr>
                    </w:pPr>
                    <w:r>
                      <w:rPr>
                        <w:rFonts w:eastAsia="Calibri"/>
                        <w:b/>
                        <w:sz w:val="22"/>
                        <w:szCs w:val="24"/>
                      </w:rPr>
                      <w:t>1.</w:t>
                      <w:tab/>
                      <w:t>Augantis senyvo amžiaus asmenų skaičius</w:t>
                    </w:r>
                  </w:p>
                  <w:p>
                    <w:pPr>
                      <w:rPr>
                        <w:sz w:val="10"/>
                        <w:szCs w:val="10"/>
                      </w:rPr>
                    </w:pPr>
                  </w:p>
                  <w:p>
                    <w:pPr>
                      <w:ind w:left="317"/>
                      <w:jc w:val="both"/>
                      <w:rPr>
                        <w:rFonts w:eastAsia="Calibri"/>
                        <w:bCs/>
                        <w:sz w:val="22"/>
                        <w:szCs w:val="24"/>
                      </w:rPr>
                    </w:pPr>
                    <w:r>
                      <w:rPr>
                        <w:rFonts w:eastAsia="Calibri"/>
                        <w:bCs/>
                        <w:sz w:val="22"/>
                        <w:szCs w:val="24"/>
                      </w:rPr>
                      <w:t>Daugėja vyresnio amžiaus šiauliečių, t. y. demografinis senatvės koeficientas (pagyvenusių (65+ m. amžiaus) žmonių skaičius, tenkantis 100-ui vaikų iki 15 m. amžiaus) padidėjo 10,2 proc., skirtingai nuo Vilniaus ir Kauno, kur šis koeficientas mažėjo. Tai lemia ilgėjanti vidutinė gyvenimo trukmė (nuo 74 m. (2015 m.) iki 77–78 m. (2016–2021 m.)), mažėjantis gimstamumas (nuo 1186 (2015 m.) iki 823 (2022 m.)), neigiama natūrali gyventojų kaita (530 asm. (2022 m.)), besitraukianti vaikų ir jaunimo dalis nuo visų Šiaulių miesto gyventojų (nuo 33,6 proc. (2015 m.) iki 27,7 proc. (2024 m.)) ir bendra senstančios visuomenės tendencija, nepakankama jaunų žmonių imigracija. Dėl mažėjančio gimstamumo ir besitraukiančios vaikų ir jaunimo dalies tarp miesto gyventojų kyla rizika, kad dar labiau ims trūkti kvalifikuotos darbo jėgos, vis daugiau reikės socialines paslaugas teikiančių darbuotojų, norint užtikrinti socialinių paslaugų prieinamumą ir jų suteikimą laiku, nes 2015–2022 m. sparčiai augo nestacionarių paslaugų gavėjų (956 proc.), socialinių paslaugų gavėjų skaičius namuose (40,2 proc.).</w:t>
                    </w:r>
                  </w:p>
                  <w:p>
                    <w:pPr>
                      <w:rPr>
                        <w:sz w:val="10"/>
                        <w:szCs w:val="10"/>
                      </w:rPr>
                    </w:pPr>
                  </w:p>
                  <w:p>
                    <w:pPr>
                      <w:ind w:left="720" w:hanging="360"/>
                      <w:jc w:val="both"/>
                      <w:rPr>
                        <w:rFonts w:eastAsia="Calibri"/>
                        <w:b/>
                        <w:sz w:val="22"/>
                        <w:szCs w:val="24"/>
                      </w:rPr>
                    </w:pPr>
                    <w:r>
                      <w:rPr>
                        <w:rFonts w:eastAsia="Calibri"/>
                        <w:b/>
                        <w:sz w:val="22"/>
                        <w:szCs w:val="24"/>
                      </w:rPr>
                      <w:t>2.</w:t>
                      <w:tab/>
                      <w:t>Kvalifikuotos darbo jėgos trūkumas</w:t>
                    </w:r>
                  </w:p>
                  <w:p>
                    <w:pPr>
                      <w:rPr>
                        <w:sz w:val="10"/>
                        <w:szCs w:val="10"/>
                      </w:rPr>
                    </w:pPr>
                  </w:p>
                  <w:p>
                    <w:pPr>
                      <w:ind w:left="360"/>
                      <w:jc w:val="both"/>
                      <w:rPr>
                        <w:rFonts w:eastAsia="Calibri"/>
                        <w:bCs/>
                        <w:sz w:val="22"/>
                        <w:szCs w:val="24"/>
                      </w:rPr>
                    </w:pPr>
                    <w:r>
                      <w:rPr>
                        <w:rFonts w:eastAsia="Calibri"/>
                        <w:bCs/>
                        <w:sz w:val="22"/>
                        <w:szCs w:val="24"/>
                      </w:rPr>
                      <w:t>Anot verslo atstovų, Šiauliuose labiausiai trūksta inžinerinės pakraipos aukštos kvalifikacijos specialistų, kurių Šiaulių valstybinė kolegija, Vilniaus universiteto Šiaulių akademija, Šiaulių technologijų mokymo centras parengia nepakankamai, dalies jų neruošia visai arba profesinis perorientavimas, prisitaikymas prie darbo rinkos sąlygų vyksta per lėtai, o pritraukti atitinkamos inžinerinės kvalifikacijos darbuotojų iš didžiųjų miestų yra sunku.</w:t>
                    </w:r>
                  </w:p>
                  <w:p>
                    <w:pPr>
                      <w:rPr>
                        <w:sz w:val="10"/>
                        <w:szCs w:val="10"/>
                      </w:rPr>
                    </w:pPr>
                  </w:p>
                  <w:p>
                    <w:pPr>
                      <w:ind w:left="720" w:hanging="360"/>
                      <w:jc w:val="both"/>
                      <w:rPr>
                        <w:rFonts w:eastAsia="Calibri"/>
                        <w:b/>
                        <w:sz w:val="22"/>
                        <w:szCs w:val="24"/>
                      </w:rPr>
                    </w:pPr>
                    <w:r>
                      <w:rPr>
                        <w:rFonts w:eastAsia="Calibri"/>
                        <w:b/>
                        <w:sz w:val="22"/>
                        <w:szCs w:val="24"/>
                      </w:rPr>
                      <w:t>3.</w:t>
                      <w:tab/>
                      <w:t>Nepakankamos sąlygos pritraukti stambų verslą / investuotojus</w:t>
                    </w:r>
                  </w:p>
                  <w:p>
                    <w:pPr>
                      <w:rPr>
                        <w:sz w:val="10"/>
                        <w:szCs w:val="10"/>
                      </w:rPr>
                    </w:pPr>
                  </w:p>
                  <w:p>
                    <w:pPr>
                      <w:ind w:left="360"/>
                      <w:jc w:val="both"/>
                      <w:rPr>
                        <w:rFonts w:eastAsia="Calibri"/>
                        <w:bCs/>
                        <w:sz w:val="22"/>
                        <w:szCs w:val="24"/>
                      </w:rPr>
                    </w:pPr>
                    <w:r>
                      <w:rPr>
                        <w:rFonts w:eastAsia="Calibri"/>
                        <w:bCs/>
                        <w:sz w:val="22"/>
                        <w:szCs w:val="24"/>
                      </w:rPr>
                      <w:t>Tiek TUI, tiek MI Šiaulių mieste gerokai atsilieka nuo Lietuvos vidurkio (atitinkamai 69,4 ir 30,7 proc.). Stambaus verslo atėjimui svarbi šiuo metu dar trūkstamos, ne visai paruoštos infrastruktūros veikti aplinka, t. y. susisiekimas įvairiomis transporto rūšimis, krovinių automobilių stovėjimo aikštelės ir pan. Stambesniems investuotojams skirtose LEZ, ŠPP teritorijose formuojasi labai didelė dalis miesto, kaip patrauklios vietos gyventi, aspektų, vienas svarbiausių – didesnis darbo užmokestis, aukštos kvalifikacijos specialistų atvykimas į miestą. Esant nepakankamam stambaus verslo susidomėjimui Šiaulių miesto investicine aplinka, kritiškai svarbus tampa smulkaus ir vidutinio verslo skatinimas.</w:t>
                    </w:r>
                  </w:p>
                  <w:p>
                    <w:pPr>
                      <w:rPr>
                        <w:sz w:val="10"/>
                        <w:szCs w:val="10"/>
                      </w:rPr>
                    </w:pPr>
                  </w:p>
                  <w:p>
                    <w:pPr>
                      <w:ind w:left="720" w:hanging="360"/>
                      <w:jc w:val="both"/>
                      <w:rPr>
                        <w:rFonts w:eastAsia="Calibri"/>
                        <w:b/>
                        <w:sz w:val="22"/>
                        <w:szCs w:val="24"/>
                      </w:rPr>
                    </w:pPr>
                    <w:r>
                      <w:rPr>
                        <w:rFonts w:eastAsia="Calibri"/>
                        <w:b/>
                        <w:sz w:val="22"/>
                        <w:szCs w:val="24"/>
                      </w:rPr>
                      <w:t>4.</w:t>
                      <w:tab/>
                      <w:t>Sveikatos specialistų trūkumas</w:t>
                    </w:r>
                  </w:p>
                  <w:p>
                    <w:pPr>
                      <w:rPr>
                        <w:sz w:val="10"/>
                        <w:szCs w:val="10"/>
                      </w:rPr>
                    </w:pPr>
                  </w:p>
                  <w:p>
                    <w:pPr>
                      <w:ind w:left="360"/>
                      <w:jc w:val="both"/>
                      <w:rPr>
                        <w:rFonts w:eastAsia="Calibri"/>
                        <w:bCs/>
                        <w:sz w:val="22"/>
                        <w:szCs w:val="24"/>
                      </w:rPr>
                    </w:pPr>
                    <w:r>
                      <w:rPr>
                        <w:rFonts w:eastAsia="Calibri"/>
                        <w:bCs/>
                        <w:sz w:val="22"/>
                        <w:szCs w:val="24"/>
                      </w:rPr>
                      <w:t>Aplinkybė, sukurianti ilgas laukimo pas gydytojus eiles (gyventojų nuomone, tai vienas prasčiausiai vertinamų aspektų visų gaunamų paslaugų pakete), kuri yra nulemta sveikatos specialistų stygiumi mieste, nekonkurencingu medicinos darbuotojų atlyginimu, didele didžiųjų miestų ir gydymo įstaigų konkurencija šioje srityje. Taip pat keliama prielaida, kad gydytojų pritraukimą apsunkina ir nepalankus kai kurių Šiauliuose veikiančių sveikatos priežiūros įstaigų įvaizdis. Didžiausias sveikatos specialistų trūkumas fiksuojamas psichikos sveikatos stiprinimo srityje.</w:t>
                    </w:r>
                  </w:p>
                  <w:p>
                    <w:pPr>
                      <w:rPr>
                        <w:sz w:val="10"/>
                        <w:szCs w:val="10"/>
                      </w:rPr>
                    </w:pPr>
                  </w:p>
                  <w:p>
                    <w:pPr>
                      <w:ind w:left="720" w:hanging="360"/>
                      <w:jc w:val="both"/>
                      <w:rPr>
                        <w:rFonts w:eastAsia="Calibri"/>
                        <w:b/>
                        <w:sz w:val="22"/>
                        <w:szCs w:val="24"/>
                      </w:rPr>
                    </w:pPr>
                    <w:r>
                      <w:rPr>
                        <w:rFonts w:eastAsia="Calibri"/>
                        <w:b/>
                        <w:sz w:val="22"/>
                        <w:szCs w:val="24"/>
                      </w:rPr>
                      <w:t>5.</w:t>
                      <w:tab/>
                      <w:t>Mažėjantis mokytojų skaičius ir didėjantis mokytojų ir sporto specialistų amžius</w:t>
                    </w:r>
                  </w:p>
                  <w:p>
                    <w:pPr>
                      <w:rPr>
                        <w:sz w:val="10"/>
                        <w:szCs w:val="10"/>
                      </w:rPr>
                    </w:pPr>
                  </w:p>
                  <w:p>
                    <w:pPr>
                      <w:ind w:left="360"/>
                      <w:jc w:val="both"/>
                      <w:rPr>
                        <w:rFonts w:eastAsia="Calibri"/>
                        <w:bCs/>
                        <w:sz w:val="22"/>
                        <w:szCs w:val="24"/>
                      </w:rPr>
                    </w:pPr>
                    <w:r>
                      <w:rPr>
                        <w:rFonts w:eastAsia="Calibri"/>
                        <w:bCs/>
                        <w:sz w:val="22"/>
                        <w:szCs w:val="24"/>
                      </w:rPr>
                      <w:t>Jaunesnių nei 50 metų, taip pat 50 metų ir vyresnio amžiaus mokytojų skaičiaus santykis mažėjo per visus 2015–2023 m., o paskutiniaisiais metais pasiekė žemiausią 0,62 ribą (t. y. 50 metų ir vyresnio amžiaus mokytojų dalis išaugo). Pedagoginių darbuotojų švietimo įstaigose mažėjimą lemia bendros Lietuvos tendencijos (prestižo neturinti, nepatraukli specialybė), nekonkurencingi mokytojų ir sporto specialistų (ypač jaunų) atlyginimai.</w:t>
                    </w:r>
                  </w:p>
                  <w:p>
                    <w:pPr>
                      <w:rPr>
                        <w:sz w:val="10"/>
                        <w:szCs w:val="10"/>
                      </w:rPr>
                    </w:pPr>
                  </w:p>
                  <w:p>
                    <w:pPr>
                      <w:ind w:left="720" w:hanging="360"/>
                      <w:jc w:val="both"/>
                      <w:rPr>
                        <w:rFonts w:eastAsia="Calibri"/>
                        <w:b/>
                        <w:sz w:val="22"/>
                        <w:szCs w:val="24"/>
                      </w:rPr>
                    </w:pPr>
                    <w:r>
                      <w:rPr>
                        <w:rFonts w:eastAsia="Calibri"/>
                        <w:b/>
                        <w:sz w:val="22"/>
                        <w:szCs w:val="24"/>
                      </w:rPr>
                      <w:t>6.</w:t>
                      <w:tab/>
                      <w:t>Nepakankamas studentų skaičius Šiaulių valstybinėje kolegijoje ir Vilniaus universiteto Šiaulių akademijoje</w:t>
                    </w:r>
                  </w:p>
                  <w:p>
                    <w:pPr>
                      <w:rPr>
                        <w:sz w:val="10"/>
                        <w:szCs w:val="10"/>
                      </w:rPr>
                    </w:pPr>
                  </w:p>
                  <w:p>
                    <w:pPr>
                      <w:ind w:left="360"/>
                      <w:jc w:val="both"/>
                      <w:rPr>
                        <w:rFonts w:eastAsia="Calibri"/>
                        <w:bCs/>
                        <w:sz w:val="22"/>
                        <w:szCs w:val="24"/>
                      </w:rPr>
                    </w:pPr>
                    <w:r>
                      <w:rPr>
                        <w:rFonts w:eastAsia="Calibri"/>
                        <w:bCs/>
                        <w:sz w:val="22"/>
                        <w:szCs w:val="24"/>
                      </w:rPr>
                      <w:t>Prie šios problemos pirmiausia prisideda demografinės tendencijos: vaikų ir jaunimo dalis nuo visų miesto gyventojų 2015 m. siekė 33,6 proc., o 2024 m. – jau tik 27,7 proc. (emigracija, studijų užsienyje alternatyvos, didmiesčių trauka ir pan.). Kitos problemos priežastys gali slypėti daugelyje švietimo sistemos dedamųjų: suprastėję brandos egzaminų rezultatai, švietimo kokybė – įvairovė, modernizacijos lygis, mokytojų / dėstytojų kvalifikacija, programų patrauklumas. Visi minimi veiksniai prisideda ir trukdo pritraukti pakankamai studentų iš kitų vietovių. Visgi svarbu paminėti, kad 2022–2023 m. Vilniaus universiteto Šiaulių akademijoje studentų skaičius išaugo 46 proc. (nuo 1059 iki 1550 studentų), o Šiaulių valstybinėje kolegijoje pradėjo augti nuo 2021 m. (nuo 1304 studentų iki 1631 studentų (25 proc. augimas)), tačiau bendra studentų ir besimokančiųjų profesiniu lygiu mokinių dalis mieste vis tiek išlieka gerokai mažesnė nei 2015 m. (7,8 proc. – 2015 m., 5,3 proc. – 2023 m.). Studentų skaičiaus augimas siejamas su bendru aukštųjų mokyklų, profesinio mokymo įstaigų ir savivaldybės pastangų pritraukti daugiau jaunimo projektu „Šiauliai – karjeros miestas“.</w:t>
                    </w:r>
                  </w:p>
                  <w:p>
                    <w:pPr>
                      <w:rPr>
                        <w:sz w:val="10"/>
                        <w:szCs w:val="10"/>
                      </w:rPr>
                    </w:pPr>
                  </w:p>
                  <w:p>
                    <w:pPr>
                      <w:ind w:left="720" w:hanging="360"/>
                      <w:jc w:val="both"/>
                      <w:rPr>
                        <w:rFonts w:eastAsia="Calibri"/>
                        <w:b/>
                        <w:sz w:val="22"/>
                        <w:szCs w:val="24"/>
                      </w:rPr>
                    </w:pPr>
                    <w:r>
                      <w:rPr>
                        <w:rFonts w:eastAsia="Calibri"/>
                        <w:b/>
                        <w:sz w:val="22"/>
                        <w:szCs w:val="24"/>
                      </w:rPr>
                      <w:t>7.</w:t>
                      <w:tab/>
                      <w:t>Sumažėjusios turizmo apimtys</w:t>
                    </w:r>
                  </w:p>
                  <w:p>
                    <w:pPr>
                      <w:rPr>
                        <w:sz w:val="10"/>
                        <w:szCs w:val="10"/>
                      </w:rPr>
                    </w:pPr>
                  </w:p>
                  <w:p>
                    <w:pPr>
                      <w:ind w:left="360"/>
                      <w:jc w:val="both"/>
                      <w:rPr>
                        <w:rFonts w:eastAsia="Calibri"/>
                        <w:bCs/>
                        <w:sz w:val="22"/>
                        <w:szCs w:val="24"/>
                      </w:rPr>
                    </w:pPr>
                    <w:r>
                      <w:rPr>
                        <w:rFonts w:eastAsia="Calibri"/>
                        <w:bCs/>
                        <w:sz w:val="22"/>
                        <w:szCs w:val="24"/>
                      </w:rPr>
                      <w:t>Turizmo sektorius pateko tarp labiausiai nukentėjusiųjų nuo COVID-19. Turistų skaičius 2023 m. nukrito 30 proc., palyginti su 2015 m., tačiau apgyvendinimo įstaigų užimtumas nepatyrė smarkaus kritimo, nes Šiauliuose daugiau nei 50 proc. apgyvendinimo užimtumo numerių ir vietų sudaro NATO misijos kariai ir darbuotojai iš trečiųjų šalių. Pandemija pakeitė keliautojų įpročius (daugiau keliaujama pavieniui, mažomis grupelėmis), populiaresnis tapo kaimo turizmas, buvimas arčiau gamtos. Nuo vartotojiškumo turistai persiorientuoja į aplinką tausojančius sprendimus, todėl norint atsižvelgti į turistų poreikius, būtina investuoti į tvarumą ir ekologiją. Turizmo sektoriaus atstovams reikia galvoti apie tolimesnes ateities perspektyvas, t. y. atrasti skirtingas turizmo rūšis, identifikuoti socialinių pokyčių sąveikas ir integruoti technologines inovacijas turizmo sektoriuje. Prie vienos dienos turizmo mažinimo Šiaulių mieste prisidėtų apgyvendinimo vietų didelėms turistų grupėms ir nakvynės masinių renginių metu problemos sprendimas.</w:t>
                    </w:r>
                  </w:p>
                  <w:p>
                    <w:pPr>
                      <w:rPr>
                        <w:sz w:val="10"/>
                        <w:szCs w:val="10"/>
                      </w:rPr>
                    </w:pPr>
                  </w:p>
                  <w:p>
                    <w:pPr>
                      <w:ind w:left="720" w:hanging="360"/>
                      <w:jc w:val="both"/>
                      <w:rPr>
                        <w:rFonts w:eastAsia="Calibri"/>
                        <w:b/>
                        <w:sz w:val="22"/>
                        <w:szCs w:val="24"/>
                      </w:rPr>
                    </w:pPr>
                    <w:r>
                      <w:rPr>
                        <w:rFonts w:eastAsia="Calibri"/>
                        <w:b/>
                        <w:sz w:val="22"/>
                        <w:szCs w:val="24"/>
                      </w:rPr>
                      <w:t>8.</w:t>
                      <w:tab/>
                      <w:t>Laisvalaikio veiklų trūkumas</w:t>
                    </w:r>
                  </w:p>
                  <w:p>
                    <w:pPr>
                      <w:rPr>
                        <w:sz w:val="10"/>
                        <w:szCs w:val="10"/>
                      </w:rPr>
                    </w:pPr>
                  </w:p>
                  <w:p>
                    <w:pPr>
                      <w:ind w:left="360"/>
                      <w:jc w:val="both"/>
                      <w:rPr>
                        <w:rFonts w:eastAsia="Calibri"/>
                        <w:bCs/>
                        <w:sz w:val="22"/>
                        <w:szCs w:val="24"/>
                      </w:rPr>
                    </w:pPr>
                    <w:r>
                      <w:rPr>
                        <w:rFonts w:eastAsia="Calibri"/>
                        <w:bCs/>
                        <w:sz w:val="22"/>
                        <w:szCs w:val="24"/>
                      </w:rPr>
                      <w:t>Vienas pagrindinių neigiamų miesto aspektų, kurį įvardijo gyventojai – trūksta inovatyvių kultūros paslaugų ir produktų, t. y. renginių, pramogų laisvalaikio metu. Nors 2015–2022 m. kultūros centruose lankytojų skaičius išaugo (74,1 proc.), kritęs kolektyvų (37,5 proc.) ir kolektyvų dalyvių (26,7 proc.) skaičius rodo pasyvų gyventojų įsitraukimą į kultūrinį gyvenimą. Tą signalizuoja mažėjantis bibliotekų lankytojų (19,5 proc.) ir registruotų vartotojų skaičius (45,5 proc.). Daugeliui su kultūros ir turizmo sritimi susijusių veiklų, renginių ir mažėjančiam dalyvių skaičiui įtakos turėjo COVID-19 pandemijos nulemti apribojimai ir po jų pasikeitę vartotojų įpročiai, kultūros renginių įvairovės trūkumas, lankstus kultūros įstaigų darbo grafikas, t. y. savaitgaliais ar švenčių dienomis. Siekiant mažinti „akropolio kultūros“ laisvalaikį, miestiečiams būtina pasiūlyti naujų pramogų ne tik šiltuoju, bet ir šaltuoju sezono metu. Didelį dėmesį skirti siekiant į miestą pritraukti vandens pramogų kompleksą, kuris visais metų laikais didintų miesto svečių ir gyventojų užimtumą.</w:t>
                    </w:r>
                  </w:p>
                  <w:p>
                    <w:pPr>
                      <w:rPr>
                        <w:sz w:val="10"/>
                        <w:szCs w:val="10"/>
                      </w:rPr>
                    </w:pPr>
                  </w:p>
                  <w:p>
                    <w:pPr>
                      <w:ind w:left="720" w:hanging="360"/>
                      <w:jc w:val="both"/>
                      <w:rPr>
                        <w:rFonts w:eastAsia="Calibri"/>
                        <w:b/>
                        <w:sz w:val="22"/>
                        <w:szCs w:val="24"/>
                      </w:rPr>
                    </w:pPr>
                    <w:r>
                      <w:rPr>
                        <w:rFonts w:eastAsia="Calibri"/>
                        <w:b/>
                        <w:sz w:val="22"/>
                        <w:szCs w:val="24"/>
                      </w:rPr>
                      <w:t>9.</w:t>
                      <w:tab/>
                      <w:t>Augantis komunalinių atliekų kiekis</w:t>
                    </w:r>
                  </w:p>
                  <w:p>
                    <w:pPr>
                      <w:rPr>
                        <w:sz w:val="10"/>
                        <w:szCs w:val="10"/>
                      </w:rPr>
                    </w:pPr>
                  </w:p>
                  <w:p>
                    <w:pPr>
                      <w:ind w:left="360"/>
                      <w:jc w:val="both"/>
                      <w:rPr>
                        <w:rFonts w:eastAsia="Calibri"/>
                        <w:bCs/>
                        <w:sz w:val="22"/>
                        <w:szCs w:val="24"/>
                      </w:rPr>
                    </w:pPr>
                    <w:r>
                      <w:rPr>
                        <w:rFonts w:eastAsia="Calibri"/>
                        <w:bCs/>
                        <w:sz w:val="22"/>
                        <w:szCs w:val="24"/>
                      </w:rPr>
                      <w:t>Nepaisant vykdomų visuomenės švietimo ir informavimo priemonių apie atsakingo vartojimo būdus, komunalinių atliekų rūšiavimą, maisto švaistymą, vartojimo įpročių pokyčius, komunalinių atliekų kiekis vienam gyventojui savivaldybėje kiekvienais metais auga (4,9 proc. 2015–2021 m.). Egzistuoja nepakankama tvarka, švara ir jos kontrolės priemonės prie daugiabučių namų atliekų konteinerių. Nors Šiaulių mieste pakankamai išplėtota pakuočių atliekų surinkimo sistema, labiausiai stringa tekstilės atliekų surinkimo sistema, t. y. nemaža dalis tekstilės atliekų patenka į mišrias komunalines atliekas. Didžioji dalis buityje susidarančių pavojingų atliekų šiuo metu nėra surenkamos atskirai ir patenka į mišrias komunalines atliekas.</w:t>
                    </w:r>
                  </w:p>
                  <w:p>
                    <w:pPr>
                      <w:rPr>
                        <w:sz w:val="10"/>
                        <w:szCs w:val="10"/>
                      </w:rPr>
                    </w:pPr>
                  </w:p>
                  <w:p>
                    <w:pPr>
                      <w:ind w:left="720" w:hanging="360"/>
                      <w:jc w:val="both"/>
                      <w:rPr>
                        <w:rFonts w:eastAsia="Calibri"/>
                        <w:b/>
                        <w:sz w:val="22"/>
                        <w:szCs w:val="24"/>
                      </w:rPr>
                    </w:pPr>
                    <w:r>
                      <w:rPr>
                        <w:rFonts w:eastAsia="Calibri"/>
                        <w:b/>
                        <w:sz w:val="22"/>
                        <w:szCs w:val="24"/>
                      </w:rPr>
                      <w:t>10.</w:t>
                      <w:tab/>
                      <w:t>Atsinaujinančių energijos išteklių naudojimo skatinimo ir energijos vartojimo efektyvumo didinimo trūkumas</w:t>
                    </w:r>
                  </w:p>
                  <w:p>
                    <w:pPr>
                      <w:rPr>
                        <w:sz w:val="10"/>
                        <w:szCs w:val="10"/>
                      </w:rPr>
                    </w:pPr>
                  </w:p>
                  <w:p>
                    <w:pPr>
                      <w:ind w:left="360"/>
                      <w:jc w:val="both"/>
                      <w:rPr>
                        <w:rFonts w:eastAsia="Calibri"/>
                        <w:bCs/>
                        <w:sz w:val="22"/>
                        <w:szCs w:val="24"/>
                      </w:rPr>
                    </w:pPr>
                    <w:r>
                      <w:rPr>
                        <w:rFonts w:eastAsia="Calibri"/>
                        <w:bCs/>
                        <w:sz w:val="22"/>
                        <w:szCs w:val="24"/>
                      </w:rPr>
                      <w:t>Atsinaujinančių energijos išteklių naudojimo skatinimo ir energijos vartojimo efektyvumo didinimo srityse Šiaulių miestas tarp Lietuvos savivaldybių užima 52 vietą iš 60 savivaldybių pagal Savivaldybės darnios energetikos plėtros indeksą. Prasčiausiai vertinami rodikliai buvo AIE naudojimo veiksmų plano projekto / plano nebuvimas (dabar 0 balų iš 8), renovuotų daugiabučių dalis (1 balas iš 20), elektromobilių įkrovimo stotelių skaičius 1000 gyventojų (1 balas iš 6), elektromobilių skaičius 1000 gyventojų (1,5 balo iš 5), paprastųjų gaminančių vartotojų įrenginių galia 1000 gyventojų (2 balai iš 9).</w:t>
                    </w:r>
                  </w:p>
                  <w:p>
                    <w:pPr>
                      <w:rPr>
                        <w:sz w:val="10"/>
                        <w:szCs w:val="10"/>
                      </w:rPr>
                    </w:pPr>
                  </w:p>
                  <w:p>
                    <w:pPr>
                      <w:ind w:left="720" w:hanging="360"/>
                      <w:jc w:val="both"/>
                      <w:rPr>
                        <w:rFonts w:eastAsia="Calibri"/>
                        <w:b/>
                        <w:sz w:val="22"/>
                        <w:szCs w:val="24"/>
                      </w:rPr>
                    </w:pPr>
                    <w:r>
                      <w:rPr>
                        <w:rFonts w:eastAsia="Calibri"/>
                        <w:b/>
                        <w:sz w:val="22"/>
                        <w:szCs w:val="24"/>
                      </w:rPr>
                      <w:t>11.</w:t>
                      <w:tab/>
                      <w:t xml:space="preserve">Miesto teritorijos neplanuojamos kompleksiškai ir tolygiai </w:t>
                    </w:r>
                  </w:p>
                  <w:p>
                    <w:pPr>
                      <w:rPr>
                        <w:sz w:val="10"/>
                        <w:szCs w:val="10"/>
                      </w:rPr>
                    </w:pPr>
                  </w:p>
                  <w:p>
                    <w:pPr>
                      <w:ind w:left="357"/>
                      <w:jc w:val="both"/>
                      <w:rPr>
                        <w:rFonts w:eastAsia="Calibri"/>
                        <w:bCs/>
                        <w:sz w:val="22"/>
                        <w:szCs w:val="24"/>
                      </w:rPr>
                    </w:pPr>
                    <w:r>
                      <w:rPr>
                        <w:rFonts w:eastAsia="Calibri"/>
                        <w:bCs/>
                        <w:sz w:val="22"/>
                        <w:szCs w:val="24"/>
                      </w:rPr>
                      <w:t>Patrauklumas mažėja tankiai apgyvendintuose rajonuose, kur atnaujinta tik 5 proc. daugiabučių. Priemiestinių rajonų patrauklumas didėja, kur išduota didžioji dalis naujos statybos leidimų (2015–2022 m. daugiau kaip 54 proc.). Dėl to kyla poreikis naujai infrastruktūrai netankiuose rajonuose, o esama infrastruktūra tampa mažiau apkrauta. Šią problemą gilina ir šiuolaikiškų planavimo metodikų trūkumas. Stinga priemonių miesto plėtojimo skatinimui centrinėse, gerai aprūpintose teritorijose. Trūksta nuoseklumo ir resursų modernizuojant ar tiesiant naują inžinerinę infrastruktūrą, ji plėtojama fragmentiškai ir be didelio proveržio.</w:t>
                    </w:r>
                  </w:p>
                  <w:p>
                    <w:pPr>
                      <w:rPr>
                        <w:sz w:val="10"/>
                        <w:szCs w:val="10"/>
                      </w:rPr>
                    </w:pPr>
                  </w:p>
                  <w:p>
                    <w:pPr>
                      <w:ind w:left="357"/>
                      <w:jc w:val="both"/>
                      <w:rPr>
                        <w:rFonts w:eastAsia="Calibri"/>
                        <w:b/>
                        <w:sz w:val="22"/>
                        <w:szCs w:val="24"/>
                      </w:rPr>
                    </w:pPr>
                    <w:r>
                      <w:rPr>
                        <w:rFonts w:eastAsia="Calibri"/>
                        <w:b/>
                        <w:sz w:val="22"/>
                        <w:szCs w:val="24"/>
                      </w:rPr>
                      <w:t>12. Netolygiai išvystyta miesto infrastruktūra</w:t>
                    </w:r>
                  </w:p>
                  <w:p>
                    <w:pPr>
                      <w:rPr>
                        <w:sz w:val="10"/>
                        <w:szCs w:val="10"/>
                      </w:rPr>
                    </w:pPr>
                  </w:p>
                  <w:p>
                    <w:pPr>
                      <w:ind w:left="357"/>
                      <w:jc w:val="both"/>
                      <w:rPr>
                        <w:rFonts w:eastAsia="Calibri"/>
                        <w:bCs/>
                        <w:sz w:val="22"/>
                        <w:szCs w:val="24"/>
                      </w:rPr>
                    </w:pPr>
                    <w:r>
                      <w:rPr>
                        <w:rFonts w:eastAsia="Calibri"/>
                        <w:bCs/>
                        <w:sz w:val="22"/>
                        <w:szCs w:val="24"/>
                      </w:rPr>
                      <w:t>Miesto gatvės, viešasis transportas, dviračių bei pėsčiųjų takai stokoja kokybės, nuoseklumo ir tvarumo, t. y. nepakankama gatvių kokybė (30 proc. gatvių nėra asfaltuotos), mažai tvarus viešasis transportas (autobusų parkas neturi tvariu kuru varomų autobusų), netolygus ir fragmentiškas dviračių takų tinklas (remiantis ankstesniais duomenimis, tik 0,5 proc. gyventojų rytinio piko metu keliauja dviračiu), nenuoseklus ir ne visur saugus pėsčiųjų judėjimas neskatina miestiečius judėti tvariai, kokybiškai ir greitai.</w:t>
                    </w: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both"/>
                      <w:rPr>
                        <w:rFonts w:eastAsia="Calibri"/>
                        <w:b/>
                        <w:sz w:val="22"/>
                        <w:szCs w:val="24"/>
                      </w:rPr>
                    </w:pPr>
                    <w:r>
                      <w:rPr>
                        <w:rFonts w:eastAsia="Calibri"/>
                        <w:b/>
                        <w:sz w:val="22"/>
                        <w:szCs w:val="24"/>
                      </w:rPr>
                      <w:t>Stiprybių, silpnybių, galimybių ir grėsmių (toliau –</w:t>
                    </w:r>
                    <w:r>
                      <w:rPr>
                        <w:rFonts w:eastAsia="Calibri"/>
                        <w:i/>
                        <w:sz w:val="22"/>
                        <w:szCs w:val="24"/>
                      </w:rPr>
                      <w:t xml:space="preserve"> </w:t>
                    </w:r>
                    <w:r>
                      <w:rPr>
                        <w:rFonts w:eastAsia="Calibri"/>
                        <w:b/>
                        <w:sz w:val="22"/>
                        <w:szCs w:val="24"/>
                      </w:rPr>
                      <w:t>SSGG) analizė</w:t>
                    </w:r>
                  </w:p>
                  <w:p>
                    <w:pPr>
                      <w:rPr>
                        <w:sz w:val="10"/>
                        <w:szCs w:val="10"/>
                      </w:rPr>
                    </w:pPr>
                  </w:p>
                  <w:p>
                    <w:pPr>
                      <w:jc w:val="both"/>
                      <w:rPr>
                        <w:rFonts w:eastAsia="Calibri"/>
                        <w:bCs/>
                        <w:sz w:val="22"/>
                        <w:szCs w:val="24"/>
                      </w:rPr>
                    </w:pPr>
                    <w:r>
                      <w:rPr>
                        <w:rFonts w:eastAsia="Calibri"/>
                        <w:bCs/>
                        <w:sz w:val="22"/>
                        <w:szCs w:val="24"/>
                      </w:rPr>
                      <w:t>Šioje dalyje pateikta bendra visų sričių SSGG ir jos elementų sąsajos, nurodant, kaip vienų veiksnių pokyčiai gali paveikti kitus.</w:t>
                    </w:r>
                  </w:p>
                  <w:p>
                    <w:pPr>
                      <w:rPr>
                        <w:sz w:val="10"/>
                        <w:szCs w:val="10"/>
                      </w:rPr>
                    </w:pPr>
                  </w:p>
                  <w:tbl>
                    <w:tblPr>
                      <w:tblW w:w="9413" w:type="dxa"/>
                      <w:tblBorders>
                        <w:top w:val="single" w:sz="8" w:space="0" w:color="F2F2F2"/>
                        <w:left w:val="single" w:sz="8" w:space="0" w:color="F2F2F2"/>
                        <w:bottom w:val="single" w:sz="8" w:space="0" w:color="F2F2F2"/>
                        <w:right w:val="single" w:sz="8" w:space="0" w:color="F2F2F2"/>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
                      <w:gridCol w:w="4703"/>
                      <w:gridCol w:w="4667"/>
                      <w:gridCol w:w="34"/>
                    </w:tblGrid>
                    <w:tr>
                      <w:trPr>
                        <w:gridBefore w:val="1"/>
                        <w:gridAfter w:val="1"/>
                        <w:wBefore w:w="5" w:type="pct"/>
                        <w:wAfter w:w="18" w:type="pct"/>
                        <w:trHeight w:val="567"/>
                      </w:trPr>
                      <w:tc>
                        <w:tcPr>
                          <w:tcW w:w="2498" w:type="pct"/>
                          <w:shd w:val="clear" w:color="auto" w:fill="auto"/>
                          <w:tcMar>
                            <w:top w:w="72" w:type="dxa"/>
                            <w:left w:w="144" w:type="dxa"/>
                            <w:bottom w:w="72" w:type="dxa"/>
                            <w:right w:w="144" w:type="dxa"/>
                          </w:tcMar>
                        </w:tcPr>
                        <w:p>
                          <w:pPr>
                            <w:rPr>
                              <w:sz w:val="10"/>
                              <w:szCs w:val="10"/>
                            </w:rPr>
                          </w:pPr>
                        </w:p>
                        <w:p>
                          <w:pPr>
                            <w:ind w:right="142"/>
                            <w:jc w:val="center"/>
                            <w:rPr>
                              <w:rFonts w:eastAsia="MS Mincho"/>
                              <w:b/>
                              <w:bCs/>
                              <w:color w:val="CB8C01"/>
                              <w:kern w:val="2"/>
                              <w:sz w:val="22"/>
                              <w:szCs w:val="24"/>
                            </w:rPr>
                          </w:pPr>
                          <w:r>
                            <w:rPr>
                              <w:rFonts w:eastAsia="MS Mincho"/>
                              <w:b/>
                              <w:bCs/>
                              <w:color w:val="CB8C01"/>
                              <w:kern w:val="2"/>
                              <w:sz w:val="22"/>
                              <w:szCs w:val="24"/>
                            </w:rPr>
                            <w:t>STIPRYBĖS</w:t>
                          </w:r>
                        </w:p>
                      </w:tc>
                      <w:tc>
                        <w:tcPr>
                          <w:tcW w:w="2479" w:type="pct"/>
                          <w:shd w:val="clear" w:color="auto" w:fill="auto"/>
                          <w:tcMar>
                            <w:top w:w="72" w:type="dxa"/>
                            <w:left w:w="144" w:type="dxa"/>
                            <w:bottom w:w="72" w:type="dxa"/>
                            <w:right w:w="144" w:type="dxa"/>
                          </w:tcMar>
                        </w:tcPr>
                        <w:p>
                          <w:pPr>
                            <w:rPr>
                              <w:sz w:val="10"/>
                              <w:szCs w:val="10"/>
                            </w:rPr>
                          </w:pPr>
                        </w:p>
                        <w:p>
                          <w:pPr>
                            <w:ind w:right="142"/>
                            <w:jc w:val="center"/>
                            <w:rPr>
                              <w:rFonts w:eastAsia="MS Mincho"/>
                              <w:b/>
                              <w:bCs/>
                              <w:color w:val="E86700"/>
                              <w:kern w:val="2"/>
                              <w:sz w:val="22"/>
                              <w:szCs w:val="24"/>
                            </w:rPr>
                          </w:pPr>
                          <w:r>
                            <w:rPr>
                              <w:rFonts w:eastAsia="MS Mincho"/>
                              <w:b/>
                              <w:bCs/>
                              <w:color w:val="AD4C00"/>
                              <w:kern w:val="2"/>
                              <w:sz w:val="22"/>
                              <w:szCs w:val="24"/>
                            </w:rPr>
                            <w:t>SILPNYBĖS</w:t>
                          </w:r>
                        </w:p>
                      </w:tc>
                    </w:tr>
                    <w:tr>
                      <w:trPr>
                        <w:gridBefore w:val="1"/>
                        <w:wBefore w:w="5" w:type="pct"/>
                        <w:trHeight w:val="1604"/>
                      </w:trPr>
                      <w:tc>
                        <w:tcPr>
                          <w:tcW w:w="2498" w:type="pct"/>
                          <w:shd w:val="clear" w:color="auto" w:fill="auto"/>
                          <w:tcMar>
                            <w:top w:w="72" w:type="dxa"/>
                            <w:left w:w="144" w:type="dxa"/>
                            <w:bottom w:w="72" w:type="dxa"/>
                            <w:right w:w="144" w:type="dxa"/>
                          </w:tcMar>
                        </w:tcPr>
                        <w:p>
                          <w:pPr>
                            <w:rPr>
                              <w:sz w:val="10"/>
                              <w:szCs w:val="10"/>
                            </w:rPr>
                          </w:pPr>
                        </w:p>
                        <w:p>
                          <w:pPr>
                            <w:ind w:right="142"/>
                            <w:jc w:val="both"/>
                            <w:rPr>
                              <w:rFonts w:eastAsia="MS Mincho"/>
                              <w:kern w:val="2"/>
                              <w:sz w:val="22"/>
                              <w:szCs w:val="22"/>
                            </w:rPr>
                          </w:pPr>
                          <w:r>
                            <w:rPr>
                              <w:rFonts w:eastAsia="MS Mincho"/>
                              <w:kern w:val="2"/>
                              <w:sz w:val="22"/>
                              <w:szCs w:val="22"/>
                            </w:rPr>
                            <w:t>ST1: Sparčiai auganti imigracija į Šiaulių miestą;</w:t>
                          </w:r>
                        </w:p>
                        <w:p>
                          <w:pPr>
                            <w:rPr>
                              <w:sz w:val="10"/>
                              <w:szCs w:val="10"/>
                            </w:rPr>
                          </w:pPr>
                        </w:p>
                        <w:p>
                          <w:pPr>
                            <w:ind w:right="142"/>
                            <w:jc w:val="both"/>
                            <w:rPr>
                              <w:rFonts w:eastAsia="MS Mincho"/>
                              <w:kern w:val="2"/>
                              <w:sz w:val="22"/>
                              <w:szCs w:val="22"/>
                            </w:rPr>
                          </w:pPr>
                          <w:r>
                            <w:rPr>
                              <w:rFonts w:eastAsia="MS Mincho"/>
                              <w:kern w:val="2"/>
                              <w:sz w:val="22"/>
                              <w:szCs w:val="22"/>
                            </w:rPr>
                            <w:t>ST2: Bene sparčiausiai augantis vidutinis darbo užmokestis, palyginti su kitais Lietuvos didžiaisiais miestais (antras didžiausias augimas), ir vienintelė savivaldybė iš didžiųjų miestų, kurioje vidutinis moterų atlyginimas yra didesnis už vyrų;</w:t>
                          </w:r>
                        </w:p>
                        <w:p>
                          <w:pPr>
                            <w:rPr>
                              <w:sz w:val="10"/>
                              <w:szCs w:val="10"/>
                            </w:rPr>
                          </w:pPr>
                        </w:p>
                        <w:p>
                          <w:pPr>
                            <w:ind w:right="142"/>
                            <w:jc w:val="both"/>
                            <w:rPr>
                              <w:rFonts w:eastAsia="MS Mincho"/>
                              <w:kern w:val="2"/>
                              <w:sz w:val="22"/>
                              <w:szCs w:val="22"/>
                            </w:rPr>
                          </w:pPr>
                          <w:r>
                            <w:rPr>
                              <w:rFonts w:eastAsia="MS Mincho"/>
                              <w:kern w:val="2"/>
                              <w:sz w:val="22"/>
                              <w:szCs w:val="22"/>
                            </w:rPr>
                            <w:t>ST3: Sumažėjęs ilgalaikių bedarbių skaičius;</w:t>
                          </w:r>
                        </w:p>
                        <w:p>
                          <w:pPr>
                            <w:rPr>
                              <w:sz w:val="10"/>
                              <w:szCs w:val="10"/>
                            </w:rPr>
                          </w:pPr>
                        </w:p>
                        <w:p>
                          <w:pPr>
                            <w:ind w:right="142"/>
                            <w:jc w:val="both"/>
                            <w:rPr>
                              <w:rFonts w:eastAsia="MS Mincho"/>
                              <w:kern w:val="2"/>
                              <w:sz w:val="22"/>
                              <w:szCs w:val="22"/>
                            </w:rPr>
                          </w:pPr>
                          <w:r>
                            <w:rPr>
                              <w:rFonts w:eastAsia="MS Mincho"/>
                              <w:kern w:val="2"/>
                              <w:sz w:val="22"/>
                              <w:szCs w:val="22"/>
                            </w:rPr>
                            <w:t>ST4: Investicijų tolygumas: didelės materialinės investicijos paslaugų sektoriui, taip pat augančios materialinės investicijos pramonės sektoriui;</w:t>
                          </w:r>
                        </w:p>
                        <w:p>
                          <w:pPr>
                            <w:rPr>
                              <w:sz w:val="10"/>
                              <w:szCs w:val="10"/>
                            </w:rPr>
                          </w:pPr>
                        </w:p>
                        <w:p>
                          <w:pPr>
                            <w:ind w:right="142"/>
                            <w:jc w:val="both"/>
                            <w:rPr>
                              <w:rFonts w:eastAsia="MS Mincho"/>
                              <w:kern w:val="2"/>
                              <w:sz w:val="22"/>
                              <w:szCs w:val="22"/>
                            </w:rPr>
                          </w:pPr>
                          <w:r>
                            <w:rPr>
                              <w:rFonts w:eastAsia="MS Mincho"/>
                              <w:kern w:val="2"/>
                              <w:sz w:val="22"/>
                              <w:szCs w:val="22"/>
                            </w:rPr>
                            <w:t>ST5: Auganti smulkių ir vidutinių įmonių apyvarta;</w:t>
                          </w:r>
                        </w:p>
                        <w:p>
                          <w:pPr>
                            <w:rPr>
                              <w:sz w:val="10"/>
                              <w:szCs w:val="10"/>
                            </w:rPr>
                          </w:pPr>
                        </w:p>
                        <w:p>
                          <w:pPr>
                            <w:ind w:right="142"/>
                            <w:jc w:val="both"/>
                            <w:rPr>
                              <w:rFonts w:eastAsia="MS Mincho"/>
                              <w:kern w:val="2"/>
                              <w:sz w:val="22"/>
                              <w:szCs w:val="22"/>
                            </w:rPr>
                          </w:pPr>
                          <w:r>
                            <w:rPr>
                              <w:rFonts w:eastAsia="MS Mincho"/>
                              <w:kern w:val="2"/>
                              <w:sz w:val="22"/>
                              <w:szCs w:val="22"/>
                            </w:rPr>
                            <w:t>ST6: Didžiausią pridėtinę vertę teikia ir darbuotojų įdarbina paslaugų sektorius;</w:t>
                          </w:r>
                        </w:p>
                        <w:p>
                          <w:pPr>
                            <w:rPr>
                              <w:sz w:val="10"/>
                              <w:szCs w:val="10"/>
                            </w:rPr>
                          </w:pPr>
                        </w:p>
                        <w:p>
                          <w:pPr>
                            <w:ind w:right="142"/>
                            <w:jc w:val="both"/>
                            <w:rPr>
                              <w:rFonts w:eastAsia="MS Mincho"/>
                              <w:kern w:val="2"/>
                              <w:sz w:val="22"/>
                              <w:szCs w:val="22"/>
                            </w:rPr>
                          </w:pPr>
                          <w:r>
                            <w:rPr>
                              <w:rFonts w:eastAsia="MS Mincho"/>
                              <w:kern w:val="2"/>
                              <w:sz w:val="22"/>
                              <w:szCs w:val="22"/>
                            </w:rPr>
                            <w:t>ST7: Aukščiausia neformaliojo švietimo veiklose dalyvaujančių mokinių dalis savivaldybės mokyklose, palyginti su didžiaisiais miestais ir Lietuvos vidurkiu;</w:t>
                          </w:r>
                        </w:p>
                        <w:p>
                          <w:pPr>
                            <w:rPr>
                              <w:sz w:val="10"/>
                              <w:szCs w:val="10"/>
                            </w:rPr>
                          </w:pPr>
                        </w:p>
                        <w:p>
                          <w:pPr>
                            <w:ind w:right="142"/>
                            <w:jc w:val="both"/>
                            <w:rPr>
                              <w:rFonts w:eastAsia="MS Mincho"/>
                              <w:kern w:val="2"/>
                              <w:sz w:val="22"/>
                              <w:szCs w:val="22"/>
                            </w:rPr>
                          </w:pPr>
                          <w:r>
                            <w:rPr>
                              <w:rFonts w:eastAsia="MS Mincho"/>
                              <w:kern w:val="2"/>
                              <w:sz w:val="22"/>
                              <w:szCs w:val="22"/>
                            </w:rPr>
                            <w:t>ST8: Mažėja 1–6 m. vaikų, nelankančių ikimokyklinio ugdymo įstaigų;</w:t>
                          </w:r>
                        </w:p>
                        <w:p>
                          <w:pPr>
                            <w:rPr>
                              <w:sz w:val="10"/>
                              <w:szCs w:val="10"/>
                            </w:rPr>
                          </w:pPr>
                        </w:p>
                        <w:p>
                          <w:pPr>
                            <w:ind w:right="142"/>
                            <w:jc w:val="both"/>
                            <w:rPr>
                              <w:rFonts w:eastAsia="MS Mincho"/>
                              <w:kern w:val="2"/>
                              <w:sz w:val="22"/>
                              <w:szCs w:val="22"/>
                            </w:rPr>
                          </w:pPr>
                          <w:r>
                            <w:rPr>
                              <w:rFonts w:eastAsia="MS Mincho"/>
                              <w:kern w:val="2"/>
                              <w:sz w:val="22"/>
                              <w:szCs w:val="22"/>
                            </w:rPr>
                            <w:t>ST9: Didelis procentas mokytojų, pamokose naudojančių skaitmenines mokymosi aplinkas;</w:t>
                          </w:r>
                        </w:p>
                        <w:p>
                          <w:pPr>
                            <w:rPr>
                              <w:sz w:val="10"/>
                              <w:szCs w:val="10"/>
                            </w:rPr>
                          </w:pPr>
                        </w:p>
                        <w:p>
                          <w:pPr>
                            <w:ind w:right="142"/>
                            <w:jc w:val="both"/>
                            <w:rPr>
                              <w:rFonts w:eastAsia="MS Mincho"/>
                              <w:kern w:val="2"/>
                              <w:sz w:val="22"/>
                              <w:szCs w:val="22"/>
                            </w:rPr>
                          </w:pPr>
                          <w:r>
                            <w:rPr>
                              <w:rFonts w:eastAsia="MS Mincho"/>
                              <w:kern w:val="2"/>
                              <w:sz w:val="22"/>
                              <w:szCs w:val="22"/>
                            </w:rPr>
                            <w:t>ST10: Išaugusi įmonių parama studentams Šiaulių kolegijoje ir Vilniaus universiteto Šiaulių akademijoje;</w:t>
                          </w:r>
                        </w:p>
                        <w:p>
                          <w:pPr>
                            <w:rPr>
                              <w:sz w:val="10"/>
                              <w:szCs w:val="10"/>
                            </w:rPr>
                          </w:pPr>
                        </w:p>
                        <w:p>
                          <w:pPr>
                            <w:ind w:right="142"/>
                            <w:jc w:val="both"/>
                            <w:rPr>
                              <w:rFonts w:eastAsia="MS Mincho"/>
                              <w:kern w:val="2"/>
                              <w:sz w:val="22"/>
                              <w:szCs w:val="22"/>
                            </w:rPr>
                          </w:pPr>
                          <w:r>
                            <w:rPr>
                              <w:rFonts w:eastAsia="MS Mincho"/>
                              <w:kern w:val="2"/>
                              <w:sz w:val="22"/>
                              <w:szCs w:val="22"/>
                            </w:rPr>
                            <w:t>ST11: Įtraukios jaunimo organizacijos: augantis jaunimo organizacijose dalyvaujančių asmenų skaičius, nepaisant mažėjančio jaunimo organizacijų skaičiaus;</w:t>
                          </w:r>
                        </w:p>
                        <w:p>
                          <w:pPr>
                            <w:rPr>
                              <w:sz w:val="10"/>
                              <w:szCs w:val="10"/>
                            </w:rPr>
                          </w:pPr>
                        </w:p>
                        <w:p>
                          <w:pPr>
                            <w:ind w:right="142"/>
                            <w:jc w:val="both"/>
                            <w:rPr>
                              <w:rFonts w:eastAsia="MS Mincho"/>
                              <w:kern w:val="2"/>
                              <w:sz w:val="22"/>
                              <w:szCs w:val="22"/>
                            </w:rPr>
                          </w:pPr>
                          <w:r>
                            <w:rPr>
                              <w:rFonts w:eastAsia="MS Mincho"/>
                              <w:kern w:val="2"/>
                              <w:sz w:val="22"/>
                              <w:szCs w:val="22"/>
                            </w:rPr>
                            <w:t>ST12: Augantis sporto varžybų ir sveikatingumo renginių dalyvių skaičius;</w:t>
                          </w:r>
                        </w:p>
                        <w:p>
                          <w:pPr>
                            <w:rPr>
                              <w:sz w:val="10"/>
                              <w:szCs w:val="10"/>
                            </w:rPr>
                          </w:pPr>
                        </w:p>
                        <w:p>
                          <w:pPr>
                            <w:ind w:right="142"/>
                            <w:jc w:val="both"/>
                            <w:rPr>
                              <w:rFonts w:eastAsia="MS Mincho"/>
                              <w:kern w:val="2"/>
                              <w:sz w:val="22"/>
                              <w:szCs w:val="22"/>
                            </w:rPr>
                          </w:pPr>
                          <w:r>
                            <w:rPr>
                              <w:rFonts w:eastAsia="MS Mincho"/>
                              <w:kern w:val="2"/>
                              <w:sz w:val="22"/>
                              <w:szCs w:val="22"/>
                            </w:rPr>
                            <w:t>ST13: Išaugęs aktyvaus laisvalaikio turizmo produktų skaičius;</w:t>
                          </w:r>
                        </w:p>
                        <w:p>
                          <w:pPr>
                            <w:rPr>
                              <w:sz w:val="10"/>
                              <w:szCs w:val="10"/>
                            </w:rPr>
                          </w:pPr>
                        </w:p>
                        <w:p>
                          <w:pPr>
                            <w:ind w:right="142"/>
                            <w:jc w:val="both"/>
                            <w:rPr>
                              <w:rFonts w:eastAsia="MS Mincho"/>
                              <w:kern w:val="2"/>
                              <w:sz w:val="22"/>
                              <w:szCs w:val="22"/>
                            </w:rPr>
                          </w:pPr>
                          <w:r>
                            <w:rPr>
                              <w:rFonts w:eastAsia="MS Mincho"/>
                              <w:kern w:val="2"/>
                              <w:sz w:val="22"/>
                              <w:szCs w:val="22"/>
                            </w:rPr>
                            <w:t>ST14: Įgyvendinti ir gausiai lankomi privatūs sporto projektai (Uniqa arena, VS Express ir Energy Gym, kartingų trasos) ir kt.;</w:t>
                          </w:r>
                        </w:p>
                        <w:p>
                          <w:pPr>
                            <w:rPr>
                              <w:sz w:val="10"/>
                              <w:szCs w:val="10"/>
                            </w:rPr>
                          </w:pPr>
                        </w:p>
                        <w:p>
                          <w:pPr>
                            <w:ind w:right="142"/>
                            <w:jc w:val="both"/>
                            <w:rPr>
                              <w:rFonts w:eastAsia="MS Mincho"/>
                              <w:kern w:val="2"/>
                              <w:sz w:val="22"/>
                              <w:szCs w:val="22"/>
                            </w:rPr>
                          </w:pPr>
                          <w:r>
                            <w:rPr>
                              <w:rFonts w:eastAsia="MS Mincho"/>
                              <w:kern w:val="2"/>
                              <w:sz w:val="22"/>
                              <w:szCs w:val="22"/>
                            </w:rPr>
                            <w:t>ST15: Augantis lankytojų skaičius galerijose, koncertų salėse, kultūros ir lankytojų centruose, muziejuose;</w:t>
                          </w:r>
                        </w:p>
                        <w:p>
                          <w:pPr>
                            <w:rPr>
                              <w:sz w:val="10"/>
                              <w:szCs w:val="10"/>
                            </w:rPr>
                          </w:pPr>
                        </w:p>
                        <w:p>
                          <w:pPr>
                            <w:ind w:right="142"/>
                            <w:jc w:val="both"/>
                            <w:rPr>
                              <w:rFonts w:eastAsia="MS Mincho"/>
                              <w:kern w:val="2"/>
                              <w:sz w:val="22"/>
                              <w:szCs w:val="22"/>
                            </w:rPr>
                          </w:pPr>
                          <w:r>
                            <w:rPr>
                              <w:rFonts w:eastAsia="MS Mincho"/>
                              <w:kern w:val="2"/>
                              <w:sz w:val="22"/>
                              <w:szCs w:val="22"/>
                            </w:rPr>
                            <w:t>ST16: Investuojama į sveikatos specialistų pritraukimą – šiuo metu auga pritrauktų sveikatos specialistų skaičius, o nuo 2023 m. savivaldybė finansuoja ne tik gydytojų ir rezidentų, bet ir slaugytojų bei visuomenės sveikatos specialistų studijas;</w:t>
                          </w:r>
                        </w:p>
                        <w:p>
                          <w:pPr>
                            <w:rPr>
                              <w:sz w:val="10"/>
                              <w:szCs w:val="10"/>
                            </w:rPr>
                          </w:pPr>
                        </w:p>
                        <w:p>
                          <w:pPr>
                            <w:ind w:right="142"/>
                            <w:jc w:val="both"/>
                            <w:rPr>
                              <w:rFonts w:eastAsia="MS Mincho"/>
                              <w:kern w:val="2"/>
                              <w:sz w:val="22"/>
                              <w:szCs w:val="22"/>
                            </w:rPr>
                          </w:pPr>
                          <w:r>
                            <w:rPr>
                              <w:rFonts w:eastAsia="MS Mincho"/>
                              <w:kern w:val="2"/>
                              <w:sz w:val="22"/>
                              <w:szCs w:val="22"/>
                            </w:rPr>
                            <w:t>ST17: Didėjantis teikiamų socialinių paslaugų rūšių skaičius;</w:t>
                          </w:r>
                        </w:p>
                        <w:p>
                          <w:pPr>
                            <w:rPr>
                              <w:sz w:val="10"/>
                              <w:szCs w:val="10"/>
                            </w:rPr>
                          </w:pPr>
                        </w:p>
                        <w:p>
                          <w:pPr>
                            <w:ind w:right="142"/>
                            <w:jc w:val="both"/>
                            <w:rPr>
                              <w:rFonts w:eastAsia="MS Mincho"/>
                              <w:kern w:val="2"/>
                              <w:sz w:val="22"/>
                              <w:szCs w:val="22"/>
                            </w:rPr>
                          </w:pPr>
                          <w:r>
                            <w:rPr>
                              <w:rFonts w:eastAsia="MS Mincho"/>
                              <w:kern w:val="2"/>
                              <w:sz w:val="22"/>
                              <w:szCs w:val="22"/>
                            </w:rPr>
                            <w:t>ST18: Didėjanti į darbo rinką integruotų socialinę atskirtį patiriančių asmenų (ilgalaikių bedarbių) dalis.</w:t>
                          </w:r>
                        </w:p>
                        <w:p>
                          <w:pPr>
                            <w:rPr>
                              <w:sz w:val="10"/>
                              <w:szCs w:val="10"/>
                            </w:rPr>
                          </w:pPr>
                        </w:p>
                        <w:p>
                          <w:pPr>
                            <w:ind w:right="142"/>
                            <w:jc w:val="both"/>
                            <w:rPr>
                              <w:rFonts w:eastAsia="MS Mincho"/>
                              <w:kern w:val="2"/>
                              <w:sz w:val="22"/>
                              <w:szCs w:val="22"/>
                            </w:rPr>
                          </w:pPr>
                          <w:r>
                            <w:rPr>
                              <w:rFonts w:eastAsia="MS Mincho"/>
                              <w:kern w:val="2"/>
                              <w:sz w:val="22"/>
                              <w:szCs w:val="22"/>
                            </w:rPr>
                            <w:t>ST19: Augantis socialinio saugumo indeksas;</w:t>
                          </w:r>
                        </w:p>
                        <w:p>
                          <w:pPr>
                            <w:rPr>
                              <w:sz w:val="10"/>
                              <w:szCs w:val="10"/>
                            </w:rPr>
                          </w:pPr>
                        </w:p>
                        <w:p>
                          <w:pPr>
                            <w:ind w:right="142"/>
                            <w:jc w:val="both"/>
                            <w:rPr>
                              <w:rFonts w:eastAsia="MS Mincho"/>
                              <w:kern w:val="2"/>
                              <w:sz w:val="22"/>
                              <w:szCs w:val="22"/>
                            </w:rPr>
                          </w:pPr>
                          <w:r>
                            <w:rPr>
                              <w:rFonts w:eastAsia="MS Mincho"/>
                              <w:kern w:val="2"/>
                              <w:sz w:val="22"/>
                              <w:szCs w:val="22"/>
                            </w:rPr>
                            <w:t>ST20: Išaugęs išrūšiuotų atliekų kiekis ir augantis perdirbtų atliekų procentas;</w:t>
                          </w:r>
                        </w:p>
                        <w:p>
                          <w:pPr>
                            <w:rPr>
                              <w:sz w:val="10"/>
                              <w:szCs w:val="10"/>
                            </w:rPr>
                          </w:pPr>
                        </w:p>
                        <w:p>
                          <w:pPr>
                            <w:ind w:right="142"/>
                            <w:jc w:val="both"/>
                            <w:rPr>
                              <w:rFonts w:eastAsia="MS Mincho"/>
                              <w:kern w:val="2"/>
                              <w:sz w:val="22"/>
                              <w:szCs w:val="22"/>
                            </w:rPr>
                          </w:pPr>
                          <w:r>
                            <w:rPr>
                              <w:rFonts w:eastAsia="MS Mincho"/>
                              <w:kern w:val="2"/>
                              <w:sz w:val="22"/>
                              <w:szCs w:val="22"/>
                            </w:rPr>
                            <w:t>ST21: Efektyvinamas komunalinių atliekų surinkimas ir sprendžiama vizualinė teritorijų tarša, modernizuojant komunalinių atliekų surinkimo infrastruktūrą;</w:t>
                          </w:r>
                        </w:p>
                        <w:p>
                          <w:pPr>
                            <w:rPr>
                              <w:sz w:val="10"/>
                              <w:szCs w:val="10"/>
                            </w:rPr>
                          </w:pPr>
                        </w:p>
                        <w:p>
                          <w:pPr>
                            <w:ind w:right="142"/>
                            <w:jc w:val="both"/>
                            <w:rPr>
                              <w:rFonts w:eastAsia="MS Mincho"/>
                              <w:kern w:val="2"/>
                              <w:sz w:val="22"/>
                              <w:szCs w:val="22"/>
                            </w:rPr>
                          </w:pPr>
                          <w:r>
                            <w:rPr>
                              <w:rFonts w:eastAsia="MS Mincho"/>
                              <w:kern w:val="2"/>
                              <w:sz w:val="22"/>
                              <w:szCs w:val="22"/>
                            </w:rPr>
                            <w:t>ST22: Efektyviai veikia didelių gabaritų atliekų surinkimo aikštelės, didėja didelių gabaritų atliekų surinkimas.</w:t>
                          </w:r>
                        </w:p>
                        <w:p>
                          <w:pPr>
                            <w:rPr>
                              <w:sz w:val="10"/>
                              <w:szCs w:val="10"/>
                            </w:rPr>
                          </w:pPr>
                        </w:p>
                        <w:p>
                          <w:pPr>
                            <w:ind w:right="142"/>
                            <w:jc w:val="both"/>
                            <w:rPr>
                              <w:rFonts w:eastAsia="MS Mincho"/>
                              <w:kern w:val="2"/>
                              <w:sz w:val="22"/>
                              <w:szCs w:val="22"/>
                            </w:rPr>
                          </w:pPr>
                          <w:r>
                            <w:rPr>
                              <w:rFonts w:eastAsia="MS Mincho"/>
                              <w:kern w:val="2"/>
                              <w:sz w:val="22"/>
                              <w:szCs w:val="22"/>
                            </w:rPr>
                            <w:t>ST23: Sumažėjęs sunaudotos šilumos energijos kiekis Savivaldybės BĮ pastatuose;</w:t>
                          </w:r>
                        </w:p>
                        <w:p>
                          <w:pPr>
                            <w:rPr>
                              <w:sz w:val="10"/>
                              <w:szCs w:val="10"/>
                            </w:rPr>
                          </w:pPr>
                        </w:p>
                        <w:p>
                          <w:pPr>
                            <w:ind w:right="142"/>
                            <w:jc w:val="both"/>
                            <w:rPr>
                              <w:rFonts w:eastAsia="MS Mincho"/>
                              <w:kern w:val="2"/>
                              <w:sz w:val="22"/>
                              <w:szCs w:val="22"/>
                            </w:rPr>
                          </w:pPr>
                          <w:r>
                            <w:rPr>
                              <w:rFonts w:eastAsia="MS Mincho"/>
                              <w:kern w:val="2"/>
                              <w:sz w:val="22"/>
                              <w:szCs w:val="22"/>
                            </w:rPr>
                            <w:t>ST24: Elektromobilių skaičius 1000 gyv. pranoksta didžiąją dalį Lietuvos savivaldybių;</w:t>
                          </w:r>
                        </w:p>
                        <w:p>
                          <w:pPr>
                            <w:rPr>
                              <w:sz w:val="10"/>
                              <w:szCs w:val="10"/>
                            </w:rPr>
                          </w:pPr>
                        </w:p>
                        <w:p>
                          <w:pPr>
                            <w:ind w:right="142"/>
                            <w:jc w:val="both"/>
                            <w:rPr>
                              <w:rFonts w:eastAsia="MS Mincho"/>
                              <w:kern w:val="2"/>
                              <w:sz w:val="22"/>
                              <w:szCs w:val="22"/>
                            </w:rPr>
                          </w:pPr>
                          <w:r>
                            <w:rPr>
                              <w:rFonts w:eastAsia="MS Mincho"/>
                              <w:kern w:val="2"/>
                              <w:sz w:val="22"/>
                              <w:szCs w:val="22"/>
                            </w:rPr>
                            <w:t>ST25: Pagal šilumos kainą Šiauliai yra antri tarp didžiųjų miestų ir nesiekia Lietuvos vidurkio;</w:t>
                          </w:r>
                        </w:p>
                        <w:p>
                          <w:pPr>
                            <w:rPr>
                              <w:sz w:val="10"/>
                              <w:szCs w:val="10"/>
                            </w:rPr>
                          </w:pPr>
                        </w:p>
                        <w:p>
                          <w:pPr>
                            <w:ind w:right="142"/>
                            <w:jc w:val="both"/>
                            <w:rPr>
                              <w:rFonts w:eastAsia="MS Mincho"/>
                              <w:kern w:val="2"/>
                              <w:sz w:val="22"/>
                              <w:szCs w:val="22"/>
                            </w:rPr>
                          </w:pPr>
                          <w:r>
                            <w:rPr>
                              <w:rFonts w:eastAsia="MS Mincho"/>
                              <w:kern w:val="2"/>
                              <w:sz w:val="22"/>
                              <w:szCs w:val="22"/>
                            </w:rPr>
                            <w:t>ST26: Daugėja sutvarkytų viešųjų erdvių ir įrengtų / atstatytų sporto ir vaikų žaidimų aikštelių;</w:t>
                          </w:r>
                        </w:p>
                        <w:p>
                          <w:pPr>
                            <w:rPr>
                              <w:sz w:val="10"/>
                              <w:szCs w:val="10"/>
                            </w:rPr>
                          </w:pPr>
                        </w:p>
                        <w:p>
                          <w:pPr>
                            <w:ind w:right="142"/>
                            <w:jc w:val="both"/>
                            <w:rPr>
                              <w:rFonts w:eastAsia="MS Mincho"/>
                              <w:kern w:val="2"/>
                              <w:sz w:val="22"/>
                              <w:szCs w:val="22"/>
                            </w:rPr>
                          </w:pPr>
                          <w:r>
                            <w:rPr>
                              <w:rFonts w:eastAsia="MS Mincho"/>
                              <w:kern w:val="2"/>
                              <w:sz w:val="22"/>
                              <w:szCs w:val="22"/>
                            </w:rPr>
                            <w:t>ST27: Švietimo įstaigų tinklas yra tolygiai išvystytas labiausiai urbanizuotose miesto dalyse;</w:t>
                          </w:r>
                        </w:p>
                        <w:p>
                          <w:pPr>
                            <w:rPr>
                              <w:sz w:val="10"/>
                              <w:szCs w:val="10"/>
                            </w:rPr>
                          </w:pPr>
                        </w:p>
                        <w:p>
                          <w:pPr>
                            <w:ind w:right="142"/>
                            <w:jc w:val="both"/>
                            <w:rPr>
                              <w:rFonts w:eastAsia="MS Mincho"/>
                              <w:kern w:val="2"/>
                              <w:sz w:val="22"/>
                              <w:szCs w:val="22"/>
                            </w:rPr>
                          </w:pPr>
                          <w:r>
                            <w:rPr>
                              <w:rFonts w:eastAsia="MS Mincho"/>
                              <w:kern w:val="2"/>
                              <w:sz w:val="22"/>
                              <w:szCs w:val="22"/>
                            </w:rPr>
                            <w:t>ST28: Šiaulių miestas yra gerai sujungtas su regionu: pagrindiniai keliai, traukinių ir autobusų stotis jungia su gretimais miestais;</w:t>
                          </w:r>
                        </w:p>
                        <w:p>
                          <w:pPr>
                            <w:rPr>
                              <w:sz w:val="10"/>
                              <w:szCs w:val="10"/>
                            </w:rPr>
                          </w:pPr>
                        </w:p>
                        <w:p>
                          <w:pPr>
                            <w:ind w:right="142"/>
                            <w:jc w:val="both"/>
                            <w:rPr>
                              <w:rFonts w:eastAsia="MS Mincho"/>
                              <w:kern w:val="2"/>
                              <w:sz w:val="22"/>
                              <w:szCs w:val="22"/>
                            </w:rPr>
                          </w:pPr>
                          <w:r>
                            <w:rPr>
                              <w:rFonts w:eastAsia="MS Mincho"/>
                              <w:kern w:val="2"/>
                              <w:sz w:val="22"/>
                              <w:szCs w:val="22"/>
                            </w:rPr>
                            <w:t>ST29: Tankus dviračių takų tinklas;</w:t>
                          </w:r>
                        </w:p>
                        <w:p>
                          <w:pPr>
                            <w:rPr>
                              <w:sz w:val="10"/>
                              <w:szCs w:val="10"/>
                            </w:rPr>
                          </w:pPr>
                        </w:p>
                        <w:p>
                          <w:pPr>
                            <w:ind w:right="142"/>
                            <w:jc w:val="both"/>
                            <w:rPr>
                              <w:rFonts w:eastAsia="MS Mincho"/>
                              <w:kern w:val="2"/>
                              <w:sz w:val="22"/>
                              <w:szCs w:val="22"/>
                            </w:rPr>
                          </w:pPr>
                          <w:r>
                            <w:rPr>
                              <w:rFonts w:eastAsia="MS Mincho"/>
                              <w:kern w:val="2"/>
                              <w:sz w:val="22"/>
                              <w:szCs w:val="22"/>
                            </w:rPr>
                            <w:t>ST30: Modernizuotos didžiosios miesto sankryžos;</w:t>
                          </w:r>
                        </w:p>
                        <w:p>
                          <w:pPr>
                            <w:rPr>
                              <w:sz w:val="10"/>
                              <w:szCs w:val="10"/>
                            </w:rPr>
                          </w:pPr>
                        </w:p>
                        <w:p>
                          <w:pPr>
                            <w:ind w:right="142"/>
                            <w:jc w:val="both"/>
                            <w:rPr>
                              <w:rFonts w:eastAsia="MS Mincho"/>
                              <w:kern w:val="2"/>
                              <w:sz w:val="22"/>
                              <w:szCs w:val="22"/>
                            </w:rPr>
                          </w:pPr>
                          <w:r>
                            <w:rPr>
                              <w:rFonts w:eastAsia="MS Mincho"/>
                              <w:kern w:val="2"/>
                              <w:sz w:val="22"/>
                              <w:szCs w:val="22"/>
                            </w:rPr>
                            <w:t xml:space="preserve">ST31: Nutiestas Baltų – Serbentų  g. aplinkkelis; </w:t>
                          </w:r>
                        </w:p>
                        <w:p>
                          <w:pPr>
                            <w:rPr>
                              <w:sz w:val="10"/>
                              <w:szCs w:val="10"/>
                            </w:rPr>
                          </w:pPr>
                        </w:p>
                        <w:p>
                          <w:pPr>
                            <w:ind w:right="142"/>
                            <w:jc w:val="both"/>
                            <w:rPr>
                              <w:rFonts w:eastAsia="MS Mincho"/>
                              <w:kern w:val="2"/>
                              <w:sz w:val="22"/>
                              <w:szCs w:val="22"/>
                            </w:rPr>
                          </w:pPr>
                          <w:r>
                            <w:rPr>
                              <w:rFonts w:eastAsia="MS Mincho"/>
                              <w:kern w:val="2"/>
                              <w:sz w:val="22"/>
                              <w:szCs w:val="22"/>
                            </w:rPr>
                            <w:t>ST32: Padidėjusi ištirtų nusikalstamų veikų dalis;</w:t>
                          </w:r>
                        </w:p>
                        <w:p>
                          <w:pPr>
                            <w:rPr>
                              <w:sz w:val="10"/>
                              <w:szCs w:val="10"/>
                            </w:rPr>
                          </w:pPr>
                        </w:p>
                        <w:p>
                          <w:pPr>
                            <w:ind w:right="142"/>
                            <w:jc w:val="both"/>
                            <w:rPr>
                              <w:rFonts w:eastAsia="MS Mincho"/>
                              <w:kern w:val="2"/>
                              <w:sz w:val="22"/>
                              <w:szCs w:val="22"/>
                            </w:rPr>
                          </w:pPr>
                          <w:r>
                            <w:rPr>
                              <w:rFonts w:eastAsia="MS Mincho"/>
                              <w:kern w:val="2"/>
                              <w:sz w:val="22"/>
                              <w:szCs w:val="22"/>
                            </w:rPr>
                            <w:t>ST33: Išaugęs vaizdo stebėjimo kamerų skaičius ir užfiksuotų galimų pažeidimų skaičius Šiaulių mieste;</w:t>
                          </w:r>
                        </w:p>
                        <w:p>
                          <w:pPr>
                            <w:rPr>
                              <w:sz w:val="10"/>
                              <w:szCs w:val="10"/>
                            </w:rPr>
                          </w:pPr>
                        </w:p>
                        <w:p>
                          <w:pPr>
                            <w:ind w:right="142"/>
                            <w:jc w:val="both"/>
                            <w:rPr>
                              <w:rFonts w:eastAsia="MS Mincho"/>
                              <w:kern w:val="2"/>
                              <w:sz w:val="22"/>
                              <w:szCs w:val="22"/>
                            </w:rPr>
                          </w:pPr>
                          <w:r>
                            <w:rPr>
                              <w:rFonts w:eastAsia="MS Mincho"/>
                              <w:kern w:val="2"/>
                              <w:sz w:val="22"/>
                              <w:szCs w:val="22"/>
                            </w:rPr>
                            <w:t>ST34: Net 75 proc. suteikiamų administracinių paslaugų teikiamos el. būdu;</w:t>
                          </w:r>
                        </w:p>
                        <w:p>
                          <w:pPr>
                            <w:rPr>
                              <w:sz w:val="10"/>
                              <w:szCs w:val="10"/>
                            </w:rPr>
                          </w:pPr>
                        </w:p>
                        <w:p>
                          <w:pPr>
                            <w:ind w:right="142"/>
                            <w:jc w:val="both"/>
                            <w:rPr>
                              <w:rFonts w:eastAsia="MS Mincho"/>
                              <w:kern w:val="2"/>
                              <w:sz w:val="22"/>
                              <w:szCs w:val="22"/>
                            </w:rPr>
                          </w:pPr>
                          <w:r>
                            <w:rPr>
                              <w:rFonts w:eastAsia="MS Mincho"/>
                              <w:kern w:val="2"/>
                              <w:sz w:val="22"/>
                              <w:szCs w:val="22"/>
                            </w:rPr>
                            <w:t>ST35: Miesto koordinavimo valdymo centro įkūrimas, skaitmeninių įrankių naudojimas viešųjų paslaugų teikime;</w:t>
                          </w:r>
                        </w:p>
                        <w:p>
                          <w:pPr>
                            <w:rPr>
                              <w:sz w:val="10"/>
                              <w:szCs w:val="10"/>
                            </w:rPr>
                          </w:pPr>
                        </w:p>
                        <w:p>
                          <w:pPr>
                            <w:ind w:right="142"/>
                            <w:jc w:val="both"/>
                            <w:rPr>
                              <w:rFonts w:eastAsia="MS Mincho"/>
                              <w:kern w:val="2"/>
                              <w:sz w:val="22"/>
                              <w:szCs w:val="22"/>
                            </w:rPr>
                          </w:pPr>
                          <w:r>
                            <w:rPr>
                              <w:rFonts w:eastAsia="MS Mincho"/>
                              <w:kern w:val="2"/>
                              <w:sz w:val="22"/>
                              <w:szCs w:val="22"/>
                            </w:rPr>
                            <w:t>ST36: Didėja mokymuose dalyvaujančių darbuotojų bei vienam darbuotojui kvalifikacijos tobulinimui skiriamų valandų skaičius;</w:t>
                          </w:r>
                        </w:p>
                        <w:p>
                          <w:pPr>
                            <w:rPr>
                              <w:sz w:val="10"/>
                              <w:szCs w:val="10"/>
                            </w:rPr>
                          </w:pPr>
                        </w:p>
                        <w:p>
                          <w:pPr>
                            <w:ind w:right="142"/>
                            <w:jc w:val="both"/>
                            <w:rPr>
                              <w:rFonts w:eastAsia="MS Mincho"/>
                              <w:kern w:val="2"/>
                              <w:sz w:val="22"/>
                              <w:szCs w:val="22"/>
                            </w:rPr>
                          </w:pPr>
                          <w:r>
                            <w:rPr>
                              <w:rFonts w:eastAsia="MS Mincho"/>
                              <w:kern w:val="2"/>
                              <w:sz w:val="22"/>
                              <w:szCs w:val="22"/>
                            </w:rPr>
                            <w:t>ST37: Išaugęs gyventojų, patenkintų Savivaldybės darbu, skaičius;</w:t>
                          </w:r>
                        </w:p>
                        <w:p>
                          <w:pPr>
                            <w:rPr>
                              <w:sz w:val="10"/>
                              <w:szCs w:val="10"/>
                            </w:rPr>
                          </w:pPr>
                        </w:p>
                        <w:p>
                          <w:pPr>
                            <w:ind w:right="142"/>
                            <w:jc w:val="both"/>
                            <w:rPr>
                              <w:rFonts w:eastAsia="MS Mincho"/>
                              <w:kern w:val="2"/>
                              <w:sz w:val="22"/>
                              <w:szCs w:val="22"/>
                            </w:rPr>
                          </w:pPr>
                          <w:r>
                            <w:rPr>
                              <w:rFonts w:eastAsia="MS Mincho"/>
                              <w:kern w:val="2"/>
                              <w:sz w:val="22"/>
                              <w:szCs w:val="22"/>
                            </w:rPr>
                            <w:t>ST38: Augantis gyventojų aktyvumas savivaldos rinkimuose;</w:t>
                          </w:r>
                        </w:p>
                        <w:p>
                          <w:pPr>
                            <w:rPr>
                              <w:sz w:val="10"/>
                              <w:szCs w:val="10"/>
                            </w:rPr>
                          </w:pPr>
                        </w:p>
                        <w:p>
                          <w:pPr>
                            <w:ind w:right="142"/>
                            <w:jc w:val="both"/>
                            <w:rPr>
                              <w:rFonts w:eastAsia="MS Mincho"/>
                              <w:kern w:val="2"/>
                              <w:sz w:val="22"/>
                              <w:szCs w:val="22"/>
                            </w:rPr>
                          </w:pPr>
                          <w:r>
                            <w:rPr>
                              <w:rFonts w:eastAsia="MS Mincho"/>
                              <w:kern w:val="2"/>
                              <w:sz w:val="22"/>
                              <w:szCs w:val="22"/>
                            </w:rPr>
                            <w:t>ST39: Augantis interneto svetainės lankomumas.</w:t>
                          </w:r>
                        </w:p>
                      </w:tc>
                      <w:tc>
                        <w:tcPr>
                          <w:tcW w:w="2497" w:type="pct"/>
                          <w:gridSpan w:val="2"/>
                          <w:shd w:val="clear" w:color="auto" w:fill="auto"/>
                          <w:tcMar>
                            <w:top w:w="72" w:type="dxa"/>
                            <w:left w:w="144" w:type="dxa"/>
                            <w:bottom w:w="72" w:type="dxa"/>
                            <w:right w:w="144" w:type="dxa"/>
                          </w:tcMar>
                        </w:tcPr>
                        <w:p>
                          <w:pPr>
                            <w:rPr>
                              <w:sz w:val="10"/>
                              <w:szCs w:val="10"/>
                            </w:rPr>
                          </w:pPr>
                        </w:p>
                        <w:p>
                          <w:pPr>
                            <w:ind w:right="142"/>
                            <w:jc w:val="both"/>
                            <w:rPr>
                              <w:rFonts w:eastAsia="MS Mincho"/>
                              <w:kern w:val="2"/>
                              <w:sz w:val="22"/>
                              <w:szCs w:val="22"/>
                            </w:rPr>
                          </w:pPr>
                          <w:r>
                            <w:rPr>
                              <w:rFonts w:eastAsia="MS Mincho"/>
                              <w:kern w:val="2"/>
                              <w:sz w:val="22"/>
                              <w:szCs w:val="22"/>
                            </w:rPr>
                            <w:t>SI1: Mažėjantis gimstamumas;</w:t>
                          </w:r>
                        </w:p>
                        <w:p>
                          <w:pPr>
                            <w:rPr>
                              <w:sz w:val="10"/>
                              <w:szCs w:val="10"/>
                            </w:rPr>
                          </w:pPr>
                        </w:p>
                        <w:p>
                          <w:pPr>
                            <w:ind w:right="142"/>
                            <w:jc w:val="both"/>
                            <w:rPr>
                              <w:rFonts w:eastAsia="MS Mincho"/>
                              <w:kern w:val="2"/>
                              <w:sz w:val="22"/>
                              <w:szCs w:val="22"/>
                            </w:rPr>
                          </w:pPr>
                          <w:r>
                            <w:rPr>
                              <w:rFonts w:eastAsia="MS Mincho"/>
                              <w:kern w:val="2"/>
                              <w:sz w:val="22"/>
                              <w:szCs w:val="22"/>
                            </w:rPr>
                            <w:t>SI2: Daugiausia tarp didžiųjų miestų išaugęs demografinės senatvės koeficientas (65+ m. žmonių skaičius, tenkantis 100 vaikų iki 15 m.);</w:t>
                          </w:r>
                        </w:p>
                        <w:p>
                          <w:pPr>
                            <w:rPr>
                              <w:sz w:val="10"/>
                              <w:szCs w:val="10"/>
                            </w:rPr>
                          </w:pPr>
                        </w:p>
                        <w:p>
                          <w:pPr>
                            <w:ind w:right="142"/>
                            <w:jc w:val="both"/>
                            <w:rPr>
                              <w:rFonts w:eastAsia="MS Mincho"/>
                              <w:kern w:val="2"/>
                              <w:sz w:val="22"/>
                              <w:szCs w:val="22"/>
                            </w:rPr>
                          </w:pPr>
                          <w:r>
                            <w:rPr>
                              <w:rFonts w:eastAsia="MS Mincho"/>
                              <w:kern w:val="2"/>
                              <w:sz w:val="22"/>
                              <w:szCs w:val="22"/>
                            </w:rPr>
                            <w:t>SI3: Žemas darbo užmokestis, palyginti su didžiaisiais miestais ir Lietuvos vidurkiu;</w:t>
                          </w:r>
                        </w:p>
                        <w:p>
                          <w:pPr>
                            <w:rPr>
                              <w:sz w:val="10"/>
                              <w:szCs w:val="10"/>
                            </w:rPr>
                          </w:pPr>
                        </w:p>
                        <w:p>
                          <w:pPr>
                            <w:ind w:right="142"/>
                            <w:jc w:val="both"/>
                            <w:rPr>
                              <w:rFonts w:eastAsia="MS Mincho"/>
                              <w:kern w:val="2"/>
                              <w:sz w:val="22"/>
                              <w:szCs w:val="22"/>
                            </w:rPr>
                          </w:pPr>
                          <w:r>
                            <w:rPr>
                              <w:rFonts w:eastAsia="MS Mincho"/>
                              <w:kern w:val="2"/>
                              <w:sz w:val="22"/>
                              <w:szCs w:val="22"/>
                            </w:rPr>
                            <w:t>SI4: Po COVID-19 pandemijos išaugęs bedarbių skaičius;</w:t>
                          </w:r>
                        </w:p>
                        <w:p>
                          <w:pPr>
                            <w:rPr>
                              <w:sz w:val="10"/>
                              <w:szCs w:val="10"/>
                            </w:rPr>
                          </w:pPr>
                        </w:p>
                        <w:p>
                          <w:pPr>
                            <w:ind w:right="142"/>
                            <w:jc w:val="both"/>
                            <w:rPr>
                              <w:rFonts w:eastAsia="MS Mincho"/>
                              <w:kern w:val="2"/>
                              <w:sz w:val="22"/>
                              <w:szCs w:val="22"/>
                            </w:rPr>
                          </w:pPr>
                          <w:r>
                            <w:rPr>
                              <w:rFonts w:eastAsia="MS Mincho"/>
                              <w:kern w:val="2"/>
                              <w:sz w:val="22"/>
                              <w:szCs w:val="22"/>
                            </w:rPr>
                            <w:t>SI5: Pritraukiama nepakankamai didelių (sukuriančių ne mažiau kaip 20 darbo vietų) investuotojų;</w:t>
                          </w:r>
                        </w:p>
                        <w:p>
                          <w:pPr>
                            <w:rPr>
                              <w:sz w:val="10"/>
                              <w:szCs w:val="10"/>
                            </w:rPr>
                          </w:pPr>
                        </w:p>
                        <w:p>
                          <w:pPr>
                            <w:ind w:right="142"/>
                            <w:jc w:val="both"/>
                            <w:rPr>
                              <w:rFonts w:eastAsia="MS Mincho"/>
                              <w:kern w:val="2"/>
                              <w:sz w:val="22"/>
                              <w:szCs w:val="22"/>
                            </w:rPr>
                          </w:pPr>
                          <w:r>
                            <w:rPr>
                              <w:rFonts w:eastAsia="MS Mincho"/>
                              <w:kern w:val="2"/>
                              <w:sz w:val="22"/>
                              <w:szCs w:val="22"/>
                            </w:rPr>
                            <w:t>SI6:</w:t>
                          </w:r>
                          <w:r>
                            <w:rPr>
                              <w:rFonts w:eastAsia="MS Mincho"/>
                              <w:kern w:val="2"/>
                              <w:sz w:val="22"/>
                              <w:szCs w:val="24"/>
                            </w:rPr>
                            <w:t xml:space="preserve"> </w:t>
                          </w:r>
                          <w:r>
                            <w:rPr>
                              <w:rFonts w:eastAsia="MS Mincho"/>
                              <w:kern w:val="2"/>
                              <w:sz w:val="22"/>
                              <w:szCs w:val="22"/>
                            </w:rPr>
                            <w:t>Mažėja vaikų ir jaunimo;</w:t>
                          </w:r>
                        </w:p>
                        <w:p>
                          <w:pPr>
                            <w:rPr>
                              <w:sz w:val="10"/>
                              <w:szCs w:val="10"/>
                            </w:rPr>
                          </w:pPr>
                        </w:p>
                        <w:p>
                          <w:pPr>
                            <w:ind w:right="142"/>
                            <w:jc w:val="both"/>
                            <w:rPr>
                              <w:rFonts w:eastAsia="MS Mincho"/>
                              <w:kern w:val="2"/>
                              <w:sz w:val="22"/>
                              <w:szCs w:val="22"/>
                            </w:rPr>
                          </w:pPr>
                          <w:r>
                            <w:rPr>
                              <w:rFonts w:eastAsia="MS Mincho"/>
                              <w:kern w:val="2"/>
                              <w:sz w:val="22"/>
                              <w:szCs w:val="22"/>
                            </w:rPr>
                            <w:t>SI7: Sudėtingas vaikų vasaros stovyklų finansavimo ir organizavimo procesas, mažinantis mokinių dalyvavimą vasaros stovyklose;</w:t>
                          </w:r>
                        </w:p>
                        <w:p>
                          <w:pPr>
                            <w:rPr>
                              <w:sz w:val="10"/>
                              <w:szCs w:val="10"/>
                            </w:rPr>
                          </w:pPr>
                        </w:p>
                        <w:p>
                          <w:pPr>
                            <w:jc w:val="both"/>
                            <w:rPr>
                              <w:kern w:val="2"/>
                              <w:sz w:val="22"/>
                              <w:szCs w:val="22"/>
                            </w:rPr>
                          </w:pPr>
                          <w:r>
                            <w:rPr>
                              <w:kern w:val="2"/>
                              <w:sz w:val="22"/>
                              <w:szCs w:val="22"/>
                            </w:rPr>
                            <w:t>SI8: Sporto infrastruktūros trūkumas šaltuoju metu (regbis, futbolas, žolės riedulys);</w:t>
                          </w:r>
                        </w:p>
                        <w:p>
                          <w:pPr>
                            <w:rPr>
                              <w:sz w:val="10"/>
                              <w:szCs w:val="10"/>
                            </w:rPr>
                          </w:pPr>
                        </w:p>
                        <w:p>
                          <w:pPr>
                            <w:jc w:val="both"/>
                            <w:rPr>
                              <w:kern w:val="2"/>
                              <w:sz w:val="22"/>
                              <w:szCs w:val="22"/>
                            </w:rPr>
                          </w:pPr>
                          <w:r>
                            <w:rPr>
                              <w:kern w:val="2"/>
                              <w:sz w:val="22"/>
                              <w:szCs w:val="22"/>
                            </w:rPr>
                            <w:t>SI9: Sporto vadovų, specialistų, sporto medikų ir trenerių stoka ir jų pritraukimo galimybės;</w:t>
                          </w:r>
                        </w:p>
                        <w:p>
                          <w:pPr>
                            <w:rPr>
                              <w:sz w:val="10"/>
                              <w:szCs w:val="10"/>
                            </w:rPr>
                          </w:pPr>
                        </w:p>
                        <w:p>
                          <w:pPr>
                            <w:ind w:right="142"/>
                            <w:jc w:val="both"/>
                            <w:rPr>
                              <w:rFonts w:eastAsia="MS Mincho"/>
                              <w:kern w:val="2"/>
                              <w:sz w:val="22"/>
                              <w:szCs w:val="22"/>
                            </w:rPr>
                          </w:pPr>
                          <w:r>
                            <w:rPr>
                              <w:rFonts w:eastAsia="MS Mincho"/>
                              <w:kern w:val="2"/>
                              <w:sz w:val="22"/>
                              <w:szCs w:val="22"/>
                            </w:rPr>
                            <w:t>SI10: Sumažėjęs turistų skaičius po COVID-19 pandemijos karantino ir kelionių ribojimų;</w:t>
                          </w:r>
                        </w:p>
                        <w:p>
                          <w:pPr>
                            <w:rPr>
                              <w:sz w:val="10"/>
                              <w:szCs w:val="10"/>
                            </w:rPr>
                          </w:pPr>
                        </w:p>
                        <w:p>
                          <w:pPr>
                            <w:ind w:right="142"/>
                            <w:jc w:val="both"/>
                            <w:rPr>
                              <w:rFonts w:eastAsia="MS Mincho"/>
                              <w:kern w:val="2"/>
                              <w:sz w:val="22"/>
                              <w:szCs w:val="22"/>
                            </w:rPr>
                          </w:pPr>
                          <w:r>
                            <w:rPr>
                              <w:rFonts w:eastAsia="MS Mincho"/>
                              <w:kern w:val="2"/>
                              <w:sz w:val="22"/>
                              <w:szCs w:val="22"/>
                            </w:rPr>
                            <w:t>SI11: Mažiausias vietų ir nakvynių skaičius apgyvendinimo įstaigose 1000 gyventojų, vyrauja vienos dienos turistai;</w:t>
                          </w:r>
                        </w:p>
                        <w:p>
                          <w:pPr>
                            <w:rPr>
                              <w:sz w:val="10"/>
                              <w:szCs w:val="10"/>
                            </w:rPr>
                          </w:pPr>
                        </w:p>
                        <w:p>
                          <w:pPr>
                            <w:ind w:right="142"/>
                            <w:jc w:val="both"/>
                            <w:rPr>
                              <w:rFonts w:eastAsia="MS Mincho"/>
                              <w:kern w:val="2"/>
                              <w:sz w:val="22"/>
                              <w:szCs w:val="22"/>
                            </w:rPr>
                          </w:pPr>
                          <w:r>
                            <w:rPr>
                              <w:rFonts w:eastAsia="MS Mincho"/>
                              <w:kern w:val="2"/>
                              <w:sz w:val="22"/>
                              <w:szCs w:val="22"/>
                            </w:rPr>
                            <w:t>SI12: Apgyvendinimo vietų trūkumas didelėms turistų grupėms ir masinių renginių metu;</w:t>
                          </w:r>
                        </w:p>
                        <w:p>
                          <w:pPr>
                            <w:rPr>
                              <w:sz w:val="10"/>
                              <w:szCs w:val="10"/>
                            </w:rPr>
                          </w:pPr>
                        </w:p>
                        <w:p>
                          <w:pPr>
                            <w:ind w:right="142"/>
                            <w:jc w:val="both"/>
                            <w:rPr>
                              <w:rFonts w:eastAsia="MS Mincho"/>
                              <w:kern w:val="2"/>
                              <w:sz w:val="22"/>
                              <w:szCs w:val="22"/>
                            </w:rPr>
                          </w:pPr>
                          <w:r>
                            <w:rPr>
                              <w:rFonts w:eastAsia="MS Mincho"/>
                              <w:kern w:val="2"/>
                              <w:sz w:val="22"/>
                              <w:szCs w:val="22"/>
                            </w:rPr>
                            <w:t>SI13: Naujų kultūros renginių raiškos formų stoka;</w:t>
                          </w:r>
                        </w:p>
                        <w:p>
                          <w:pPr>
                            <w:rPr>
                              <w:sz w:val="10"/>
                              <w:szCs w:val="10"/>
                            </w:rPr>
                          </w:pPr>
                        </w:p>
                        <w:p>
                          <w:pPr>
                            <w:ind w:right="142"/>
                            <w:jc w:val="both"/>
                            <w:rPr>
                              <w:rFonts w:eastAsia="MS Mincho"/>
                              <w:kern w:val="2"/>
                              <w:sz w:val="22"/>
                              <w:szCs w:val="22"/>
                            </w:rPr>
                          </w:pPr>
                          <w:r>
                            <w:rPr>
                              <w:rFonts w:eastAsia="MS Mincho"/>
                              <w:kern w:val="2"/>
                              <w:sz w:val="22"/>
                              <w:szCs w:val="22"/>
                            </w:rPr>
                            <w:t>SI14: Po pandemijos smunkantis bibliotekų vartotojų ir lankytojų skaičius;</w:t>
                          </w:r>
                        </w:p>
                        <w:p>
                          <w:pPr>
                            <w:rPr>
                              <w:sz w:val="10"/>
                              <w:szCs w:val="10"/>
                            </w:rPr>
                          </w:pPr>
                        </w:p>
                        <w:p>
                          <w:pPr>
                            <w:ind w:right="142"/>
                            <w:jc w:val="both"/>
                            <w:rPr>
                              <w:rFonts w:eastAsia="MS Mincho"/>
                              <w:kern w:val="2"/>
                              <w:sz w:val="22"/>
                              <w:szCs w:val="22"/>
                            </w:rPr>
                          </w:pPr>
                          <w:r>
                            <w:rPr>
                              <w:rFonts w:eastAsia="MS Mincho"/>
                              <w:kern w:val="2"/>
                              <w:sz w:val="22"/>
                              <w:szCs w:val="22"/>
                            </w:rPr>
                            <w:t>SI15: Sumažėjęs praktikuojančių gydytojų, odontologų ir slaugytojų skaičius;</w:t>
                          </w:r>
                        </w:p>
                        <w:p>
                          <w:pPr>
                            <w:rPr>
                              <w:sz w:val="10"/>
                              <w:szCs w:val="10"/>
                            </w:rPr>
                          </w:pPr>
                        </w:p>
                        <w:p>
                          <w:pPr>
                            <w:ind w:right="142"/>
                            <w:jc w:val="both"/>
                            <w:rPr>
                              <w:rFonts w:eastAsia="MS Mincho"/>
                              <w:kern w:val="2"/>
                              <w:sz w:val="22"/>
                              <w:szCs w:val="22"/>
                            </w:rPr>
                          </w:pPr>
                          <w:r>
                            <w:rPr>
                              <w:rFonts w:eastAsia="MS Mincho"/>
                              <w:kern w:val="2"/>
                              <w:sz w:val="22"/>
                              <w:szCs w:val="22"/>
                            </w:rPr>
                            <w:t>SI16: Sveikatos srities specialistų trūkumas, pavyzdžiui, šeimos gydytojų komandos paslaugas teikiantys specialistai, visuomenės sveikatos specialistai, vaikų psichiatrai ir kt.;</w:t>
                          </w:r>
                        </w:p>
                        <w:p>
                          <w:pPr>
                            <w:rPr>
                              <w:sz w:val="10"/>
                              <w:szCs w:val="10"/>
                            </w:rPr>
                          </w:pPr>
                        </w:p>
                        <w:p>
                          <w:pPr>
                            <w:ind w:right="142"/>
                            <w:jc w:val="both"/>
                            <w:rPr>
                              <w:rFonts w:eastAsia="MS Mincho"/>
                              <w:kern w:val="2"/>
                              <w:sz w:val="22"/>
                              <w:szCs w:val="22"/>
                            </w:rPr>
                          </w:pPr>
                          <w:r>
                            <w:rPr>
                              <w:rFonts w:eastAsia="MS Mincho"/>
                              <w:kern w:val="2"/>
                              <w:sz w:val="22"/>
                              <w:szCs w:val="22"/>
                            </w:rPr>
                            <w:t>SI17: Didžiausias skaičius vyrų savižudybių ir vyrų mirčių dėl išorinių priežasčių, palyginti su kitais didžiaisiais miestais;</w:t>
                          </w:r>
                        </w:p>
                        <w:p>
                          <w:pPr>
                            <w:rPr>
                              <w:sz w:val="10"/>
                              <w:szCs w:val="10"/>
                            </w:rPr>
                          </w:pPr>
                        </w:p>
                        <w:p>
                          <w:pPr>
                            <w:ind w:right="142"/>
                            <w:jc w:val="both"/>
                            <w:rPr>
                              <w:rFonts w:eastAsia="MS Mincho"/>
                              <w:kern w:val="2"/>
                              <w:sz w:val="22"/>
                              <w:szCs w:val="22"/>
                            </w:rPr>
                          </w:pPr>
                          <w:r>
                            <w:rPr>
                              <w:rFonts w:eastAsia="MS Mincho"/>
                              <w:kern w:val="2"/>
                              <w:sz w:val="22"/>
                              <w:szCs w:val="22"/>
                            </w:rPr>
                            <w:t>SI18: Augantis socialinės pašalpos gavėjų skaičius;</w:t>
                          </w:r>
                        </w:p>
                        <w:p>
                          <w:pPr>
                            <w:rPr>
                              <w:sz w:val="10"/>
                              <w:szCs w:val="10"/>
                            </w:rPr>
                          </w:pPr>
                        </w:p>
                        <w:p>
                          <w:pPr>
                            <w:ind w:right="142"/>
                            <w:jc w:val="both"/>
                            <w:rPr>
                              <w:rFonts w:eastAsia="MS Mincho"/>
                              <w:kern w:val="2"/>
                              <w:sz w:val="22"/>
                              <w:szCs w:val="22"/>
                            </w:rPr>
                          </w:pPr>
                          <w:r>
                            <w:rPr>
                              <w:rFonts w:eastAsia="MS Mincho"/>
                              <w:kern w:val="2"/>
                              <w:sz w:val="22"/>
                              <w:szCs w:val="22"/>
                            </w:rPr>
                            <w:t>SI19: Išaugęs vaikų, augančių šeimose, kurioms taikoma atvejo vadyba, skaičius;</w:t>
                          </w:r>
                        </w:p>
                        <w:p>
                          <w:pPr>
                            <w:rPr>
                              <w:sz w:val="10"/>
                              <w:szCs w:val="10"/>
                            </w:rPr>
                          </w:pPr>
                        </w:p>
                        <w:p>
                          <w:pPr>
                            <w:ind w:right="142"/>
                            <w:jc w:val="both"/>
                            <w:rPr>
                              <w:rFonts w:eastAsia="MS Mincho"/>
                              <w:kern w:val="2"/>
                              <w:sz w:val="22"/>
                              <w:szCs w:val="22"/>
                            </w:rPr>
                          </w:pPr>
                          <w:r>
                            <w:rPr>
                              <w:rFonts w:eastAsia="MS Mincho"/>
                              <w:kern w:val="2"/>
                              <w:sz w:val="22"/>
                              <w:szCs w:val="22"/>
                            </w:rPr>
                            <w:t>SI20: Didesnis laukiančiųjų nuomotis socialinį būstą skaičius, palyginti su nuomojančiųjų skaičiumi, t. y. gaunančiais būsto nuomos kompensaciją;</w:t>
                          </w:r>
                        </w:p>
                        <w:p>
                          <w:pPr>
                            <w:rPr>
                              <w:sz w:val="10"/>
                              <w:szCs w:val="10"/>
                            </w:rPr>
                          </w:pPr>
                        </w:p>
                        <w:p>
                          <w:pPr>
                            <w:ind w:right="142"/>
                            <w:jc w:val="both"/>
                            <w:rPr>
                              <w:rFonts w:eastAsia="MS Mincho"/>
                              <w:kern w:val="2"/>
                              <w:sz w:val="22"/>
                              <w:szCs w:val="22"/>
                            </w:rPr>
                          </w:pPr>
                          <w:r>
                            <w:rPr>
                              <w:rFonts w:eastAsia="MS Mincho"/>
                              <w:kern w:val="2"/>
                              <w:sz w:val="22"/>
                              <w:szCs w:val="22"/>
                            </w:rPr>
                            <w:t>SI21: Padidėjęs šeimų, kurioms taikoma atvejo vadyba dėl smurto, skaičius;</w:t>
                          </w:r>
                        </w:p>
                        <w:p>
                          <w:pPr>
                            <w:rPr>
                              <w:sz w:val="10"/>
                              <w:szCs w:val="10"/>
                            </w:rPr>
                          </w:pPr>
                        </w:p>
                        <w:p>
                          <w:pPr>
                            <w:ind w:right="142"/>
                            <w:jc w:val="both"/>
                            <w:rPr>
                              <w:rFonts w:eastAsia="MS Mincho"/>
                              <w:kern w:val="2"/>
                              <w:sz w:val="22"/>
                              <w:szCs w:val="22"/>
                            </w:rPr>
                          </w:pPr>
                          <w:r>
                            <w:rPr>
                              <w:rFonts w:eastAsia="MS Mincho"/>
                              <w:kern w:val="2"/>
                              <w:sz w:val="22"/>
                              <w:szCs w:val="22"/>
                            </w:rPr>
                            <w:t>SI22: Didėjanti oro tarša ir triukšmas mieste dėl augančio automobilių skaičiaus;</w:t>
                          </w:r>
                        </w:p>
                        <w:p>
                          <w:pPr>
                            <w:rPr>
                              <w:sz w:val="10"/>
                              <w:szCs w:val="10"/>
                            </w:rPr>
                          </w:pPr>
                        </w:p>
                        <w:p>
                          <w:pPr>
                            <w:ind w:right="142"/>
                            <w:jc w:val="both"/>
                            <w:rPr>
                              <w:rFonts w:eastAsia="MS Mincho"/>
                              <w:kern w:val="2"/>
                              <w:sz w:val="22"/>
                              <w:szCs w:val="22"/>
                            </w:rPr>
                          </w:pPr>
                          <w:r>
                            <w:rPr>
                              <w:rFonts w:eastAsia="MS Mincho"/>
                              <w:kern w:val="2"/>
                              <w:sz w:val="22"/>
                              <w:szCs w:val="22"/>
                            </w:rPr>
                            <w:t>SI23: Nepakankama tvarka ir jos kontrolės priemonės prie daugiabučių atliekų konteinerių;</w:t>
                          </w:r>
                        </w:p>
                        <w:p>
                          <w:pPr>
                            <w:rPr>
                              <w:sz w:val="10"/>
                              <w:szCs w:val="10"/>
                            </w:rPr>
                          </w:pPr>
                        </w:p>
                        <w:p>
                          <w:pPr>
                            <w:ind w:right="142"/>
                            <w:jc w:val="both"/>
                            <w:rPr>
                              <w:rFonts w:eastAsia="MS Mincho"/>
                              <w:kern w:val="2"/>
                              <w:sz w:val="22"/>
                              <w:szCs w:val="22"/>
                            </w:rPr>
                          </w:pPr>
                          <w:r>
                            <w:rPr>
                              <w:rFonts w:eastAsia="MS Mincho"/>
                              <w:kern w:val="2"/>
                              <w:sz w:val="22"/>
                              <w:szCs w:val="22"/>
                            </w:rPr>
                            <w:t>SI24: Auga susidarančių komunalinių atliekų kiekis vienam gyventojui;</w:t>
                          </w:r>
                        </w:p>
                        <w:p>
                          <w:pPr>
                            <w:rPr>
                              <w:sz w:val="10"/>
                              <w:szCs w:val="10"/>
                            </w:rPr>
                          </w:pPr>
                        </w:p>
                        <w:p>
                          <w:pPr>
                            <w:ind w:right="142"/>
                            <w:jc w:val="both"/>
                            <w:rPr>
                              <w:rFonts w:eastAsia="MS Mincho"/>
                              <w:kern w:val="2"/>
                              <w:sz w:val="22"/>
                              <w:szCs w:val="22"/>
                            </w:rPr>
                          </w:pPr>
                          <w:r>
                            <w:rPr>
                              <w:rFonts w:eastAsia="MS Mincho"/>
                              <w:kern w:val="2"/>
                              <w:sz w:val="22"/>
                              <w:szCs w:val="22"/>
                            </w:rPr>
                            <w:t>SI25: Atsinaujinančių energijos išteklių naudojimo skatinimo ir energijos vartojimo efektyvumo didinimo srityse Šiaulių miestas užima 52 vietą tarp 60 Lietuvos savivaldybių (2022 m.);</w:t>
                          </w:r>
                        </w:p>
                        <w:p>
                          <w:pPr>
                            <w:rPr>
                              <w:sz w:val="10"/>
                              <w:szCs w:val="10"/>
                            </w:rPr>
                          </w:pPr>
                        </w:p>
                        <w:p>
                          <w:pPr>
                            <w:ind w:right="142"/>
                            <w:jc w:val="both"/>
                            <w:rPr>
                              <w:rFonts w:eastAsia="MS Mincho"/>
                              <w:kern w:val="2"/>
                              <w:sz w:val="22"/>
                              <w:szCs w:val="22"/>
                            </w:rPr>
                          </w:pPr>
                          <w:r>
                            <w:rPr>
                              <w:rFonts w:eastAsia="MS Mincho"/>
                              <w:kern w:val="2"/>
                              <w:sz w:val="22"/>
                              <w:szCs w:val="22"/>
                            </w:rPr>
                            <w:t>SI26: Tankiai urbanizuotose miesto dalyse mažėja gyventojų, nes jie keliasi į vienbučius namus priemiesčiuose, kur mokyklų ir darželių tinklas yra mažiau išvystytas;</w:t>
                          </w:r>
                        </w:p>
                        <w:p>
                          <w:pPr>
                            <w:rPr>
                              <w:sz w:val="10"/>
                              <w:szCs w:val="10"/>
                            </w:rPr>
                          </w:pPr>
                        </w:p>
                        <w:p>
                          <w:pPr>
                            <w:ind w:right="142"/>
                            <w:jc w:val="both"/>
                            <w:rPr>
                              <w:rFonts w:eastAsia="MS Mincho"/>
                              <w:kern w:val="2"/>
                              <w:sz w:val="22"/>
                              <w:szCs w:val="22"/>
                            </w:rPr>
                          </w:pPr>
                          <w:r>
                            <w:rPr>
                              <w:rFonts w:eastAsia="MS Mincho"/>
                              <w:kern w:val="2"/>
                              <w:sz w:val="22"/>
                              <w:szCs w:val="22"/>
                            </w:rPr>
                            <w:t>SI27: Svarbiausi tarptautiniai keliai aplenkia Šiaulius (Rail Baltica, Via Baltica). Dėl trūkstamos aplinkkelio dalies šiaurės-rytuose intensyvus eismas juda per centrinę miesto dalį;</w:t>
                          </w:r>
                        </w:p>
                        <w:p>
                          <w:pPr>
                            <w:rPr>
                              <w:sz w:val="10"/>
                              <w:szCs w:val="10"/>
                            </w:rPr>
                          </w:pPr>
                        </w:p>
                        <w:p>
                          <w:pPr>
                            <w:ind w:right="142"/>
                            <w:jc w:val="both"/>
                            <w:rPr>
                              <w:rFonts w:eastAsia="MS Mincho"/>
                              <w:kern w:val="2"/>
                              <w:sz w:val="22"/>
                              <w:szCs w:val="22"/>
                            </w:rPr>
                          </w:pPr>
                          <w:r>
                            <w:rPr>
                              <w:rFonts w:eastAsia="MS Mincho"/>
                              <w:kern w:val="2"/>
                              <w:sz w:val="22"/>
                              <w:szCs w:val="22"/>
                            </w:rPr>
                            <w:t>SI28: Viešasis transportas: mažėjančios pervežtų keleivių apimtys, tobulintinas viešojo transporto judėjimo grafikas.</w:t>
                          </w:r>
                        </w:p>
                        <w:p>
                          <w:pPr>
                            <w:rPr>
                              <w:sz w:val="10"/>
                              <w:szCs w:val="10"/>
                            </w:rPr>
                          </w:pPr>
                        </w:p>
                        <w:p>
                          <w:pPr>
                            <w:ind w:right="142"/>
                            <w:jc w:val="both"/>
                            <w:rPr>
                              <w:rFonts w:eastAsia="MS Mincho"/>
                              <w:kern w:val="2"/>
                              <w:sz w:val="22"/>
                              <w:szCs w:val="22"/>
                            </w:rPr>
                          </w:pPr>
                          <w:r>
                            <w:rPr>
                              <w:rFonts w:eastAsia="MS Mincho"/>
                              <w:kern w:val="2"/>
                              <w:sz w:val="22"/>
                              <w:szCs w:val="22"/>
                            </w:rPr>
                            <w:t>SI29: Prastos būklės dviračių takų tinklas;</w:t>
                          </w:r>
                        </w:p>
                        <w:p>
                          <w:pPr>
                            <w:rPr>
                              <w:sz w:val="10"/>
                              <w:szCs w:val="10"/>
                            </w:rPr>
                          </w:pPr>
                        </w:p>
                        <w:p>
                          <w:pPr>
                            <w:ind w:right="142"/>
                            <w:jc w:val="both"/>
                            <w:rPr>
                              <w:rFonts w:eastAsia="MS Mincho"/>
                              <w:kern w:val="2"/>
                              <w:sz w:val="22"/>
                              <w:szCs w:val="22"/>
                            </w:rPr>
                          </w:pPr>
                          <w:r>
                            <w:rPr>
                              <w:rFonts w:eastAsia="MS Mincho"/>
                              <w:kern w:val="2"/>
                              <w:sz w:val="22"/>
                              <w:szCs w:val="22"/>
                            </w:rPr>
                            <w:t>SI30: Blogėjanti esamų gatvių infrastruktūra;</w:t>
                          </w:r>
                        </w:p>
                        <w:p>
                          <w:pPr>
                            <w:rPr>
                              <w:sz w:val="10"/>
                              <w:szCs w:val="10"/>
                            </w:rPr>
                          </w:pPr>
                        </w:p>
                        <w:p>
                          <w:pPr>
                            <w:ind w:right="142"/>
                            <w:jc w:val="both"/>
                            <w:rPr>
                              <w:rFonts w:eastAsia="MS Mincho"/>
                              <w:kern w:val="2"/>
                              <w:sz w:val="22"/>
                              <w:szCs w:val="22"/>
                            </w:rPr>
                          </w:pPr>
                          <w:r>
                            <w:rPr>
                              <w:rFonts w:eastAsia="MS Mincho"/>
                              <w:kern w:val="2"/>
                              <w:sz w:val="22"/>
                              <w:szCs w:val="22"/>
                            </w:rPr>
                            <w:t>SI31: Elektromobilių stotelių trūkumas;</w:t>
                          </w:r>
                        </w:p>
                        <w:p>
                          <w:pPr>
                            <w:rPr>
                              <w:sz w:val="10"/>
                              <w:szCs w:val="10"/>
                            </w:rPr>
                          </w:pPr>
                        </w:p>
                        <w:p>
                          <w:pPr>
                            <w:ind w:right="142"/>
                            <w:jc w:val="both"/>
                            <w:rPr>
                              <w:rFonts w:eastAsia="MS Mincho"/>
                              <w:kern w:val="2"/>
                              <w:sz w:val="22"/>
                              <w:szCs w:val="22"/>
                            </w:rPr>
                          </w:pPr>
                          <w:r>
                            <w:rPr>
                              <w:rFonts w:eastAsia="MS Mincho"/>
                              <w:kern w:val="2"/>
                              <w:sz w:val="22"/>
                              <w:szCs w:val="22"/>
                            </w:rPr>
                            <w:t>SI32: Netolygus vaizdo stebėjimo kamerų išdėstymas, koncentruojantis į centrinę Šiaulių miesto dalį;</w:t>
                          </w:r>
                        </w:p>
                        <w:p>
                          <w:pPr>
                            <w:rPr>
                              <w:sz w:val="10"/>
                              <w:szCs w:val="10"/>
                            </w:rPr>
                          </w:pPr>
                        </w:p>
                        <w:p>
                          <w:pPr>
                            <w:ind w:right="142"/>
                            <w:jc w:val="both"/>
                            <w:rPr>
                              <w:rFonts w:eastAsia="MS Mincho"/>
                              <w:kern w:val="2"/>
                              <w:sz w:val="22"/>
                              <w:szCs w:val="22"/>
                            </w:rPr>
                          </w:pPr>
                          <w:r>
                            <w:rPr>
                              <w:rFonts w:eastAsia="MS Mincho"/>
                              <w:kern w:val="2"/>
                              <w:sz w:val="22"/>
                              <w:szCs w:val="22"/>
                            </w:rPr>
                            <w:t>SI33: Nusikalstamų veikų ir nepilnamečių, įtariamų padarius nusikalstamas veikas, skaičius išlieka aukščiausi tarp didžiųjų miestų ir palyginti su Lietuvos vidurkiu.;</w:t>
                          </w:r>
                        </w:p>
                        <w:p>
                          <w:pPr>
                            <w:rPr>
                              <w:sz w:val="10"/>
                              <w:szCs w:val="10"/>
                            </w:rPr>
                          </w:pPr>
                        </w:p>
                        <w:p>
                          <w:pPr>
                            <w:ind w:right="142"/>
                            <w:jc w:val="both"/>
                            <w:rPr>
                              <w:rFonts w:eastAsia="MS Mincho"/>
                              <w:kern w:val="2"/>
                              <w:sz w:val="22"/>
                              <w:szCs w:val="22"/>
                            </w:rPr>
                          </w:pPr>
                          <w:r>
                            <w:rPr>
                              <w:rFonts w:eastAsia="MS Mincho"/>
                              <w:kern w:val="2"/>
                              <w:sz w:val="22"/>
                              <w:szCs w:val="22"/>
                            </w:rPr>
                            <w:t>SI34: Aukštos kvalifikacijos darbuotojų (ypač IT srityje) trūkumas valstybės tarnyboje.</w:t>
                          </w:r>
                        </w:p>
                      </w:tc>
                    </w:tr>
                    <w:tr>
                      <w:trPr>
                        <w:trHeight w:val="210"/>
                      </w:trPr>
                      <w:tc>
                        <w:tcPr>
                          <w:tcW w:w="2503" w:type="pct"/>
                          <w:gridSpan w:val="2"/>
                          <w:tcBorders>
                            <w:top w:val="nil"/>
                            <w:bottom w:val="single" w:sz="4" w:space="0" w:color="auto"/>
                          </w:tcBorders>
                          <w:shd w:val="clear" w:color="auto" w:fill="auto"/>
                          <w:tcMar>
                            <w:top w:w="72" w:type="dxa"/>
                            <w:left w:w="144" w:type="dxa"/>
                            <w:bottom w:w="72" w:type="dxa"/>
                            <w:right w:w="144" w:type="dxa"/>
                          </w:tcMar>
                          <w:vAlign w:val="center"/>
                        </w:tcPr>
                        <w:p>
                          <w:pPr>
                            <w:rPr>
                              <w:sz w:val="10"/>
                              <w:szCs w:val="10"/>
                            </w:rPr>
                          </w:pPr>
                        </w:p>
                        <w:p>
                          <w:pPr>
                            <w:ind w:right="142"/>
                            <w:jc w:val="center"/>
                            <w:rPr>
                              <w:rFonts w:eastAsia="MS Mincho"/>
                              <w:b/>
                              <w:bCs/>
                              <w:kern w:val="2"/>
                              <w:sz w:val="22"/>
                              <w:szCs w:val="22"/>
                            </w:rPr>
                          </w:pPr>
                          <w:r>
                            <w:rPr>
                              <w:rFonts w:eastAsia="MS Mincho"/>
                              <w:b/>
                              <w:bCs/>
                              <w:color w:val="FDB515"/>
                              <w:kern w:val="2"/>
                              <w:sz w:val="22"/>
                              <w:szCs w:val="24"/>
                            </w:rPr>
                            <w:t>GALIMYBĖS</w:t>
                          </w:r>
                        </w:p>
                      </w:tc>
                      <w:tc>
                        <w:tcPr>
                          <w:tcW w:w="2497" w:type="pct"/>
                          <w:gridSpan w:val="2"/>
                          <w:tcBorders>
                            <w:top w:val="nil"/>
                            <w:bottom w:val="single" w:sz="4" w:space="0" w:color="auto"/>
                          </w:tcBorders>
                          <w:shd w:val="clear" w:color="auto" w:fill="auto"/>
                          <w:tcMar>
                            <w:top w:w="72" w:type="dxa"/>
                            <w:left w:w="144" w:type="dxa"/>
                            <w:bottom w:w="72" w:type="dxa"/>
                            <w:right w:w="144" w:type="dxa"/>
                          </w:tcMar>
                          <w:vAlign w:val="center"/>
                        </w:tcPr>
                        <w:p>
                          <w:pPr>
                            <w:rPr>
                              <w:sz w:val="10"/>
                              <w:szCs w:val="10"/>
                            </w:rPr>
                          </w:pPr>
                        </w:p>
                        <w:p>
                          <w:pPr>
                            <w:keepNext/>
                            <w:ind w:right="142"/>
                            <w:jc w:val="center"/>
                            <w:rPr>
                              <w:rFonts w:eastAsia="MS Mincho"/>
                              <w:b/>
                              <w:bCs/>
                              <w:color w:val="E86700"/>
                              <w:kern w:val="2"/>
                              <w:sz w:val="22"/>
                              <w:szCs w:val="22"/>
                            </w:rPr>
                          </w:pPr>
                          <w:r>
                            <w:rPr>
                              <w:rFonts w:eastAsia="MS Mincho"/>
                              <w:b/>
                              <w:bCs/>
                              <w:color w:val="E86700"/>
                              <w:kern w:val="2"/>
                              <w:sz w:val="22"/>
                              <w:szCs w:val="24"/>
                            </w:rPr>
                            <w:t>GRĖSMĖS</w:t>
                          </w:r>
                        </w:p>
                      </w:tc>
                    </w:tr>
                    <w:tr>
                      <w:trPr>
                        <w:gridBefore w:val="1"/>
                        <w:wBefore w:w="5" w:type="pct"/>
                        <w:trHeight w:val="759"/>
                      </w:trPr>
                      <w:tc>
                        <w:tcPr>
                          <w:tcW w:w="2498" w:type="pct"/>
                          <w:shd w:val="clear" w:color="auto" w:fill="auto"/>
                          <w:tcMar>
                            <w:top w:w="72" w:type="dxa"/>
                            <w:left w:w="144" w:type="dxa"/>
                            <w:bottom w:w="72" w:type="dxa"/>
                            <w:right w:w="144" w:type="dxa"/>
                          </w:tcMar>
                        </w:tcPr>
                        <w:p>
                          <w:pPr>
                            <w:rPr>
                              <w:sz w:val="10"/>
                              <w:szCs w:val="10"/>
                            </w:rPr>
                          </w:pPr>
                        </w:p>
                        <w:p>
                          <w:pPr>
                            <w:ind w:right="142"/>
                            <w:jc w:val="both"/>
                            <w:rPr>
                              <w:rFonts w:eastAsia="MS Mincho"/>
                              <w:kern w:val="2"/>
                              <w:sz w:val="22"/>
                              <w:szCs w:val="22"/>
                            </w:rPr>
                          </w:pPr>
                          <w:r>
                            <w:rPr>
                              <w:rFonts w:eastAsia="MS Mincho"/>
                              <w:kern w:val="2"/>
                              <w:sz w:val="22"/>
                              <w:szCs w:val="22"/>
                            </w:rPr>
                            <w:t>GA1: Bėgant laikui po COVID-19 pandemijos karantino sukeltų padarinių, užimtumo lygis augs, o bedarbių skaičius – mažės;</w:t>
                          </w:r>
                        </w:p>
                        <w:p>
                          <w:pPr>
                            <w:rPr>
                              <w:sz w:val="10"/>
                              <w:szCs w:val="10"/>
                            </w:rPr>
                          </w:pPr>
                        </w:p>
                        <w:p>
                          <w:pPr>
                            <w:ind w:right="142"/>
                            <w:jc w:val="both"/>
                            <w:rPr>
                              <w:rFonts w:eastAsia="MS Mincho"/>
                              <w:kern w:val="2"/>
                              <w:sz w:val="22"/>
                              <w:szCs w:val="22"/>
                            </w:rPr>
                          </w:pPr>
                          <w:r>
                            <w:rPr>
                              <w:rFonts w:eastAsia="MS Mincho"/>
                              <w:kern w:val="2"/>
                              <w:sz w:val="22"/>
                              <w:szCs w:val="22"/>
                            </w:rPr>
                            <w:t>GA2: Iš valstybės biudžeto skiriamos lėšos užimtumo didinimo programų, orientuotų į ilgalaikius bedarbius, įgyvendinimui;</w:t>
                          </w:r>
                        </w:p>
                        <w:p>
                          <w:pPr>
                            <w:rPr>
                              <w:sz w:val="10"/>
                              <w:szCs w:val="10"/>
                            </w:rPr>
                          </w:pPr>
                        </w:p>
                        <w:p>
                          <w:pPr>
                            <w:ind w:right="142"/>
                            <w:jc w:val="both"/>
                            <w:rPr>
                              <w:rFonts w:eastAsia="MS Mincho"/>
                              <w:kern w:val="2"/>
                              <w:sz w:val="22"/>
                              <w:szCs w:val="22"/>
                            </w:rPr>
                          </w:pPr>
                          <w:r>
                            <w:rPr>
                              <w:rFonts w:eastAsia="MS Mincho"/>
                              <w:kern w:val="2"/>
                              <w:sz w:val="22"/>
                              <w:szCs w:val="22"/>
                            </w:rPr>
                            <w:t>GA3: Didžiausią augimo potencialą turintis medienos, antžeminio transporto priemonių, branduolinių reaktorių, katilų, mašinų ir mechaninių įrenginių eksportas Šiaulių apskrityje;</w:t>
                          </w:r>
                        </w:p>
                        <w:p>
                          <w:pPr>
                            <w:rPr>
                              <w:sz w:val="10"/>
                              <w:szCs w:val="10"/>
                            </w:rPr>
                          </w:pPr>
                        </w:p>
                        <w:p>
                          <w:pPr>
                            <w:ind w:right="142"/>
                            <w:jc w:val="both"/>
                            <w:rPr>
                              <w:rFonts w:eastAsia="MS Mincho"/>
                              <w:kern w:val="2"/>
                              <w:sz w:val="22"/>
                              <w:szCs w:val="22"/>
                            </w:rPr>
                          </w:pPr>
                          <w:r>
                            <w:rPr>
                              <w:rFonts w:eastAsia="MS Mincho"/>
                              <w:kern w:val="2"/>
                              <w:sz w:val="22"/>
                              <w:szCs w:val="22"/>
                            </w:rPr>
                            <w:t>GA4: Centrinei valdžiai patvirtinus geležinkelio infrastruktūros finansavimą, augtų Šiaulių regiono ekonominis konkurencingumas;</w:t>
                          </w:r>
                        </w:p>
                        <w:p>
                          <w:pPr>
                            <w:rPr>
                              <w:sz w:val="10"/>
                              <w:szCs w:val="10"/>
                            </w:rPr>
                          </w:pPr>
                        </w:p>
                        <w:p>
                          <w:pPr>
                            <w:ind w:right="142"/>
                            <w:jc w:val="both"/>
                            <w:rPr>
                              <w:rFonts w:eastAsia="MS Mincho"/>
                              <w:kern w:val="2"/>
                              <w:sz w:val="22"/>
                              <w:szCs w:val="22"/>
                            </w:rPr>
                          </w:pPr>
                          <w:r>
                            <w:rPr>
                              <w:rFonts w:eastAsia="MS Mincho"/>
                              <w:kern w:val="2"/>
                              <w:sz w:val="22"/>
                              <w:szCs w:val="22"/>
                            </w:rPr>
                            <w:t>GA5: COVID-19 pandemijos sąlygotas progresas nuotolinio mokymo srityje;</w:t>
                          </w:r>
                        </w:p>
                        <w:p>
                          <w:pPr>
                            <w:rPr>
                              <w:sz w:val="10"/>
                              <w:szCs w:val="10"/>
                            </w:rPr>
                          </w:pPr>
                        </w:p>
                        <w:p>
                          <w:pPr>
                            <w:ind w:right="142"/>
                            <w:jc w:val="both"/>
                            <w:rPr>
                              <w:rFonts w:eastAsia="MS Mincho"/>
                              <w:kern w:val="2"/>
                              <w:sz w:val="22"/>
                              <w:szCs w:val="22"/>
                            </w:rPr>
                          </w:pPr>
                          <w:r>
                            <w:rPr>
                              <w:rFonts w:eastAsia="MS Mincho"/>
                              <w:kern w:val="2"/>
                              <w:sz w:val="22"/>
                              <w:szCs w:val="22"/>
                            </w:rPr>
                            <w:t>GA6: Kryptinga vaikų ir jaunimo edukacija paklausių profesijų pasirinkimo klausimais;</w:t>
                          </w:r>
                        </w:p>
                        <w:p>
                          <w:pPr>
                            <w:rPr>
                              <w:sz w:val="10"/>
                              <w:szCs w:val="10"/>
                            </w:rPr>
                          </w:pPr>
                        </w:p>
                        <w:p>
                          <w:pPr>
                            <w:ind w:right="142"/>
                            <w:jc w:val="both"/>
                            <w:rPr>
                              <w:rFonts w:eastAsia="MS Mincho"/>
                              <w:kern w:val="2"/>
                              <w:sz w:val="22"/>
                              <w:szCs w:val="22"/>
                            </w:rPr>
                          </w:pPr>
                          <w:r>
                            <w:rPr>
                              <w:rFonts w:eastAsia="MS Mincho"/>
                              <w:kern w:val="2"/>
                              <w:sz w:val="22"/>
                              <w:szCs w:val="22"/>
                            </w:rPr>
                            <w:t xml:space="preserve">GA7: Regioninio sporto klasterio modelio sukūrimas, įtraukiant miesto, regiono sporto organizacijas, sporto gimnaziją, sporto šakų federacijas; </w:t>
                          </w:r>
                        </w:p>
                        <w:p>
                          <w:pPr>
                            <w:rPr>
                              <w:sz w:val="10"/>
                              <w:szCs w:val="10"/>
                            </w:rPr>
                          </w:pPr>
                        </w:p>
                        <w:p>
                          <w:pPr>
                            <w:ind w:right="142"/>
                            <w:jc w:val="both"/>
                            <w:rPr>
                              <w:rFonts w:eastAsia="MS Mincho"/>
                              <w:kern w:val="2"/>
                              <w:sz w:val="22"/>
                              <w:szCs w:val="22"/>
                            </w:rPr>
                          </w:pPr>
                          <w:r>
                            <w:rPr>
                              <w:rFonts w:eastAsia="MS Mincho"/>
                              <w:kern w:val="2"/>
                              <w:sz w:val="22"/>
                              <w:szCs w:val="22"/>
                            </w:rPr>
                            <w:t>GA8: Galimybė inovatyvioms kultūros ir turizmo veikloms, sąlygotos pasikeitusiais gyventojų įpročiais po COVID-19 pandemijos, padidinto dėmesio tvarumo klausimams;</w:t>
                          </w:r>
                        </w:p>
                        <w:p>
                          <w:pPr>
                            <w:rPr>
                              <w:sz w:val="10"/>
                              <w:szCs w:val="10"/>
                            </w:rPr>
                          </w:pPr>
                        </w:p>
                        <w:p>
                          <w:pPr>
                            <w:ind w:right="142"/>
                            <w:jc w:val="both"/>
                            <w:rPr>
                              <w:rFonts w:eastAsia="MS Mincho"/>
                              <w:kern w:val="2"/>
                              <w:sz w:val="22"/>
                              <w:szCs w:val="22"/>
                            </w:rPr>
                          </w:pPr>
                          <w:r>
                            <w:rPr>
                              <w:rFonts w:eastAsia="MS Mincho"/>
                              <w:kern w:val="2"/>
                              <w:sz w:val="22"/>
                              <w:szCs w:val="22"/>
                            </w:rPr>
                            <w:t>GA9: Turistinio objekto – Kryžių kalno išnaudojimas turistams pritraukti į Šiaulius;</w:t>
                          </w:r>
                        </w:p>
                        <w:p>
                          <w:pPr>
                            <w:rPr>
                              <w:sz w:val="10"/>
                              <w:szCs w:val="10"/>
                            </w:rPr>
                          </w:pPr>
                        </w:p>
                        <w:p>
                          <w:pPr>
                            <w:ind w:right="142"/>
                            <w:jc w:val="both"/>
                            <w:rPr>
                              <w:rFonts w:eastAsia="MS Mincho"/>
                              <w:kern w:val="2"/>
                              <w:sz w:val="22"/>
                              <w:szCs w:val="22"/>
                            </w:rPr>
                          </w:pPr>
                          <w:r>
                            <w:rPr>
                              <w:rFonts w:eastAsia="MS Mincho"/>
                              <w:kern w:val="2"/>
                              <w:sz w:val="22"/>
                              <w:szCs w:val="22"/>
                            </w:rPr>
                            <w:t>GA10: Turizmo rūšių plėtra:</w:t>
                          </w:r>
                          <w:r>
                            <w:rPr>
                              <w:rFonts w:eastAsia="MS Mincho"/>
                              <w:b/>
                              <w:bCs/>
                              <w:kern w:val="2"/>
                              <w:sz w:val="22"/>
                              <w:szCs w:val="22"/>
                            </w:rPr>
                            <w:t xml:space="preserve"> </w:t>
                          </w:r>
                          <w:r>
                            <w:rPr>
                              <w:rFonts w:eastAsia="MS Mincho"/>
                              <w:kern w:val="2"/>
                              <w:sz w:val="22"/>
                              <w:szCs w:val="22"/>
                            </w:rPr>
                            <w:t xml:space="preserve">sporto, renginių turizmas ir pan. </w:t>
                          </w:r>
                        </w:p>
                        <w:p>
                          <w:pPr>
                            <w:rPr>
                              <w:sz w:val="10"/>
                              <w:szCs w:val="10"/>
                            </w:rPr>
                          </w:pPr>
                        </w:p>
                        <w:p>
                          <w:pPr>
                            <w:ind w:right="142"/>
                            <w:jc w:val="both"/>
                            <w:rPr>
                              <w:rFonts w:eastAsia="MS Mincho"/>
                              <w:kern w:val="2"/>
                              <w:sz w:val="22"/>
                              <w:szCs w:val="22"/>
                            </w:rPr>
                          </w:pPr>
                          <w:r>
                            <w:rPr>
                              <w:rFonts w:eastAsia="MS Mincho"/>
                              <w:kern w:val="2"/>
                              <w:sz w:val="22"/>
                              <w:szCs w:val="22"/>
                            </w:rPr>
                            <w:t>GA11: Gyventojų įtraukties į prevencines, profilaktines programas, prisidedančias prie visuomenės sveikatos stiprinimo, didinimas;</w:t>
                          </w:r>
                        </w:p>
                        <w:p>
                          <w:pPr>
                            <w:rPr>
                              <w:sz w:val="10"/>
                              <w:szCs w:val="10"/>
                            </w:rPr>
                          </w:pPr>
                        </w:p>
                        <w:p>
                          <w:pPr>
                            <w:ind w:right="142"/>
                            <w:jc w:val="both"/>
                            <w:rPr>
                              <w:rFonts w:eastAsia="MS Mincho"/>
                              <w:kern w:val="2"/>
                              <w:sz w:val="22"/>
                              <w:szCs w:val="22"/>
                            </w:rPr>
                          </w:pPr>
                          <w:r>
                            <w:rPr>
                              <w:rFonts w:eastAsia="MS Mincho"/>
                              <w:kern w:val="2"/>
                              <w:sz w:val="22"/>
                              <w:szCs w:val="22"/>
                            </w:rPr>
                            <w:t xml:space="preserve">GA12: Didėjančios NVO galimybės teikiant socialines paslaugas, gavus akreditaciją ar globos licenziją; </w:t>
                          </w:r>
                        </w:p>
                        <w:p>
                          <w:pPr>
                            <w:rPr>
                              <w:sz w:val="10"/>
                              <w:szCs w:val="10"/>
                            </w:rPr>
                          </w:pPr>
                        </w:p>
                        <w:p>
                          <w:pPr>
                            <w:ind w:right="142"/>
                            <w:jc w:val="both"/>
                            <w:rPr>
                              <w:rFonts w:eastAsia="MS Mincho"/>
                              <w:kern w:val="2"/>
                              <w:sz w:val="22"/>
                              <w:szCs w:val="22"/>
                            </w:rPr>
                          </w:pPr>
                          <w:r>
                            <w:rPr>
                              <w:rFonts w:eastAsia="MS Mincho"/>
                              <w:kern w:val="2"/>
                              <w:sz w:val="22"/>
                              <w:szCs w:val="22"/>
                            </w:rPr>
                            <w:t>GA13: Augantis valstybinis, Europos Sąjungos finansavimas tvarumui, darniam vystymuisi, žaliųjų plotų išsaugojimui;</w:t>
                          </w:r>
                        </w:p>
                        <w:p>
                          <w:pPr>
                            <w:rPr>
                              <w:sz w:val="10"/>
                              <w:szCs w:val="10"/>
                            </w:rPr>
                          </w:pPr>
                        </w:p>
                        <w:p>
                          <w:pPr>
                            <w:ind w:right="142"/>
                            <w:jc w:val="both"/>
                            <w:rPr>
                              <w:rFonts w:eastAsia="MS Mincho"/>
                              <w:kern w:val="2"/>
                              <w:sz w:val="22"/>
                              <w:szCs w:val="22"/>
                            </w:rPr>
                          </w:pPr>
                          <w:r>
                            <w:rPr>
                              <w:rFonts w:eastAsia="MS Mincho"/>
                              <w:kern w:val="2"/>
                              <w:sz w:val="22"/>
                              <w:szCs w:val="22"/>
                            </w:rPr>
                            <w:t>GA14: MBA (mechaninio biologinio apdorojimo) įrenginių modernizavimas sudarytų sąlygas iš mišrių komunalinių atliekų srauto atskirti reikšmingą kiekį pakuočių atliekų bei antrinių žaliavų;</w:t>
                          </w:r>
                        </w:p>
                        <w:p>
                          <w:pPr>
                            <w:rPr>
                              <w:sz w:val="10"/>
                              <w:szCs w:val="10"/>
                            </w:rPr>
                          </w:pPr>
                        </w:p>
                        <w:p>
                          <w:pPr>
                            <w:ind w:right="142"/>
                            <w:jc w:val="both"/>
                            <w:rPr>
                              <w:rFonts w:eastAsia="MS Mincho"/>
                              <w:kern w:val="2"/>
                              <w:sz w:val="22"/>
                              <w:szCs w:val="22"/>
                            </w:rPr>
                          </w:pPr>
                          <w:r>
                            <w:rPr>
                              <w:rFonts w:eastAsia="MS Mincho"/>
                              <w:kern w:val="2"/>
                              <w:sz w:val="22"/>
                              <w:szCs w:val="22"/>
                            </w:rPr>
                            <w:t>GA15: Stiprus Europos Sąjungos žaliasis kursas ir papildomos investicijos gali pagerinti pramoninių teritorijų ir žaliųjų teritorijų aplinkos kokybę;</w:t>
                          </w:r>
                        </w:p>
                        <w:p>
                          <w:pPr>
                            <w:rPr>
                              <w:sz w:val="10"/>
                              <w:szCs w:val="10"/>
                            </w:rPr>
                          </w:pPr>
                        </w:p>
                        <w:p>
                          <w:pPr>
                            <w:ind w:right="142"/>
                            <w:jc w:val="both"/>
                            <w:rPr>
                              <w:rFonts w:eastAsia="MS Mincho"/>
                              <w:kern w:val="2"/>
                              <w:sz w:val="22"/>
                              <w:szCs w:val="22"/>
                            </w:rPr>
                          </w:pPr>
                          <w:r>
                            <w:rPr>
                              <w:rFonts w:eastAsia="MS Mincho"/>
                              <w:kern w:val="2"/>
                              <w:sz w:val="22"/>
                              <w:szCs w:val="22"/>
                            </w:rPr>
                            <w:t xml:space="preserve">GA16: Dėl sparčiai populiarėjančių mikromobilumo priemonių, patogesnis centrinės miesto teritorijos pasiekiamumas ne automobiliais; </w:t>
                          </w:r>
                        </w:p>
                        <w:p>
                          <w:pPr>
                            <w:rPr>
                              <w:sz w:val="10"/>
                              <w:szCs w:val="10"/>
                            </w:rPr>
                          </w:pPr>
                        </w:p>
                        <w:p>
                          <w:pPr>
                            <w:ind w:right="142"/>
                            <w:jc w:val="both"/>
                            <w:rPr>
                              <w:rFonts w:eastAsia="MS Mincho"/>
                              <w:kern w:val="2"/>
                              <w:sz w:val="22"/>
                              <w:szCs w:val="22"/>
                            </w:rPr>
                          </w:pPr>
                          <w:r>
                            <w:rPr>
                              <w:rFonts w:eastAsia="MS Mincho"/>
                              <w:kern w:val="2"/>
                              <w:sz w:val="22"/>
                              <w:szCs w:val="22"/>
                            </w:rPr>
                            <w:t>GA17: Saugaus miesto gyventi pozicionavimas gali pritraukti gyventi daugiau jaunų darbingų šeimų;</w:t>
                          </w:r>
                        </w:p>
                        <w:p>
                          <w:pPr>
                            <w:rPr>
                              <w:sz w:val="10"/>
                              <w:szCs w:val="10"/>
                            </w:rPr>
                          </w:pPr>
                        </w:p>
                        <w:p>
                          <w:pPr>
                            <w:ind w:right="142"/>
                            <w:jc w:val="both"/>
                            <w:rPr>
                              <w:rFonts w:eastAsia="MS Mincho"/>
                              <w:kern w:val="2"/>
                              <w:sz w:val="22"/>
                              <w:szCs w:val="22"/>
                            </w:rPr>
                          </w:pPr>
                          <w:r>
                            <w:rPr>
                              <w:rFonts w:eastAsia="MS Mincho"/>
                              <w:kern w:val="2"/>
                              <w:sz w:val="22"/>
                              <w:szCs w:val="22"/>
                            </w:rPr>
                            <w:t>GA18: Tolimesnė procesų ir paslaugų skaitmenizacija, trumpinanti paslaugų teikimo laiką ir efektyviau išnaudojanti žmogiškuosius resursus;</w:t>
                          </w:r>
                        </w:p>
                        <w:p>
                          <w:pPr>
                            <w:rPr>
                              <w:sz w:val="10"/>
                              <w:szCs w:val="10"/>
                            </w:rPr>
                          </w:pPr>
                        </w:p>
                        <w:p>
                          <w:pPr>
                            <w:ind w:right="142"/>
                            <w:jc w:val="both"/>
                            <w:rPr>
                              <w:rFonts w:eastAsia="MS Mincho"/>
                              <w:kern w:val="2"/>
                              <w:sz w:val="22"/>
                              <w:szCs w:val="22"/>
                            </w:rPr>
                          </w:pPr>
                          <w:r>
                            <w:rPr>
                              <w:rFonts w:eastAsia="MS Mincho"/>
                              <w:kern w:val="2"/>
                              <w:sz w:val="22"/>
                              <w:szCs w:val="22"/>
                            </w:rPr>
                            <w:t>GA19: Svaresnis savivaldybės indėlis (įvairiomis formomis) pritraukiant bendruomenių, seniūnaitijų atstovus dalyvauti savivaldybės valdymo veiklose;</w:t>
                          </w:r>
                        </w:p>
                        <w:p>
                          <w:pPr>
                            <w:rPr>
                              <w:sz w:val="10"/>
                              <w:szCs w:val="10"/>
                            </w:rPr>
                          </w:pPr>
                        </w:p>
                        <w:p>
                          <w:pPr>
                            <w:ind w:right="142"/>
                            <w:jc w:val="both"/>
                            <w:rPr>
                              <w:rFonts w:eastAsia="MS Mincho"/>
                              <w:kern w:val="2"/>
                              <w:sz w:val="22"/>
                              <w:szCs w:val="22"/>
                            </w:rPr>
                          </w:pPr>
                          <w:r>
                            <w:rPr>
                              <w:rFonts w:eastAsia="MS Mincho"/>
                              <w:kern w:val="2"/>
                              <w:sz w:val="22"/>
                              <w:szCs w:val="22"/>
                            </w:rPr>
                            <w:t>GA20: Inovatyvios savivaldybės valdymo formos (atvirų duomenų plėtra, įvairios skaitmeninės platformos) įtraukiant gyventojus į sprendimų priėmimus.</w:t>
                          </w:r>
                        </w:p>
                      </w:tc>
                      <w:tc>
                        <w:tcPr>
                          <w:tcW w:w="2497" w:type="pct"/>
                          <w:gridSpan w:val="2"/>
                          <w:shd w:val="clear" w:color="auto" w:fill="auto"/>
                          <w:tcMar>
                            <w:top w:w="72" w:type="dxa"/>
                            <w:left w:w="144" w:type="dxa"/>
                            <w:bottom w:w="72" w:type="dxa"/>
                            <w:right w:w="144" w:type="dxa"/>
                          </w:tcMar>
                        </w:tcPr>
                        <w:p>
                          <w:pPr>
                            <w:rPr>
                              <w:sz w:val="10"/>
                              <w:szCs w:val="10"/>
                            </w:rPr>
                          </w:pPr>
                        </w:p>
                        <w:p>
                          <w:pPr>
                            <w:ind w:right="142"/>
                            <w:jc w:val="both"/>
                            <w:rPr>
                              <w:rFonts w:eastAsia="MS Mincho"/>
                              <w:kern w:val="2"/>
                              <w:sz w:val="22"/>
                              <w:szCs w:val="22"/>
                            </w:rPr>
                          </w:pPr>
                          <w:r>
                            <w:rPr>
                              <w:rFonts w:eastAsia="MS Mincho"/>
                              <w:kern w:val="2"/>
                              <w:sz w:val="22"/>
                              <w:szCs w:val="22"/>
                            </w:rPr>
                            <w:t xml:space="preserve">GR1: Lėtėjant ekonomikai, gali augti bedarbių skaičius, </w:t>
                          </w:r>
                          <w:r>
                            <w:rPr>
                              <w:rFonts w:eastAsia="MS Mincho"/>
                              <w:kern w:val="2"/>
                              <w:sz w:val="22"/>
                              <w:szCs w:val="24"/>
                            </w:rPr>
                            <w:t>sumažėti darbo užmokesčio augimo tempas</w:t>
                          </w:r>
                          <w:r>
                            <w:rPr>
                              <w:rFonts w:eastAsia="MS Mincho"/>
                              <w:kern w:val="2"/>
                              <w:sz w:val="22"/>
                              <w:szCs w:val="22"/>
                            </w:rPr>
                            <w:t>;</w:t>
                          </w:r>
                        </w:p>
                        <w:p>
                          <w:pPr>
                            <w:rPr>
                              <w:sz w:val="10"/>
                              <w:szCs w:val="10"/>
                            </w:rPr>
                          </w:pPr>
                        </w:p>
                        <w:p>
                          <w:pPr>
                            <w:ind w:right="142"/>
                            <w:jc w:val="both"/>
                            <w:rPr>
                              <w:rFonts w:eastAsia="MS Mincho"/>
                              <w:kern w:val="2"/>
                              <w:sz w:val="22"/>
                              <w:szCs w:val="22"/>
                            </w:rPr>
                          </w:pPr>
                          <w:r>
                            <w:rPr>
                              <w:rFonts w:eastAsia="MS Mincho"/>
                              <w:kern w:val="2"/>
                              <w:sz w:val="22"/>
                              <w:szCs w:val="22"/>
                            </w:rPr>
                            <w:t>GR2: Dėl mažėjančio gimstamumo Lietuvoje ims trūkti naujos darbo jėgos;</w:t>
                          </w:r>
                        </w:p>
                        <w:p>
                          <w:pPr>
                            <w:rPr>
                              <w:sz w:val="10"/>
                              <w:szCs w:val="10"/>
                            </w:rPr>
                          </w:pPr>
                        </w:p>
                        <w:p>
                          <w:pPr>
                            <w:ind w:right="142"/>
                            <w:jc w:val="both"/>
                            <w:rPr>
                              <w:rFonts w:eastAsia="MS Mincho"/>
                              <w:kern w:val="2"/>
                              <w:sz w:val="22"/>
                              <w:szCs w:val="22"/>
                            </w:rPr>
                          </w:pPr>
                          <w:r>
                            <w:rPr>
                              <w:rFonts w:eastAsia="MS Mincho"/>
                              <w:kern w:val="2"/>
                              <w:sz w:val="22"/>
                              <w:szCs w:val="22"/>
                            </w:rPr>
                            <w:t>GR3: Auganti infliacija gali neigiamai veikti vartotojų perkamąją galią ir taip lėtinti ekonomikos augimą;</w:t>
                          </w:r>
                        </w:p>
                        <w:p>
                          <w:pPr>
                            <w:rPr>
                              <w:sz w:val="10"/>
                              <w:szCs w:val="10"/>
                            </w:rPr>
                          </w:pPr>
                        </w:p>
                        <w:p>
                          <w:pPr>
                            <w:ind w:right="142"/>
                            <w:jc w:val="both"/>
                            <w:rPr>
                              <w:rFonts w:eastAsia="MS Mincho"/>
                              <w:kern w:val="2"/>
                              <w:sz w:val="22"/>
                              <w:szCs w:val="22"/>
                            </w:rPr>
                          </w:pPr>
                          <w:r>
                            <w:rPr>
                              <w:rFonts w:eastAsia="MS Mincho"/>
                              <w:kern w:val="2"/>
                              <w:sz w:val="22"/>
                              <w:szCs w:val="22"/>
                            </w:rPr>
                            <w:t>GR4: Artėjanti mokesčių reforma, didinsianti gyventojų pajamų apmokestinimą, gali pabloginti verslo aplinką ir Lietuvos konkurencingumą;</w:t>
                          </w:r>
                        </w:p>
                        <w:p>
                          <w:pPr>
                            <w:rPr>
                              <w:sz w:val="10"/>
                              <w:szCs w:val="10"/>
                            </w:rPr>
                          </w:pPr>
                        </w:p>
                        <w:p>
                          <w:pPr>
                            <w:ind w:right="142"/>
                            <w:jc w:val="both"/>
                            <w:rPr>
                              <w:rFonts w:eastAsia="MS Mincho"/>
                              <w:kern w:val="2"/>
                              <w:sz w:val="22"/>
                              <w:szCs w:val="22"/>
                            </w:rPr>
                          </w:pPr>
                          <w:r>
                            <w:rPr>
                              <w:rFonts w:eastAsia="MS Mincho"/>
                              <w:kern w:val="2"/>
                              <w:sz w:val="22"/>
                              <w:szCs w:val="22"/>
                            </w:rPr>
                            <w:t>GR5: Atsinaujinusi COVID-19, atsiradusi nauja pandemija, geopolitiniai veiksniai gali sulėtinti ekonomiką.</w:t>
                          </w:r>
                        </w:p>
                        <w:p>
                          <w:pPr>
                            <w:rPr>
                              <w:sz w:val="10"/>
                              <w:szCs w:val="10"/>
                            </w:rPr>
                          </w:pPr>
                        </w:p>
                        <w:p>
                          <w:pPr>
                            <w:ind w:right="142"/>
                            <w:jc w:val="both"/>
                            <w:rPr>
                              <w:rFonts w:eastAsia="MS Mincho"/>
                              <w:kern w:val="2"/>
                              <w:sz w:val="22"/>
                              <w:szCs w:val="22"/>
                            </w:rPr>
                          </w:pPr>
                          <w:r>
                            <w:rPr>
                              <w:rFonts w:eastAsia="MS Mincho"/>
                              <w:kern w:val="2"/>
                              <w:sz w:val="22"/>
                              <w:szCs w:val="22"/>
                            </w:rPr>
                            <w:t>GR6: Nekonkurencingas švietimo, kultūros, sveikatos specialistų darbo užmokestis;</w:t>
                          </w:r>
                        </w:p>
                        <w:p>
                          <w:pPr>
                            <w:rPr>
                              <w:sz w:val="10"/>
                              <w:szCs w:val="10"/>
                            </w:rPr>
                          </w:pPr>
                        </w:p>
                        <w:p>
                          <w:pPr>
                            <w:ind w:right="142"/>
                            <w:jc w:val="both"/>
                            <w:rPr>
                              <w:rFonts w:eastAsia="MS Mincho"/>
                              <w:kern w:val="2"/>
                              <w:sz w:val="22"/>
                              <w:szCs w:val="22"/>
                            </w:rPr>
                          </w:pPr>
                          <w:r>
                            <w:rPr>
                              <w:rFonts w:eastAsia="MS Mincho"/>
                              <w:kern w:val="2"/>
                              <w:sz w:val="22"/>
                              <w:szCs w:val="22"/>
                            </w:rPr>
                            <w:t>GR7: Mokytojų streiko valstybės mastu tikimybė;</w:t>
                          </w:r>
                        </w:p>
                        <w:p>
                          <w:pPr>
                            <w:rPr>
                              <w:sz w:val="10"/>
                              <w:szCs w:val="10"/>
                            </w:rPr>
                          </w:pPr>
                        </w:p>
                        <w:p>
                          <w:pPr>
                            <w:ind w:right="142"/>
                            <w:jc w:val="both"/>
                            <w:rPr>
                              <w:rFonts w:eastAsia="MS Mincho"/>
                              <w:kern w:val="2"/>
                              <w:sz w:val="22"/>
                              <w:szCs w:val="22"/>
                            </w:rPr>
                          </w:pPr>
                          <w:r>
                            <w:rPr>
                              <w:rFonts w:eastAsia="MS Mincho"/>
                              <w:kern w:val="2"/>
                              <w:sz w:val="22"/>
                              <w:szCs w:val="22"/>
                            </w:rPr>
                            <w:t xml:space="preserve">GR8: Didelis darbuotojų, dirbančių švietimo sistemoje, trūkumas; </w:t>
                          </w:r>
                        </w:p>
                        <w:p>
                          <w:pPr>
                            <w:rPr>
                              <w:sz w:val="10"/>
                              <w:szCs w:val="10"/>
                            </w:rPr>
                          </w:pPr>
                        </w:p>
                        <w:p>
                          <w:pPr>
                            <w:jc w:val="both"/>
                            <w:rPr>
                              <w:kern w:val="2"/>
                              <w:sz w:val="22"/>
                              <w:szCs w:val="22"/>
                            </w:rPr>
                          </w:pPr>
                          <w:r>
                            <w:rPr>
                              <w:kern w:val="2"/>
                              <w:sz w:val="22"/>
                              <w:szCs w:val="22"/>
                            </w:rPr>
                            <w:t>GR9: Nepakankami savivaldybės finansiniai pajėgumai spręsti sporto bazių infrastruktūros problemas, neskiriant Valstybės investicijų programos (VIP) ir ES lėšų;</w:t>
                          </w:r>
                        </w:p>
                        <w:p>
                          <w:pPr>
                            <w:rPr>
                              <w:sz w:val="10"/>
                              <w:szCs w:val="10"/>
                            </w:rPr>
                          </w:pPr>
                        </w:p>
                        <w:p>
                          <w:pPr>
                            <w:ind w:right="142"/>
                            <w:jc w:val="both"/>
                            <w:rPr>
                              <w:rFonts w:eastAsia="MS Mincho"/>
                              <w:kern w:val="2"/>
                              <w:sz w:val="22"/>
                              <w:szCs w:val="22"/>
                            </w:rPr>
                          </w:pPr>
                          <w:r>
                            <w:rPr>
                              <w:rFonts w:eastAsia="MS Mincho"/>
                              <w:kern w:val="2"/>
                              <w:sz w:val="22"/>
                              <w:szCs w:val="22"/>
                            </w:rPr>
                            <w:t>GR10: Pasikeitę gyventojų įpročiai dalyvauti kultūriniame gyvenime po COVID–19 pandemijos;</w:t>
                          </w:r>
                        </w:p>
                        <w:p>
                          <w:pPr>
                            <w:rPr>
                              <w:sz w:val="10"/>
                              <w:szCs w:val="10"/>
                            </w:rPr>
                          </w:pPr>
                        </w:p>
                        <w:p>
                          <w:pPr>
                            <w:ind w:right="142"/>
                            <w:jc w:val="both"/>
                            <w:rPr>
                              <w:rFonts w:eastAsia="MS Mincho"/>
                              <w:kern w:val="2"/>
                              <w:sz w:val="22"/>
                              <w:szCs w:val="22"/>
                            </w:rPr>
                          </w:pPr>
                          <w:r>
                            <w:rPr>
                              <w:rFonts w:eastAsia="MS Mincho"/>
                              <w:kern w:val="2"/>
                              <w:sz w:val="22"/>
                              <w:szCs w:val="22"/>
                            </w:rPr>
                            <w:t>GR11: Lėtėjant ekonomikai, mažėja turizmo paslaugų paklausa;</w:t>
                          </w:r>
                        </w:p>
                        <w:p>
                          <w:pPr>
                            <w:rPr>
                              <w:sz w:val="10"/>
                              <w:szCs w:val="10"/>
                            </w:rPr>
                          </w:pPr>
                        </w:p>
                        <w:p>
                          <w:pPr>
                            <w:ind w:right="142"/>
                            <w:jc w:val="both"/>
                            <w:rPr>
                              <w:rFonts w:eastAsia="MS Mincho"/>
                              <w:kern w:val="2"/>
                              <w:sz w:val="22"/>
                              <w:szCs w:val="22"/>
                            </w:rPr>
                          </w:pPr>
                          <w:r>
                            <w:rPr>
                              <w:rFonts w:eastAsia="MS Mincho"/>
                              <w:kern w:val="2"/>
                              <w:sz w:val="22"/>
                              <w:szCs w:val="22"/>
                            </w:rPr>
                            <w:t>GR12: Kaimyninių šalių geopolitiniai neramumai mažina turistų srautus;</w:t>
                          </w:r>
                        </w:p>
                        <w:p>
                          <w:pPr>
                            <w:rPr>
                              <w:sz w:val="10"/>
                              <w:szCs w:val="10"/>
                            </w:rPr>
                          </w:pPr>
                        </w:p>
                        <w:p>
                          <w:pPr>
                            <w:ind w:right="142"/>
                            <w:jc w:val="both"/>
                            <w:rPr>
                              <w:rFonts w:eastAsia="MS Mincho"/>
                              <w:kern w:val="2"/>
                              <w:sz w:val="22"/>
                              <w:szCs w:val="22"/>
                            </w:rPr>
                          </w:pPr>
                          <w:r>
                            <w:rPr>
                              <w:rFonts w:eastAsia="MS Mincho"/>
                              <w:kern w:val="2"/>
                              <w:sz w:val="22"/>
                              <w:szCs w:val="22"/>
                            </w:rPr>
                            <w:t>GR13: Sveikatos specialistų, ypatingai gydytojų, trūkumas;</w:t>
                          </w:r>
                        </w:p>
                        <w:p>
                          <w:pPr>
                            <w:rPr>
                              <w:sz w:val="10"/>
                              <w:szCs w:val="10"/>
                            </w:rPr>
                          </w:pPr>
                        </w:p>
                        <w:p>
                          <w:pPr>
                            <w:ind w:right="142"/>
                            <w:jc w:val="both"/>
                            <w:rPr>
                              <w:rFonts w:eastAsia="MS Mincho"/>
                              <w:kern w:val="2"/>
                              <w:sz w:val="22"/>
                              <w:szCs w:val="22"/>
                            </w:rPr>
                          </w:pPr>
                          <w:r>
                            <w:rPr>
                              <w:rFonts w:eastAsia="MS Mincho"/>
                              <w:kern w:val="2"/>
                              <w:sz w:val="22"/>
                              <w:szCs w:val="22"/>
                            </w:rPr>
                            <w:t>GR14: Spartėjantis gyvenimo būdo tempas, ekonominės ir geopolitinės padėties pokyčiai prisideda prie gyvenimo kokybės ir asmens sveikatos suprastėjimo, sergamumo padidėjimo;</w:t>
                          </w:r>
                        </w:p>
                        <w:p>
                          <w:pPr>
                            <w:rPr>
                              <w:sz w:val="10"/>
                              <w:szCs w:val="10"/>
                            </w:rPr>
                          </w:pPr>
                        </w:p>
                        <w:p>
                          <w:pPr>
                            <w:ind w:right="142"/>
                            <w:jc w:val="both"/>
                            <w:rPr>
                              <w:rFonts w:eastAsia="MS Mincho"/>
                              <w:kern w:val="2"/>
                              <w:sz w:val="22"/>
                              <w:szCs w:val="22"/>
                            </w:rPr>
                          </w:pPr>
                          <w:r>
                            <w:rPr>
                              <w:rFonts w:eastAsia="MS Mincho"/>
                              <w:kern w:val="2"/>
                              <w:sz w:val="22"/>
                              <w:szCs w:val="22"/>
                            </w:rPr>
                            <w:t>GR15: Žemas vyrų, gaunančių socialines paslaugas namuose, skaičius – daroma prielaida, jog vyrai laiku nesikreipia pagalbos;</w:t>
                          </w:r>
                        </w:p>
                        <w:p>
                          <w:pPr>
                            <w:rPr>
                              <w:sz w:val="10"/>
                              <w:szCs w:val="10"/>
                            </w:rPr>
                          </w:pPr>
                        </w:p>
                        <w:p>
                          <w:pPr>
                            <w:ind w:right="142"/>
                            <w:jc w:val="both"/>
                            <w:rPr>
                              <w:rFonts w:eastAsia="MS Mincho"/>
                              <w:kern w:val="2"/>
                              <w:sz w:val="22"/>
                              <w:szCs w:val="22"/>
                            </w:rPr>
                          </w:pPr>
                          <w:r>
                            <w:rPr>
                              <w:rFonts w:eastAsia="MS Mincho"/>
                              <w:kern w:val="2"/>
                              <w:sz w:val="22"/>
                              <w:szCs w:val="22"/>
                            </w:rPr>
                            <w:t>GR16: Lėtėjant ekonomikai ir augant infliacijai, gali didėti pajamų nelygybė ir augti skurdo rizika;</w:t>
                          </w:r>
                        </w:p>
                        <w:p>
                          <w:pPr>
                            <w:rPr>
                              <w:sz w:val="10"/>
                              <w:szCs w:val="10"/>
                            </w:rPr>
                          </w:pPr>
                        </w:p>
                        <w:p>
                          <w:pPr>
                            <w:ind w:right="142"/>
                            <w:jc w:val="both"/>
                            <w:rPr>
                              <w:rFonts w:eastAsia="MS Mincho"/>
                              <w:kern w:val="2"/>
                              <w:sz w:val="22"/>
                              <w:szCs w:val="22"/>
                            </w:rPr>
                          </w:pPr>
                          <w:r>
                            <w:rPr>
                              <w:rFonts w:eastAsia="MS Mincho"/>
                              <w:kern w:val="2"/>
                              <w:sz w:val="22"/>
                              <w:szCs w:val="22"/>
                            </w:rPr>
                            <w:t xml:space="preserve">GR17: Augant pasiūlai, didėjantis gyventojų (ypač jaunimo) polinkis į priklausomybes; </w:t>
                          </w:r>
                        </w:p>
                        <w:p>
                          <w:pPr>
                            <w:rPr>
                              <w:sz w:val="10"/>
                              <w:szCs w:val="10"/>
                            </w:rPr>
                          </w:pPr>
                        </w:p>
                        <w:p>
                          <w:pPr>
                            <w:ind w:right="142"/>
                            <w:jc w:val="both"/>
                            <w:rPr>
                              <w:rFonts w:eastAsia="MS Mincho"/>
                              <w:kern w:val="2"/>
                              <w:sz w:val="22"/>
                              <w:szCs w:val="22"/>
                            </w:rPr>
                          </w:pPr>
                          <w:r>
                            <w:rPr>
                              <w:rFonts w:eastAsia="MS Mincho"/>
                              <w:kern w:val="2"/>
                              <w:sz w:val="22"/>
                              <w:szCs w:val="22"/>
                            </w:rPr>
                            <w:t>GR18:</w:t>
                          </w:r>
                          <w:r>
                            <w:rPr>
                              <w:rFonts w:eastAsia="MS Mincho"/>
                              <w:b/>
                              <w:bCs/>
                              <w:kern w:val="2"/>
                              <w:sz w:val="22"/>
                              <w:szCs w:val="22"/>
                            </w:rPr>
                            <w:t xml:space="preserve"> </w:t>
                          </w:r>
                          <w:r>
                            <w:rPr>
                              <w:rFonts w:eastAsia="MS Mincho"/>
                              <w:kern w:val="2"/>
                              <w:sz w:val="22"/>
                              <w:szCs w:val="22"/>
                            </w:rPr>
                            <w:t>Dėl klimato kaitos, didėjančio užterštumo besikeičiantis kraštovaizdis ir biologinė įvairovė;</w:t>
                          </w:r>
                        </w:p>
                        <w:p>
                          <w:pPr>
                            <w:rPr>
                              <w:sz w:val="10"/>
                              <w:szCs w:val="10"/>
                            </w:rPr>
                          </w:pPr>
                        </w:p>
                        <w:p>
                          <w:pPr>
                            <w:ind w:right="142"/>
                            <w:jc w:val="both"/>
                            <w:rPr>
                              <w:rFonts w:eastAsia="MS Mincho"/>
                              <w:kern w:val="2"/>
                              <w:sz w:val="22"/>
                              <w:szCs w:val="22"/>
                            </w:rPr>
                          </w:pPr>
                          <w:r>
                            <w:rPr>
                              <w:rFonts w:eastAsia="MS Mincho"/>
                              <w:kern w:val="2"/>
                              <w:sz w:val="22"/>
                              <w:szCs w:val="22"/>
                            </w:rPr>
                            <w:t>GR19: Dėl netinkamų keliavimo įpročių didėjantis automobilizacijos lygis;</w:t>
                          </w:r>
                        </w:p>
                        <w:p>
                          <w:pPr>
                            <w:rPr>
                              <w:sz w:val="10"/>
                              <w:szCs w:val="10"/>
                            </w:rPr>
                          </w:pPr>
                        </w:p>
                        <w:p>
                          <w:pPr>
                            <w:ind w:right="142"/>
                            <w:jc w:val="both"/>
                            <w:rPr>
                              <w:rFonts w:eastAsia="MS Mincho"/>
                              <w:kern w:val="2"/>
                              <w:sz w:val="22"/>
                              <w:szCs w:val="22"/>
                            </w:rPr>
                          </w:pPr>
                          <w:r>
                            <w:rPr>
                              <w:rFonts w:eastAsia="MS Mincho"/>
                              <w:kern w:val="2"/>
                              <w:sz w:val="22"/>
                              <w:szCs w:val="22"/>
                            </w:rPr>
                            <w:t>GR20: Didėjantis gyventojų noras gyventi nuosavame būste mažins daugiabučių ir centro teritorijų patrauklumą, sukurs papildomą spaudimą socialinės ir inžinerinės infrastruktūros plėtrai netankiose miesto teritorijose;</w:t>
                          </w:r>
                        </w:p>
                        <w:p>
                          <w:pPr>
                            <w:rPr>
                              <w:sz w:val="10"/>
                              <w:szCs w:val="10"/>
                            </w:rPr>
                          </w:pPr>
                        </w:p>
                        <w:p>
                          <w:pPr>
                            <w:ind w:right="142"/>
                            <w:jc w:val="both"/>
                            <w:rPr>
                              <w:rFonts w:eastAsia="MS Mincho"/>
                              <w:kern w:val="2"/>
                              <w:sz w:val="22"/>
                              <w:szCs w:val="22"/>
                            </w:rPr>
                          </w:pPr>
                          <w:r>
                            <w:rPr>
                              <w:rFonts w:eastAsia="MS Mincho"/>
                              <w:kern w:val="2"/>
                              <w:sz w:val="22"/>
                              <w:szCs w:val="22"/>
                            </w:rPr>
                            <w:t>GR21:</w:t>
                          </w:r>
                          <w:r>
                            <w:rPr>
                              <w:rFonts w:eastAsia="MS Mincho"/>
                              <w:b/>
                              <w:bCs/>
                              <w:kern w:val="2"/>
                              <w:sz w:val="22"/>
                              <w:szCs w:val="22"/>
                            </w:rPr>
                            <w:t xml:space="preserve"> </w:t>
                          </w:r>
                          <w:r>
                            <w:rPr>
                              <w:rFonts w:eastAsia="MS Mincho"/>
                              <w:kern w:val="2"/>
                              <w:sz w:val="22"/>
                              <w:szCs w:val="22"/>
                            </w:rPr>
                            <w:t>Socialinė atskirtis ir skurdas gali padidinti nusikalstamumo lygį;</w:t>
                          </w:r>
                        </w:p>
                        <w:p>
                          <w:pPr>
                            <w:rPr>
                              <w:sz w:val="10"/>
                              <w:szCs w:val="10"/>
                            </w:rPr>
                          </w:pPr>
                        </w:p>
                        <w:p>
                          <w:pPr>
                            <w:ind w:right="142"/>
                            <w:jc w:val="both"/>
                            <w:rPr>
                              <w:rFonts w:eastAsia="MS Mincho"/>
                              <w:kern w:val="2"/>
                              <w:sz w:val="22"/>
                              <w:szCs w:val="22"/>
                            </w:rPr>
                          </w:pPr>
                          <w:r>
                            <w:rPr>
                              <w:rFonts w:eastAsia="MS Mincho"/>
                              <w:kern w:val="2"/>
                              <w:sz w:val="22"/>
                              <w:szCs w:val="22"/>
                            </w:rPr>
                            <w:t>GR22: Neatstovaujami gyventojų poreikiai neturint vietos bendruomenės atstovų, neįteisinant seniūnaičių instituto savivaldoje.</w:t>
                          </w:r>
                        </w:p>
                      </w:tc>
                    </w:tr>
                  </w:tbl>
                  <w:p>
                    <w:pPr>
                      <w:rPr>
                        <w:sz w:val="10"/>
                        <w:szCs w:val="10"/>
                      </w:rPr>
                    </w:pPr>
                  </w:p>
                  <w:p>
                    <w:pPr>
                      <w:jc w:val="both"/>
                      <w:rPr>
                        <w:rFonts w:eastAsia="Calibri"/>
                        <w:bCs/>
                        <w:sz w:val="22"/>
                        <w:szCs w:val="24"/>
                      </w:rPr>
                    </w:pPr>
                    <w:r>
                      <w:rPr>
                        <w:rFonts w:eastAsia="Calibri"/>
                        <w:b/>
                        <w:sz w:val="22"/>
                        <w:szCs w:val="24"/>
                      </w:rPr>
                      <w:t>Gyventojai ir imigracija.</w:t>
                    </w:r>
                    <w:r>
                      <w:rPr>
                        <w:rFonts w:eastAsia="Calibri"/>
                        <w:bCs/>
                        <w:sz w:val="22"/>
                        <w:szCs w:val="24"/>
                      </w:rPr>
                      <w:t xml:space="preserve"> Siekiant sumažinti senstančios visuomenės ir darbingo amžiaus gyventojų mažėjimo (SI2), mažėjančio gimstamumo (SI1 ir SI7) padarinius, naudinga kurti ir palaikyti imigrantams palankią, tolerantišką aplinką – auganti imigracija į Lietuvą ir į Šiaulius (ST1) didina miesto gyventojų skaičių, verslo galimybes, kultūrinį įvairiapusiškumą. Taip pat svarbu plėsti jau esamą gerą švietimo tinklą (ST28), gerinti sąlygas verslui, pritraukti daugiau didelių investuotojų (SI6), užtikrinti laisvalaikio ir kultūros paslaugų įvairovės trūkumo (SI13) problemos sprendimą. </w:t>
                    </w:r>
                  </w:p>
                  <w:p>
                    <w:pPr>
                      <w:rPr>
                        <w:sz w:val="10"/>
                        <w:szCs w:val="10"/>
                      </w:rPr>
                    </w:pPr>
                  </w:p>
                  <w:p>
                    <w:pPr>
                      <w:jc w:val="both"/>
                      <w:rPr>
                        <w:rFonts w:eastAsia="Calibri"/>
                        <w:bCs/>
                        <w:sz w:val="22"/>
                        <w:szCs w:val="24"/>
                      </w:rPr>
                    </w:pPr>
                    <w:r>
                      <w:rPr>
                        <w:rFonts w:eastAsia="Calibri"/>
                        <w:b/>
                        <w:sz w:val="22"/>
                        <w:szCs w:val="24"/>
                      </w:rPr>
                      <w:t>Užimtumo didinimas</w:t>
                    </w:r>
                    <w:r>
                      <w:rPr>
                        <w:rFonts w:eastAsia="Calibri"/>
                        <w:bCs/>
                        <w:sz w:val="22"/>
                        <w:szCs w:val="24"/>
                      </w:rPr>
                      <w:t>. Siekiant, kad ilgalaikių bedarbių skaičius toliau mažėtų (ST3), ypač turint omenyje tai, kad ekonomikai lėtėjant, gali augti bedarbių skaičius (GR1), svarbu toliau aktyviai dirbti su ilgalaikių bedarbių įtraukimu į darbo rinką (ST18, GA2). Trūkstant specialistų (SI16), svarbu dėti daug pastangų juos pritraukti į miestą, o stokojant darbo jėgos (GR2), skirtumą sumažins didėjantis imigrantų skaičius į Šiaulius (ST1).</w:t>
                    </w:r>
                  </w:p>
                  <w:p>
                    <w:pPr>
                      <w:rPr>
                        <w:sz w:val="10"/>
                        <w:szCs w:val="10"/>
                      </w:rPr>
                    </w:pPr>
                  </w:p>
                  <w:p>
                    <w:pPr>
                      <w:jc w:val="both"/>
                      <w:rPr>
                        <w:rFonts w:eastAsia="Calibri"/>
                        <w:bCs/>
                        <w:sz w:val="22"/>
                        <w:szCs w:val="24"/>
                      </w:rPr>
                    </w:pPr>
                    <w:r>
                      <w:rPr>
                        <w:rFonts w:eastAsia="Calibri"/>
                        <w:b/>
                        <w:sz w:val="22"/>
                        <w:szCs w:val="24"/>
                      </w:rPr>
                      <w:t>Sveikatos specialistų pritraukimas.</w:t>
                    </w:r>
                    <w:r>
                      <w:rPr>
                        <w:rFonts w:eastAsia="Calibri"/>
                        <w:bCs/>
                        <w:sz w:val="22"/>
                        <w:szCs w:val="24"/>
                      </w:rPr>
                      <w:t xml:space="preserve"> Auganti imigracija į miestą (ST1) taip pat galėtų padėti spręsti sveikatos specialistų pritraukimo problemą, būdingą tiek Šiaulių miestui, tiek visai Lietuvai (GR13). Jau esamos sveikatos specialistų pritraukimo ir studijų finansavimo schemos (ST16) įgyvendinimas padės padidinti gydytojų ir kt. sveikatos specialistų skaičių (SI15, SI16) ir sutrumpinti laukimo pas gydytojus eiles. Būtinas sveikatos priežiūros įstaigų įvaizdžio gerinimas, kuris glaudžiai susijęs su sveikatos specialistų darbo sąlygų patrauklumu ir šios profesijos pasirinkimu. </w:t>
                    </w:r>
                  </w:p>
                  <w:p>
                    <w:pPr>
                      <w:rPr>
                        <w:sz w:val="10"/>
                        <w:szCs w:val="10"/>
                      </w:rPr>
                    </w:pPr>
                  </w:p>
                  <w:p>
                    <w:pPr>
                      <w:jc w:val="both"/>
                      <w:rPr>
                        <w:rFonts w:eastAsia="Calibri"/>
                        <w:bCs/>
                        <w:sz w:val="22"/>
                        <w:szCs w:val="24"/>
                      </w:rPr>
                    </w:pPr>
                    <w:r>
                      <w:rPr>
                        <w:rFonts w:eastAsia="Calibri"/>
                        <w:b/>
                        <w:sz w:val="22"/>
                        <w:szCs w:val="24"/>
                      </w:rPr>
                      <w:t xml:space="preserve">Švietimas. </w:t>
                    </w:r>
                    <w:r>
                      <w:rPr>
                        <w:rFonts w:eastAsia="Calibri"/>
                        <w:bCs/>
                        <w:sz w:val="22"/>
                        <w:szCs w:val="24"/>
                      </w:rPr>
                      <w:t>Šiauliai gali pasigirti aukščiausia neformaliojo švietimo veiklose dalyvaujančių mokinių dalimi savivaldybės mokyklose, palyginti su didžiaisiais miestais ir Lietuvos vidurkiu (ST7). Ikimokyklinio ugdymo srityje mažėja vaikų, nelankančių ikimokyklinio ugdymo įstaigų, skaičius (ST8), o bendrojo ugdymo srityje atsiveria naujos galimybės nuotoliniam mokymui (GA5) ir skaitmeninių priemonių naudojimui (ST9). Būtina ir toliau vystyti esamų stiprybių plėtrą.</w:t>
                    </w:r>
                  </w:p>
                  <w:p>
                    <w:pPr>
                      <w:rPr>
                        <w:sz w:val="10"/>
                        <w:szCs w:val="10"/>
                      </w:rPr>
                    </w:pPr>
                  </w:p>
                  <w:p>
                    <w:pPr>
                      <w:jc w:val="both"/>
                      <w:rPr>
                        <w:rFonts w:eastAsia="Calibri"/>
                        <w:bCs/>
                        <w:sz w:val="22"/>
                        <w:szCs w:val="24"/>
                      </w:rPr>
                    </w:pPr>
                    <w:r>
                      <w:rPr>
                        <w:rFonts w:eastAsia="Calibri"/>
                        <w:b/>
                        <w:sz w:val="22"/>
                        <w:szCs w:val="24"/>
                      </w:rPr>
                      <w:t>Studentų pritraukimas.</w:t>
                    </w:r>
                    <w:r>
                      <w:rPr>
                        <w:rFonts w:eastAsia="Calibri"/>
                        <w:bCs/>
                        <w:sz w:val="22"/>
                        <w:szCs w:val="24"/>
                      </w:rPr>
                      <w:t xml:space="preserve"> Norint, kad studijuojančių skaičius Šiauliuose augtų, būtų galima orientuotis į efektyvesnę studentų pritraukimo į Šiaulius programą, ypač išnaudojant tai, kad įmonių parama studentams auga (ST10), sėkmingai vykdoma švietimo įstaigų kampanija “Šiauliai - karjeros miestas”, stiprus verslo, mokslo ir švietimo įstaigų bendradarbiavimas. Būtina pasinaudoti galimybe vykdyti vaikų ir jaunimo orientacija į paklausias specialybes (GA6). Tai padėtų padidinti studijuojančių Šiauliuose skaičių bei pritrauktų potencialių ateities specialistų į miestą. </w:t>
                    </w:r>
                  </w:p>
                  <w:p>
                    <w:pPr>
                      <w:rPr>
                        <w:sz w:val="10"/>
                        <w:szCs w:val="10"/>
                      </w:rPr>
                    </w:pPr>
                  </w:p>
                  <w:p>
                    <w:pPr>
                      <w:jc w:val="both"/>
                      <w:rPr>
                        <w:rFonts w:eastAsia="Calibri"/>
                        <w:bCs/>
                        <w:sz w:val="22"/>
                        <w:szCs w:val="24"/>
                      </w:rPr>
                    </w:pPr>
                    <w:r>
                      <w:rPr>
                        <w:rFonts w:eastAsia="Calibri"/>
                        <w:b/>
                        <w:sz w:val="22"/>
                        <w:szCs w:val="24"/>
                      </w:rPr>
                      <w:t>Turizmo skatinimas.</w:t>
                    </w:r>
                    <w:r>
                      <w:rPr>
                        <w:rFonts w:eastAsia="Calibri"/>
                        <w:bCs/>
                        <w:sz w:val="22"/>
                        <w:szCs w:val="24"/>
                      </w:rPr>
                      <w:t xml:space="preserve"> Atsinaujinus kultūros ir turizmo veikloms po pandemijos, turistų skaičius Šiaulių mieste vis dar nesiekia priešpandeminio laikotarpio lygio (SI10). Siekiant pozicionuoti Šiaulių miestą aktyvaus laisvalaikio, sporto ar renginių turizmo srityse (GA10), svarbu toliau kurti ir išnaudoti aktyvaus laisvalaikio turizmo produktus (ST13), vystyti kultūros paslaugas, kurti naujas kultūros renginių raiškos formas (SI 13), įgyvendinti priemones, prisidedančias prie turisto „išlaikymo“ Šiauliuose ilgiau nei vieną dieną. Siekiant aptarnauti galimą padidėjusį ne vienos dienos turistų srautą, turi būti planuojamas apgyvendinimo vietų skaičiaus didinimas (SI12).</w:t>
                    </w:r>
                  </w:p>
                  <w:p>
                    <w:pPr>
                      <w:rPr>
                        <w:sz w:val="10"/>
                        <w:szCs w:val="10"/>
                      </w:rPr>
                    </w:pPr>
                  </w:p>
                  <w:p>
                    <w:pPr>
                      <w:jc w:val="both"/>
                      <w:rPr>
                        <w:rFonts w:eastAsia="Calibri"/>
                        <w:bCs/>
                        <w:sz w:val="22"/>
                        <w:szCs w:val="24"/>
                      </w:rPr>
                    </w:pPr>
                    <w:r>
                      <w:rPr>
                        <w:rFonts w:eastAsia="Calibri"/>
                        <w:b/>
                        <w:sz w:val="22"/>
                        <w:szCs w:val="24"/>
                      </w:rPr>
                      <w:t>Kultūros paslaugų įvairovė.</w:t>
                    </w:r>
                    <w:r>
                      <w:rPr>
                        <w:rFonts w:eastAsia="Calibri"/>
                        <w:bCs/>
                        <w:sz w:val="22"/>
                        <w:szCs w:val="24"/>
                      </w:rPr>
                      <w:t xml:space="preserve"> Siekiant padidinti po pandemijos sumažėjusį kai kurių kultūros įstaigų lankomumą, ypač bibliotekos lankytojų ir vartotojų skaičių (SI14), būtina aktyviai įtraukti visas kultūros įstaigas ir jų teminių sričių įvairovę. Galimybė pratęsti kultūros įstaigų darbo laiką darbo dienomis ir atverti jų duris sekmadieniais ar švenčių dienomis. Didžioji dalis turizmo ir kultūros objektų susikoncentravę centrinėje miesto dalyje ir egzistuoja naujų kultūros renginių raiškos formų stoka (SI13), todėl labai svarbu išnaudoti miesto žaliąsias erdves perkeliant kultūros renginius į miesto centro užribį. Taip pat, turint omenyje augantį jaunimo organizacijose dalyvaujančių asmenų skaičių (ST11), galima didinti bendradarbiavimą su jaunimu, siekiant išsiaiškinti jų kultūrinius, su laisvalaikio ir profesine veikla susijusius poreikius, taip pat organizuoti festivalius jaunimui. </w:t>
                    </w:r>
                  </w:p>
                  <w:p>
                    <w:pPr>
                      <w:rPr>
                        <w:sz w:val="10"/>
                        <w:szCs w:val="10"/>
                      </w:rPr>
                    </w:pPr>
                  </w:p>
                  <w:p>
                    <w:pPr>
                      <w:jc w:val="both"/>
                      <w:rPr>
                        <w:rFonts w:eastAsia="Calibri"/>
                        <w:bCs/>
                        <w:sz w:val="22"/>
                        <w:szCs w:val="24"/>
                      </w:rPr>
                    </w:pPr>
                    <w:r>
                      <w:rPr>
                        <w:rFonts w:eastAsia="Calibri"/>
                        <w:b/>
                        <w:sz w:val="22"/>
                        <w:szCs w:val="24"/>
                      </w:rPr>
                      <w:t>Transportas.</w:t>
                    </w:r>
                    <w:r>
                      <w:rPr>
                        <w:rFonts w:eastAsia="Calibri"/>
                        <w:bCs/>
                        <w:sz w:val="22"/>
                        <w:szCs w:val="24"/>
                      </w:rPr>
                      <w:t xml:space="preserve"> Didėjantis automobilizacijos lygis (GR19) gali būti suvaldytas gerinant dviračių takų būklę, viešojo transporto sąlygas ir skatinant elektromobilių naudojimą. Dviračių takų tinklas Šiauliuose yra tankus (ST29), tačiau svarbu pagerinti dviračių takų būklę (SI29). Siekiant padidinti viešojo transporto keleivių skaičių (SI28), tobulintinas viešojo transporto judėjimo grafikas, galimybė atnaujinti autoparką renkantis autobusus, kurie naudoja tvarų kurą (elektra, vandenilis). Taip pat svarbios investicijos į elektromobilių stotelių infrastruktūrą (SI31).</w:t>
                    </w:r>
                  </w:p>
                  <w:p>
                    <w:pPr>
                      <w:rPr>
                        <w:sz w:val="10"/>
                        <w:szCs w:val="10"/>
                      </w:rPr>
                    </w:pPr>
                  </w:p>
                  <w:p>
                    <w:pPr>
                      <w:jc w:val="both"/>
                      <w:rPr>
                        <w:rFonts w:eastAsia="Calibri"/>
                        <w:bCs/>
                        <w:sz w:val="22"/>
                        <w:szCs w:val="24"/>
                      </w:rPr>
                    </w:pPr>
                    <w:r>
                      <w:rPr>
                        <w:rFonts w:eastAsia="Calibri"/>
                        <w:b/>
                        <w:sz w:val="22"/>
                        <w:szCs w:val="24"/>
                      </w:rPr>
                      <w:t>Saugumas</w:t>
                    </w:r>
                    <w:r>
                      <w:rPr>
                        <w:rFonts w:eastAsia="Calibri"/>
                        <w:bCs/>
                        <w:sz w:val="22"/>
                        <w:szCs w:val="24"/>
                      </w:rPr>
                      <w:t xml:space="preserve">. Siekiant išlaikyti ir / ar dar labiau sumažinti nusikalstamumo lygį ir padidinti ištirtų nusikaltimų dalį nuo visų nusikaltimų (ST32), naudinga išplėsti vaizdo stebėjimo kamerų tinklą, kuris šiuo metu susikoncentravęs centrinėje Šiaulių miesto dalyje (SI32). Siekiant operatyvios reakcijos, į saugumo klausimus įtraukti daugiau bendruomenių atstovų. </w:t>
                    </w:r>
                  </w:p>
                  <w:p>
                    <w:pPr>
                      <w:rPr>
                        <w:sz w:val="10"/>
                        <w:szCs w:val="10"/>
                      </w:rPr>
                    </w:pPr>
                  </w:p>
                  <w:p>
                    <w:pPr>
                      <w:jc w:val="both"/>
                      <w:rPr>
                        <w:rFonts w:eastAsia="Calibri"/>
                        <w:bCs/>
                        <w:sz w:val="22"/>
                        <w:szCs w:val="24"/>
                      </w:rPr>
                    </w:pPr>
                    <w:r>
                      <w:rPr>
                        <w:rFonts w:eastAsia="Calibri"/>
                        <w:b/>
                        <w:sz w:val="22"/>
                        <w:szCs w:val="24"/>
                      </w:rPr>
                      <w:t>Verslas.</w:t>
                    </w:r>
                    <w:r>
                      <w:rPr>
                        <w:rFonts w:eastAsia="Calibri"/>
                        <w:bCs/>
                        <w:sz w:val="22"/>
                        <w:szCs w:val="24"/>
                      </w:rPr>
                      <w:t xml:space="preserve"> Atsižvelgiant į tai, kad auganti infliacija gali neigiamai veikti vartotojų perkamąją galią ir lėtinti ekonomiką (GR3), svarbu toliau investuoti į Šiaulių miesto ekonominį potencialą keliančias sritis – tai Šiaulių m. savivaldybės administracija darė ir 2015–2022 m. laikotarpiu: finansavimas savivaldybės biudžete ekonomikos sričiai išaugo daugiau nei dvigubai. Pritrauktos didelės investicijos labai prisidėtų prie vidutinio darbo užmokesčio augimo (ST2).</w:t>
                    </w:r>
                  </w:p>
                  <w:p>
                    <w:pPr>
                      <w:rPr>
                        <w:sz w:val="10"/>
                        <w:szCs w:val="10"/>
                      </w:rPr>
                    </w:pPr>
                  </w:p>
                  <w:p>
                    <w:pPr>
                      <w:jc w:val="both"/>
                      <w:rPr>
                        <w:rFonts w:eastAsia="Calibri"/>
                        <w:bCs/>
                        <w:sz w:val="22"/>
                        <w:szCs w:val="24"/>
                      </w:rPr>
                    </w:pPr>
                    <w:r>
                      <w:rPr>
                        <w:rFonts w:eastAsia="Calibri"/>
                        <w:b/>
                        <w:sz w:val="22"/>
                        <w:szCs w:val="24"/>
                      </w:rPr>
                      <w:t>Socialinė apsauga ir sveikata.</w:t>
                    </w:r>
                    <w:r>
                      <w:rPr>
                        <w:rFonts w:eastAsia="Calibri"/>
                        <w:bCs/>
                        <w:sz w:val="22"/>
                        <w:szCs w:val="24"/>
                      </w:rPr>
                      <w:t xml:space="preserve"> Didelis ir toliau augantis sportuojančiųjų skaičius Šiaulių mieste (ST12) ir gyventojų įtrauktis į prevencines sveikatos gerinimo programas (GA11) prisideda prie bendros visuomenės sveikatos gerinimo ir ilgesnės vidutinės gyvenimo trukmės. Turint omenyje, kad gyventojai ilgiau gyvena ir didės socialines paslaugas vartojančių gyventojų skaičius, svarbu išnaudoti didėjančias NVO galimybes dalyvauti viešuose pirkimuose socialinėms paslaugoms teikti (GA12) dėl jų įvairovės ir skirtingų teikimo būdų galimybių didinimo. </w:t>
                    </w:r>
                  </w:p>
                  <w:p>
                    <w:pPr>
                      <w:rPr>
                        <w:sz w:val="10"/>
                        <w:szCs w:val="10"/>
                      </w:rPr>
                    </w:pPr>
                  </w:p>
                  <w:p>
                    <w:pPr>
                      <w:jc w:val="both"/>
                      <w:rPr>
                        <w:rFonts w:eastAsia="Calibri"/>
                        <w:bCs/>
                        <w:sz w:val="22"/>
                        <w:szCs w:val="24"/>
                      </w:rPr>
                    </w:pPr>
                    <w:r>
                      <w:rPr>
                        <w:rFonts w:eastAsia="Calibri"/>
                        <w:b/>
                        <w:sz w:val="22"/>
                        <w:szCs w:val="24"/>
                      </w:rPr>
                      <w:t>Sportas.</w:t>
                    </w:r>
                    <w:r>
                      <w:rPr>
                        <w:rFonts w:eastAsia="Calibri"/>
                        <w:bCs/>
                        <w:sz w:val="22"/>
                        <w:szCs w:val="24"/>
                      </w:rPr>
                      <w:t xml:space="preserve"> Sporto sritis Šiauliuose tik stiprėja – auga sporto varžybų ir sveikatingumo renginių dalyvių skaičius (ST12), aktyvaus laisvalaikio turizmo produktų skaičius (ST13), daugėja privačių sporto infrastruktūros projektų (ST14). Norint išnaudoti šias stiprybes dar efektyviau, sporto srityje vertėtų sukurti regioninį sporto klasterio modelį, įtraukiant miesto, regiono sporto organizacijas, sporto gimnaziją, sporto šakų federacijas (GA7). Kuriant tokį modelį, galėtų būti pasitelktas valstybinis ar ES finansavimas. Tai padėtų spręsti ir nepakankamo finansavimo sporto bazėms problemą (GR9).</w:t>
                    </w:r>
                  </w:p>
                  <w:p>
                    <w:pPr>
                      <w:rPr>
                        <w:sz w:val="10"/>
                        <w:szCs w:val="10"/>
                      </w:rPr>
                    </w:pPr>
                  </w:p>
                  <w:p>
                    <w:pPr>
                      <w:jc w:val="both"/>
                      <w:rPr>
                        <w:rFonts w:eastAsia="Calibri"/>
                        <w:bCs/>
                        <w:sz w:val="22"/>
                        <w:szCs w:val="24"/>
                      </w:rPr>
                    </w:pP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both"/>
                      <w:rPr>
                        <w:rFonts w:eastAsia="Calibri"/>
                        <w:b/>
                        <w:sz w:val="22"/>
                        <w:szCs w:val="24"/>
                      </w:rPr>
                    </w:pPr>
                    <w:r>
                      <w:rPr>
                        <w:rFonts w:eastAsia="Calibri"/>
                        <w:b/>
                        <w:sz w:val="22"/>
                        <w:szCs w:val="24"/>
                      </w:rPr>
                      <w:t>Savivaldybės nustatytos pagrindinės problemos, kurių sprendimas būtų efektyvesnis kelių savivaldybių / regiono mastu:</w:t>
                    </w:r>
                  </w:p>
                  <w:p>
                    <w:pPr>
                      <w:rPr>
                        <w:sz w:val="10"/>
                        <w:szCs w:val="10"/>
                      </w:rPr>
                    </w:pPr>
                  </w:p>
                  <w:p>
                    <w:pPr>
                      <w:ind w:left="714" w:hanging="357"/>
                      <w:jc w:val="both"/>
                      <w:rPr>
                        <w:rFonts w:eastAsia="Calibri"/>
                        <w:bCs/>
                        <w:sz w:val="22"/>
                        <w:szCs w:val="24"/>
                      </w:rPr>
                    </w:pPr>
                    <w:r>
                      <w:rPr>
                        <w:rFonts w:eastAsia="Calibri"/>
                        <w:bCs/>
                        <w:sz w:val="22"/>
                        <w:szCs w:val="24"/>
                      </w:rPr>
                      <w:t>1.</w:t>
                      <w:tab/>
                    </w:r>
                    <w:r>
                      <w:rPr>
                        <w:rFonts w:eastAsia="MS Mincho"/>
                        <w:b/>
                        <w:bCs/>
                        <w:kern w:val="2"/>
                        <w:sz w:val="22"/>
                        <w:szCs w:val="24"/>
                      </w:rPr>
                      <w:t>Nekoordinuotai tarp Šiaulių miesto ir rajono vystomos miesto pakraščiuose esančios mažaaukštės namų, rekreacinės ir žaliosios teritorijos</w:t>
                    </w:r>
                    <w:r>
                      <w:rPr>
                        <w:rFonts w:eastAsia="MS Mincho"/>
                        <w:kern w:val="2"/>
                        <w:sz w:val="22"/>
                        <w:szCs w:val="24"/>
                      </w:rPr>
                      <w:t>, t. y. neracionaliai ir netolygiai plečiamas gatvių tinklas, atsiranda neplanuotas socialinės infrastruktūros poreikis, miesto ir rajono žaliosios erdvės ne visiškai išnaudoja savo rekreacinį potencialą. </w:t>
                    </w:r>
                  </w:p>
                  <w:p>
                    <w:pPr>
                      <w:ind w:left="714" w:hanging="357"/>
                      <w:jc w:val="both"/>
                      <w:rPr>
                        <w:rFonts w:eastAsia="Calibri"/>
                        <w:bCs/>
                        <w:sz w:val="22"/>
                        <w:szCs w:val="24"/>
                      </w:rPr>
                    </w:pPr>
                    <w:r>
                      <w:rPr>
                        <w:rFonts w:eastAsia="Calibri"/>
                        <w:bCs/>
                        <w:sz w:val="22"/>
                        <w:szCs w:val="24"/>
                      </w:rPr>
                      <w:t>2.</w:t>
                      <w:tab/>
                    </w:r>
                    <w:r>
                      <w:rPr>
                        <w:rFonts w:eastAsia="Calibri"/>
                        <w:b/>
                        <w:sz w:val="22"/>
                        <w:szCs w:val="24"/>
                      </w:rPr>
                      <w:t>Nepakankamai pritraukiamas didelių investuotojų skaičius</w:t>
                    </w:r>
                    <w:r>
                      <w:rPr>
                        <w:rFonts w:eastAsia="Calibri"/>
                        <w:bCs/>
                        <w:sz w:val="22"/>
                        <w:szCs w:val="24"/>
                      </w:rPr>
                      <w:t xml:space="preserve"> – galimas bendradarbiavimas tarp Šiaulių ir Šiaulių rajono / regiono savivaldybių, didinant Šiaulių regiono, kaip verslo vystymo centro, patrauklumą, pritraukiant investuotojus, sprendžiant inžinerinės aukštos kvalifikacijos specialistų trūkumą. </w:t>
                    </w:r>
                  </w:p>
                  <w:p>
                    <w:pPr>
                      <w:ind w:left="714" w:hanging="357"/>
                      <w:jc w:val="both"/>
                      <w:rPr>
                        <w:rFonts w:eastAsia="Calibri"/>
                        <w:bCs/>
                        <w:sz w:val="22"/>
                        <w:szCs w:val="24"/>
                      </w:rPr>
                    </w:pPr>
                    <w:r>
                      <w:rPr>
                        <w:rFonts w:eastAsia="Calibri"/>
                        <w:bCs/>
                        <w:sz w:val="22"/>
                        <w:szCs w:val="24"/>
                      </w:rPr>
                      <w:t>3.</w:t>
                      <w:tab/>
                    </w:r>
                    <w:r>
                      <w:rPr>
                        <w:rFonts w:eastAsia="Calibri"/>
                        <w:b/>
                        <w:sz w:val="22"/>
                        <w:szCs w:val="24"/>
                      </w:rPr>
                      <w:t>Trumpalaikių (vienos dienos) turistų dominavimas</w:t>
                    </w:r>
                    <w:r>
                      <w:rPr>
                        <w:rFonts w:eastAsia="Calibri"/>
                        <w:bCs/>
                        <w:sz w:val="22"/>
                        <w:szCs w:val="24"/>
                      </w:rPr>
                      <w:t>. Turizmo srityje reikalingas bendradarbiavimas su Šiaulių rajono / regiono savivaldybėmis, nacionalinėmis turizmo institucijomis tam, kad būtų galima pritraukti turistus ilgesniam laikui aplankant ne tik Šiaulių miestą, bet ir aplinkines savivaldybes.</w:t>
                    </w:r>
                  </w:p>
                </w:tc>
              </w:tr>
            </w:tbl>
            <w:p>
              <w:pPr>
                <w:rPr>
                  <w:sz w:val="10"/>
                  <w:szCs w:val="10"/>
                </w:rPr>
              </w:pPr>
            </w:p>
            <w:p/>
            <w:p>
              <w:pPr>
                <w:rPr>
                  <w:sz w:val="10"/>
                  <w:szCs w:val="10"/>
                </w:rPr>
              </w:pPr>
            </w:p>
            <w:p/>
            <w:p>
              <w:pPr>
                <w:rPr>
                  <w:sz w:val="10"/>
                  <w:szCs w:val="10"/>
                </w:rPr>
              </w:pPr>
            </w:p>
            <w:p/>
            <w:p>
              <w:pPr>
                <w:rPr>
                  <w:sz w:val="10"/>
                  <w:szCs w:val="10"/>
                </w:rPr>
              </w:pPr>
            </w:p>
            <w:p/>
            <w:p>
              <w:pPr>
                <w:rPr>
                  <w:sz w:val="10"/>
                  <w:szCs w:val="10"/>
                </w:rPr>
              </w:pPr>
            </w:p>
          </w:sdtContent>
        </w:sdt>
        <w:sdt>
          <w:sdtPr>
            <w:alias w:val="skyrius"/>
            <w:tag w:val="part_1e748474b75b464f8e4ef1599da86338"/>
            <w:lock w:val="sdtLocked"/>
            <w:richText/>
          </w:sdtPr>
          <w:sdtContent>
            <w:p>
              <w:pPr>
                <w:keepNext/>
                <w:keepLines/>
                <w:jc w:val="center"/>
                <w:rPr>
                  <w:b/>
                  <w:color w:val="000000"/>
                  <w:szCs w:val="24"/>
                </w:rPr>
              </w:pPr>
              <w:sdt>
                <w:sdtPr>
                  <w:alias w:val="Numeris"/>
                  <w:tag w:val="nr_1e748474b75b464f8e4ef1599da86338"/>
                  <w:lock w:val="sdtLocked"/>
                  <w:richText/>
                </w:sdtPr>
                <w:sdtContent>
                  <w:r>
                    <w:rPr>
                      <w:b/>
                      <w:color w:val="000000"/>
                      <w:szCs w:val="24"/>
                    </w:rPr>
                    <w:t>III</w:t>
                  </w:r>
                </w:sdtContent>
              </w:sdt>
              <w:r>
                <w:rPr>
                  <w:b/>
                  <w:color w:val="000000"/>
                  <w:szCs w:val="24"/>
                </w:rPr>
                <w:t xml:space="preserve"> SKYRIUS</w:t>
              </w:r>
            </w:p>
            <w:p>
              <w:pPr>
                <w:keepNext/>
                <w:keepLines/>
                <w:jc w:val="center"/>
                <w:rPr>
                  <w:b/>
                  <w:color w:val="000000"/>
                  <w:szCs w:val="24"/>
                </w:rPr>
              </w:pPr>
              <w:sdt>
                <w:sdtPr>
                  <w:alias w:val="Pavadinimas"/>
                  <w:tag w:val="title_1e748474b75b464f8e4ef1599da86338"/>
                  <w:lock w:val="sdtLocked"/>
                  <w:richText/>
                </w:sdtPr>
                <w:sdtContent>
                  <w:r>
                    <w:rPr>
                      <w:b/>
                      <w:color w:val="000000"/>
                      <w:szCs w:val="24"/>
                    </w:rPr>
                    <w:t>SAVIVALDYBĖS PLĖTROS VIZIJA</w:t>
                  </w:r>
                </w:sdtContent>
              </w:sdt>
            </w:p>
            <w:p>
              <w:pPr>
                <w:rPr>
                  <w:sz w:val="10"/>
                  <w:szCs w:val="10"/>
                </w:rPr>
              </w:pPr>
            </w:p>
            <w:p>
              <w:pPr>
                <w:keepNext/>
                <w:keepLines/>
                <w:ind w:firstLine="709"/>
                <w:jc w:val="both"/>
                <w:rPr>
                  <w:i/>
                  <w:color w:val="808080"/>
                  <w:szCs w:val="24"/>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rPr>
                        <w:sz w:val="10"/>
                        <w:szCs w:val="10"/>
                      </w:rPr>
                    </w:pPr>
                  </w:p>
                  <w:p>
                    <w:pPr>
                      <w:rPr>
                        <w:rFonts w:eastAsia="Calibri"/>
                        <w:b/>
                        <w:sz w:val="22"/>
                        <w:szCs w:val="24"/>
                      </w:rPr>
                    </w:pPr>
                    <w:r>
                      <w:rPr>
                        <w:rFonts w:eastAsia="Calibri"/>
                        <w:b/>
                        <w:sz w:val="22"/>
                        <w:szCs w:val="24"/>
                      </w:rPr>
                      <w:t>Savivaldybės plėtros vizija:</w:t>
                    </w:r>
                  </w:p>
                  <w:p>
                    <w:pPr>
                      <w:rPr>
                        <w:sz w:val="10"/>
                        <w:szCs w:val="10"/>
                      </w:rPr>
                    </w:pPr>
                  </w:p>
                  <w:p>
                    <w:pPr>
                      <w:rPr>
                        <w:rFonts w:eastAsia="Calibri"/>
                        <w:b/>
                        <w:sz w:val="22"/>
                        <w:szCs w:val="24"/>
                      </w:rPr>
                    </w:pPr>
                    <w:r>
                      <w:rPr>
                        <w:rFonts w:eastAsia="Calibri"/>
                        <w:b/>
                        <w:sz w:val="22"/>
                        <w:szCs w:val="24"/>
                      </w:rPr>
                      <w:t>ŠIAULIAI – Saulės miestas – atviras, veržlus ir saugus:</w:t>
                    </w:r>
                  </w:p>
                  <w:p>
                    <w:pPr>
                      <w:rPr>
                        <w:sz w:val="10"/>
                        <w:szCs w:val="10"/>
                      </w:rPr>
                    </w:pPr>
                  </w:p>
                  <w:p>
                    <w:pPr>
                      <w:ind w:left="720" w:hanging="360"/>
                      <w:rPr>
                        <w:rFonts w:eastAsia="Calibri"/>
                        <w:bCs/>
                        <w:sz w:val="22"/>
                        <w:szCs w:val="24"/>
                      </w:rPr>
                    </w:pPr>
                    <w:r>
                      <w:rPr>
                        <w:rFonts w:ascii="Symbol" w:eastAsia="Calibri" w:hAnsi="Symbol"/>
                        <w:bCs/>
                        <w:sz w:val="22"/>
                        <w:szCs w:val="24"/>
                      </w:rPr>
                      <w:t></w:t>
                      <w:tab/>
                    </w:r>
                    <w:r>
                      <w:rPr>
                        <w:rFonts w:eastAsia="Calibri"/>
                        <w:bCs/>
                        <w:sz w:val="22"/>
                        <w:szCs w:val="24"/>
                      </w:rPr>
                      <w:t>aktyvi, kūrybinga, jaunatviška ir atsakinga bendruomenė – gyvybingas miestas;</w:t>
                    </w:r>
                  </w:p>
                  <w:p>
                    <w:pPr>
                      <w:ind w:left="720" w:hanging="360"/>
                      <w:rPr>
                        <w:rFonts w:eastAsia="Calibri"/>
                        <w:bCs/>
                        <w:sz w:val="22"/>
                        <w:szCs w:val="24"/>
                      </w:rPr>
                    </w:pPr>
                    <w:r>
                      <w:rPr>
                        <w:rFonts w:ascii="Symbol" w:eastAsia="Calibri" w:hAnsi="Symbol"/>
                        <w:bCs/>
                        <w:sz w:val="22"/>
                        <w:szCs w:val="24"/>
                      </w:rPr>
                      <w:t></w:t>
                      <w:tab/>
                    </w:r>
                    <w:r>
                      <w:rPr>
                        <w:rFonts w:eastAsia="Calibri"/>
                        <w:bCs/>
                        <w:sz w:val="22"/>
                        <w:szCs w:val="24"/>
                      </w:rPr>
                      <w:t>regiono inovatyvios inžinerinės pramonės ir prekybos variklis, mokslo ir technologijų naujovių centras – traukiantis miestas;</w:t>
                    </w:r>
                  </w:p>
                  <w:p>
                    <w:pPr>
                      <w:ind w:left="720" w:hanging="360"/>
                      <w:rPr>
                        <w:rFonts w:eastAsia="Calibri"/>
                        <w:bCs/>
                        <w:sz w:val="22"/>
                        <w:szCs w:val="24"/>
                      </w:rPr>
                    </w:pPr>
                    <w:r>
                      <w:rPr>
                        <w:rFonts w:ascii="Symbol" w:eastAsia="Calibri" w:hAnsi="Symbol"/>
                        <w:bCs/>
                        <w:sz w:val="22"/>
                        <w:szCs w:val="24"/>
                      </w:rPr>
                      <w:t></w:t>
                      <w:tab/>
                    </w:r>
                    <w:r>
                      <w:rPr>
                        <w:rFonts w:eastAsia="Calibri"/>
                        <w:bCs/>
                        <w:sz w:val="22"/>
                        <w:szCs w:val="24"/>
                      </w:rPr>
                      <w:t>tvari infrastruktūra, patogi ir saugi gyvenamoji aplinka – kompaktiškas miestas.</w:t>
                    </w:r>
                  </w:p>
                  <w:p>
                    <w:pPr>
                      <w:rPr>
                        <w:sz w:val="10"/>
                        <w:szCs w:val="10"/>
                      </w:rPr>
                    </w:pPr>
                  </w:p>
                  <w:p>
                    <w:pPr>
                      <w:ind w:left="284"/>
                      <w:rPr>
                        <w:rFonts w:eastAsia="Calibri"/>
                        <w:bCs/>
                        <w:sz w:val="22"/>
                        <w:szCs w:val="24"/>
                      </w:rPr>
                    </w:pPr>
                    <w:r>
                      <w:rPr>
                        <w:rFonts w:eastAsia="Calibri"/>
                        <w:bCs/>
                        <w:sz w:val="22"/>
                        <w:szCs w:val="24"/>
                      </w:rPr>
                      <w:t>Žemiau pateikiami vizijos matavimo rodikliai ir jų planuojamos pasiekti reikšmės:</w:t>
                    </w:r>
                  </w:p>
                  <w:p>
                    <w:pPr>
                      <w:rPr>
                        <w:sz w:val="10"/>
                        <w:szCs w:val="10"/>
                      </w:rPr>
                    </w:pPr>
                  </w:p>
                  <w:tbl>
                    <w:tblPr>
                      <w:tblW w:w="9530" w:type="dxa"/>
                      <w:jc w:val="center"/>
                      <w:tblBorders>
                        <w:top w:val="single" w:sz="4" w:space="0" w:color="FEE1A1"/>
                        <w:left w:val="single" w:sz="4" w:space="0" w:color="FEE1A1"/>
                        <w:bottom w:val="single" w:sz="4" w:space="0" w:color="FEE1A1"/>
                        <w:right w:val="single" w:sz="4" w:space="0" w:color="FEE1A1"/>
                        <w:insideH w:val="single" w:sz="4" w:space="0" w:color="FEE1A1"/>
                        <w:insideV w:val="single" w:sz="4" w:space="0" w:color="FEE1A1"/>
                      </w:tblBorders>
                      <w:tblLayout w:type="fixed"/>
                      <w:tblCellMar>
                        <w:left w:w="0" w:type="dxa"/>
                        <w:right w:w="0" w:type="dxa"/>
                      </w:tblCellMar>
                      <w:tblLook w:val="04A0" w:firstRow="1" w:lastRow="0" w:firstColumn="1" w:lastColumn="0" w:noHBand="0" w:noVBand="1"/>
                    </w:tblPr>
                    <w:tblGrid>
                      <w:gridCol w:w="4524"/>
                      <w:gridCol w:w="1341"/>
                      <w:gridCol w:w="2114"/>
                      <w:gridCol w:w="1551"/>
                    </w:tblGrid>
                    <w:tr>
                      <w:trPr>
                        <w:trHeight w:val="258"/>
                        <w:jc w:val="center"/>
                      </w:trPr>
                      <w:tc>
                        <w:tcPr>
                          <w:tcW w:w="4524" w:type="dxa"/>
                          <w:shd w:val="clear" w:color="auto" w:fill="FDB515" w:themeFill="accent1"/>
                          <w:vAlign w:val="center"/>
                          <w:hideMark/>
                        </w:tcPr>
                        <w:p>
                          <w:pPr>
                            <w:jc w:val="center"/>
                            <w:rPr>
                              <w:b/>
                              <w:bCs/>
                              <w:sz w:val="20"/>
                              <w:lang w:eastAsia="lt-LT"/>
                            </w:rPr>
                          </w:pPr>
                          <w:r>
                            <w:rPr>
                              <w:b/>
                              <w:bCs/>
                              <w:sz w:val="20"/>
                              <w:lang w:eastAsia="lt-LT"/>
                            </w:rPr>
                            <w:t>Vizijos dedamoji</w:t>
                          </w:r>
                        </w:p>
                      </w:tc>
                      <w:tc>
                        <w:tcPr>
                          <w:tcW w:w="1341" w:type="dxa"/>
                          <w:shd w:val="clear" w:color="auto" w:fill="FDB515" w:themeFill="accent1"/>
                          <w:vAlign w:val="center"/>
                          <w:hideMark/>
                        </w:tcPr>
                        <w:p>
                          <w:pPr>
                            <w:jc w:val="center"/>
                            <w:rPr>
                              <w:b/>
                              <w:bCs/>
                              <w:sz w:val="20"/>
                              <w:lang w:eastAsia="lt-LT"/>
                            </w:rPr>
                          </w:pPr>
                          <w:r>
                            <w:rPr>
                              <w:b/>
                              <w:bCs/>
                              <w:sz w:val="20"/>
                              <w:lang w:eastAsia="lt-LT"/>
                            </w:rPr>
                            <w:t>Matavimo vnt.</w:t>
                          </w:r>
                        </w:p>
                      </w:tc>
                      <w:tc>
                        <w:tcPr>
                          <w:tcW w:w="2114" w:type="dxa"/>
                          <w:shd w:val="clear" w:color="auto" w:fill="FDB515" w:themeFill="accent1"/>
                          <w:vAlign w:val="center"/>
                        </w:tcPr>
                        <w:p>
                          <w:pPr>
                            <w:jc w:val="center"/>
                            <w:rPr>
                              <w:b/>
                              <w:bCs/>
                              <w:sz w:val="20"/>
                              <w:lang w:eastAsia="lt-LT"/>
                            </w:rPr>
                          </w:pPr>
                          <w:r>
                            <w:rPr>
                              <w:b/>
                              <w:bCs/>
                              <w:sz w:val="20"/>
                              <w:lang w:eastAsia="lt-LT"/>
                            </w:rPr>
                            <w:t>Paskutinė rodiklio reikšmė</w:t>
                          </w:r>
                        </w:p>
                      </w:tc>
                      <w:tc>
                        <w:tcPr>
                          <w:tcW w:w="1551" w:type="dxa"/>
                          <w:shd w:val="clear" w:color="auto" w:fill="FDB515" w:themeFill="accent1"/>
                          <w:vAlign w:val="center"/>
                          <w:hideMark/>
                        </w:tcPr>
                        <w:p>
                          <w:pPr>
                            <w:jc w:val="center"/>
                            <w:rPr>
                              <w:b/>
                              <w:bCs/>
                              <w:sz w:val="20"/>
                              <w:lang w:eastAsia="lt-LT"/>
                            </w:rPr>
                          </w:pPr>
                          <w:r>
                            <w:rPr>
                              <w:b/>
                              <w:bCs/>
                              <w:sz w:val="20"/>
                              <w:lang w:eastAsia="lt-LT"/>
                            </w:rPr>
                            <w:t>Planas 2033 m.</w:t>
                          </w:r>
                        </w:p>
                      </w:tc>
                    </w:tr>
                    <w:tr>
                      <w:trPr>
                        <w:trHeight w:val="258"/>
                        <w:jc w:val="center"/>
                      </w:trPr>
                      <w:tc>
                        <w:tcPr>
                          <w:tcW w:w="4524" w:type="dxa"/>
                          <w:shd w:val="clear" w:color="auto" w:fill="FEE1A1" w:themeFill="accent1" w:themeFillTint="66"/>
                          <w:vAlign w:val="bottom"/>
                          <w:hideMark/>
                        </w:tcPr>
                        <w:p>
                          <w:pPr>
                            <w:rPr>
                              <w:b/>
                              <w:bCs/>
                              <w:color w:val="000000"/>
                              <w:sz w:val="20"/>
                              <w:lang w:eastAsia="lt-LT"/>
                            </w:rPr>
                          </w:pPr>
                          <w:r>
                            <w:rPr>
                              <w:b/>
                              <w:bCs/>
                              <w:color w:val="000000"/>
                              <w:sz w:val="20"/>
                              <w:lang w:eastAsia="lt-LT"/>
                            </w:rPr>
                            <w:t>ATVIRAS</w:t>
                          </w:r>
                        </w:p>
                      </w:tc>
                      <w:tc>
                        <w:tcPr>
                          <w:tcW w:w="1341" w:type="dxa"/>
                          <w:shd w:val="clear" w:color="auto" w:fill="FEE1A1" w:themeFill="accent1" w:themeFillTint="66"/>
                          <w:vAlign w:val="center"/>
                          <w:hideMark/>
                        </w:tcPr>
                        <w:p>
                          <w:pPr>
                            <w:ind w:firstLine="53"/>
                            <w:jc w:val="center"/>
                            <w:rPr>
                              <w:b/>
                              <w:bCs/>
                              <w:color w:val="000000"/>
                              <w:sz w:val="20"/>
                              <w:lang w:eastAsia="lt-LT"/>
                            </w:rPr>
                          </w:pPr>
                        </w:p>
                      </w:tc>
                      <w:tc>
                        <w:tcPr>
                          <w:tcW w:w="2114" w:type="dxa"/>
                          <w:shd w:val="clear" w:color="auto" w:fill="FEE1A1" w:themeFill="accent1" w:themeFillTint="66"/>
                          <w:vAlign w:val="center"/>
                          <w:hideMark/>
                        </w:tcPr>
                        <w:p>
                          <w:pPr>
                            <w:jc w:val="center"/>
                            <w:rPr>
                              <w:b/>
                              <w:bCs/>
                              <w:color w:val="000000"/>
                              <w:sz w:val="20"/>
                              <w:lang w:eastAsia="lt-LT"/>
                            </w:rPr>
                          </w:pPr>
                        </w:p>
                      </w:tc>
                      <w:tc>
                        <w:tcPr>
                          <w:tcW w:w="1551" w:type="dxa"/>
                          <w:shd w:val="clear" w:color="auto" w:fill="FEE1A1" w:themeFill="accent1" w:themeFillTint="66"/>
                          <w:vAlign w:val="center"/>
                          <w:hideMark/>
                        </w:tcPr>
                        <w:p>
                          <w:pPr>
                            <w:ind w:firstLine="53"/>
                            <w:jc w:val="center"/>
                            <w:rPr>
                              <w:b/>
                              <w:bCs/>
                              <w:color w:val="000000"/>
                              <w:sz w:val="20"/>
                              <w:lang w:eastAsia="lt-LT"/>
                            </w:rPr>
                          </w:pPr>
                        </w:p>
                      </w:tc>
                    </w:tr>
                    <w:tr>
                      <w:trPr>
                        <w:trHeight w:val="258"/>
                        <w:jc w:val="center"/>
                      </w:trPr>
                      <w:tc>
                        <w:tcPr>
                          <w:tcW w:w="4524" w:type="dxa"/>
                          <w:shd w:val="clear" w:color="auto" w:fill="auto"/>
                          <w:vAlign w:val="center"/>
                          <w:hideMark/>
                        </w:tcPr>
                        <w:p>
                          <w:pPr>
                            <w:rPr>
                              <w:color w:val="000000"/>
                              <w:sz w:val="20"/>
                              <w:lang w:eastAsia="lt-LT"/>
                            </w:rPr>
                          </w:pPr>
                          <w:r>
                            <w:rPr>
                              <w:color w:val="000000"/>
                              <w:sz w:val="20"/>
                              <w:lang w:eastAsia="lt-LT"/>
                            </w:rPr>
                            <w:t>Gyventojų skaičius</w:t>
                          </w:r>
                        </w:p>
                      </w:tc>
                      <w:tc>
                        <w:tcPr>
                          <w:tcW w:w="1341" w:type="dxa"/>
                          <w:shd w:val="clear" w:color="auto" w:fill="auto"/>
                          <w:vAlign w:val="center"/>
                          <w:hideMark/>
                        </w:tcPr>
                        <w:p>
                          <w:pPr>
                            <w:jc w:val="center"/>
                            <w:rPr>
                              <w:color w:val="000000"/>
                              <w:sz w:val="20"/>
                              <w:lang w:eastAsia="lt-LT"/>
                            </w:rPr>
                          </w:pPr>
                          <w:r>
                            <w:rPr>
                              <w:color w:val="000000"/>
                              <w:sz w:val="20"/>
                              <w:lang w:eastAsia="lt-LT"/>
                            </w:rPr>
                            <w:t>tūkst. asm.</w:t>
                          </w:r>
                        </w:p>
                      </w:tc>
                      <w:tc>
                        <w:tcPr>
                          <w:tcW w:w="2114" w:type="dxa"/>
                          <w:shd w:val="clear" w:color="auto" w:fill="auto"/>
                          <w:noWrap/>
                          <w:vAlign w:val="center"/>
                          <w:hideMark/>
                        </w:tcPr>
                        <w:p>
                          <w:pPr>
                            <w:jc w:val="center"/>
                            <w:rPr>
                              <w:color w:val="000000"/>
                              <w:sz w:val="20"/>
                              <w:lang w:eastAsia="lt-LT"/>
                            </w:rPr>
                          </w:pPr>
                          <w:r>
                            <w:rPr>
                              <w:color w:val="000000"/>
                              <w:sz w:val="20"/>
                              <w:lang w:eastAsia="lt-LT"/>
                            </w:rPr>
                            <w:t xml:space="preserve">110,5  (2024)</w:t>
                          </w:r>
                        </w:p>
                      </w:tc>
                      <w:tc>
                        <w:tcPr>
                          <w:tcW w:w="1551" w:type="dxa"/>
                          <w:shd w:val="clear" w:color="auto" w:fill="ABDDB0"/>
                          <w:noWrap/>
                          <w:vAlign w:val="center"/>
                          <w:hideMark/>
                        </w:tcPr>
                        <w:p>
                          <w:pPr>
                            <w:jc w:val="center"/>
                            <w:rPr>
                              <w:color w:val="000000"/>
                              <w:sz w:val="20"/>
                              <w:lang w:eastAsia="lt-LT"/>
                            </w:rPr>
                          </w:pPr>
                          <w:r>
                            <w:rPr>
                              <w:color w:val="000000"/>
                              <w:sz w:val="20"/>
                              <w:lang w:eastAsia="lt-LT"/>
                            </w:rPr>
                            <w:t>119,0</w:t>
                          </w:r>
                        </w:p>
                      </w:tc>
                    </w:tr>
                    <w:tr>
                      <w:trPr>
                        <w:trHeight w:val="258"/>
                        <w:jc w:val="center"/>
                      </w:trPr>
                      <w:tc>
                        <w:tcPr>
                          <w:tcW w:w="4524" w:type="dxa"/>
                          <w:shd w:val="clear" w:color="auto" w:fill="auto"/>
                          <w:vAlign w:val="center"/>
                          <w:hideMark/>
                        </w:tcPr>
                        <w:p>
                          <w:pPr>
                            <w:rPr>
                              <w:color w:val="000000"/>
                              <w:sz w:val="20"/>
                              <w:lang w:eastAsia="lt-LT"/>
                            </w:rPr>
                          </w:pPr>
                          <w:r>
                            <w:rPr>
                              <w:color w:val="000000"/>
                              <w:sz w:val="20"/>
                              <w:lang w:eastAsia="lt-LT"/>
                            </w:rPr>
                            <w:t>Vaikų ir jaunimo dalis</w:t>
                          </w:r>
                        </w:p>
                      </w:tc>
                      <w:tc>
                        <w:tcPr>
                          <w:tcW w:w="1341" w:type="dxa"/>
                          <w:shd w:val="clear" w:color="auto" w:fill="auto"/>
                          <w:vAlign w:val="center"/>
                          <w:hideMark/>
                        </w:tcPr>
                        <w:p>
                          <w:pPr>
                            <w:jc w:val="center"/>
                            <w:rPr>
                              <w:color w:val="000000"/>
                              <w:sz w:val="20"/>
                              <w:lang w:eastAsia="lt-LT"/>
                            </w:rPr>
                          </w:pPr>
                          <w:r>
                            <w:rPr>
                              <w:color w:val="000000"/>
                              <w:sz w:val="20"/>
                              <w:lang w:eastAsia="lt-LT"/>
                            </w:rPr>
                            <w:t>proc.</w:t>
                          </w:r>
                        </w:p>
                      </w:tc>
                      <w:tc>
                        <w:tcPr>
                          <w:tcW w:w="2114" w:type="dxa"/>
                          <w:shd w:val="clear" w:color="auto" w:fill="auto"/>
                          <w:noWrap/>
                          <w:vAlign w:val="center"/>
                          <w:hideMark/>
                        </w:tcPr>
                        <w:p>
                          <w:pPr>
                            <w:jc w:val="center"/>
                            <w:rPr>
                              <w:color w:val="000000"/>
                              <w:sz w:val="20"/>
                              <w:lang w:eastAsia="lt-LT"/>
                            </w:rPr>
                          </w:pPr>
                          <w:r>
                            <w:rPr>
                              <w:color w:val="000000"/>
                              <w:sz w:val="20"/>
                              <w:lang w:eastAsia="lt-LT"/>
                            </w:rPr>
                            <w:t>27,7 (2024)</w:t>
                          </w:r>
                        </w:p>
                      </w:tc>
                      <w:tc>
                        <w:tcPr>
                          <w:tcW w:w="1551" w:type="dxa"/>
                          <w:shd w:val="clear" w:color="auto" w:fill="ABDDB0"/>
                          <w:noWrap/>
                          <w:vAlign w:val="center"/>
                          <w:hideMark/>
                        </w:tcPr>
                        <w:p>
                          <w:pPr>
                            <w:jc w:val="center"/>
                            <w:rPr>
                              <w:color w:val="000000"/>
                              <w:sz w:val="20"/>
                              <w:lang w:eastAsia="lt-LT"/>
                            </w:rPr>
                          </w:pPr>
                          <w:r>
                            <w:rPr>
                              <w:color w:val="000000"/>
                              <w:sz w:val="20"/>
                              <w:lang w:eastAsia="lt-LT"/>
                            </w:rPr>
                            <w:t>29,0</w:t>
                          </w:r>
                        </w:p>
                      </w:tc>
                    </w:tr>
                    <w:tr>
                      <w:trPr>
                        <w:trHeight w:val="258"/>
                        <w:jc w:val="center"/>
                      </w:trPr>
                      <w:tc>
                        <w:tcPr>
                          <w:tcW w:w="4524" w:type="dxa"/>
                          <w:shd w:val="clear" w:color="auto" w:fill="auto"/>
                          <w:vAlign w:val="center"/>
                          <w:hideMark/>
                        </w:tcPr>
                        <w:p>
                          <w:pPr>
                            <w:rPr>
                              <w:color w:val="000000"/>
                              <w:sz w:val="20"/>
                              <w:lang w:eastAsia="lt-LT"/>
                            </w:rPr>
                          </w:pPr>
                          <w:r>
                            <w:rPr>
                              <w:color w:val="000000"/>
                              <w:sz w:val="20"/>
                              <w:lang w:eastAsia="lt-LT"/>
                            </w:rPr>
                            <w:t>Studijuojančiųjų ir besimokančiųjų profesinėse mokymosi įstaigose dalis</w:t>
                          </w:r>
                        </w:p>
                      </w:tc>
                      <w:tc>
                        <w:tcPr>
                          <w:tcW w:w="1341" w:type="dxa"/>
                          <w:shd w:val="clear" w:color="auto" w:fill="auto"/>
                          <w:vAlign w:val="center"/>
                          <w:hideMark/>
                        </w:tcPr>
                        <w:p>
                          <w:pPr>
                            <w:jc w:val="center"/>
                            <w:rPr>
                              <w:color w:val="000000"/>
                              <w:sz w:val="20"/>
                              <w:lang w:eastAsia="lt-LT"/>
                            </w:rPr>
                          </w:pPr>
                          <w:r>
                            <w:rPr>
                              <w:color w:val="000000"/>
                              <w:sz w:val="20"/>
                              <w:lang w:eastAsia="lt-LT"/>
                            </w:rPr>
                            <w:t>proc.</w:t>
                          </w:r>
                        </w:p>
                      </w:tc>
                      <w:tc>
                        <w:tcPr>
                          <w:tcW w:w="2114" w:type="dxa"/>
                          <w:shd w:val="clear" w:color="auto" w:fill="auto"/>
                          <w:noWrap/>
                          <w:vAlign w:val="center"/>
                          <w:hideMark/>
                        </w:tcPr>
                        <w:p>
                          <w:pPr>
                            <w:jc w:val="center"/>
                            <w:rPr>
                              <w:color w:val="000000"/>
                              <w:sz w:val="20"/>
                              <w:lang w:eastAsia="lt-LT"/>
                            </w:rPr>
                          </w:pPr>
                          <w:r>
                            <w:rPr>
                              <w:color w:val="000000"/>
                              <w:sz w:val="20"/>
                              <w:lang w:eastAsia="lt-LT"/>
                            </w:rPr>
                            <w:t>5,3 (2023) </w:t>
                          </w:r>
                        </w:p>
                      </w:tc>
                      <w:tc>
                        <w:tcPr>
                          <w:tcW w:w="1551" w:type="dxa"/>
                          <w:shd w:val="clear" w:color="auto" w:fill="ABDDB0"/>
                          <w:noWrap/>
                          <w:vAlign w:val="center"/>
                          <w:hideMark/>
                        </w:tcPr>
                        <w:p>
                          <w:pPr>
                            <w:jc w:val="center"/>
                            <w:rPr>
                              <w:color w:val="000000"/>
                              <w:sz w:val="20"/>
                              <w:lang w:eastAsia="lt-LT"/>
                            </w:rPr>
                          </w:pPr>
                          <w:r>
                            <w:rPr>
                              <w:color w:val="000000"/>
                              <w:sz w:val="20"/>
                              <w:lang w:eastAsia="lt-LT"/>
                            </w:rPr>
                            <w:t>6,5</w:t>
                          </w:r>
                        </w:p>
                      </w:tc>
                    </w:tr>
                    <w:tr>
                      <w:trPr>
                        <w:trHeight w:val="258"/>
                        <w:jc w:val="center"/>
                      </w:trPr>
                      <w:tc>
                        <w:tcPr>
                          <w:tcW w:w="4524" w:type="dxa"/>
                          <w:shd w:val="clear" w:color="auto" w:fill="FEE1A1" w:themeFill="accent1" w:themeFillTint="66"/>
                          <w:vAlign w:val="bottom"/>
                          <w:hideMark/>
                        </w:tcPr>
                        <w:p>
                          <w:pPr>
                            <w:rPr>
                              <w:b/>
                              <w:bCs/>
                              <w:color w:val="000000"/>
                              <w:sz w:val="20"/>
                              <w:lang w:eastAsia="lt-LT"/>
                            </w:rPr>
                          </w:pPr>
                          <w:r>
                            <w:rPr>
                              <w:b/>
                              <w:bCs/>
                              <w:color w:val="000000"/>
                              <w:sz w:val="20"/>
                              <w:lang w:eastAsia="lt-LT"/>
                            </w:rPr>
                            <w:t>VERŽLUS</w:t>
                          </w:r>
                        </w:p>
                      </w:tc>
                      <w:tc>
                        <w:tcPr>
                          <w:tcW w:w="1341" w:type="dxa"/>
                          <w:shd w:val="clear" w:color="auto" w:fill="FEE1A1" w:themeFill="accent1" w:themeFillTint="66"/>
                          <w:vAlign w:val="center"/>
                          <w:hideMark/>
                        </w:tcPr>
                        <w:p>
                          <w:pPr>
                            <w:ind w:firstLine="53"/>
                            <w:jc w:val="center"/>
                            <w:rPr>
                              <w:b/>
                              <w:bCs/>
                              <w:color w:val="000000"/>
                              <w:sz w:val="20"/>
                              <w:lang w:eastAsia="lt-LT"/>
                            </w:rPr>
                          </w:pPr>
                        </w:p>
                      </w:tc>
                      <w:tc>
                        <w:tcPr>
                          <w:tcW w:w="2114" w:type="dxa"/>
                          <w:shd w:val="clear" w:color="auto" w:fill="FEE1A1" w:themeFill="accent1" w:themeFillTint="66"/>
                          <w:vAlign w:val="center"/>
                          <w:hideMark/>
                        </w:tcPr>
                        <w:p>
                          <w:pPr>
                            <w:ind w:firstLine="53"/>
                            <w:jc w:val="center"/>
                            <w:rPr>
                              <w:b/>
                              <w:bCs/>
                              <w:color w:val="000000"/>
                              <w:sz w:val="20"/>
                              <w:lang w:eastAsia="lt-LT"/>
                            </w:rPr>
                          </w:pPr>
                        </w:p>
                      </w:tc>
                      <w:tc>
                        <w:tcPr>
                          <w:tcW w:w="1551" w:type="dxa"/>
                          <w:shd w:val="clear" w:color="auto" w:fill="FEE1A1" w:themeFill="accent1" w:themeFillTint="66"/>
                          <w:vAlign w:val="center"/>
                          <w:hideMark/>
                        </w:tcPr>
                        <w:p>
                          <w:pPr>
                            <w:ind w:firstLine="53"/>
                            <w:jc w:val="center"/>
                            <w:rPr>
                              <w:b/>
                              <w:bCs/>
                              <w:color w:val="000000"/>
                              <w:sz w:val="20"/>
                              <w:lang w:eastAsia="lt-LT"/>
                            </w:rPr>
                          </w:pPr>
                        </w:p>
                      </w:tc>
                    </w:tr>
                    <w:tr>
                      <w:trPr>
                        <w:trHeight w:val="258"/>
                        <w:jc w:val="center"/>
                      </w:trPr>
                      <w:tc>
                        <w:tcPr>
                          <w:tcW w:w="4524" w:type="dxa"/>
                          <w:shd w:val="clear" w:color="auto" w:fill="auto"/>
                          <w:vAlign w:val="center"/>
                          <w:hideMark/>
                        </w:tcPr>
                        <w:p>
                          <w:pPr>
                            <w:rPr>
                              <w:sz w:val="20"/>
                              <w:lang w:eastAsia="lt-LT"/>
                            </w:rPr>
                          </w:pPr>
                          <w:r>
                            <w:rPr>
                              <w:sz w:val="20"/>
                              <w:lang w:eastAsia="lt-LT"/>
                            </w:rPr>
                            <w:t>Vidutinis mėnesinis bruto darbo užmokestis (santykis su LT vidurkiu)</w:t>
                          </w:r>
                        </w:p>
                      </w:tc>
                      <w:tc>
                        <w:tcPr>
                          <w:tcW w:w="1341" w:type="dxa"/>
                          <w:shd w:val="clear" w:color="auto" w:fill="auto"/>
                          <w:vAlign w:val="center"/>
                          <w:hideMark/>
                        </w:tcPr>
                        <w:p>
                          <w:pPr>
                            <w:jc w:val="center"/>
                            <w:rPr>
                              <w:sz w:val="20"/>
                              <w:lang w:eastAsia="lt-LT"/>
                            </w:rPr>
                          </w:pPr>
                          <w:r>
                            <w:rPr>
                              <w:sz w:val="20"/>
                              <w:lang w:eastAsia="lt-LT"/>
                            </w:rPr>
                            <w:t>Eur.</w:t>
                          </w:r>
                        </w:p>
                      </w:tc>
                      <w:tc>
                        <w:tcPr>
                          <w:tcW w:w="2114" w:type="dxa"/>
                          <w:shd w:val="clear" w:color="auto" w:fill="auto"/>
                          <w:vAlign w:val="center"/>
                          <w:hideMark/>
                        </w:tcPr>
                        <w:p>
                          <w:pPr>
                            <w:jc w:val="center"/>
                            <w:rPr>
                              <w:sz w:val="20"/>
                              <w:lang w:eastAsia="lt-LT"/>
                            </w:rPr>
                          </w:pPr>
                          <w:r>
                            <w:rPr>
                              <w:sz w:val="20"/>
                              <w:lang w:eastAsia="lt-LT"/>
                            </w:rPr>
                            <w:t>1546 (0,6) (2022) </w:t>
                          </w:r>
                        </w:p>
                      </w:tc>
                      <w:tc>
                        <w:tcPr>
                          <w:tcW w:w="1551" w:type="dxa"/>
                          <w:shd w:val="clear" w:color="auto" w:fill="ABDDB0"/>
                          <w:vAlign w:val="center"/>
                          <w:hideMark/>
                        </w:tcPr>
                        <w:p>
                          <w:pPr>
                            <w:jc w:val="center"/>
                            <w:rPr>
                              <w:sz w:val="20"/>
                              <w:lang w:eastAsia="lt-LT"/>
                            </w:rPr>
                          </w:pPr>
                          <w:r>
                            <w:rPr>
                              <w:sz w:val="20"/>
                              <w:lang w:eastAsia="lt-LT"/>
                            </w:rPr>
                            <w:t>0,92</w:t>
                          </w:r>
                        </w:p>
                      </w:tc>
                    </w:tr>
                    <w:tr>
                      <w:trPr>
                        <w:trHeight w:val="258"/>
                        <w:jc w:val="center"/>
                      </w:trPr>
                      <w:tc>
                        <w:tcPr>
                          <w:tcW w:w="4524" w:type="dxa"/>
                          <w:shd w:val="clear" w:color="auto" w:fill="auto"/>
                          <w:vAlign w:val="center"/>
                          <w:hideMark/>
                        </w:tcPr>
                        <w:p>
                          <w:pPr>
                            <w:rPr>
                              <w:sz w:val="20"/>
                              <w:lang w:eastAsia="lt-LT"/>
                            </w:rPr>
                          </w:pPr>
                          <w:r>
                            <w:rPr>
                              <w:sz w:val="20"/>
                              <w:lang w:eastAsia="lt-LT"/>
                            </w:rPr>
                            <w:t>Tiesioginės užsienio investicijos (santykis su LT vidurkiu)</w:t>
                          </w:r>
                        </w:p>
                      </w:tc>
                      <w:tc>
                        <w:tcPr>
                          <w:tcW w:w="1341" w:type="dxa"/>
                          <w:shd w:val="clear" w:color="auto" w:fill="auto"/>
                          <w:vAlign w:val="center"/>
                          <w:hideMark/>
                        </w:tcPr>
                        <w:p>
                          <w:pPr>
                            <w:jc w:val="center"/>
                            <w:rPr>
                              <w:sz w:val="20"/>
                              <w:lang w:eastAsia="lt-LT"/>
                            </w:rPr>
                          </w:pPr>
                          <w:r>
                            <w:rPr>
                              <w:sz w:val="20"/>
                              <w:lang w:eastAsia="lt-LT"/>
                            </w:rPr>
                            <w:t>Eur/gyv.</w:t>
                          </w:r>
                        </w:p>
                      </w:tc>
                      <w:tc>
                        <w:tcPr>
                          <w:tcW w:w="2114" w:type="dxa"/>
                          <w:shd w:val="clear" w:color="auto" w:fill="auto"/>
                          <w:vAlign w:val="center"/>
                          <w:hideMark/>
                        </w:tcPr>
                        <w:p>
                          <w:pPr>
                            <w:jc w:val="center"/>
                            <w:rPr>
                              <w:sz w:val="20"/>
                              <w:lang w:eastAsia="lt-LT"/>
                            </w:rPr>
                          </w:pPr>
                          <w:r>
                            <w:rPr>
                              <w:sz w:val="20"/>
                              <w:lang w:eastAsia="lt-LT"/>
                            </w:rPr>
                            <w:t>3202 (0,31) (2022)</w:t>
                          </w:r>
                        </w:p>
                      </w:tc>
                      <w:tc>
                        <w:tcPr>
                          <w:tcW w:w="1551" w:type="dxa"/>
                          <w:shd w:val="clear" w:color="auto" w:fill="ABDDB0"/>
                          <w:vAlign w:val="center"/>
                          <w:hideMark/>
                        </w:tcPr>
                        <w:p>
                          <w:pPr>
                            <w:jc w:val="center"/>
                            <w:rPr>
                              <w:sz w:val="20"/>
                              <w:lang w:eastAsia="lt-LT"/>
                            </w:rPr>
                          </w:pPr>
                          <w:r>
                            <w:rPr>
                              <w:sz w:val="20"/>
                              <w:lang w:eastAsia="lt-LT"/>
                            </w:rPr>
                            <w:t>0,55</w:t>
                          </w:r>
                        </w:p>
                      </w:tc>
                    </w:tr>
                    <w:tr>
                      <w:trPr>
                        <w:trHeight w:val="258"/>
                        <w:jc w:val="center"/>
                      </w:trPr>
                      <w:tc>
                        <w:tcPr>
                          <w:tcW w:w="4524" w:type="dxa"/>
                          <w:shd w:val="clear" w:color="auto" w:fill="auto"/>
                          <w:vAlign w:val="center"/>
                          <w:hideMark/>
                        </w:tcPr>
                        <w:p>
                          <w:pPr>
                            <w:rPr>
                              <w:sz w:val="20"/>
                              <w:lang w:eastAsia="lt-LT"/>
                            </w:rPr>
                          </w:pPr>
                          <w:r>
                            <w:rPr>
                              <w:sz w:val="20"/>
                              <w:lang w:eastAsia="lt-LT"/>
                            </w:rPr>
                            <w:t>Materialinės investicijos (santykis su LT vidurkiu)</w:t>
                          </w:r>
                        </w:p>
                      </w:tc>
                      <w:tc>
                        <w:tcPr>
                          <w:tcW w:w="1341" w:type="dxa"/>
                          <w:shd w:val="clear" w:color="auto" w:fill="auto"/>
                          <w:vAlign w:val="center"/>
                          <w:hideMark/>
                        </w:tcPr>
                        <w:p>
                          <w:pPr>
                            <w:jc w:val="center"/>
                            <w:rPr>
                              <w:sz w:val="20"/>
                              <w:lang w:eastAsia="lt-LT"/>
                            </w:rPr>
                          </w:pPr>
                          <w:r>
                            <w:rPr>
                              <w:sz w:val="20"/>
                              <w:lang w:eastAsia="lt-LT"/>
                            </w:rPr>
                            <w:t>Eur/gyv.</w:t>
                          </w:r>
                        </w:p>
                      </w:tc>
                      <w:tc>
                        <w:tcPr>
                          <w:tcW w:w="2114" w:type="dxa"/>
                          <w:shd w:val="clear" w:color="auto" w:fill="auto"/>
                          <w:vAlign w:val="center"/>
                          <w:hideMark/>
                        </w:tcPr>
                        <w:p>
                          <w:pPr>
                            <w:jc w:val="center"/>
                            <w:rPr>
                              <w:sz w:val="20"/>
                              <w:lang w:eastAsia="lt-LT"/>
                            </w:rPr>
                          </w:pPr>
                          <w:r>
                            <w:rPr>
                              <w:sz w:val="20"/>
                              <w:lang w:eastAsia="lt-LT"/>
                            </w:rPr>
                            <w:t>3044 (0,69) (2022) </w:t>
                          </w:r>
                        </w:p>
                      </w:tc>
                      <w:tc>
                        <w:tcPr>
                          <w:tcW w:w="1551" w:type="dxa"/>
                          <w:shd w:val="clear" w:color="auto" w:fill="ABDDB0"/>
                          <w:vAlign w:val="center"/>
                          <w:hideMark/>
                        </w:tcPr>
                        <w:p>
                          <w:pPr>
                            <w:jc w:val="center"/>
                            <w:rPr>
                              <w:sz w:val="20"/>
                              <w:lang w:eastAsia="lt-LT"/>
                            </w:rPr>
                          </w:pPr>
                          <w:r>
                            <w:rPr>
                              <w:sz w:val="20"/>
                              <w:lang w:eastAsia="lt-LT"/>
                            </w:rPr>
                            <w:t>0,9</w:t>
                          </w:r>
                        </w:p>
                      </w:tc>
                    </w:tr>
                    <w:tr>
                      <w:trPr>
                        <w:trHeight w:val="258"/>
                        <w:jc w:val="center"/>
                      </w:trPr>
                      <w:tc>
                        <w:tcPr>
                          <w:tcW w:w="4524" w:type="dxa"/>
                          <w:shd w:val="clear" w:color="auto" w:fill="FEE1A1" w:themeFill="accent1" w:themeFillTint="66"/>
                          <w:vAlign w:val="bottom"/>
                          <w:hideMark/>
                        </w:tcPr>
                        <w:p>
                          <w:pPr>
                            <w:rPr>
                              <w:b/>
                              <w:bCs/>
                              <w:color w:val="000000"/>
                              <w:sz w:val="20"/>
                              <w:lang w:eastAsia="lt-LT"/>
                            </w:rPr>
                          </w:pPr>
                          <w:r>
                            <w:rPr>
                              <w:b/>
                              <w:bCs/>
                              <w:color w:val="000000"/>
                              <w:sz w:val="20"/>
                              <w:lang w:eastAsia="lt-LT"/>
                            </w:rPr>
                            <w:t>SAUGUS</w:t>
                          </w:r>
                        </w:p>
                      </w:tc>
                      <w:tc>
                        <w:tcPr>
                          <w:tcW w:w="1341" w:type="dxa"/>
                          <w:shd w:val="clear" w:color="auto" w:fill="FEE1A1" w:themeFill="accent1" w:themeFillTint="66"/>
                          <w:vAlign w:val="center"/>
                          <w:hideMark/>
                        </w:tcPr>
                        <w:p>
                          <w:pPr>
                            <w:ind w:firstLine="53"/>
                            <w:jc w:val="center"/>
                            <w:rPr>
                              <w:b/>
                              <w:bCs/>
                              <w:color w:val="000000"/>
                              <w:sz w:val="20"/>
                              <w:lang w:eastAsia="lt-LT"/>
                            </w:rPr>
                          </w:pPr>
                        </w:p>
                      </w:tc>
                      <w:tc>
                        <w:tcPr>
                          <w:tcW w:w="2114" w:type="dxa"/>
                          <w:shd w:val="clear" w:color="auto" w:fill="FEE1A1" w:themeFill="accent1" w:themeFillTint="66"/>
                          <w:vAlign w:val="center"/>
                          <w:hideMark/>
                        </w:tcPr>
                        <w:p>
                          <w:pPr>
                            <w:ind w:firstLine="53"/>
                            <w:jc w:val="center"/>
                            <w:rPr>
                              <w:b/>
                              <w:bCs/>
                              <w:color w:val="000000"/>
                              <w:sz w:val="20"/>
                              <w:lang w:eastAsia="lt-LT"/>
                            </w:rPr>
                          </w:pPr>
                        </w:p>
                      </w:tc>
                      <w:tc>
                        <w:tcPr>
                          <w:tcW w:w="1551" w:type="dxa"/>
                          <w:shd w:val="clear" w:color="auto" w:fill="FEE1A1" w:themeFill="accent1" w:themeFillTint="66"/>
                          <w:vAlign w:val="center"/>
                          <w:hideMark/>
                        </w:tcPr>
                        <w:p>
                          <w:pPr>
                            <w:ind w:firstLine="53"/>
                            <w:jc w:val="center"/>
                            <w:rPr>
                              <w:b/>
                              <w:bCs/>
                              <w:color w:val="000000"/>
                              <w:sz w:val="20"/>
                              <w:lang w:eastAsia="lt-LT"/>
                            </w:rPr>
                          </w:pPr>
                        </w:p>
                      </w:tc>
                    </w:tr>
                    <w:tr>
                      <w:trPr>
                        <w:trHeight w:val="258"/>
                        <w:jc w:val="center"/>
                      </w:trPr>
                      <w:tc>
                        <w:tcPr>
                          <w:tcW w:w="4524" w:type="dxa"/>
                          <w:vMerge w:val="restart"/>
                          <w:shd w:val="clear" w:color="auto" w:fill="auto"/>
                          <w:vAlign w:val="center"/>
                          <w:hideMark/>
                        </w:tcPr>
                        <w:p>
                          <w:pPr>
                            <w:rPr>
                              <w:color w:val="000000"/>
                              <w:sz w:val="20"/>
                              <w:lang w:eastAsia="lt-LT"/>
                            </w:rPr>
                          </w:pPr>
                          <w:r>
                            <w:rPr>
                              <w:color w:val="000000"/>
                              <w:sz w:val="20"/>
                              <w:lang w:eastAsia="lt-LT"/>
                            </w:rPr>
                            <w:t>Šiaulių miesto savivaldybės gyvenimo kokybės indeksas</w:t>
                          </w:r>
                        </w:p>
                      </w:tc>
                      <w:tc>
                        <w:tcPr>
                          <w:tcW w:w="1341" w:type="dxa"/>
                          <w:shd w:val="clear" w:color="auto" w:fill="auto"/>
                          <w:vAlign w:val="center"/>
                          <w:hideMark/>
                        </w:tcPr>
                        <w:p>
                          <w:pPr>
                            <w:jc w:val="center"/>
                            <w:rPr>
                              <w:color w:val="000000"/>
                              <w:sz w:val="20"/>
                              <w:lang w:eastAsia="lt-LT"/>
                            </w:rPr>
                          </w:pPr>
                          <w:r>
                            <w:rPr>
                              <w:color w:val="000000"/>
                              <w:sz w:val="20"/>
                              <w:lang w:eastAsia="lt-LT"/>
                            </w:rPr>
                            <w:t>balas</w:t>
                          </w:r>
                        </w:p>
                      </w:tc>
                      <w:tc>
                        <w:tcPr>
                          <w:tcW w:w="2114" w:type="dxa"/>
                          <w:shd w:val="clear" w:color="auto" w:fill="auto"/>
                          <w:vAlign w:val="center"/>
                          <w:hideMark/>
                        </w:tcPr>
                        <w:p>
                          <w:pPr>
                            <w:jc w:val="center"/>
                            <w:rPr>
                              <w:color w:val="000000"/>
                              <w:sz w:val="20"/>
                              <w:lang w:eastAsia="lt-LT"/>
                            </w:rPr>
                          </w:pPr>
                          <w:r>
                            <w:rPr>
                              <w:color w:val="000000"/>
                              <w:sz w:val="20"/>
                              <w:lang w:eastAsia="lt-LT"/>
                            </w:rPr>
                            <w:t>0,67 (2022) </w:t>
                          </w:r>
                        </w:p>
                      </w:tc>
                      <w:tc>
                        <w:tcPr>
                          <w:tcW w:w="1551" w:type="dxa"/>
                          <w:shd w:val="clear" w:color="auto" w:fill="ABDDB0"/>
                          <w:vAlign w:val="center"/>
                          <w:hideMark/>
                        </w:tcPr>
                        <w:p>
                          <w:pPr>
                            <w:jc w:val="center"/>
                            <w:rPr>
                              <w:color w:val="000000"/>
                              <w:sz w:val="20"/>
                              <w:lang w:eastAsia="lt-LT"/>
                            </w:rPr>
                          </w:pPr>
                          <w:r>
                            <w:rPr>
                              <w:color w:val="000000"/>
                              <w:sz w:val="20"/>
                              <w:lang w:eastAsia="lt-LT"/>
                            </w:rPr>
                            <w:t>0,85</w:t>
                          </w:r>
                        </w:p>
                      </w:tc>
                    </w:tr>
                    <w:tr>
                      <w:trPr>
                        <w:trHeight w:val="258"/>
                        <w:jc w:val="center"/>
                      </w:trPr>
                      <w:tc>
                        <w:tcPr>
                          <w:tcW w:w="4524" w:type="dxa"/>
                          <w:vMerge/>
                          <w:vAlign w:val="center"/>
                          <w:hideMark/>
                        </w:tcPr>
                        <w:p>
                          <w:pPr>
                            <w:rPr>
                              <w:color w:val="000000"/>
                              <w:sz w:val="20"/>
                              <w:lang w:eastAsia="lt-LT"/>
                            </w:rPr>
                          </w:pPr>
                        </w:p>
                      </w:tc>
                      <w:tc>
                        <w:tcPr>
                          <w:tcW w:w="1341" w:type="dxa"/>
                          <w:shd w:val="clear" w:color="auto" w:fill="auto"/>
                          <w:vAlign w:val="center"/>
                          <w:hideMark/>
                        </w:tcPr>
                        <w:p>
                          <w:pPr>
                            <w:jc w:val="center"/>
                            <w:rPr>
                              <w:color w:val="000000"/>
                              <w:sz w:val="20"/>
                              <w:lang w:eastAsia="lt-LT"/>
                            </w:rPr>
                          </w:pPr>
                          <w:r>
                            <w:rPr>
                              <w:color w:val="000000"/>
                              <w:sz w:val="20"/>
                              <w:lang w:eastAsia="lt-LT"/>
                            </w:rPr>
                            <w:t>vieta tarp kt. sav.</w:t>
                          </w:r>
                        </w:p>
                      </w:tc>
                      <w:tc>
                        <w:tcPr>
                          <w:tcW w:w="2114" w:type="dxa"/>
                          <w:shd w:val="clear" w:color="auto" w:fill="auto"/>
                          <w:vAlign w:val="center"/>
                          <w:hideMark/>
                        </w:tcPr>
                        <w:p>
                          <w:pPr>
                            <w:ind w:firstLine="53"/>
                            <w:jc w:val="center"/>
                            <w:rPr>
                              <w:color w:val="000000"/>
                              <w:sz w:val="20"/>
                              <w:lang w:eastAsia="lt-LT"/>
                            </w:rPr>
                          </w:pPr>
                          <w:r>
                            <w:rPr>
                              <w:color w:val="000000"/>
                              <w:sz w:val="20"/>
                              <w:lang w:eastAsia="lt-LT"/>
                            </w:rPr>
                            <w:t>12 (2022)</w:t>
                          </w:r>
                        </w:p>
                      </w:tc>
                      <w:tc>
                        <w:tcPr>
                          <w:tcW w:w="1551" w:type="dxa"/>
                          <w:shd w:val="clear" w:color="auto" w:fill="ABDDB0"/>
                          <w:vAlign w:val="center"/>
                          <w:hideMark/>
                        </w:tcPr>
                        <w:p>
                          <w:pPr>
                            <w:jc w:val="center"/>
                            <w:rPr>
                              <w:color w:val="000000"/>
                              <w:sz w:val="20"/>
                              <w:lang w:eastAsia="lt-LT"/>
                            </w:rPr>
                          </w:pPr>
                          <w:r>
                            <w:rPr>
                              <w:color w:val="000000"/>
                              <w:sz w:val="20"/>
                              <w:lang w:eastAsia="lt-LT"/>
                            </w:rPr>
                            <w:t>TOP 5</w:t>
                          </w:r>
                        </w:p>
                      </w:tc>
                    </w:tr>
                    <w:tr>
                      <w:trPr>
                        <w:trHeight w:val="258"/>
                        <w:jc w:val="center"/>
                      </w:trPr>
                      <w:tc>
                        <w:tcPr>
                          <w:tcW w:w="4524" w:type="dxa"/>
                          <w:vMerge w:val="restart"/>
                          <w:shd w:val="clear" w:color="auto" w:fill="auto"/>
                          <w:vAlign w:val="center"/>
                          <w:hideMark/>
                        </w:tcPr>
                        <w:p>
                          <w:pPr>
                            <w:rPr>
                              <w:color w:val="000000"/>
                              <w:sz w:val="20"/>
                              <w:lang w:eastAsia="lt-LT"/>
                            </w:rPr>
                          </w:pPr>
                          <w:r>
                            <w:rPr>
                              <w:color w:val="000000"/>
                              <w:sz w:val="20"/>
                              <w:lang w:eastAsia="lt-LT"/>
                            </w:rPr>
                            <w:t>Savivaldybės darnios energetikos plėtros indeksas</w:t>
                          </w:r>
                          <w:r>
                            <w:rPr>
                              <w:color w:val="000000"/>
                              <w:sz w:val="20"/>
                              <w:vertAlign w:val="superscript"/>
                              <w:lang w:eastAsia="lt-LT"/>
                            </w:rPr>
                            <w:footnoteReference w:id="1"/>
                          </w:r>
                        </w:p>
                      </w:tc>
                      <w:tc>
                        <w:tcPr>
                          <w:tcW w:w="1341" w:type="dxa"/>
                          <w:shd w:val="clear" w:color="auto" w:fill="auto"/>
                          <w:vAlign w:val="center"/>
                          <w:hideMark/>
                        </w:tcPr>
                        <w:p>
                          <w:pPr>
                            <w:jc w:val="center"/>
                            <w:rPr>
                              <w:color w:val="000000"/>
                              <w:sz w:val="20"/>
                              <w:lang w:eastAsia="lt-LT"/>
                            </w:rPr>
                          </w:pPr>
                          <w:r>
                            <w:rPr>
                              <w:color w:val="000000"/>
                              <w:sz w:val="20"/>
                              <w:lang w:eastAsia="lt-LT"/>
                            </w:rPr>
                            <w:t>balas</w:t>
                          </w:r>
                        </w:p>
                      </w:tc>
                      <w:tc>
                        <w:tcPr>
                          <w:tcW w:w="2114" w:type="dxa"/>
                          <w:shd w:val="clear" w:color="auto" w:fill="auto"/>
                          <w:vAlign w:val="center"/>
                          <w:hideMark/>
                        </w:tcPr>
                        <w:p>
                          <w:pPr>
                            <w:jc w:val="center"/>
                            <w:rPr>
                              <w:color w:val="000000"/>
                              <w:sz w:val="20"/>
                              <w:lang w:eastAsia="lt-LT"/>
                            </w:rPr>
                          </w:pPr>
                          <w:r>
                            <w:rPr>
                              <w:color w:val="000000"/>
                              <w:sz w:val="20"/>
                              <w:lang w:eastAsia="lt-LT"/>
                            </w:rPr>
                            <w:t>26,5 (2022) </w:t>
                          </w:r>
                        </w:p>
                      </w:tc>
                      <w:tc>
                        <w:tcPr>
                          <w:tcW w:w="1551" w:type="dxa"/>
                          <w:shd w:val="clear" w:color="auto" w:fill="ABDDB0"/>
                          <w:vAlign w:val="center"/>
                          <w:hideMark/>
                        </w:tcPr>
                        <w:p>
                          <w:pPr>
                            <w:jc w:val="center"/>
                            <w:rPr>
                              <w:color w:val="000000"/>
                              <w:sz w:val="20"/>
                              <w:lang w:eastAsia="lt-LT"/>
                            </w:rPr>
                          </w:pPr>
                          <w:r>
                            <w:rPr>
                              <w:color w:val="000000"/>
                              <w:sz w:val="20"/>
                              <w:lang w:eastAsia="lt-LT"/>
                            </w:rPr>
                            <w:t>46</w:t>
                          </w:r>
                        </w:p>
                      </w:tc>
                    </w:tr>
                    <w:tr>
                      <w:trPr>
                        <w:trHeight w:val="258"/>
                        <w:jc w:val="center"/>
                      </w:trPr>
                      <w:tc>
                        <w:tcPr>
                          <w:tcW w:w="4524" w:type="dxa"/>
                          <w:vMerge/>
                          <w:vAlign w:val="center"/>
                          <w:hideMark/>
                        </w:tcPr>
                        <w:p>
                          <w:pPr>
                            <w:rPr>
                              <w:color w:val="000000"/>
                              <w:sz w:val="20"/>
                              <w:lang w:eastAsia="lt-LT"/>
                            </w:rPr>
                          </w:pPr>
                        </w:p>
                      </w:tc>
                      <w:tc>
                        <w:tcPr>
                          <w:tcW w:w="1341" w:type="dxa"/>
                          <w:shd w:val="clear" w:color="auto" w:fill="auto"/>
                          <w:vAlign w:val="center"/>
                          <w:hideMark/>
                        </w:tcPr>
                        <w:p>
                          <w:pPr>
                            <w:jc w:val="center"/>
                            <w:rPr>
                              <w:color w:val="000000"/>
                              <w:sz w:val="20"/>
                              <w:lang w:eastAsia="lt-LT"/>
                            </w:rPr>
                          </w:pPr>
                          <w:r>
                            <w:rPr>
                              <w:color w:val="000000"/>
                              <w:sz w:val="20"/>
                              <w:lang w:eastAsia="lt-LT"/>
                            </w:rPr>
                            <w:t>vieta tarp kt. sav.</w:t>
                          </w:r>
                        </w:p>
                      </w:tc>
                      <w:tc>
                        <w:tcPr>
                          <w:tcW w:w="2114" w:type="dxa"/>
                          <w:shd w:val="clear" w:color="auto" w:fill="auto"/>
                          <w:vAlign w:val="center"/>
                          <w:hideMark/>
                        </w:tcPr>
                        <w:p>
                          <w:pPr>
                            <w:jc w:val="center"/>
                            <w:rPr>
                              <w:color w:val="000000"/>
                              <w:sz w:val="20"/>
                              <w:lang w:eastAsia="lt-LT"/>
                            </w:rPr>
                          </w:pPr>
                          <w:r>
                            <w:rPr>
                              <w:color w:val="000000"/>
                              <w:sz w:val="20"/>
                              <w:lang w:eastAsia="lt-LT"/>
                            </w:rPr>
                            <w:t>52 (2022) </w:t>
                          </w:r>
                        </w:p>
                      </w:tc>
                      <w:tc>
                        <w:tcPr>
                          <w:tcW w:w="1551" w:type="dxa"/>
                          <w:shd w:val="clear" w:color="auto" w:fill="ABDDB0"/>
                          <w:vAlign w:val="center"/>
                          <w:hideMark/>
                        </w:tcPr>
                        <w:p>
                          <w:pPr>
                            <w:jc w:val="center"/>
                            <w:rPr>
                              <w:color w:val="000000"/>
                              <w:sz w:val="20"/>
                              <w:lang w:eastAsia="lt-LT"/>
                            </w:rPr>
                          </w:pPr>
                          <w:r>
                            <w:rPr>
                              <w:color w:val="000000"/>
                              <w:sz w:val="20"/>
                              <w:lang w:eastAsia="lt-LT"/>
                            </w:rPr>
                            <w:t>TOP 10</w:t>
                          </w:r>
                        </w:p>
                      </w:tc>
                    </w:tr>
                    <w:tr>
                      <w:trPr>
                        <w:trHeight w:val="258"/>
                        <w:jc w:val="center"/>
                      </w:trPr>
                      <w:tc>
                        <w:tcPr>
                          <w:tcW w:w="4524" w:type="dxa"/>
                          <w:shd w:val="clear" w:color="auto" w:fill="auto"/>
                          <w:vAlign w:val="center"/>
                          <w:hideMark/>
                        </w:tcPr>
                        <w:p>
                          <w:pPr>
                            <w:rPr>
                              <w:color w:val="000000"/>
                              <w:sz w:val="20"/>
                              <w:lang w:eastAsia="lt-LT"/>
                            </w:rPr>
                          </w:pPr>
                          <w:r>
                            <w:rPr>
                              <w:color w:val="000000"/>
                              <w:sz w:val="20"/>
                              <w:lang w:eastAsia="lt-LT"/>
                            </w:rPr>
                            <w:t>Miesto patrauklumo gyventi vertinimas</w:t>
                          </w:r>
                        </w:p>
                      </w:tc>
                      <w:tc>
                        <w:tcPr>
                          <w:tcW w:w="1341" w:type="dxa"/>
                          <w:shd w:val="clear" w:color="auto" w:fill="auto"/>
                          <w:vAlign w:val="center"/>
                          <w:hideMark/>
                        </w:tcPr>
                        <w:p>
                          <w:pPr>
                            <w:jc w:val="center"/>
                            <w:rPr>
                              <w:color w:val="000000"/>
                              <w:sz w:val="20"/>
                              <w:lang w:eastAsia="lt-LT"/>
                            </w:rPr>
                          </w:pPr>
                          <w:r>
                            <w:rPr>
                              <w:color w:val="000000"/>
                              <w:sz w:val="20"/>
                              <w:lang w:eastAsia="lt-LT"/>
                            </w:rPr>
                            <w:t>balas</w:t>
                          </w:r>
                        </w:p>
                      </w:tc>
                      <w:tc>
                        <w:tcPr>
                          <w:tcW w:w="2114" w:type="dxa"/>
                          <w:shd w:val="clear" w:color="auto" w:fill="auto"/>
                          <w:vAlign w:val="center"/>
                          <w:hideMark/>
                        </w:tcPr>
                        <w:p>
                          <w:pPr>
                            <w:jc w:val="center"/>
                            <w:rPr>
                              <w:color w:val="000000"/>
                              <w:sz w:val="20"/>
                              <w:lang w:eastAsia="lt-LT"/>
                            </w:rPr>
                          </w:pPr>
                          <w:r>
                            <w:rPr>
                              <w:color w:val="000000"/>
                              <w:sz w:val="20"/>
                              <w:lang w:eastAsia="lt-LT"/>
                            </w:rPr>
                            <w:t>7,7 (2023) </w:t>
                          </w:r>
                        </w:p>
                      </w:tc>
                      <w:tc>
                        <w:tcPr>
                          <w:tcW w:w="1551" w:type="dxa"/>
                          <w:shd w:val="clear" w:color="auto" w:fill="ABDDB0"/>
                          <w:vAlign w:val="center"/>
                          <w:hideMark/>
                        </w:tcPr>
                        <w:p>
                          <w:pPr>
                            <w:jc w:val="center"/>
                            <w:rPr>
                              <w:color w:val="000000"/>
                              <w:sz w:val="20"/>
                              <w:lang w:eastAsia="lt-LT"/>
                            </w:rPr>
                          </w:pPr>
                          <w:r>
                            <w:rPr>
                              <w:color w:val="000000"/>
                              <w:sz w:val="20"/>
                              <w:lang w:eastAsia="lt-LT"/>
                            </w:rPr>
                            <w:t>8,2</w:t>
                          </w:r>
                        </w:p>
                      </w:tc>
                    </w:tr>
                    <w:tr>
                      <w:trPr>
                        <w:trHeight w:val="258"/>
                        <w:jc w:val="center"/>
                      </w:trPr>
                      <w:tc>
                        <w:tcPr>
                          <w:tcW w:w="4524" w:type="dxa"/>
                          <w:shd w:val="clear" w:color="auto" w:fill="auto"/>
                          <w:vAlign w:val="center"/>
                          <w:hideMark/>
                        </w:tcPr>
                        <w:p>
                          <w:pPr>
                            <w:rPr>
                              <w:color w:val="000000"/>
                              <w:sz w:val="20"/>
                              <w:lang w:eastAsia="lt-LT"/>
                            </w:rPr>
                          </w:pPr>
                          <w:r>
                            <w:rPr>
                              <w:color w:val="000000"/>
                              <w:sz w:val="20"/>
                              <w:lang w:eastAsia="lt-LT"/>
                            </w:rPr>
                            <w:t>Gyventojų pasitenkinimas Savivaldybės darbu</w:t>
                          </w:r>
                        </w:p>
                      </w:tc>
                      <w:tc>
                        <w:tcPr>
                          <w:tcW w:w="1341" w:type="dxa"/>
                          <w:shd w:val="clear" w:color="auto" w:fill="auto"/>
                          <w:vAlign w:val="center"/>
                          <w:hideMark/>
                        </w:tcPr>
                        <w:p>
                          <w:pPr>
                            <w:jc w:val="center"/>
                            <w:rPr>
                              <w:color w:val="000000"/>
                              <w:sz w:val="20"/>
                              <w:lang w:eastAsia="lt-LT"/>
                            </w:rPr>
                          </w:pPr>
                          <w:r>
                            <w:rPr>
                              <w:color w:val="000000"/>
                              <w:sz w:val="20"/>
                              <w:lang w:eastAsia="lt-LT"/>
                            </w:rPr>
                            <w:t>balas</w:t>
                          </w:r>
                        </w:p>
                      </w:tc>
                      <w:tc>
                        <w:tcPr>
                          <w:tcW w:w="2114" w:type="dxa"/>
                          <w:shd w:val="clear" w:color="auto" w:fill="auto"/>
                          <w:vAlign w:val="center"/>
                          <w:hideMark/>
                        </w:tcPr>
                        <w:p>
                          <w:pPr>
                            <w:jc w:val="center"/>
                            <w:rPr>
                              <w:color w:val="000000"/>
                              <w:sz w:val="20"/>
                              <w:lang w:eastAsia="lt-LT"/>
                            </w:rPr>
                          </w:pPr>
                          <w:r>
                            <w:rPr>
                              <w:color w:val="000000"/>
                              <w:sz w:val="20"/>
                              <w:lang w:eastAsia="lt-LT"/>
                            </w:rPr>
                            <w:t>7,1 (2023) </w:t>
                          </w:r>
                        </w:p>
                      </w:tc>
                      <w:tc>
                        <w:tcPr>
                          <w:tcW w:w="1551" w:type="dxa"/>
                          <w:shd w:val="clear" w:color="auto" w:fill="ABDDB0"/>
                          <w:vAlign w:val="center"/>
                          <w:hideMark/>
                        </w:tcPr>
                        <w:p>
                          <w:pPr>
                            <w:jc w:val="center"/>
                            <w:rPr>
                              <w:color w:val="000000"/>
                              <w:sz w:val="20"/>
                              <w:lang w:eastAsia="lt-LT"/>
                            </w:rPr>
                          </w:pPr>
                          <w:r>
                            <w:rPr>
                              <w:color w:val="000000"/>
                              <w:sz w:val="20"/>
                              <w:lang w:eastAsia="lt-LT"/>
                            </w:rPr>
                            <w:t>8,4</w:t>
                          </w:r>
                        </w:p>
                      </w:tc>
                    </w:tr>
                  </w:tbl>
                  <w:p>
                    <w:pPr>
                      <w:jc w:val="both"/>
                      <w:rPr>
                        <w:rFonts w:eastAsia="Calibri"/>
                        <w:bCs/>
                        <w:i/>
                        <w:color w:val="808080"/>
                        <w:sz w:val="22"/>
                        <w:szCs w:val="24"/>
                      </w:rPr>
                    </w:pPr>
                  </w:p>
                </w:tc>
              </w:tr>
            </w:tbl>
            <w:p/>
            <w:p>
              <w:pPr>
                <w:rPr>
                  <w:sz w:val="10"/>
                  <w:szCs w:val="10"/>
                </w:rPr>
              </w:pPr>
            </w:p>
          </w:sdtContent>
        </w:sdt>
        <w:sdt>
          <w:sdtPr>
            <w:alias w:val="skyrius"/>
            <w:tag w:val="part_c487f833e22446fb82b58aaea9026f8c"/>
            <w:lock w:val="sdtLocked"/>
            <w:richText/>
          </w:sdtPr>
          <w:sdtContent>
            <w:p>
              <w:pPr>
                <w:jc w:val="center"/>
                <w:rPr>
                  <w:b/>
                  <w:color w:val="000000"/>
                  <w:szCs w:val="24"/>
                </w:rPr>
              </w:pPr>
              <w:sdt>
                <w:sdtPr>
                  <w:alias w:val="Numeris"/>
                  <w:tag w:val="nr_c487f833e22446fb82b58aaea9026f8c"/>
                  <w:lock w:val="sdtLocked"/>
                  <w:richText/>
                </w:sdtPr>
                <w:sdtContent>
                  <w:r>
                    <w:rPr>
                      <w:b/>
                      <w:color w:val="000000"/>
                      <w:szCs w:val="24"/>
                    </w:rPr>
                    <w:t>IV</w:t>
                  </w:r>
                </w:sdtContent>
              </w:sdt>
              <w:r>
                <w:rPr>
                  <w:b/>
                  <w:color w:val="000000"/>
                  <w:szCs w:val="24"/>
                </w:rPr>
                <w:t xml:space="preserve"> SKYRIUS</w:t>
              </w:r>
            </w:p>
            <w:p>
              <w:pPr>
                <w:jc w:val="center"/>
                <w:rPr>
                  <w:b/>
                  <w:color w:val="000000"/>
                  <w:szCs w:val="24"/>
                </w:rPr>
              </w:pPr>
              <w:sdt>
                <w:sdtPr>
                  <w:alias w:val="Pavadinimas"/>
                  <w:tag w:val="title_c487f833e22446fb82b58aaea9026f8c"/>
                  <w:lock w:val="sdtLocked"/>
                  <w:richText/>
                </w:sdtPr>
                <w:sdtContent>
                  <w:r>
                    <w:rPr>
                      <w:b/>
                      <w:color w:val="000000"/>
                      <w:szCs w:val="24"/>
                    </w:rPr>
                    <w:t>SAVIVALDYBĖS PLĖTROS TIKSLAI IR UŽDAVINIAI</w:t>
                  </w:r>
                </w:sdtContent>
              </w:sdt>
            </w:p>
            <w:p>
              <w:pPr>
                <w:rPr>
                  <w:sz w:val="10"/>
                  <w:szCs w:val="10"/>
                </w:rPr>
              </w:pPr>
            </w:p>
            <w:p>
              <w:pPr>
                <w:jc w:val="center"/>
                <w:rPr>
                  <w:b/>
                  <w:color w:val="000000"/>
                  <w:szCs w:val="24"/>
                </w:rPr>
              </w:pPr>
            </w:p>
            <w:p>
              <w:pPr>
                <w:rPr>
                  <w:sz w:val="10"/>
                  <w:szCs w:val="10"/>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trPr>
                  <w:trHeight w:val="573"/>
                </w:trPr>
                <w:tc>
                  <w:tcPr>
                    <w:tcW w:w="9640"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both"/>
                      <w:rPr>
                        <w:rFonts w:eastAsia="Calibri"/>
                        <w:b/>
                        <w:sz w:val="22"/>
                        <w:szCs w:val="24"/>
                      </w:rPr>
                    </w:pPr>
                    <w:r>
                      <w:rPr>
                        <w:rFonts w:eastAsia="Calibri"/>
                        <w:b/>
                        <w:sz w:val="22"/>
                        <w:szCs w:val="24"/>
                      </w:rPr>
                      <w:t>Savivaldybės plėtros tikslai ir poveikio rodikliai</w:t>
                    </w:r>
                  </w:p>
                  <w:p>
                    <w:pPr>
                      <w:rPr>
                        <w:sz w:val="10"/>
                        <w:szCs w:val="10"/>
                      </w:rPr>
                    </w:pPr>
                  </w:p>
                  <w:p>
                    <w:pPr>
                      <w:jc w:val="both"/>
                      <w:rPr>
                        <w:rFonts w:eastAsia="Calibri"/>
                        <w:bCs/>
                        <w:sz w:val="22"/>
                        <w:szCs w:val="24"/>
                      </w:rPr>
                    </w:pPr>
                    <w:r>
                      <w:rPr>
                        <w:rFonts w:eastAsia="Calibri"/>
                        <w:bCs/>
                        <w:sz w:val="22"/>
                        <w:szCs w:val="24"/>
                      </w:rPr>
                      <w:t>ŠSPP sudaro 9 plėtros tikslai, kurių kiekvienas turi numatytus poveikio rodiklius. Žemiau pateikiami plėtros tikslai ir jų poveikio rodikliai:</w:t>
                    </w:r>
                  </w:p>
                  <w:p>
                    <w:pPr>
                      <w:rPr>
                        <w:sz w:val="10"/>
                        <w:szCs w:val="10"/>
                      </w:rPr>
                    </w:pPr>
                  </w:p>
                  <w:p>
                    <w:pPr>
                      <w:jc w:val="both"/>
                      <w:rPr>
                        <w:rFonts w:eastAsia="Calibri"/>
                        <w:b/>
                        <w:sz w:val="22"/>
                        <w:szCs w:val="24"/>
                      </w:rPr>
                    </w:pPr>
                    <w:r>
                      <w:rPr>
                        <w:rFonts w:eastAsia="Calibri"/>
                        <w:b/>
                        <w:sz w:val="22"/>
                        <w:szCs w:val="24"/>
                      </w:rPr>
                      <w:t>11. Užtikrinti pažangų, efektyvų ir įtraukų Savivaldybės darbą</w:t>
                    </w:r>
                  </w:p>
                  <w:p>
                    <w:pPr>
                      <w:rPr>
                        <w:sz w:val="10"/>
                        <w:szCs w:val="10"/>
                      </w:rPr>
                    </w:pPr>
                  </w:p>
                  <w:p>
                    <w:pPr>
                      <w:ind w:left="720" w:hanging="360"/>
                      <w:jc w:val="both"/>
                      <w:rPr>
                        <w:rFonts w:eastAsia="Calibri"/>
                        <w:bCs/>
                        <w:sz w:val="22"/>
                        <w:szCs w:val="24"/>
                      </w:rPr>
                    </w:pPr>
                    <w:r>
                      <w:rPr>
                        <w:rFonts w:ascii="Arial" w:eastAsia="Calibri" w:hAnsi="Arial"/>
                        <w:bCs/>
                        <w:color w:val="FDB515"/>
                        <w:sz w:val="22"/>
                        <w:szCs w:val="24"/>
                      </w:rPr>
                      <w:t>►</w:t>
                      <w:tab/>
                    </w:r>
                    <w:r>
                      <w:rPr>
                        <w:rFonts w:eastAsia="Calibri"/>
                        <w:bCs/>
                        <w:sz w:val="22"/>
                        <w:szCs w:val="24"/>
                      </w:rPr>
                      <w:t>P-11-01 Gyventojų pasitenkinimas savivaldybės administracijos darbu (proc.)</w:t>
                    </w:r>
                  </w:p>
                  <w:p>
                    <w:pPr>
                      <w:ind w:left="720" w:hanging="360"/>
                      <w:jc w:val="both"/>
                      <w:rPr>
                        <w:rFonts w:eastAsia="Calibri"/>
                        <w:bCs/>
                        <w:sz w:val="22"/>
                        <w:szCs w:val="24"/>
                      </w:rPr>
                    </w:pPr>
                    <w:r>
                      <w:rPr>
                        <w:rFonts w:ascii="Arial" w:eastAsia="Calibri" w:hAnsi="Arial"/>
                        <w:bCs/>
                        <w:color w:val="FDB515"/>
                        <w:sz w:val="22"/>
                        <w:szCs w:val="24"/>
                      </w:rPr>
                      <w:t>►</w:t>
                      <w:tab/>
                    </w:r>
                    <w:r>
                      <w:rPr>
                        <w:rFonts w:eastAsia="Calibri"/>
                        <w:bCs/>
                        <w:sz w:val="22"/>
                        <w:szCs w:val="24"/>
                      </w:rPr>
                      <w:t>P-11-02 El. būdu teikiamų paslaugų dalis nuo visų galimų teikti el. būdu paslaugų (proc.)</w:t>
                    </w:r>
                  </w:p>
                  <w:p>
                    <w:pPr>
                      <w:ind w:left="720" w:hanging="360"/>
                      <w:jc w:val="both"/>
                      <w:rPr>
                        <w:rFonts w:eastAsia="Calibri"/>
                        <w:bCs/>
                        <w:sz w:val="22"/>
                        <w:szCs w:val="24"/>
                      </w:rPr>
                    </w:pPr>
                    <w:r>
                      <w:rPr>
                        <w:rFonts w:ascii="Arial" w:eastAsia="Calibri" w:hAnsi="Arial"/>
                        <w:bCs/>
                        <w:color w:val="FDB515"/>
                        <w:sz w:val="22"/>
                        <w:szCs w:val="24"/>
                      </w:rPr>
                      <w:t>►</w:t>
                      <w:tab/>
                    </w:r>
                    <w:r>
                      <w:rPr>
                        <w:rFonts w:eastAsia="Calibri"/>
                        <w:bCs/>
                        <w:sz w:val="22"/>
                        <w:szCs w:val="24"/>
                      </w:rPr>
                      <w:t>P-11-03 Patvirtintų pareigybių skaičius savivaldybės administracijoje, tenkantis 1 tūkst. nuolatinių gyventojų (asm.)</w:t>
                    </w:r>
                  </w:p>
                  <w:p>
                    <w:pPr>
                      <w:ind w:left="720" w:hanging="360"/>
                      <w:jc w:val="both"/>
                      <w:rPr>
                        <w:rFonts w:eastAsia="Calibri"/>
                        <w:bCs/>
                        <w:sz w:val="22"/>
                        <w:szCs w:val="24"/>
                      </w:rPr>
                    </w:pPr>
                    <w:r>
                      <w:rPr>
                        <w:rFonts w:ascii="Arial" w:eastAsia="Calibri" w:hAnsi="Arial"/>
                        <w:bCs/>
                        <w:color w:val="FDB515"/>
                        <w:sz w:val="22"/>
                        <w:szCs w:val="24"/>
                      </w:rPr>
                      <w:t>►</w:t>
                      <w:tab/>
                    </w:r>
                    <w:r>
                      <w:rPr>
                        <w:rFonts w:eastAsia="Calibri"/>
                        <w:bCs/>
                        <w:sz w:val="22"/>
                        <w:szCs w:val="24"/>
                      </w:rPr>
                      <w:t>P-11-04</w:t>
                      <w:tab/>
                      <w:t xml:space="preserve"> Savivaldybės biudžetas, tenkantis vienam Šiaulių miesto gyventojui (Eur)</w:t>
                    </w:r>
                  </w:p>
                  <w:p>
                    <w:pPr>
                      <w:rPr>
                        <w:sz w:val="10"/>
                        <w:szCs w:val="10"/>
                      </w:rPr>
                    </w:pPr>
                  </w:p>
                  <w:p>
                    <w:pPr>
                      <w:jc w:val="both"/>
                      <w:rPr>
                        <w:rFonts w:eastAsia="Calibri"/>
                        <w:b/>
                        <w:iCs/>
                        <w:sz w:val="22"/>
                        <w:szCs w:val="24"/>
                      </w:rPr>
                    </w:pPr>
                    <w:r>
                      <w:rPr>
                        <w:rFonts w:eastAsia="Calibri"/>
                        <w:b/>
                        <w:iCs/>
                        <w:sz w:val="22"/>
                        <w:szCs w:val="24"/>
                      </w:rPr>
                      <w:t>12. Užtikrinti įtraukias, konkurencingas kultūrines paslaugas ir jų prieinamumą</w:t>
                    </w:r>
                  </w:p>
                  <w:p>
                    <w:pPr>
                      <w:rPr>
                        <w:sz w:val="10"/>
                        <w:szCs w:val="10"/>
                      </w:rPr>
                    </w:pPr>
                  </w:p>
                  <w:p>
                    <w:pPr>
                      <w:ind w:left="720" w:hanging="360"/>
                      <w:jc w:val="both"/>
                      <w:rPr>
                        <w:rFonts w:eastAsia="Calibri"/>
                        <w:bCs/>
                        <w:iCs/>
                        <w:color w:val="808080"/>
                        <w:sz w:val="22"/>
                        <w:szCs w:val="24"/>
                      </w:rPr>
                    </w:pPr>
                    <w:r>
                      <w:rPr>
                        <w:rFonts w:ascii="Arial" w:eastAsia="Calibri" w:hAnsi="Arial"/>
                        <w:bCs/>
                        <w:iCs/>
                        <w:color w:val="FDB515"/>
                        <w:sz w:val="22"/>
                        <w:szCs w:val="24"/>
                      </w:rPr>
                      <w:t>►</w:t>
                      <w:tab/>
                    </w:r>
                    <w:r>
                      <w:rPr>
                        <w:rFonts w:eastAsia="Calibri"/>
                        <w:bCs/>
                        <w:iCs/>
                        <w:sz w:val="22"/>
                        <w:szCs w:val="24"/>
                      </w:rPr>
                      <w:t>P-12-01 Gyventojų pasitenkinimas kultūros paslaugomis (balas)</w:t>
                    </w:r>
                  </w:p>
                  <w:p>
                    <w:pPr>
                      <w:rPr>
                        <w:sz w:val="10"/>
                        <w:szCs w:val="10"/>
                      </w:rPr>
                    </w:pPr>
                  </w:p>
                  <w:p>
                    <w:pPr>
                      <w:jc w:val="both"/>
                      <w:rPr>
                        <w:rFonts w:eastAsia="Calibri"/>
                        <w:b/>
                        <w:iCs/>
                        <w:sz w:val="22"/>
                        <w:szCs w:val="24"/>
                      </w:rPr>
                    </w:pPr>
                    <w:r>
                      <w:rPr>
                        <w:rFonts w:eastAsia="Calibri"/>
                        <w:b/>
                        <w:iCs/>
                        <w:sz w:val="22"/>
                        <w:szCs w:val="24"/>
                      </w:rPr>
                      <w:t>13. Pagerinti aplinkos kokybę mieste, užtikrinant poveikio klimatui neutralumą</w:t>
                    </w:r>
                  </w:p>
                  <w:p>
                    <w:pPr>
                      <w:rPr>
                        <w:sz w:val="10"/>
                        <w:szCs w:val="10"/>
                      </w:rPr>
                    </w:pPr>
                  </w:p>
                  <w:p>
                    <w:pPr>
                      <w:ind w:left="720" w:hanging="360"/>
                      <w:jc w:val="both"/>
                      <w:rPr>
                        <w:rFonts w:eastAsia="Calibri"/>
                        <w:bCs/>
                        <w:iCs/>
                        <w:color w:val="808080"/>
                        <w:sz w:val="22"/>
                        <w:szCs w:val="24"/>
                      </w:rPr>
                    </w:pPr>
                    <w:r>
                      <w:rPr>
                        <w:rFonts w:ascii="Arial" w:eastAsia="Calibri" w:hAnsi="Arial"/>
                        <w:bCs/>
                        <w:iCs/>
                        <w:color w:val="FDB515"/>
                        <w:sz w:val="22"/>
                        <w:szCs w:val="24"/>
                      </w:rPr>
                      <w:t>►</w:t>
                      <w:tab/>
                    </w:r>
                    <w:r>
                      <w:rPr>
                        <w:rFonts w:eastAsia="Calibri"/>
                        <w:bCs/>
                        <w:iCs/>
                        <w:sz w:val="22"/>
                        <w:szCs w:val="24"/>
                      </w:rPr>
                      <w:t>P-13-01</w:t>
                      <w:tab/>
                      <w:t>Savivaldybės darnios energetikos plėtros indeksas (balas)</w:t>
                    </w:r>
                  </w:p>
                  <w:p>
                    <w:pPr>
                      <w:rPr>
                        <w:sz w:val="10"/>
                        <w:szCs w:val="10"/>
                      </w:rPr>
                    </w:pPr>
                  </w:p>
                  <w:p>
                    <w:pPr>
                      <w:jc w:val="both"/>
                      <w:rPr>
                        <w:rFonts w:eastAsia="Calibri"/>
                        <w:b/>
                        <w:iCs/>
                        <w:sz w:val="22"/>
                        <w:szCs w:val="24"/>
                      </w:rPr>
                    </w:pPr>
                    <w:r>
                      <w:rPr>
                        <w:rFonts w:eastAsia="Calibri"/>
                        <w:b/>
                        <w:iCs/>
                        <w:sz w:val="22"/>
                        <w:szCs w:val="24"/>
                      </w:rPr>
                      <w:t>14. Formuoti gyvybingą, tvarią ir darniai sujungtą miesto struktūrą</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P-14-01 Miesto driekos indeksas (balas)</w:t>
                    </w:r>
                  </w:p>
                  <w:p>
                    <w:pPr>
                      <w:ind w:left="720" w:hanging="360"/>
                      <w:jc w:val="both"/>
                      <w:rPr>
                        <w:rFonts w:eastAsia="Calibri"/>
                        <w:b/>
                        <w:iCs/>
                        <w:color w:val="808080"/>
                        <w:sz w:val="22"/>
                        <w:szCs w:val="24"/>
                      </w:rPr>
                    </w:pPr>
                    <w:r>
                      <w:rPr>
                        <w:rFonts w:ascii="Arial" w:eastAsia="Calibri" w:hAnsi="Arial"/>
                        <w:iCs/>
                        <w:color w:val="FDB515"/>
                        <w:sz w:val="22"/>
                        <w:szCs w:val="24"/>
                      </w:rPr>
                      <w:t>►</w:t>
                      <w:tab/>
                    </w:r>
                    <w:r>
                      <w:rPr>
                        <w:rFonts w:eastAsia="Calibri"/>
                        <w:bCs/>
                        <w:iCs/>
                        <w:sz w:val="22"/>
                        <w:szCs w:val="24"/>
                      </w:rPr>
                      <w:t>P-14-02 Miesto patrauklumo gyventi vertinimas (balas)</w:t>
                    </w:r>
                  </w:p>
                  <w:p>
                    <w:pPr>
                      <w:rPr>
                        <w:sz w:val="10"/>
                        <w:szCs w:val="10"/>
                      </w:rPr>
                    </w:pPr>
                  </w:p>
                  <w:p>
                    <w:pPr>
                      <w:jc w:val="both"/>
                      <w:rPr>
                        <w:rFonts w:eastAsia="Calibri"/>
                        <w:b/>
                        <w:iCs/>
                        <w:sz w:val="22"/>
                        <w:szCs w:val="24"/>
                      </w:rPr>
                    </w:pPr>
                    <w:r>
                      <w:rPr>
                        <w:rFonts w:eastAsia="Calibri"/>
                        <w:b/>
                        <w:iCs/>
                        <w:sz w:val="22"/>
                        <w:szCs w:val="24"/>
                      </w:rPr>
                      <w:t>15. Skatinti miesto ekonominę plėtrą, sudarant palankias sąlygas verslo, turizmo ir laisvalaikio vystymuisi</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P-15-01 Vidutinis mėnesinis bruto darbo užmokestis (santykis su LT vidurkiu) (Eur)</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 xml:space="preserve">P-15-02 Materialinės investicijos, tenkančios 1 gyventojui (santykis su didžiųjų miestų vidurkiu)  (Eur) </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P-15-03 Nakvynių ir turistų skaičius apgyvendinimo įstaigose (tūkst. vnt. / asm.)</w:t>
                    </w:r>
                  </w:p>
                  <w:p>
                    <w:pPr>
                      <w:ind w:left="720" w:hanging="360"/>
                      <w:jc w:val="both"/>
                      <w:rPr>
                        <w:rFonts w:eastAsia="Calibri"/>
                        <w:bCs/>
                        <w:iCs/>
                        <w:color w:val="808080"/>
                        <w:sz w:val="22"/>
                        <w:szCs w:val="24"/>
                      </w:rPr>
                    </w:pPr>
                    <w:r>
                      <w:rPr>
                        <w:rFonts w:ascii="Arial" w:eastAsia="Calibri" w:hAnsi="Arial"/>
                        <w:bCs/>
                        <w:iCs/>
                        <w:color w:val="FDB515"/>
                        <w:sz w:val="22"/>
                        <w:szCs w:val="24"/>
                      </w:rPr>
                      <w:t>►</w:t>
                      <w:tab/>
                    </w:r>
                    <w:r>
                      <w:rPr>
                        <w:rFonts w:eastAsia="Calibri"/>
                        <w:bCs/>
                        <w:iCs/>
                        <w:sz w:val="22"/>
                        <w:szCs w:val="24"/>
                      </w:rPr>
                      <w:t>P-15-04 Vietos ir užsienio turistų pasitenkinimo lygis (proc.)</w:t>
                    </w:r>
                  </w:p>
                  <w:p>
                    <w:pPr>
                      <w:rPr>
                        <w:sz w:val="10"/>
                        <w:szCs w:val="10"/>
                      </w:rPr>
                    </w:pPr>
                  </w:p>
                  <w:p>
                    <w:pPr>
                      <w:jc w:val="both"/>
                      <w:rPr>
                        <w:rFonts w:eastAsia="Calibri"/>
                        <w:b/>
                        <w:iCs/>
                        <w:sz w:val="22"/>
                        <w:szCs w:val="24"/>
                      </w:rPr>
                    </w:pPr>
                    <w:r>
                      <w:rPr>
                        <w:rFonts w:eastAsia="Calibri"/>
                        <w:b/>
                        <w:iCs/>
                        <w:sz w:val="22"/>
                        <w:szCs w:val="24"/>
                      </w:rPr>
                      <w:t>16. Užtikrinti socialinės apsaugos sistemą, mažinančią socialinę atskirtį ir didinančią socialinę integraciją</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P-16-01 Socialinių paslaugų gavėjų dalis (proc.)</w:t>
                    </w:r>
                  </w:p>
                  <w:p>
                    <w:pPr>
                      <w:ind w:left="720" w:hanging="360"/>
                      <w:jc w:val="both"/>
                      <w:rPr>
                        <w:rFonts w:eastAsia="Calibri"/>
                        <w:bCs/>
                        <w:iCs/>
                        <w:color w:val="808080"/>
                        <w:sz w:val="22"/>
                        <w:szCs w:val="24"/>
                      </w:rPr>
                    </w:pPr>
                    <w:r>
                      <w:rPr>
                        <w:rFonts w:ascii="Arial" w:eastAsia="Calibri" w:hAnsi="Arial"/>
                        <w:bCs/>
                        <w:iCs/>
                        <w:color w:val="FDB515"/>
                        <w:sz w:val="22"/>
                        <w:szCs w:val="24"/>
                      </w:rPr>
                      <w:t>►</w:t>
                      <w:tab/>
                    </w:r>
                    <w:r>
                      <w:rPr>
                        <w:rFonts w:eastAsia="Calibri"/>
                        <w:bCs/>
                        <w:iCs/>
                        <w:sz w:val="22"/>
                        <w:szCs w:val="24"/>
                      </w:rPr>
                      <w:t>P-16-02 Socialinio saugumo indeksas (balas)</w:t>
                    </w:r>
                  </w:p>
                  <w:p>
                    <w:pPr>
                      <w:ind w:left="720" w:hanging="360"/>
                      <w:jc w:val="both"/>
                      <w:rPr>
                        <w:rFonts w:eastAsia="Calibri"/>
                        <w:bCs/>
                        <w:iCs/>
                        <w:color w:val="808080"/>
                        <w:sz w:val="22"/>
                        <w:szCs w:val="24"/>
                      </w:rPr>
                    </w:pPr>
                    <w:r>
                      <w:rPr>
                        <w:rFonts w:ascii="Arial" w:eastAsia="Calibri" w:hAnsi="Arial"/>
                        <w:bCs/>
                        <w:iCs/>
                        <w:color w:val="FDB515"/>
                        <w:sz w:val="22"/>
                        <w:szCs w:val="24"/>
                      </w:rPr>
                      <w:t>►</w:t>
                      <w:tab/>
                    </w:r>
                    <w:r>
                      <w:rPr>
                        <w:rFonts w:eastAsia="Calibri"/>
                        <w:bCs/>
                        <w:iCs/>
                        <w:sz w:val="22"/>
                        <w:szCs w:val="24"/>
                      </w:rPr>
                      <w:t>P-16-03 Demografinės senatvės koeficientas (asm.)</w:t>
                    </w:r>
                  </w:p>
                  <w:p>
                    <w:pPr>
                      <w:rPr>
                        <w:sz w:val="10"/>
                        <w:szCs w:val="10"/>
                      </w:rPr>
                    </w:pPr>
                  </w:p>
                  <w:p>
                    <w:pPr>
                      <w:jc w:val="both"/>
                      <w:rPr>
                        <w:rFonts w:eastAsia="Calibri"/>
                        <w:b/>
                        <w:iCs/>
                        <w:sz w:val="22"/>
                        <w:szCs w:val="24"/>
                      </w:rPr>
                    </w:pPr>
                    <w:r>
                      <w:rPr>
                        <w:rFonts w:eastAsia="Calibri"/>
                        <w:b/>
                        <w:iCs/>
                        <w:sz w:val="22"/>
                        <w:szCs w:val="24"/>
                      </w:rPr>
                      <w:t>17. Ugdyti fiziškai aktyvią ir sportuojančią bendruomenę</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P-17-01 Sporto varžybų ir sveikatingumo renginių dalyvių skaičius (tūkst. asm.)</w:t>
                    </w:r>
                  </w:p>
                  <w:p>
                    <w:pPr>
                      <w:ind w:left="720" w:hanging="360"/>
                      <w:jc w:val="both"/>
                      <w:rPr>
                        <w:rFonts w:eastAsia="Calibri"/>
                        <w:bCs/>
                        <w:iCs/>
                        <w:color w:val="808080"/>
                        <w:sz w:val="22"/>
                        <w:szCs w:val="24"/>
                      </w:rPr>
                    </w:pPr>
                    <w:r>
                      <w:rPr>
                        <w:rFonts w:ascii="Arial" w:eastAsia="Calibri" w:hAnsi="Arial"/>
                        <w:bCs/>
                        <w:iCs/>
                        <w:color w:val="FDB515"/>
                        <w:sz w:val="22"/>
                        <w:szCs w:val="24"/>
                      </w:rPr>
                      <w:t>►</w:t>
                      <w:tab/>
                    </w:r>
                    <w:r>
                      <w:rPr>
                        <w:rFonts w:eastAsia="Calibri"/>
                        <w:bCs/>
                        <w:iCs/>
                        <w:sz w:val="22"/>
                        <w:szCs w:val="24"/>
                      </w:rPr>
                      <w:t>P-17-02</w:t>
                      <w:tab/>
                      <w:t xml:space="preserve"> Vasaros olimpinių žaidynių / paralimpinių žaidynių dalyvių skaičius  (asm.)</w:t>
                    </w:r>
                  </w:p>
                  <w:p>
                    <w:pPr>
                      <w:rPr>
                        <w:sz w:val="10"/>
                        <w:szCs w:val="10"/>
                      </w:rPr>
                    </w:pPr>
                  </w:p>
                  <w:p>
                    <w:pPr>
                      <w:jc w:val="both"/>
                      <w:rPr>
                        <w:rFonts w:eastAsia="Calibri"/>
                        <w:b/>
                        <w:iCs/>
                        <w:sz w:val="22"/>
                        <w:szCs w:val="24"/>
                      </w:rPr>
                    </w:pPr>
                    <w:r>
                      <w:rPr>
                        <w:rFonts w:eastAsia="Calibri"/>
                        <w:b/>
                        <w:iCs/>
                        <w:sz w:val="22"/>
                        <w:szCs w:val="24"/>
                      </w:rPr>
                      <w:t>18. Užtikrinti įtraukias, kokybiškas, prieinamas švietimo paslaugas ir didinti galimybes jaunimui</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P-18-01</w:t>
                      <w:tab/>
                      <w:t xml:space="preserve"> Vaikų ir jaunimo (0–29 m. amžiaus) dalis nuo bendro gyventojų skaičiaus (proc.) </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P-18-02</w:t>
                      <w:tab/>
                      <w:t xml:space="preserve"> Vaikų, dalyvaujančių ikimokykliniame ugdyme 3–5 metų, dalis nuo vaikų (3–5 m.)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P-18-03</w:t>
                      <w:tab/>
                      <w:t xml:space="preserve"> Mokyklinio amžiaus vaikų, nesimokančių mokyklose, skaičius, tenkantis 1000 gyv. (asm. / 1000 gyv.)</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P-18-04</w:t>
                      <w:tab/>
                      <w:t xml:space="preserve"> Neformaliojo švietimo veiklose dalyvaujančių mokinių dalis Šiaulių miesto savivaldybės mokyklose nuo visų mokinių (proc.)</w:t>
                    </w:r>
                  </w:p>
                  <w:p>
                    <w:pPr>
                      <w:ind w:left="720" w:hanging="360"/>
                      <w:jc w:val="both"/>
                      <w:rPr>
                        <w:rFonts w:eastAsia="Calibri"/>
                        <w:bCs/>
                        <w:iCs/>
                        <w:color w:val="808080"/>
                        <w:sz w:val="22"/>
                        <w:szCs w:val="24"/>
                      </w:rPr>
                    </w:pPr>
                    <w:r>
                      <w:rPr>
                        <w:rFonts w:ascii="Arial" w:eastAsia="Calibri" w:hAnsi="Arial"/>
                        <w:bCs/>
                        <w:iCs/>
                        <w:color w:val="FDB515"/>
                        <w:sz w:val="22"/>
                        <w:szCs w:val="24"/>
                      </w:rPr>
                      <w:t>►</w:t>
                      <w:tab/>
                    </w:r>
                    <w:r>
                      <w:rPr>
                        <w:rFonts w:eastAsia="Calibri"/>
                        <w:bCs/>
                        <w:iCs/>
                        <w:sz w:val="22"/>
                        <w:szCs w:val="24"/>
                      </w:rPr>
                      <w:t>P-18-05</w:t>
                      <w:tab/>
                      <w:t xml:space="preserve"> Studijuojančiųjų ir besimokančiųjų (profesinis) dalis nuo nuolatinių gyventojų skaičiaus (proc.)</w:t>
                    </w:r>
                  </w:p>
                  <w:p>
                    <w:pPr>
                      <w:rPr>
                        <w:sz w:val="10"/>
                        <w:szCs w:val="10"/>
                      </w:rPr>
                    </w:pPr>
                  </w:p>
                  <w:p>
                    <w:pPr>
                      <w:jc w:val="both"/>
                      <w:rPr>
                        <w:rFonts w:eastAsia="Calibri"/>
                        <w:b/>
                        <w:iCs/>
                        <w:sz w:val="22"/>
                        <w:szCs w:val="24"/>
                      </w:rPr>
                    </w:pPr>
                    <w:r>
                      <w:rPr>
                        <w:rFonts w:eastAsia="Calibri"/>
                        <w:b/>
                        <w:iCs/>
                        <w:sz w:val="22"/>
                        <w:szCs w:val="24"/>
                      </w:rPr>
                      <w:t>19. Sudaryti palankias sąlygas miesto bendruomenei sveikatinti ir gerinti sveikatos priežiūros paslaugų kokybę ir prieinamumą</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P-19-01 Gyventojų pasitenkinimas sveikatos priežiūros centrų (poliklinikų, sveikatos biuro) paslaugomis (balas)</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P-19-02 Praktikuojančių sveikatos priežiūros specialistų skaičius, tenkantis 10 tūkst. gyventojų (asm.)</w:t>
                    </w:r>
                  </w:p>
                  <w:p>
                    <w:pPr>
                      <w:ind w:left="720" w:hanging="360"/>
                      <w:jc w:val="both"/>
                      <w:rPr>
                        <w:rFonts w:eastAsia="Calibri"/>
                        <w:bCs/>
                        <w:iCs/>
                        <w:color w:val="808080"/>
                        <w:sz w:val="22"/>
                        <w:szCs w:val="24"/>
                      </w:rPr>
                    </w:pPr>
                    <w:r>
                      <w:rPr>
                        <w:rFonts w:ascii="Arial" w:eastAsia="Calibri" w:hAnsi="Arial"/>
                        <w:bCs/>
                        <w:iCs/>
                        <w:color w:val="FDB515"/>
                        <w:sz w:val="22"/>
                        <w:szCs w:val="24"/>
                      </w:rPr>
                      <w:t>►</w:t>
                      <w:tab/>
                    </w:r>
                    <w:r>
                      <w:rPr>
                        <w:rFonts w:eastAsia="Calibri"/>
                        <w:bCs/>
                        <w:iCs/>
                        <w:sz w:val="22"/>
                        <w:szCs w:val="24"/>
                      </w:rPr>
                      <w:t>P-19-03 Vidutinė gyvenimo trukmė (m.)</w:t>
                    </w:r>
                  </w:p>
                  <w:p>
                    <w:pPr>
                      <w:rPr>
                        <w:sz w:val="10"/>
                        <w:szCs w:val="10"/>
                      </w:rPr>
                    </w:pPr>
                  </w:p>
                  <w:p>
                    <w:pPr>
                      <w:ind w:left="360"/>
                      <w:jc w:val="both"/>
                      <w:rPr>
                        <w:rFonts w:eastAsia="Calibri"/>
                        <w:bCs/>
                        <w:iCs/>
                        <w:color w:val="808080"/>
                        <w:sz w:val="22"/>
                        <w:szCs w:val="24"/>
                      </w:rPr>
                    </w:pPr>
                  </w:p>
                </w:tc>
              </w:tr>
              <w:tr>
                <w:trPr>
                  <w:trHeight w:val="573"/>
                </w:trPr>
                <w:tc>
                  <w:tcPr>
                    <w:tcW w:w="9640"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both"/>
                      <w:rPr>
                        <w:rFonts w:eastAsia="Calibri"/>
                        <w:b/>
                        <w:sz w:val="22"/>
                        <w:szCs w:val="24"/>
                      </w:rPr>
                    </w:pPr>
                    <w:r>
                      <w:rPr>
                        <w:rFonts w:eastAsia="Calibri"/>
                        <w:b/>
                        <w:sz w:val="22"/>
                        <w:szCs w:val="24"/>
                      </w:rPr>
                      <w:t>Savivaldybės plėtros uždaviniai ir rezultato rodikliai</w:t>
                    </w:r>
                  </w:p>
                  <w:p>
                    <w:pPr>
                      <w:rPr>
                        <w:sz w:val="10"/>
                        <w:szCs w:val="10"/>
                      </w:rPr>
                    </w:pPr>
                  </w:p>
                  <w:p>
                    <w:pPr>
                      <w:jc w:val="both"/>
                      <w:rPr>
                        <w:rFonts w:eastAsia="Calibri"/>
                        <w:bCs/>
                        <w:sz w:val="22"/>
                        <w:szCs w:val="24"/>
                      </w:rPr>
                    </w:pPr>
                    <w:r>
                      <w:rPr>
                        <w:rFonts w:eastAsia="Calibri"/>
                        <w:bCs/>
                        <w:sz w:val="22"/>
                        <w:szCs w:val="24"/>
                      </w:rPr>
                      <w:t>ŠSPP turi 21 plėtros uždavinį, kurių kiekvienas turi numatytus rezultato rodiklius. Žemiau pateikiami plėtros uždaviniai ir jų rezultato rodikliai:</w:t>
                    </w:r>
                  </w:p>
                  <w:p>
                    <w:pPr>
                      <w:rPr>
                        <w:sz w:val="10"/>
                        <w:szCs w:val="10"/>
                      </w:rPr>
                    </w:pPr>
                  </w:p>
                  <w:p>
                    <w:pPr>
                      <w:jc w:val="both"/>
                      <w:rPr>
                        <w:rFonts w:eastAsia="Calibri"/>
                        <w:b/>
                        <w:iCs/>
                        <w:sz w:val="22"/>
                        <w:szCs w:val="24"/>
                      </w:rPr>
                    </w:pPr>
                    <w:r>
                      <w:rPr>
                        <w:rFonts w:eastAsia="Calibri"/>
                        <w:b/>
                        <w:iCs/>
                        <w:sz w:val="22"/>
                        <w:szCs w:val="24"/>
                      </w:rPr>
                      <w:t>11-01 Gerinti veiklos valdymą ir efektyviai išnaudoti pažangius skaitmeninius sprendimus teikiant paslaugas</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R-11-01-01 Savivaldybės biudžetas, tenkantis vienai patvirtintai pareigybei savivaldybės administracijoje (mln. Eur)</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R-11-01-02 Vieta pagal lyčių lygybės stebėsenos savivaldybėse rodiklius (v.)</w:t>
                    </w:r>
                  </w:p>
                  <w:p>
                    <w:pPr>
                      <w:rPr>
                        <w:sz w:val="10"/>
                        <w:szCs w:val="10"/>
                      </w:rPr>
                    </w:pPr>
                  </w:p>
                  <w:p>
                    <w:pPr>
                      <w:jc w:val="both"/>
                      <w:rPr>
                        <w:rFonts w:eastAsia="Calibri"/>
                        <w:b/>
                        <w:iCs/>
                        <w:sz w:val="22"/>
                        <w:szCs w:val="24"/>
                      </w:rPr>
                    </w:pPr>
                    <w:r>
                      <w:rPr>
                        <w:rFonts w:eastAsia="Calibri"/>
                        <w:b/>
                        <w:iCs/>
                        <w:sz w:val="22"/>
                        <w:szCs w:val="24"/>
                      </w:rPr>
                      <w:t>11-02 Skatinti įtraukų bendradarbiavimą su visuomene ir suinteresuotomis šalimis</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R-11-02-01 Gyventojų aktyvumas vietos savivaldos rinkimuose (proc.)</w:t>
                    </w:r>
                  </w:p>
                  <w:p>
                    <w:pPr>
                      <w:rPr>
                        <w:sz w:val="10"/>
                        <w:szCs w:val="10"/>
                      </w:rPr>
                    </w:pPr>
                  </w:p>
                  <w:p>
                    <w:pPr>
                      <w:jc w:val="both"/>
                      <w:rPr>
                        <w:rFonts w:eastAsia="Calibri"/>
                        <w:b/>
                        <w:iCs/>
                        <w:sz w:val="22"/>
                        <w:szCs w:val="24"/>
                      </w:rPr>
                    </w:pPr>
                    <w:r>
                      <w:rPr>
                        <w:rFonts w:eastAsia="Calibri"/>
                        <w:b/>
                        <w:iCs/>
                        <w:sz w:val="22"/>
                        <w:szCs w:val="24"/>
                      </w:rPr>
                      <w:t>12-01 Stiprinti miesto kultūrinio gyvenimo aktyvumą</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R-12-01-01Kultūros įstaigų lankytojų skaičius (tūkst. asm.):</w:t>
                    </w:r>
                  </w:p>
                  <w:p>
                    <w:pPr>
                      <w:ind w:left="720"/>
                      <w:jc w:val="both"/>
                      <w:rPr>
                        <w:rFonts w:eastAsia="Calibri"/>
                        <w:bCs/>
                        <w:i/>
                        <w:sz w:val="22"/>
                        <w:szCs w:val="24"/>
                      </w:rPr>
                    </w:pPr>
                    <w:r>
                      <w:rPr>
                        <w:rFonts w:eastAsia="Calibri"/>
                        <w:bCs/>
                        <w:i/>
                        <w:sz w:val="22"/>
                        <w:szCs w:val="24"/>
                      </w:rPr>
                      <w:t>Bibliotekų lankytojų skaičius (tūkst. asm.)</w:t>
                    </w:r>
                  </w:p>
                  <w:p>
                    <w:pPr>
                      <w:ind w:left="720"/>
                      <w:jc w:val="both"/>
                      <w:rPr>
                        <w:rFonts w:eastAsia="Calibri"/>
                        <w:bCs/>
                        <w:i/>
                        <w:sz w:val="22"/>
                        <w:szCs w:val="24"/>
                      </w:rPr>
                    </w:pPr>
                    <w:r>
                      <w:rPr>
                        <w:rFonts w:eastAsia="Calibri"/>
                        <w:bCs/>
                        <w:i/>
                        <w:sz w:val="22"/>
                        <w:szCs w:val="24"/>
                      </w:rPr>
                      <w:t>Muziejų lankytojų skaičius (tūkst. asm.)</w:t>
                    </w:r>
                  </w:p>
                  <w:p>
                    <w:pPr>
                      <w:ind w:left="720"/>
                      <w:jc w:val="both"/>
                      <w:rPr>
                        <w:rFonts w:eastAsia="Calibri"/>
                        <w:bCs/>
                        <w:i/>
                        <w:sz w:val="22"/>
                        <w:szCs w:val="24"/>
                      </w:rPr>
                    </w:pPr>
                    <w:r>
                      <w:rPr>
                        <w:rFonts w:eastAsia="Calibri"/>
                        <w:bCs/>
                        <w:i/>
                        <w:sz w:val="22"/>
                        <w:szCs w:val="24"/>
                      </w:rPr>
                      <w:t>Galerijų lankytojų skaičius (tūkst. asm.)</w:t>
                    </w:r>
                  </w:p>
                  <w:p>
                    <w:pPr>
                      <w:ind w:left="720"/>
                      <w:jc w:val="both"/>
                      <w:rPr>
                        <w:rFonts w:eastAsia="Calibri"/>
                        <w:bCs/>
                        <w:i/>
                        <w:sz w:val="22"/>
                        <w:szCs w:val="24"/>
                      </w:rPr>
                    </w:pPr>
                    <w:r>
                      <w:rPr>
                        <w:rFonts w:eastAsia="Calibri"/>
                        <w:bCs/>
                        <w:i/>
                        <w:sz w:val="22"/>
                        <w:szCs w:val="24"/>
                      </w:rPr>
                      <w:t>Teatrų lankytojų skaičius (tūkst. asm.)</w:t>
                    </w:r>
                  </w:p>
                  <w:p>
                    <w:pPr>
                      <w:ind w:left="720"/>
                      <w:jc w:val="both"/>
                      <w:rPr>
                        <w:rFonts w:eastAsia="Calibri"/>
                        <w:bCs/>
                        <w:i/>
                        <w:sz w:val="22"/>
                        <w:szCs w:val="24"/>
                      </w:rPr>
                    </w:pPr>
                    <w:r>
                      <w:rPr>
                        <w:rFonts w:eastAsia="Calibri"/>
                        <w:bCs/>
                        <w:i/>
                        <w:sz w:val="22"/>
                        <w:szCs w:val="24"/>
                      </w:rPr>
                      <w:t>Koncertų salių lankytojų skaičius (tūkst. asm.)</w:t>
                    </w:r>
                  </w:p>
                  <w:p>
                    <w:pPr>
                      <w:ind w:left="720"/>
                      <w:jc w:val="both"/>
                      <w:rPr>
                        <w:rFonts w:eastAsia="Calibri"/>
                        <w:bCs/>
                        <w:i/>
                        <w:sz w:val="22"/>
                        <w:szCs w:val="24"/>
                      </w:rPr>
                    </w:pPr>
                    <w:r>
                      <w:rPr>
                        <w:rFonts w:eastAsia="Calibri"/>
                        <w:bCs/>
                        <w:i/>
                        <w:sz w:val="22"/>
                        <w:szCs w:val="24"/>
                      </w:rPr>
                      <w:t xml:space="preserve">Kultūros centrų lankytojų skaičius (tūkst. asm.) </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R-12-01-02 Naujų užsienio miestų (ir šalių), įtrauktų į ilgalaikę kultūros partnerystę (trunkančią ilgiau kaip 1 m.), skaičius (vnt.)</w:t>
                    </w:r>
                  </w:p>
                  <w:p>
                    <w:pPr>
                      <w:rPr>
                        <w:sz w:val="10"/>
                        <w:szCs w:val="10"/>
                      </w:rPr>
                    </w:pPr>
                  </w:p>
                  <w:p>
                    <w:pPr>
                      <w:jc w:val="both"/>
                      <w:rPr>
                        <w:rFonts w:eastAsia="Calibri"/>
                        <w:b/>
                        <w:iCs/>
                        <w:sz w:val="22"/>
                        <w:szCs w:val="24"/>
                      </w:rPr>
                    </w:pPr>
                    <w:r>
                      <w:rPr>
                        <w:rFonts w:eastAsia="Calibri"/>
                        <w:b/>
                        <w:iCs/>
                        <w:sz w:val="22"/>
                        <w:szCs w:val="24"/>
                      </w:rPr>
                      <w:t>12-02 Išvystyti gyventojų poreikius atitinkančią kultūros įstaigų infrastruktūrą</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R-12-02-01 Kultūros įstaigų pastatų, kurie yra geros būklės</w:t>
                    </w:r>
                    <w:r>
                      <w:rPr>
                        <w:rFonts w:eastAsia="Calibri"/>
                        <w:bCs/>
                        <w:iCs/>
                        <w:sz w:val="22"/>
                        <w:szCs w:val="24"/>
                        <w:vertAlign w:val="superscript"/>
                      </w:rPr>
                      <w:footnoteReference w:id="2"/>
                    </w:r>
                    <w:r>
                      <w:rPr>
                        <w:rFonts w:eastAsia="Calibri"/>
                        <w:bCs/>
                        <w:iCs/>
                        <w:sz w:val="22"/>
                        <w:szCs w:val="24"/>
                      </w:rPr>
                      <w:t>, skaičius nuo visų kultūros įstaigų pastatų (vnt. / vnt.)</w:t>
                    </w:r>
                  </w:p>
                  <w:p>
                    <w:pPr>
                      <w:rPr>
                        <w:sz w:val="10"/>
                        <w:szCs w:val="10"/>
                      </w:rPr>
                    </w:pPr>
                  </w:p>
                  <w:p>
                    <w:pPr>
                      <w:jc w:val="both"/>
                      <w:rPr>
                        <w:rFonts w:eastAsia="Calibri"/>
                        <w:b/>
                        <w:iCs/>
                        <w:sz w:val="22"/>
                        <w:szCs w:val="24"/>
                      </w:rPr>
                    </w:pPr>
                    <w:r>
                      <w:rPr>
                        <w:rFonts w:eastAsia="Calibri"/>
                        <w:b/>
                        <w:iCs/>
                        <w:sz w:val="22"/>
                        <w:szCs w:val="24"/>
                      </w:rPr>
                      <w:t>13-01 Mažinti aplinkos taršą ir kurti miesto ekosistemą, siekiant didinti atsparumą klimato kaitos padariniams</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R-13-01-01 Atsinaujinančių išteklių dalis pagal savivaldybės energijos balansą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R-13-01-02 Gyventojų dalis, kurių būstai veikiami padidinto triukšmo lygio, nuo visų gyventojų skaičiaus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R-13-01-03 Kietųjų dalelių skaičius (μg/m³)</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R-11-01-04 Bendras viešųjų atskirųjų želdynų plotas, tenkantis vienam miesto gyventojui (m²)</w:t>
                    </w:r>
                  </w:p>
                  <w:p>
                    <w:pPr>
                      <w:rPr>
                        <w:sz w:val="10"/>
                        <w:szCs w:val="10"/>
                      </w:rPr>
                    </w:pPr>
                  </w:p>
                  <w:p>
                    <w:pPr>
                      <w:jc w:val="both"/>
                      <w:rPr>
                        <w:rFonts w:eastAsia="Calibri"/>
                        <w:b/>
                        <w:iCs/>
                        <w:sz w:val="22"/>
                        <w:szCs w:val="24"/>
                      </w:rPr>
                    </w:pPr>
                    <w:r>
                      <w:rPr>
                        <w:rFonts w:eastAsia="Calibri"/>
                        <w:b/>
                        <w:iCs/>
                        <w:sz w:val="22"/>
                        <w:szCs w:val="24"/>
                      </w:rPr>
                      <w:t>13-02 Taikyti žiedinės ekonomikos principus komunalinių atliekų tvarkyme</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R-13-02-01 Sąvartynuose šalinamų komunalinių atliekų dalis nuo visų susidariusių komunalinių atliekų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R-13-02-02 Atliekų, tenkančių vienam gyventojui, kiekis (kg/1 gyv.)</w:t>
                    </w:r>
                  </w:p>
                  <w:p>
                    <w:pPr>
                      <w:rPr>
                        <w:sz w:val="10"/>
                        <w:szCs w:val="10"/>
                      </w:rPr>
                    </w:pPr>
                  </w:p>
                  <w:p>
                    <w:pPr>
                      <w:jc w:val="both"/>
                      <w:rPr>
                        <w:rFonts w:eastAsia="Calibri"/>
                        <w:b/>
                        <w:iCs/>
                        <w:sz w:val="22"/>
                        <w:szCs w:val="24"/>
                      </w:rPr>
                    </w:pPr>
                    <w:r>
                      <w:rPr>
                        <w:rFonts w:eastAsia="Calibri"/>
                        <w:b/>
                        <w:iCs/>
                        <w:sz w:val="22"/>
                        <w:szCs w:val="24"/>
                      </w:rPr>
                      <w:t>14-01 Kompleksiškai planuoti gyvybingą ir nuoseklią miesto struktūrą</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R-14-01-01 Kompleksiniais teritorijų planavimo dokumentais naujai suplanuotų teritorijų bendras plotas, palyginti su bendru miesto urbanizuotų teritorijų plotu (proc.)</w:t>
                    </w:r>
                  </w:p>
                  <w:p>
                    <w:pPr>
                      <w:rPr>
                        <w:sz w:val="10"/>
                        <w:szCs w:val="10"/>
                      </w:rPr>
                    </w:pPr>
                  </w:p>
                  <w:p>
                    <w:pPr>
                      <w:jc w:val="both"/>
                      <w:rPr>
                        <w:rFonts w:eastAsia="Calibri"/>
                        <w:b/>
                        <w:iCs/>
                        <w:sz w:val="22"/>
                        <w:szCs w:val="24"/>
                      </w:rPr>
                    </w:pPr>
                    <w:r>
                      <w:rPr>
                        <w:rFonts w:eastAsia="Calibri"/>
                        <w:b/>
                        <w:iCs/>
                        <w:sz w:val="22"/>
                        <w:szCs w:val="24"/>
                      </w:rPr>
                      <w:t>14-02 Formuoti darnias miesto jungtis, užtikrinančias tvarų ir saugų judėjimą mieste</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R-14-02-01 Neasfaltuotų gatvių dalis nuo viso gatvių tinklo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R-14-02-02 Atnaujintų pėsčiųjų takų dalis nuo bendro takų ilgio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R-14-02-03 Dviračių takų ilgis metų pabaigoje, tenkantis 1 tūkst. gyventojų (km)</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R-14-02-0</w:t>
                    </w:r>
                    <w:r>
                      <w:rPr>
                        <w:rFonts w:eastAsia="Calibri"/>
                        <w:bCs/>
                        <w:iCs/>
                        <w:sz w:val="22"/>
                        <w:szCs w:val="24"/>
                        <w:lang w:val="en-US"/>
                      </w:rPr>
                      <w:t>4</w:t>
                    </w:r>
                    <w:r>
                      <w:rPr>
                        <w:rFonts w:eastAsia="Calibri"/>
                        <w:bCs/>
                        <w:iCs/>
                        <w:sz w:val="22"/>
                        <w:szCs w:val="24"/>
                      </w:rPr>
                      <w:t xml:space="preserve"> Modalinis kelionių pasiskirstymas (automobiliu, viešuoju transportu, dviračiais, pėsčiomis, kita)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R-14-02-05 Vidutiniškai vienam gyventojui tenkančių kelionių autobusais skaičius (tūkst. asm.)</w:t>
                    </w:r>
                  </w:p>
                  <w:p>
                    <w:pPr>
                      <w:rPr>
                        <w:sz w:val="10"/>
                        <w:szCs w:val="10"/>
                      </w:rPr>
                    </w:pPr>
                  </w:p>
                  <w:p>
                    <w:pPr>
                      <w:jc w:val="both"/>
                      <w:rPr>
                        <w:rFonts w:eastAsia="Calibri"/>
                        <w:b/>
                        <w:iCs/>
                        <w:sz w:val="22"/>
                        <w:szCs w:val="24"/>
                      </w:rPr>
                    </w:pPr>
                    <w:r>
                      <w:rPr>
                        <w:rFonts w:eastAsia="Calibri"/>
                        <w:b/>
                        <w:iCs/>
                        <w:sz w:val="22"/>
                        <w:szCs w:val="24"/>
                      </w:rPr>
                      <w:t>14-03 Užtikrinti tvarią, kokybišką miesto infrastruktūros plėtrą</w:t>
                    </w:r>
                  </w:p>
                  <w:p>
                    <w:pPr>
                      <w:rPr>
                        <w:sz w:val="10"/>
                        <w:szCs w:val="10"/>
                      </w:rPr>
                    </w:pPr>
                  </w:p>
                  <w:p>
                    <w:pPr>
                      <w:ind w:left="720" w:hanging="360"/>
                      <w:jc w:val="both"/>
                      <w:rPr>
                        <w:rFonts w:eastAsia="Calibri"/>
                        <w:b/>
                        <w:iCs/>
                        <w:sz w:val="22"/>
                        <w:szCs w:val="24"/>
                      </w:rPr>
                    </w:pPr>
                    <w:r>
                      <w:rPr>
                        <w:rFonts w:ascii="Arial" w:eastAsia="Calibri" w:hAnsi="Arial"/>
                        <w:iCs/>
                        <w:color w:val="FDB515"/>
                        <w:sz w:val="22"/>
                        <w:szCs w:val="24"/>
                      </w:rPr>
                      <w:t>►</w:t>
                      <w:tab/>
                    </w:r>
                    <w:r>
                      <w:rPr>
                        <w:rFonts w:eastAsia="Calibri"/>
                        <w:bCs/>
                        <w:iCs/>
                        <w:sz w:val="22"/>
                        <w:szCs w:val="24"/>
                      </w:rPr>
                      <w:t>R-14-03-01 Renovuotų daugiabučių dalis nuo visų renovuotinų daugiabučių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R-14-03-02 Naujai suplanuotų / atnaujintų viešųjų erdvių plotas 1 gyventojui (m²)</w:t>
                    </w:r>
                  </w:p>
                  <w:p>
                    <w:pPr>
                      <w:rPr>
                        <w:sz w:val="10"/>
                        <w:szCs w:val="10"/>
                      </w:rPr>
                    </w:pPr>
                  </w:p>
                  <w:p>
                    <w:pPr>
                      <w:jc w:val="both"/>
                      <w:rPr>
                        <w:rFonts w:eastAsia="Calibri"/>
                        <w:b/>
                        <w:iCs/>
                        <w:sz w:val="22"/>
                        <w:szCs w:val="24"/>
                      </w:rPr>
                    </w:pPr>
                    <w:r>
                      <w:rPr>
                        <w:rFonts w:eastAsia="Calibri"/>
                        <w:b/>
                        <w:iCs/>
                        <w:sz w:val="22"/>
                        <w:szCs w:val="24"/>
                      </w:rPr>
                      <w:t>15-01 Pagerinti investicijų pritraukimo ir verslo plėtros sąlygas</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R-15-01-01 Tiesioginės užsienio investicijos (TUI), tenkančios 1 gyventojui (santykis su LT vidurkiu) (Eur)</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R-15-01-02 Registruotų bedarbių ir darbingo amžiaus gyventojų santykis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R-15-01-03 Veikiančių įmonių metų pradžioje skaičius, tenkantis 1 tūkst. gyv. (vnt.)</w:t>
                    </w:r>
                  </w:p>
                  <w:p>
                    <w:pPr>
                      <w:rPr>
                        <w:sz w:val="10"/>
                        <w:szCs w:val="10"/>
                      </w:rPr>
                    </w:pPr>
                  </w:p>
                  <w:p>
                    <w:pPr>
                      <w:jc w:val="both"/>
                      <w:rPr>
                        <w:rFonts w:eastAsia="Calibri"/>
                        <w:b/>
                        <w:iCs/>
                        <w:sz w:val="22"/>
                        <w:szCs w:val="24"/>
                      </w:rPr>
                    </w:pPr>
                    <w:r>
                      <w:rPr>
                        <w:rFonts w:eastAsia="Calibri"/>
                        <w:b/>
                        <w:iCs/>
                        <w:sz w:val="22"/>
                        <w:szCs w:val="24"/>
                      </w:rPr>
                      <w:t>15-02 Stiprinti miesto patrauklumą plėtojant turizmo sektorių</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R-15-02-01 Turistų informacijos centro lankytojų ir interneto svetainių, socialinių tinklų vartotojų skaičius (tūkst. asm.)</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R-15-02-02 Vietų skaičius apgyvendinimo įstaigose (vnt.)</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R-15-02-03 Teigiamai Šiaulių miesto įvaizdį vertinančių miesto svečių dalis (proc.)</w:t>
                    </w:r>
                  </w:p>
                  <w:p>
                    <w:pPr>
                      <w:rPr>
                        <w:sz w:val="10"/>
                        <w:szCs w:val="10"/>
                      </w:rPr>
                    </w:pPr>
                  </w:p>
                  <w:p>
                    <w:pPr>
                      <w:jc w:val="both"/>
                      <w:rPr>
                        <w:rFonts w:eastAsia="Calibri"/>
                        <w:b/>
                        <w:iCs/>
                        <w:sz w:val="22"/>
                        <w:szCs w:val="24"/>
                      </w:rPr>
                    </w:pPr>
                    <w:r>
                      <w:rPr>
                        <w:rFonts w:eastAsia="Calibri"/>
                        <w:b/>
                        <w:iCs/>
                        <w:sz w:val="22"/>
                        <w:szCs w:val="24"/>
                      </w:rPr>
                      <w:t>15-03 Didinti Šiaulių miesto žinomumą ir teigiamą įvaizdį, stiprinant miesto identitetą ir rinkodarą</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R-15-03-01 Bendras svetainės „www.siauliai.lt“ aktyvių vartotojų skaičius (tūkst. vnt.)</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R-15-03-02 Savivaldybės administracijos paskyrų „Facebook“ / „Instagram“ socialiniuose tinkluose stebėtojų skaičius (tūkst. vnt.)</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R-15-03-03 Savivaldybės administracijos „YouTube“ kanalo prenumeratorių skaičius (vnt.)</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R-15-03-04 Teigiamai Šiaulių miesto įvaizdį vertinančių studentų, verslo atstovų, miesto svečių ir gyventojų dalis (proc.)</w:t>
                    </w:r>
                  </w:p>
                  <w:p>
                    <w:pPr>
                      <w:rPr>
                        <w:sz w:val="10"/>
                        <w:szCs w:val="10"/>
                      </w:rPr>
                    </w:pPr>
                  </w:p>
                  <w:p>
                    <w:pPr>
                      <w:jc w:val="both"/>
                      <w:rPr>
                        <w:rFonts w:eastAsia="Calibri"/>
                        <w:b/>
                        <w:iCs/>
                        <w:sz w:val="22"/>
                        <w:szCs w:val="24"/>
                      </w:rPr>
                    </w:pPr>
                    <w:r>
                      <w:rPr>
                        <w:rFonts w:eastAsia="Calibri"/>
                        <w:b/>
                        <w:iCs/>
                        <w:sz w:val="22"/>
                        <w:szCs w:val="24"/>
                      </w:rPr>
                      <w:t xml:space="preserve">16-01 Užtikrinti nuoseklų ir efektyvų socialinių paslaugų teikimą </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R-16-01-01 Teikiamų socialinių paslaugų rūšių (bendrųjų socialinių paslaugų, socialinės priežiūros paslaugų, socialinės globos paslaugų) skaičius (vnt.)</w:t>
                    </w:r>
                  </w:p>
                  <w:p>
                    <w:pPr>
                      <w:rPr>
                        <w:sz w:val="10"/>
                        <w:szCs w:val="10"/>
                      </w:rPr>
                    </w:pPr>
                  </w:p>
                  <w:p>
                    <w:pPr>
                      <w:jc w:val="both"/>
                      <w:rPr>
                        <w:rFonts w:eastAsia="Calibri"/>
                        <w:b/>
                        <w:iCs/>
                        <w:sz w:val="22"/>
                        <w:szCs w:val="24"/>
                      </w:rPr>
                    </w:pPr>
                    <w:r>
                      <w:rPr>
                        <w:rFonts w:eastAsia="Calibri"/>
                        <w:b/>
                        <w:iCs/>
                        <w:sz w:val="22"/>
                        <w:szCs w:val="24"/>
                      </w:rPr>
                      <w:t>16-02 Užtikrinti socialinių paslaugų prieinamumą ir kokybę, plečiant, atnaujinant ir modernizuojant socialinių paslaugų infrastruktūrą</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R-16-02-01 Socialinių įstaigų pastatų, kurie yra geros būklės, skaičius nuo visų socialinių įstaigų pastatų (vnt. / vnt.)</w:t>
                    </w:r>
                  </w:p>
                  <w:p>
                    <w:pPr>
                      <w:spacing w:line="276" w:lineRule="auto"/>
                      <w:ind w:left="720" w:right="142"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R-16-02-02 Asmenų ir šeimų, laukiančių socialinio būsto nuomos, laukimo laikas (metai)</w:t>
                    </w:r>
                  </w:p>
                  <w:p>
                    <w:pPr>
                      <w:rPr>
                        <w:sz w:val="10"/>
                        <w:szCs w:val="10"/>
                      </w:rPr>
                    </w:pPr>
                  </w:p>
                  <w:p>
                    <w:pPr>
                      <w:jc w:val="both"/>
                      <w:rPr>
                        <w:rFonts w:eastAsia="Calibri"/>
                        <w:b/>
                        <w:iCs/>
                        <w:sz w:val="22"/>
                        <w:szCs w:val="24"/>
                      </w:rPr>
                    </w:pPr>
                    <w:r>
                      <w:rPr>
                        <w:rFonts w:eastAsia="Calibri"/>
                        <w:b/>
                        <w:iCs/>
                        <w:sz w:val="22"/>
                        <w:szCs w:val="24"/>
                      </w:rPr>
                      <w:t xml:space="preserve">17-01 Skatinti gyventojų fizinio aktyvumo veiklas ir plėtoti aukšto meistriškumo sportininkų rengimo sistemą </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R-17-01-01 Sportuojančiųjų sporto klubuose ir ugdymo centruose dalis nuo gyventojų skaičiaus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R-17-01-02 Europos ir pasaulio suaugusiųjų čempionatų olimpinių sporto šakų 1–3 v. laimėtojai (asm.)</w:t>
                    </w:r>
                  </w:p>
                  <w:p>
                    <w:pPr>
                      <w:rPr>
                        <w:sz w:val="10"/>
                        <w:szCs w:val="10"/>
                      </w:rPr>
                    </w:pPr>
                  </w:p>
                  <w:p>
                    <w:pPr>
                      <w:jc w:val="both"/>
                      <w:rPr>
                        <w:rFonts w:eastAsia="Calibri"/>
                        <w:b/>
                        <w:iCs/>
                        <w:sz w:val="22"/>
                        <w:szCs w:val="24"/>
                      </w:rPr>
                    </w:pPr>
                    <w:r>
                      <w:rPr>
                        <w:rFonts w:eastAsia="Calibri"/>
                        <w:b/>
                        <w:iCs/>
                        <w:sz w:val="22"/>
                        <w:szCs w:val="24"/>
                      </w:rPr>
                      <w:t>17-02 Išvystyti gyventojų poreikius atitinkančią sporto ir fizinio aktyvumo infrastruktūrą</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R-17-02-01 Savivaldybės sporto įstaigų pastatų / statinių, bazių, kurios yra geros būklės, skaičius nuo visų Savivaldybės sporto įstaigų pastatų / statinių, bazių skaičiaus (vnt. / vnt.)</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R-17-02-02 Savivaldybės sporto įstaigų pastatų / statinių, bazių, pritaikytų fizinę negalią turintiems asmenims, dalis (proc.)</w:t>
                    </w:r>
                  </w:p>
                  <w:p>
                    <w:pPr>
                      <w:rPr>
                        <w:sz w:val="10"/>
                        <w:szCs w:val="10"/>
                      </w:rPr>
                    </w:pPr>
                  </w:p>
                  <w:p>
                    <w:pPr>
                      <w:jc w:val="both"/>
                      <w:rPr>
                        <w:rFonts w:eastAsia="Calibri"/>
                        <w:b/>
                        <w:iCs/>
                        <w:sz w:val="22"/>
                        <w:szCs w:val="24"/>
                      </w:rPr>
                    </w:pPr>
                    <w:r>
                      <w:rPr>
                        <w:rFonts w:eastAsia="Calibri"/>
                        <w:b/>
                        <w:iCs/>
                        <w:sz w:val="22"/>
                        <w:szCs w:val="24"/>
                      </w:rPr>
                      <w:t xml:space="preserve">18-01 Plėtoti inovatyvią švietimo sistemą, ugdančią aktyvią ir kūrybingą asmenybę </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R-18-01-01 Išlaikiusių brandos egzaminus dalis nuo laikiusiųjų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R-18-01-02 Įstojusių į aukštąsias mokyklas dalis (asmenys, baigę bendrojo ugdymo mokyklas Šiauliuose) nuo visų, gavusiųjų vidurinį išsilavinimą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R-18-01-03 Pagalbos mokiniui specialistų, tenkančių 100 mokinių, skaičius (asm.)</w:t>
                    </w:r>
                  </w:p>
                  <w:p>
                    <w:pPr>
                      <w:rPr>
                        <w:sz w:val="10"/>
                        <w:szCs w:val="10"/>
                      </w:rPr>
                    </w:pPr>
                  </w:p>
                  <w:p>
                    <w:pPr>
                      <w:jc w:val="both"/>
                      <w:rPr>
                        <w:rFonts w:eastAsia="Calibri"/>
                        <w:b/>
                        <w:iCs/>
                        <w:sz w:val="22"/>
                        <w:szCs w:val="24"/>
                      </w:rPr>
                    </w:pPr>
                    <w:r>
                      <w:rPr>
                        <w:rFonts w:eastAsia="Calibri"/>
                        <w:b/>
                        <w:iCs/>
                        <w:sz w:val="22"/>
                        <w:szCs w:val="24"/>
                      </w:rPr>
                      <w:t>18-02 Užtikrinti švietimo paslaugų prieinamumą ir kokybę, gerinant ugdymo (-si) aplinką</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R-18-02-01 Ikimokyklinio ugdymo įstaigų pastatų, kurie yra geros būklės, skaičius nuo visų ikimokyklinio ugdymo įstaigų pastatų skaičiaus (vnt. / vnt.)</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R-18-02-02 Bendrojo ugdymo mokyklų pastatų, kurie yra geros būklės, skaičius nuo visų bendrojo ugdymo mokyklų pastatų skaičiaus (vnt. / vnt.)</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R-18-02-03 Neformaliojo švietimo įstaigų pastatų, kurie yra geros būklės, skaičius nuo visų neformaliojo švietimo įstaigų pastatų skaičiaus (vnt. / vnt.)</w:t>
                    </w:r>
                  </w:p>
                  <w:p>
                    <w:pPr>
                      <w:rPr>
                        <w:sz w:val="10"/>
                        <w:szCs w:val="10"/>
                      </w:rPr>
                    </w:pPr>
                  </w:p>
                  <w:p>
                    <w:pPr>
                      <w:jc w:val="both"/>
                      <w:rPr>
                        <w:rFonts w:eastAsia="Calibri"/>
                        <w:b/>
                        <w:iCs/>
                        <w:sz w:val="22"/>
                        <w:szCs w:val="24"/>
                      </w:rPr>
                    </w:pPr>
                    <w:r>
                      <w:rPr>
                        <w:rFonts w:eastAsia="Calibri"/>
                        <w:b/>
                        <w:iCs/>
                        <w:sz w:val="22"/>
                        <w:szCs w:val="24"/>
                      </w:rPr>
                      <w:t>18-03 Sudaryti sąlygas jaunimo savirealizacijai jų poreikiams pritaikytoje aplinkoje</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R-18-03-01 Nepilnamečių, įtariamų padarius nusikalstamas veikas, skaičius, tenkantis 100 tūkst. 14−17 metų amžiaus vaikų (asm.)</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R-18-03-02 Mokinių vasaros užimtumas nuo bendro mokinių skaičiaus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R-18-03-03 Jaunimo organizacijose dalyvaujančių asmenų skaičius (asm.)</w:t>
                    </w:r>
                  </w:p>
                  <w:p>
                    <w:pPr>
                      <w:rPr>
                        <w:sz w:val="10"/>
                        <w:szCs w:val="10"/>
                      </w:rPr>
                    </w:pPr>
                  </w:p>
                  <w:p>
                    <w:pPr>
                      <w:jc w:val="both"/>
                      <w:rPr>
                        <w:rFonts w:eastAsia="Calibri"/>
                        <w:b/>
                        <w:iCs/>
                        <w:sz w:val="22"/>
                        <w:szCs w:val="24"/>
                      </w:rPr>
                    </w:pPr>
                    <w:r>
                      <w:rPr>
                        <w:rFonts w:eastAsia="Calibri"/>
                        <w:b/>
                        <w:iCs/>
                        <w:sz w:val="22"/>
                        <w:szCs w:val="24"/>
                      </w:rPr>
                      <w:t xml:space="preserve">19-01 Plėtoti asmens ir visuomenės sveikatos priežiūros paslaugas, ugdyti visuomenės poreikį sveikai gyventi </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R-19-01-01 Paliatyvios pagalbos, globos, slaugos ir palaikomojo gydymo lovų skaičius, tenkantis 1 tūkst. gyventojų (vnt.)</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R-19-01-02 Pacientų, kurie pas šeimos gydytoją patenka per 7 kalendorines dienas, dalis (proc.)</w:t>
                    </w: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R-19-01-03 Savižudybių skaičius, tenkantis 100 tūkst. gyventojų (asm.)</w:t>
                    </w:r>
                  </w:p>
                  <w:p>
                    <w:pPr>
                      <w:rPr>
                        <w:sz w:val="10"/>
                        <w:szCs w:val="10"/>
                      </w:rPr>
                    </w:pPr>
                  </w:p>
                  <w:p>
                    <w:pPr>
                      <w:jc w:val="both"/>
                      <w:rPr>
                        <w:rFonts w:eastAsia="Calibri"/>
                        <w:b/>
                        <w:iCs/>
                        <w:sz w:val="22"/>
                        <w:szCs w:val="24"/>
                      </w:rPr>
                    </w:pPr>
                    <w:r>
                      <w:rPr>
                        <w:rFonts w:eastAsia="Calibri"/>
                        <w:b/>
                        <w:iCs/>
                        <w:sz w:val="22"/>
                        <w:szCs w:val="24"/>
                      </w:rPr>
                      <w:t>19-02 Užtikrinti asmens sveikatos priežiūros paslaugų prieinamumą ir kokybę, atnaujinant esamą bei įrengiant naują infrastruktūrą</w:t>
                    </w:r>
                  </w:p>
                  <w:p>
                    <w:pPr>
                      <w:rPr>
                        <w:sz w:val="10"/>
                        <w:szCs w:val="10"/>
                      </w:rPr>
                    </w:pPr>
                  </w:p>
                  <w:p>
                    <w:pPr>
                      <w:ind w:left="720" w:hanging="360"/>
                      <w:jc w:val="both"/>
                      <w:rPr>
                        <w:rFonts w:eastAsia="Calibri"/>
                        <w:bCs/>
                        <w:iCs/>
                        <w:sz w:val="22"/>
                        <w:szCs w:val="24"/>
                      </w:rPr>
                    </w:pPr>
                    <w:r>
                      <w:rPr>
                        <w:rFonts w:ascii="Arial" w:eastAsia="Calibri" w:hAnsi="Arial"/>
                        <w:bCs/>
                        <w:iCs/>
                        <w:color w:val="FDB515"/>
                        <w:sz w:val="22"/>
                        <w:szCs w:val="24"/>
                      </w:rPr>
                      <w:t>►</w:t>
                      <w:tab/>
                    </w:r>
                    <w:r>
                      <w:rPr>
                        <w:rFonts w:eastAsia="Calibri"/>
                        <w:bCs/>
                        <w:iCs/>
                        <w:sz w:val="22"/>
                        <w:szCs w:val="24"/>
                      </w:rPr>
                      <w:t>R-19-02-01 Savivaldybės sveikatos įstaigų pastatų, kurie yra geros būklės, skaičius nuo visų sveikatos įstaigų pastatų skaičiaus (vnt. / vnt.)</w:t>
                    </w:r>
                  </w:p>
                </w:tc>
              </w:tr>
            </w:tbl>
            <w:p>
              <w:pPr>
                <w:jc w:val="center"/>
                <w:rPr>
                  <w:b/>
                  <w:color w:val="000000"/>
                  <w:szCs w:val="24"/>
                </w:rPr>
              </w:pPr>
            </w:p>
            <w:p>
              <w:pPr>
                <w:spacing w:line="276" w:lineRule="auto"/>
                <w:rPr>
                  <w:b/>
                  <w:color w:val="000000"/>
                  <w:szCs w:val="24"/>
                </w:rPr>
              </w:pPr>
              <w:r>
                <w:rPr>
                  <w:b/>
                  <w:color w:val="000000"/>
                  <w:szCs w:val="24"/>
                </w:rPr>
                <w:br w:type="page"/>
              </w:r>
            </w:p>
            <w:p>
              <w:pPr>
                <w:rPr>
                  <w:sz w:val="10"/>
                  <w:szCs w:val="10"/>
                </w:rPr>
              </w:pPr>
            </w:p>
            <w:p>
              <w:pPr>
                <w:jc w:val="center"/>
                <w:rPr>
                  <w:b/>
                  <w:color w:val="000000"/>
                  <w:szCs w:val="24"/>
                </w:rPr>
                <w:sectPr>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134" w:right="1134" w:bottom="1134" w:left="1418" w:header="567" w:footer="567" w:gutter="0"/>
                  <w:cols w:space="1296"/>
                  <w:titlePg/>
                  <w:docGrid w:linePitch="360"/>
                </w:sectPr>
              </w:pPr>
            </w:p>
            <w:p>
              <w:pPr>
                <w:tabs>
                  <w:tab w:val="center" w:pos="4819"/>
                  <w:tab w:val="right" w:pos="9638"/>
                </w:tabs>
                <w:ind w:left="284" w:right="142"/>
                <w:jc w:val="both"/>
                <w:rPr>
                  <w:rFonts w:eastAsia="MS Mincho"/>
                  <w:kern w:val="2"/>
                  <w:sz w:val="22"/>
                  <w:szCs w:val="24"/>
                </w:rPr>
              </w:pPr>
            </w:p>
          </w:sdtContent>
        </w:sdt>
        <w:sdt>
          <w:sdtPr>
            <w:alias w:val="skyrius"/>
            <w:tag w:val="part_6eb1156e546f462d9998e59d84226307"/>
            <w:lock w:val="sdtLocked"/>
            <w:richText/>
          </w:sdtPr>
          <w:sdtContent>
            <w:p>
              <w:pPr>
                <w:jc w:val="center"/>
                <w:rPr>
                  <w:b/>
                  <w:color w:val="000000"/>
                  <w:szCs w:val="24"/>
                </w:rPr>
              </w:pPr>
              <w:sdt>
                <w:sdtPr>
                  <w:alias w:val="Numeris"/>
                  <w:tag w:val="nr_6eb1156e546f462d9998e59d84226307"/>
                  <w:lock w:val="sdtLocked"/>
                  <w:richText/>
                </w:sdtPr>
                <w:sdtContent>
                  <w:r>
                    <w:rPr>
                      <w:b/>
                      <w:color w:val="000000"/>
                      <w:szCs w:val="24"/>
                    </w:rPr>
                    <w:t>V</w:t>
                  </w:r>
                </w:sdtContent>
              </w:sdt>
              <w:r>
                <w:rPr>
                  <w:b/>
                  <w:color w:val="000000"/>
                  <w:szCs w:val="24"/>
                </w:rPr>
                <w:t xml:space="preserve"> SKYRIUS</w:t>
              </w:r>
            </w:p>
            <w:p>
              <w:pPr>
                <w:jc w:val="center"/>
                <w:rPr>
                  <w:b/>
                  <w:color w:val="000000"/>
                  <w:szCs w:val="24"/>
                </w:rPr>
              </w:pPr>
              <w:sdt>
                <w:sdtPr>
                  <w:alias w:val="Pavadinimas"/>
                  <w:tag w:val="title_6eb1156e546f462d9998e59d84226307"/>
                  <w:lock w:val="sdtLocked"/>
                  <w:richText/>
                </w:sdtPr>
                <w:sdtContent>
                  <w:r>
                    <w:rPr>
                      <w:b/>
                      <w:color w:val="000000"/>
                      <w:szCs w:val="24"/>
                    </w:rPr>
                    <w:t>PRIEMONIŲ PLANAS</w:t>
                  </w:r>
                </w:sdtContent>
              </w:sdt>
            </w:p>
            <w:p>
              <w:pPr>
                <w:jc w:val="both"/>
                <w:rPr>
                  <w:bCs/>
                  <w:color w:val="000000"/>
                </w:rPr>
              </w:pPr>
            </w:p>
            <w:p>
              <w:pPr>
                <w:keepNext/>
                <w:ind w:left="284" w:right="142"/>
                <w:jc w:val="both"/>
                <w:rPr>
                  <w:b/>
                  <w:bCs/>
                  <w:color w:val="FDB515"/>
                  <w:sz w:val="20"/>
                </w:rPr>
              </w:pPr>
              <w:r>
                <w:rPr>
                  <w:rFonts w:eastAsia="MS Mincho"/>
                  <w:b/>
                  <w:bCs/>
                  <w:color w:val="FDB515"/>
                  <w:kern w:val="2"/>
                  <w:sz w:val="20"/>
                </w:rPr>
                <w:t xml:space="preserve">Lentelė 1. </w:t>
              </w:r>
              <w:r>
                <w:rPr>
                  <w:b/>
                  <w:bCs/>
                  <w:color w:val="FDB515"/>
                  <w:sz w:val="20"/>
                </w:rPr>
                <w:t>Savivaldybės plėtros tikslai, uždaviniai, priemonės ir jų stebėsenos rodikliai</w:t>
              </w:r>
            </w:p>
            <w:p>
              <w:pPr>
                <w:rPr>
                  <w:sz w:val="18"/>
                  <w:szCs w:val="18"/>
                </w:rPr>
              </w:pP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126"/>
                <w:gridCol w:w="850"/>
                <w:gridCol w:w="709"/>
                <w:gridCol w:w="709"/>
                <w:gridCol w:w="1417"/>
                <w:gridCol w:w="4111"/>
                <w:gridCol w:w="1134"/>
                <w:gridCol w:w="1134"/>
                <w:gridCol w:w="1134"/>
              </w:tblGrid>
              <w:tr>
                <w:trPr>
                  <w:trHeight w:val="430"/>
                  <w:tblHeader/>
                  <w:jc w:val="center"/>
                </w:trPr>
                <w:tc>
                  <w:tcPr>
                    <w:tcW w:w="988" w:type="dxa"/>
                    <w:vMerge w:val="restart"/>
                    <w:shd w:val="clear" w:color="auto" w:fill="DBE5F1"/>
                    <w:noWrap/>
                    <w:vAlign w:val="center"/>
                    <w:hideMark/>
                  </w:tcPr>
                  <w:p>
                    <w:pPr>
                      <w:jc w:val="center"/>
                      <w:rPr>
                        <w:b/>
                        <w:bCs/>
                        <w:sz w:val="18"/>
                        <w:szCs w:val="18"/>
                      </w:rPr>
                    </w:pPr>
                    <w:r>
                      <w:rPr>
                        <w:rFonts w:eastAsia="Calibri"/>
                        <w:b/>
                        <w:bCs/>
                        <w:sz w:val="18"/>
                        <w:szCs w:val="18"/>
                      </w:rPr>
                      <w:t>Tikslo, uždav., priem. kodas</w:t>
                    </w:r>
                  </w:p>
                </w:tc>
                <w:tc>
                  <w:tcPr>
                    <w:tcW w:w="2126" w:type="dxa"/>
                    <w:vMerge w:val="restart"/>
                    <w:shd w:val="clear" w:color="auto" w:fill="DBE5F1"/>
                    <w:vAlign w:val="center"/>
                    <w:hideMark/>
                  </w:tcPr>
                  <w:p>
                    <w:pPr>
                      <w:jc w:val="center"/>
                      <w:rPr>
                        <w:b/>
                        <w:bCs/>
                        <w:sz w:val="18"/>
                        <w:szCs w:val="18"/>
                      </w:rPr>
                    </w:pPr>
                    <w:r>
                      <w:rPr>
                        <w:rFonts w:eastAsia="Calibri"/>
                        <w:b/>
                        <w:bCs/>
                        <w:sz w:val="18"/>
                        <w:szCs w:val="18"/>
                      </w:rPr>
                      <w:t>Tikslas, uždavinys, priemonė</w:t>
                    </w:r>
                  </w:p>
                </w:tc>
                <w:tc>
                  <w:tcPr>
                    <w:tcW w:w="850" w:type="dxa"/>
                    <w:vMerge w:val="restart"/>
                    <w:shd w:val="clear" w:color="auto" w:fill="DBE5F1"/>
                    <w:vAlign w:val="center"/>
                    <w:hideMark/>
                  </w:tcPr>
                  <w:p>
                    <w:pPr>
                      <w:jc w:val="center"/>
                      <w:rPr>
                        <w:b/>
                        <w:bCs/>
                        <w:sz w:val="16"/>
                        <w:szCs w:val="16"/>
                      </w:rPr>
                    </w:pPr>
                    <w:r>
                      <w:rPr>
                        <w:rFonts w:eastAsia="Calibri"/>
                        <w:b/>
                        <w:bCs/>
                        <w:sz w:val="16"/>
                        <w:szCs w:val="16"/>
                      </w:rPr>
                      <w:t>Koordi-natorius</w:t>
                    </w:r>
                  </w:p>
                </w:tc>
                <w:tc>
                  <w:tcPr>
                    <w:tcW w:w="1418" w:type="dxa"/>
                    <w:gridSpan w:val="2"/>
                    <w:shd w:val="clear" w:color="auto" w:fill="DBE5F1"/>
                    <w:vAlign w:val="center"/>
                    <w:hideMark/>
                  </w:tcPr>
                  <w:p>
                    <w:pPr>
                      <w:jc w:val="center"/>
                      <w:rPr>
                        <w:b/>
                        <w:bCs/>
                        <w:sz w:val="18"/>
                        <w:szCs w:val="18"/>
                      </w:rPr>
                    </w:pPr>
                    <w:r>
                      <w:rPr>
                        <w:rFonts w:eastAsia="Calibri"/>
                        <w:b/>
                        <w:bCs/>
                        <w:sz w:val="18"/>
                        <w:szCs w:val="18"/>
                      </w:rPr>
                      <w:t>Įgyvendinimo laikotarpis, metais</w:t>
                    </w:r>
                  </w:p>
                </w:tc>
                <w:tc>
                  <w:tcPr>
                    <w:tcW w:w="1417" w:type="dxa"/>
                    <w:vMerge w:val="restart"/>
                    <w:shd w:val="clear" w:color="auto" w:fill="DBE5F1"/>
                    <w:vAlign w:val="center"/>
                    <w:hideMark/>
                  </w:tcPr>
                  <w:p>
                    <w:pPr>
                      <w:jc w:val="center"/>
                      <w:rPr>
                        <w:b/>
                        <w:bCs/>
                        <w:sz w:val="18"/>
                        <w:szCs w:val="18"/>
                      </w:rPr>
                    </w:pPr>
                    <w:r>
                      <w:rPr>
                        <w:b/>
                        <w:bCs/>
                        <w:sz w:val="18"/>
                        <w:szCs w:val="18"/>
                      </w:rPr>
                      <w:t>Rodiklio Nr.</w:t>
                    </w:r>
                  </w:p>
                </w:tc>
                <w:tc>
                  <w:tcPr>
                    <w:tcW w:w="4111" w:type="dxa"/>
                    <w:vMerge w:val="restart"/>
                    <w:shd w:val="clear" w:color="auto" w:fill="DBE5F1"/>
                    <w:vAlign w:val="center"/>
                    <w:hideMark/>
                  </w:tcPr>
                  <w:p>
                    <w:pPr>
                      <w:jc w:val="center"/>
                      <w:rPr>
                        <w:b/>
                        <w:bCs/>
                        <w:sz w:val="18"/>
                        <w:szCs w:val="18"/>
                      </w:rPr>
                    </w:pPr>
                    <w:r>
                      <w:rPr>
                        <w:rFonts w:eastAsia="Calibri"/>
                        <w:b/>
                        <w:bCs/>
                        <w:sz w:val="18"/>
                        <w:szCs w:val="18"/>
                      </w:rPr>
                      <w:t>Stebėsenos rodiklis (matavimo vienetai)</w:t>
                    </w:r>
                  </w:p>
                </w:tc>
                <w:tc>
                  <w:tcPr>
                    <w:tcW w:w="1134" w:type="dxa"/>
                    <w:vMerge w:val="restart"/>
                    <w:shd w:val="clear" w:color="auto" w:fill="DBE5F1"/>
                    <w:vAlign w:val="center"/>
                    <w:hideMark/>
                  </w:tcPr>
                  <w:p>
                    <w:pPr>
                      <w:jc w:val="center"/>
                      <w:rPr>
                        <w:b/>
                        <w:bCs/>
                        <w:sz w:val="18"/>
                        <w:szCs w:val="18"/>
                      </w:rPr>
                    </w:pPr>
                    <w:r>
                      <w:rPr>
                        <w:b/>
                        <w:bCs/>
                        <w:sz w:val="18"/>
                        <w:szCs w:val="18"/>
                      </w:rPr>
                      <w:t>Rodiklio šaltinis</w:t>
                    </w:r>
                  </w:p>
                </w:tc>
                <w:tc>
                  <w:tcPr>
                    <w:tcW w:w="2268" w:type="dxa"/>
                    <w:gridSpan w:val="2"/>
                    <w:shd w:val="clear" w:color="auto" w:fill="DBE5F1"/>
                    <w:vAlign w:val="center"/>
                    <w:hideMark/>
                  </w:tcPr>
                  <w:p>
                    <w:pPr>
                      <w:jc w:val="center"/>
                      <w:rPr>
                        <w:b/>
                        <w:bCs/>
                        <w:sz w:val="18"/>
                        <w:szCs w:val="18"/>
                      </w:rPr>
                    </w:pPr>
                    <w:r>
                      <w:rPr>
                        <w:rFonts w:eastAsia="Calibri"/>
                        <w:b/>
                        <w:bCs/>
                        <w:sz w:val="18"/>
                        <w:szCs w:val="18"/>
                      </w:rPr>
                      <w:t>Siektina stebėsenos rodiklio reikšmė</w:t>
                    </w:r>
                  </w:p>
                </w:tc>
              </w:tr>
              <w:tr>
                <w:trPr>
                  <w:trHeight w:val="413"/>
                  <w:tblHeader/>
                  <w:jc w:val="center"/>
                </w:trPr>
                <w:tc>
                  <w:tcPr>
                    <w:tcW w:w="988" w:type="dxa"/>
                    <w:vMerge/>
                    <w:shd w:val="clear" w:color="auto" w:fill="DBE5F1"/>
                    <w:vAlign w:val="center"/>
                    <w:hideMark/>
                  </w:tcPr>
                  <w:p>
                    <w:pPr>
                      <w:rPr>
                        <w:b/>
                        <w:bCs/>
                        <w:sz w:val="18"/>
                        <w:szCs w:val="18"/>
                      </w:rPr>
                    </w:pPr>
                  </w:p>
                </w:tc>
                <w:tc>
                  <w:tcPr>
                    <w:tcW w:w="2126" w:type="dxa"/>
                    <w:vMerge/>
                    <w:shd w:val="clear" w:color="auto" w:fill="DBE5F1"/>
                    <w:vAlign w:val="center"/>
                    <w:hideMark/>
                  </w:tcPr>
                  <w:p>
                    <w:pPr>
                      <w:rPr>
                        <w:b/>
                        <w:bCs/>
                        <w:sz w:val="18"/>
                        <w:szCs w:val="18"/>
                      </w:rPr>
                    </w:pPr>
                  </w:p>
                </w:tc>
                <w:tc>
                  <w:tcPr>
                    <w:tcW w:w="850" w:type="dxa"/>
                    <w:vMerge/>
                    <w:shd w:val="clear" w:color="auto" w:fill="DBE5F1"/>
                    <w:vAlign w:val="center"/>
                    <w:hideMark/>
                  </w:tcPr>
                  <w:p>
                    <w:pPr>
                      <w:jc w:val="center"/>
                      <w:rPr>
                        <w:b/>
                        <w:bCs/>
                        <w:sz w:val="18"/>
                        <w:szCs w:val="18"/>
                      </w:rPr>
                    </w:pPr>
                  </w:p>
                </w:tc>
                <w:tc>
                  <w:tcPr>
                    <w:tcW w:w="709" w:type="dxa"/>
                    <w:shd w:val="clear" w:color="auto" w:fill="DBE5F1"/>
                    <w:vAlign w:val="center"/>
                    <w:hideMark/>
                  </w:tcPr>
                  <w:p>
                    <w:pPr>
                      <w:jc w:val="center"/>
                      <w:rPr>
                        <w:b/>
                        <w:bCs/>
                        <w:sz w:val="16"/>
                        <w:szCs w:val="16"/>
                      </w:rPr>
                    </w:pPr>
                    <w:r>
                      <w:rPr>
                        <w:rFonts w:eastAsia="Calibri"/>
                        <w:b/>
                        <w:bCs/>
                        <w:sz w:val="16"/>
                        <w:szCs w:val="16"/>
                      </w:rPr>
                      <w:t>Pradž.</w:t>
                    </w:r>
                  </w:p>
                </w:tc>
                <w:tc>
                  <w:tcPr>
                    <w:tcW w:w="709" w:type="dxa"/>
                    <w:shd w:val="clear" w:color="auto" w:fill="DBE5F1"/>
                    <w:vAlign w:val="center"/>
                    <w:hideMark/>
                  </w:tcPr>
                  <w:p>
                    <w:pPr>
                      <w:jc w:val="center"/>
                      <w:rPr>
                        <w:b/>
                        <w:bCs/>
                        <w:sz w:val="16"/>
                        <w:szCs w:val="16"/>
                      </w:rPr>
                    </w:pPr>
                    <w:r>
                      <w:rPr>
                        <w:rFonts w:eastAsia="Calibri"/>
                        <w:b/>
                        <w:bCs/>
                        <w:sz w:val="16"/>
                        <w:szCs w:val="16"/>
                      </w:rPr>
                      <w:t>Pab.</w:t>
                    </w:r>
                  </w:p>
                </w:tc>
                <w:tc>
                  <w:tcPr>
                    <w:tcW w:w="1417" w:type="dxa"/>
                    <w:vMerge/>
                    <w:shd w:val="clear" w:color="auto" w:fill="DBE5F1"/>
                    <w:vAlign w:val="center"/>
                    <w:hideMark/>
                  </w:tcPr>
                  <w:p>
                    <w:pPr>
                      <w:jc w:val="center"/>
                      <w:rPr>
                        <w:b/>
                        <w:bCs/>
                        <w:sz w:val="18"/>
                        <w:szCs w:val="18"/>
                      </w:rPr>
                    </w:pPr>
                  </w:p>
                </w:tc>
                <w:tc>
                  <w:tcPr>
                    <w:tcW w:w="4111" w:type="dxa"/>
                    <w:vMerge/>
                    <w:shd w:val="clear" w:color="auto" w:fill="DBE5F1"/>
                    <w:vAlign w:val="center"/>
                    <w:hideMark/>
                  </w:tcPr>
                  <w:p>
                    <w:pPr>
                      <w:jc w:val="center"/>
                      <w:rPr>
                        <w:b/>
                        <w:bCs/>
                        <w:sz w:val="18"/>
                        <w:szCs w:val="18"/>
                      </w:rPr>
                    </w:pPr>
                  </w:p>
                </w:tc>
                <w:tc>
                  <w:tcPr>
                    <w:tcW w:w="1134" w:type="dxa"/>
                    <w:vMerge/>
                    <w:shd w:val="clear" w:color="auto" w:fill="DBE5F1"/>
                    <w:vAlign w:val="center"/>
                    <w:hideMark/>
                  </w:tcPr>
                  <w:p>
                    <w:pPr>
                      <w:jc w:val="center"/>
                      <w:rPr>
                        <w:b/>
                        <w:bCs/>
                        <w:sz w:val="18"/>
                        <w:szCs w:val="18"/>
                      </w:rPr>
                    </w:pPr>
                  </w:p>
                </w:tc>
                <w:tc>
                  <w:tcPr>
                    <w:tcW w:w="1134" w:type="dxa"/>
                    <w:shd w:val="clear" w:color="auto" w:fill="DBE5F1"/>
                    <w:vAlign w:val="center"/>
                    <w:hideMark/>
                  </w:tcPr>
                  <w:p>
                    <w:pPr>
                      <w:jc w:val="center"/>
                      <w:rPr>
                        <w:b/>
                        <w:bCs/>
                        <w:sz w:val="18"/>
                        <w:szCs w:val="18"/>
                      </w:rPr>
                    </w:pPr>
                    <w:r>
                      <w:rPr>
                        <w:rFonts w:eastAsia="Calibri"/>
                        <w:b/>
                        <w:bCs/>
                        <w:sz w:val="18"/>
                        <w:szCs w:val="18"/>
                      </w:rPr>
                      <w:t>Laikotarp. pradž.</w:t>
                    </w:r>
                    <w:r>
                      <w:rPr>
                        <w:rFonts w:eastAsia="Calibri"/>
                        <w:b/>
                        <w:bCs/>
                        <w:sz w:val="18"/>
                        <w:szCs w:val="18"/>
                        <w:vertAlign w:val="superscript"/>
                      </w:rPr>
                      <w:footnoteReference w:id="3"/>
                    </w:r>
                  </w:p>
                </w:tc>
                <w:tc>
                  <w:tcPr>
                    <w:tcW w:w="1134" w:type="dxa"/>
                    <w:shd w:val="clear" w:color="auto" w:fill="DBE5F1"/>
                    <w:vAlign w:val="center"/>
                    <w:hideMark/>
                  </w:tcPr>
                  <w:p>
                    <w:pPr>
                      <w:jc w:val="center"/>
                      <w:rPr>
                        <w:b/>
                        <w:bCs/>
                        <w:sz w:val="18"/>
                        <w:szCs w:val="18"/>
                      </w:rPr>
                    </w:pPr>
                    <w:r>
                      <w:rPr>
                        <w:rFonts w:eastAsia="Calibri"/>
                        <w:b/>
                        <w:bCs/>
                        <w:sz w:val="18"/>
                        <w:szCs w:val="18"/>
                      </w:rPr>
                      <w:t>Laikotarp. pab.</w:t>
                    </w:r>
                    <w:r>
                      <w:rPr>
                        <w:rFonts w:eastAsia="Calibri"/>
                        <w:b/>
                        <w:bCs/>
                        <w:sz w:val="18"/>
                        <w:szCs w:val="18"/>
                        <w:vertAlign w:val="superscript"/>
                      </w:rPr>
                      <w:footnoteReference w:id="4"/>
                    </w:r>
                  </w:p>
                </w:tc>
              </w:tr>
              <w:tr>
                <w:trPr>
                  <w:trHeight w:val="551"/>
                  <w:jc w:val="center"/>
                </w:trPr>
                <w:tc>
                  <w:tcPr>
                    <w:tcW w:w="988" w:type="dxa"/>
                    <w:vMerge w:val="restart"/>
                    <w:shd w:val="clear" w:color="auto" w:fill="FFD966"/>
                    <w:noWrap/>
                    <w:vAlign w:val="center"/>
                    <w:hideMark/>
                  </w:tcPr>
                  <w:p>
                    <w:pPr>
                      <w:rPr>
                        <w:b/>
                        <w:bCs/>
                        <w:sz w:val="20"/>
                      </w:rPr>
                    </w:pPr>
                    <w:r>
                      <w:rPr>
                        <w:b/>
                        <w:bCs/>
                        <w:sz w:val="20"/>
                      </w:rPr>
                      <w:t>11</w:t>
                    </w:r>
                  </w:p>
                </w:tc>
                <w:tc>
                  <w:tcPr>
                    <w:tcW w:w="2126" w:type="dxa"/>
                    <w:vMerge w:val="restart"/>
                    <w:shd w:val="clear" w:color="auto" w:fill="FFD966"/>
                    <w:vAlign w:val="center"/>
                    <w:hideMark/>
                  </w:tcPr>
                  <w:p>
                    <w:pPr>
                      <w:rPr>
                        <w:b/>
                        <w:bCs/>
                        <w:sz w:val="20"/>
                      </w:rPr>
                    </w:pPr>
                    <w:r>
                      <w:rPr>
                        <w:b/>
                        <w:bCs/>
                        <w:sz w:val="20"/>
                      </w:rPr>
                      <w:t>Užtikrinti pažangų, efektyvų ir įtraukų Savivaldybės darbą</w:t>
                    </w:r>
                  </w:p>
                </w:tc>
                <w:tc>
                  <w:tcPr>
                    <w:tcW w:w="850" w:type="dxa"/>
                    <w:vMerge w:val="restart"/>
                    <w:shd w:val="clear" w:color="auto" w:fill="FFD966"/>
                    <w:vAlign w:val="center"/>
                    <w:hideMark/>
                  </w:tcPr>
                  <w:p>
                    <w:pPr>
                      <w:jc w:val="center"/>
                      <w:rPr>
                        <w:sz w:val="20"/>
                      </w:rPr>
                    </w:pPr>
                    <w:r>
                      <w:rPr>
                        <w:sz w:val="20"/>
                      </w:rPr>
                      <w:t>BRS</w:t>
                    </w:r>
                  </w:p>
                </w:tc>
                <w:tc>
                  <w:tcPr>
                    <w:tcW w:w="709" w:type="dxa"/>
                    <w:vMerge w:val="restart"/>
                    <w:shd w:val="clear" w:color="auto" w:fill="FFD966"/>
                    <w:vAlign w:val="center"/>
                    <w:hideMark/>
                  </w:tcPr>
                  <w:p>
                    <w:pPr>
                      <w:jc w:val="center"/>
                      <w:rPr>
                        <w:sz w:val="20"/>
                      </w:rPr>
                    </w:pPr>
                    <w:r>
                      <w:rPr>
                        <w:sz w:val="20"/>
                      </w:rPr>
                      <w:t>2025</w:t>
                    </w:r>
                  </w:p>
                </w:tc>
                <w:tc>
                  <w:tcPr>
                    <w:tcW w:w="709" w:type="dxa"/>
                    <w:vMerge w:val="restart"/>
                    <w:shd w:val="clear" w:color="auto" w:fill="FFD966"/>
                    <w:vAlign w:val="center"/>
                    <w:hideMark/>
                  </w:tcPr>
                  <w:p>
                    <w:pPr>
                      <w:jc w:val="center"/>
                      <w:rPr>
                        <w:sz w:val="20"/>
                      </w:rPr>
                    </w:pPr>
                    <w:r>
                      <w:rPr>
                        <w:sz w:val="20"/>
                      </w:rPr>
                      <w:t>2033</w:t>
                    </w:r>
                  </w:p>
                </w:tc>
                <w:tc>
                  <w:tcPr>
                    <w:tcW w:w="1417" w:type="dxa"/>
                    <w:shd w:val="clear" w:color="auto" w:fill="FFD966"/>
                    <w:vAlign w:val="center"/>
                    <w:hideMark/>
                  </w:tcPr>
                  <w:p>
                    <w:pPr>
                      <w:rPr>
                        <w:sz w:val="20"/>
                      </w:rPr>
                    </w:pPr>
                    <w:r>
                      <w:rPr>
                        <w:sz w:val="20"/>
                      </w:rPr>
                      <w:t>P-11-01</w:t>
                    </w:r>
                  </w:p>
                </w:tc>
                <w:tc>
                  <w:tcPr>
                    <w:tcW w:w="4111" w:type="dxa"/>
                    <w:shd w:val="clear" w:color="auto" w:fill="FFD966"/>
                    <w:vAlign w:val="center"/>
                    <w:hideMark/>
                  </w:tcPr>
                  <w:p>
                    <w:pPr>
                      <w:rPr>
                        <w:sz w:val="20"/>
                      </w:rPr>
                    </w:pPr>
                    <w:r>
                      <w:rPr>
                        <w:sz w:val="20"/>
                      </w:rPr>
                      <w:t>Gyventojų pasitenkinimas savivaldybės administracijos darbu (proc.)</w:t>
                    </w:r>
                  </w:p>
                </w:tc>
                <w:tc>
                  <w:tcPr>
                    <w:tcW w:w="1134" w:type="dxa"/>
                    <w:shd w:val="clear" w:color="auto" w:fill="FFD966"/>
                    <w:vAlign w:val="center"/>
                    <w:hideMark/>
                  </w:tcPr>
                  <w:p>
                    <w:pPr>
                      <w:jc w:val="center"/>
                      <w:rPr>
                        <w:sz w:val="20"/>
                      </w:rPr>
                    </w:pPr>
                    <w:r>
                      <w:rPr>
                        <w:sz w:val="20"/>
                      </w:rPr>
                      <w:t>Tyrimas (AAS)</w:t>
                    </w:r>
                  </w:p>
                </w:tc>
                <w:tc>
                  <w:tcPr>
                    <w:tcW w:w="1134" w:type="dxa"/>
                    <w:shd w:val="clear" w:color="auto" w:fill="FFD966"/>
                    <w:vAlign w:val="center"/>
                    <w:hideMark/>
                  </w:tcPr>
                  <w:p>
                    <w:pPr>
                      <w:jc w:val="center"/>
                      <w:rPr>
                        <w:sz w:val="20"/>
                      </w:rPr>
                    </w:pPr>
                    <w:r>
                      <w:rPr>
                        <w:sz w:val="20"/>
                      </w:rPr>
                      <w:t>7,1 (2023)</w:t>
                    </w:r>
                  </w:p>
                </w:tc>
                <w:tc>
                  <w:tcPr>
                    <w:tcW w:w="1134" w:type="dxa"/>
                    <w:shd w:val="clear" w:color="auto" w:fill="FFD966"/>
                    <w:vAlign w:val="center"/>
                    <w:hideMark/>
                  </w:tcPr>
                  <w:p>
                    <w:pPr>
                      <w:jc w:val="center"/>
                      <w:rPr>
                        <w:sz w:val="20"/>
                      </w:rPr>
                    </w:pPr>
                    <w:r>
                      <w:rPr>
                        <w:sz w:val="20"/>
                      </w:rPr>
                      <w:t>7,6 (2033)</w:t>
                    </w:r>
                  </w:p>
                </w:tc>
              </w:tr>
              <w:tr>
                <w:trPr>
                  <w:trHeight w:val="559"/>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1417" w:type="dxa"/>
                    <w:shd w:val="clear" w:color="auto" w:fill="FFD966"/>
                    <w:vAlign w:val="center"/>
                    <w:hideMark/>
                  </w:tcPr>
                  <w:p>
                    <w:pPr>
                      <w:rPr>
                        <w:sz w:val="20"/>
                      </w:rPr>
                    </w:pPr>
                    <w:r>
                      <w:rPr>
                        <w:sz w:val="20"/>
                      </w:rPr>
                      <w:t>P-11-02</w:t>
                    </w:r>
                  </w:p>
                </w:tc>
                <w:tc>
                  <w:tcPr>
                    <w:tcW w:w="4111" w:type="dxa"/>
                    <w:shd w:val="clear" w:color="auto" w:fill="FFD966"/>
                    <w:vAlign w:val="center"/>
                    <w:hideMark/>
                  </w:tcPr>
                  <w:p>
                    <w:pPr>
                      <w:rPr>
                        <w:sz w:val="20"/>
                      </w:rPr>
                    </w:pPr>
                    <w:r>
                      <w:rPr>
                        <w:sz w:val="20"/>
                      </w:rPr>
                      <w:t>El. būdu teikiamų paslaugų dalis nuo visų galimų teikti el. būdu paslaugų (proc.)</w:t>
                    </w:r>
                  </w:p>
                </w:tc>
                <w:tc>
                  <w:tcPr>
                    <w:tcW w:w="1134" w:type="dxa"/>
                    <w:shd w:val="clear" w:color="auto" w:fill="FFD966"/>
                    <w:vAlign w:val="center"/>
                    <w:hideMark/>
                  </w:tcPr>
                  <w:p>
                    <w:pPr>
                      <w:jc w:val="center"/>
                      <w:rPr>
                        <w:sz w:val="20"/>
                      </w:rPr>
                    </w:pPr>
                    <w:r>
                      <w:rPr>
                        <w:sz w:val="20"/>
                      </w:rPr>
                      <w:t>ŠMSA (AAS)</w:t>
                    </w:r>
                  </w:p>
                </w:tc>
                <w:tc>
                  <w:tcPr>
                    <w:tcW w:w="1134" w:type="dxa"/>
                    <w:shd w:val="clear" w:color="auto" w:fill="FFD966"/>
                    <w:vAlign w:val="center"/>
                    <w:hideMark/>
                  </w:tcPr>
                  <w:p>
                    <w:pPr>
                      <w:jc w:val="center"/>
                      <w:rPr>
                        <w:sz w:val="20"/>
                      </w:rPr>
                    </w:pPr>
                    <w:r>
                      <w:rPr>
                        <w:sz w:val="20"/>
                      </w:rPr>
                      <w:t>74,9 (2022)</w:t>
                    </w:r>
                  </w:p>
                </w:tc>
                <w:tc>
                  <w:tcPr>
                    <w:tcW w:w="1134" w:type="dxa"/>
                    <w:shd w:val="clear" w:color="auto" w:fill="FFD966"/>
                    <w:vAlign w:val="center"/>
                    <w:hideMark/>
                  </w:tcPr>
                  <w:p>
                    <w:pPr>
                      <w:jc w:val="center"/>
                      <w:rPr>
                        <w:sz w:val="20"/>
                      </w:rPr>
                    </w:pPr>
                    <w:r>
                      <w:rPr>
                        <w:sz w:val="20"/>
                      </w:rPr>
                      <w:t>100 (2033)</w:t>
                    </w:r>
                  </w:p>
                </w:tc>
              </w:tr>
              <w:tr>
                <w:trPr>
                  <w:trHeight w:val="519"/>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1417" w:type="dxa"/>
                    <w:shd w:val="clear" w:color="auto" w:fill="FFD966"/>
                    <w:vAlign w:val="center"/>
                    <w:hideMark/>
                  </w:tcPr>
                  <w:p>
                    <w:pPr>
                      <w:rPr>
                        <w:sz w:val="20"/>
                      </w:rPr>
                    </w:pPr>
                    <w:r>
                      <w:rPr>
                        <w:sz w:val="20"/>
                      </w:rPr>
                      <w:t>P-11-03</w:t>
                    </w:r>
                  </w:p>
                </w:tc>
                <w:tc>
                  <w:tcPr>
                    <w:tcW w:w="4111" w:type="dxa"/>
                    <w:shd w:val="clear" w:color="auto" w:fill="FFD966"/>
                    <w:vAlign w:val="center"/>
                    <w:hideMark/>
                  </w:tcPr>
                  <w:p>
                    <w:pPr>
                      <w:rPr>
                        <w:sz w:val="20"/>
                      </w:rPr>
                    </w:pPr>
                    <w:r>
                      <w:rPr>
                        <w:sz w:val="20"/>
                      </w:rPr>
                      <w:t>Patvirtintų pareigybių skaičius savivaldybės administracijoje, tenkantis 1 tūkst. nuolatinių gyventojų (asm. per metus)</w:t>
                    </w:r>
                  </w:p>
                </w:tc>
                <w:tc>
                  <w:tcPr>
                    <w:tcW w:w="1134" w:type="dxa"/>
                    <w:shd w:val="clear" w:color="auto" w:fill="FFD966"/>
                    <w:vAlign w:val="center"/>
                    <w:hideMark/>
                  </w:tcPr>
                  <w:p>
                    <w:pPr>
                      <w:jc w:val="center"/>
                      <w:rPr>
                        <w:sz w:val="20"/>
                      </w:rPr>
                    </w:pPr>
                    <w:r>
                      <w:rPr>
                        <w:sz w:val="20"/>
                      </w:rPr>
                      <w:t>ŠMSA (PS)</w:t>
                    </w:r>
                  </w:p>
                </w:tc>
                <w:tc>
                  <w:tcPr>
                    <w:tcW w:w="1134" w:type="dxa"/>
                    <w:shd w:val="clear" w:color="auto" w:fill="FFD966"/>
                    <w:vAlign w:val="center"/>
                    <w:hideMark/>
                  </w:tcPr>
                  <w:p>
                    <w:pPr>
                      <w:jc w:val="center"/>
                      <w:rPr>
                        <w:sz w:val="20"/>
                      </w:rPr>
                    </w:pPr>
                    <w:r>
                      <w:rPr>
                        <w:sz w:val="20"/>
                      </w:rPr>
                      <w:t>2,5 (2023)</w:t>
                    </w:r>
                  </w:p>
                </w:tc>
                <w:tc>
                  <w:tcPr>
                    <w:tcW w:w="1134" w:type="dxa"/>
                    <w:shd w:val="clear" w:color="auto" w:fill="FFD966"/>
                    <w:vAlign w:val="center"/>
                    <w:hideMark/>
                  </w:tcPr>
                  <w:p>
                    <w:pPr>
                      <w:jc w:val="center"/>
                      <w:rPr>
                        <w:sz w:val="20"/>
                      </w:rPr>
                    </w:pPr>
                    <w:r>
                      <w:rPr>
                        <w:sz w:val="20"/>
                      </w:rPr>
                      <w:t>2,6 (2033)</w:t>
                    </w:r>
                  </w:p>
                </w:tc>
              </w:tr>
              <w:tr>
                <w:trPr>
                  <w:trHeight w:val="649"/>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1417" w:type="dxa"/>
                    <w:shd w:val="clear" w:color="auto" w:fill="FFD966"/>
                    <w:vAlign w:val="center"/>
                    <w:hideMark/>
                  </w:tcPr>
                  <w:p>
                    <w:pPr>
                      <w:rPr>
                        <w:sz w:val="20"/>
                      </w:rPr>
                    </w:pPr>
                    <w:r>
                      <w:rPr>
                        <w:sz w:val="20"/>
                      </w:rPr>
                      <w:t>P-11-04</w:t>
                    </w:r>
                  </w:p>
                </w:tc>
                <w:tc>
                  <w:tcPr>
                    <w:tcW w:w="4111" w:type="dxa"/>
                    <w:shd w:val="clear" w:color="auto" w:fill="FFD966"/>
                    <w:vAlign w:val="center"/>
                    <w:hideMark/>
                  </w:tcPr>
                  <w:p>
                    <w:pPr>
                      <w:rPr>
                        <w:sz w:val="20"/>
                      </w:rPr>
                    </w:pPr>
                    <w:r>
                      <w:rPr>
                        <w:sz w:val="20"/>
                      </w:rPr>
                      <w:t>Savivaldybės biudžetas, tenkantis vienam Šiaulių miesto nuolatiniam gyventojui (Eur per metus)</w:t>
                    </w:r>
                  </w:p>
                </w:tc>
                <w:tc>
                  <w:tcPr>
                    <w:tcW w:w="1134" w:type="dxa"/>
                    <w:shd w:val="clear" w:color="auto" w:fill="FFD966"/>
                    <w:vAlign w:val="center"/>
                    <w:hideMark/>
                  </w:tcPr>
                  <w:p>
                    <w:pPr>
                      <w:jc w:val="center"/>
                      <w:rPr>
                        <w:sz w:val="20"/>
                      </w:rPr>
                    </w:pPr>
                    <w:r>
                      <w:rPr>
                        <w:sz w:val="20"/>
                      </w:rPr>
                      <w:t>ŠMSA (SPFS)</w:t>
                    </w:r>
                  </w:p>
                </w:tc>
                <w:tc>
                  <w:tcPr>
                    <w:tcW w:w="1134" w:type="dxa"/>
                    <w:shd w:val="clear" w:color="auto" w:fill="FFD966"/>
                    <w:vAlign w:val="center"/>
                    <w:hideMark/>
                  </w:tcPr>
                  <w:p>
                    <w:pPr>
                      <w:jc w:val="center"/>
                      <w:rPr>
                        <w:sz w:val="20"/>
                      </w:rPr>
                    </w:pPr>
                    <w:r>
                      <w:rPr>
                        <w:sz w:val="20"/>
                      </w:rPr>
                      <w:t>2104 (2023)</w:t>
                    </w:r>
                  </w:p>
                </w:tc>
                <w:tc>
                  <w:tcPr>
                    <w:tcW w:w="1134" w:type="dxa"/>
                    <w:shd w:val="clear" w:color="auto" w:fill="FFD966"/>
                    <w:vAlign w:val="center"/>
                    <w:hideMark/>
                  </w:tcPr>
                  <w:p>
                    <w:pPr>
                      <w:jc w:val="center"/>
                      <w:rPr>
                        <w:sz w:val="20"/>
                      </w:rPr>
                    </w:pPr>
                    <w:r>
                      <w:rPr>
                        <w:sz w:val="20"/>
                      </w:rPr>
                      <w:t>3376 (2033)</w:t>
                    </w:r>
                  </w:p>
                </w:tc>
              </w:tr>
              <w:tr>
                <w:trPr>
                  <w:trHeight w:val="780"/>
                  <w:jc w:val="center"/>
                </w:trPr>
                <w:tc>
                  <w:tcPr>
                    <w:tcW w:w="988" w:type="dxa"/>
                    <w:vMerge w:val="restart"/>
                    <w:shd w:val="clear" w:color="auto" w:fill="FCE4D6"/>
                    <w:noWrap/>
                    <w:vAlign w:val="center"/>
                    <w:hideMark/>
                  </w:tcPr>
                  <w:p>
                    <w:pPr>
                      <w:rPr>
                        <w:b/>
                        <w:bCs/>
                        <w:sz w:val="20"/>
                      </w:rPr>
                    </w:pPr>
                    <w:r>
                      <w:rPr>
                        <w:b/>
                        <w:bCs/>
                        <w:sz w:val="20"/>
                      </w:rPr>
                      <w:t>11-01</w:t>
                    </w:r>
                  </w:p>
                </w:tc>
                <w:tc>
                  <w:tcPr>
                    <w:tcW w:w="2126" w:type="dxa"/>
                    <w:vMerge w:val="restart"/>
                    <w:shd w:val="clear" w:color="auto" w:fill="FCE4D6"/>
                    <w:vAlign w:val="center"/>
                    <w:hideMark/>
                  </w:tcPr>
                  <w:p>
                    <w:pPr>
                      <w:rPr>
                        <w:b/>
                        <w:bCs/>
                        <w:sz w:val="20"/>
                      </w:rPr>
                    </w:pPr>
                    <w:r>
                      <w:rPr>
                        <w:b/>
                        <w:bCs/>
                        <w:sz w:val="20"/>
                      </w:rPr>
                      <w:t>Gerinti veiklos valdymą ir efektyviai išnaudoti pažangius skaitmeninius sprendimus teikiant paslaugas</w:t>
                    </w:r>
                  </w:p>
                </w:tc>
                <w:tc>
                  <w:tcPr>
                    <w:tcW w:w="850" w:type="dxa"/>
                    <w:vMerge w:val="restart"/>
                    <w:shd w:val="clear" w:color="auto" w:fill="FCE4D6"/>
                    <w:vAlign w:val="center"/>
                    <w:hideMark/>
                  </w:tcPr>
                  <w:p>
                    <w:pPr>
                      <w:jc w:val="center"/>
                      <w:rPr>
                        <w:sz w:val="20"/>
                      </w:rPr>
                    </w:pPr>
                    <w:r>
                      <w:rPr>
                        <w:sz w:val="20"/>
                      </w:rPr>
                      <w:t>AD</w:t>
                    </w:r>
                  </w:p>
                </w:tc>
                <w:tc>
                  <w:tcPr>
                    <w:tcW w:w="709" w:type="dxa"/>
                    <w:vMerge w:val="restart"/>
                    <w:shd w:val="clear" w:color="auto" w:fill="FCE4D6"/>
                    <w:vAlign w:val="center"/>
                    <w:hideMark/>
                  </w:tcPr>
                  <w:p>
                    <w:pPr>
                      <w:jc w:val="center"/>
                      <w:rPr>
                        <w:sz w:val="20"/>
                      </w:rPr>
                    </w:pPr>
                    <w:r>
                      <w:rPr>
                        <w:sz w:val="20"/>
                      </w:rPr>
                      <w:t>2025</w:t>
                    </w:r>
                  </w:p>
                </w:tc>
                <w:tc>
                  <w:tcPr>
                    <w:tcW w:w="709" w:type="dxa"/>
                    <w:vMerge w:val="restart"/>
                    <w:shd w:val="clear" w:color="auto" w:fill="FCE4D6"/>
                    <w:vAlign w:val="center"/>
                    <w:hideMark/>
                  </w:tcPr>
                  <w:p>
                    <w:pPr>
                      <w:jc w:val="center"/>
                      <w:rPr>
                        <w:sz w:val="20"/>
                      </w:rPr>
                    </w:pPr>
                    <w:r>
                      <w:rPr>
                        <w:sz w:val="20"/>
                      </w:rPr>
                      <w:t>2033</w:t>
                    </w:r>
                  </w:p>
                </w:tc>
                <w:tc>
                  <w:tcPr>
                    <w:tcW w:w="1417" w:type="dxa"/>
                    <w:shd w:val="clear" w:color="auto" w:fill="FCE4D6"/>
                    <w:vAlign w:val="center"/>
                    <w:hideMark/>
                  </w:tcPr>
                  <w:p>
                    <w:pPr>
                      <w:rPr>
                        <w:sz w:val="20"/>
                      </w:rPr>
                    </w:pPr>
                    <w:r>
                      <w:rPr>
                        <w:sz w:val="20"/>
                      </w:rPr>
                      <w:t>R-11-01-01</w:t>
                    </w:r>
                  </w:p>
                </w:tc>
                <w:tc>
                  <w:tcPr>
                    <w:tcW w:w="4111" w:type="dxa"/>
                    <w:shd w:val="clear" w:color="auto" w:fill="FCE4D6"/>
                    <w:vAlign w:val="center"/>
                    <w:hideMark/>
                  </w:tcPr>
                  <w:p>
                    <w:pPr>
                      <w:rPr>
                        <w:sz w:val="20"/>
                      </w:rPr>
                    </w:pPr>
                    <w:r>
                      <w:rPr>
                        <w:sz w:val="20"/>
                      </w:rPr>
                      <w:t>Savivaldybės biudžetas, tenkantis vienai patvirtintai pareigybei savivaldybės administracijoje (mln. Eur per metus)</w:t>
                    </w:r>
                  </w:p>
                </w:tc>
                <w:tc>
                  <w:tcPr>
                    <w:tcW w:w="1134" w:type="dxa"/>
                    <w:shd w:val="clear" w:color="auto" w:fill="FCE4D6"/>
                    <w:vAlign w:val="center"/>
                    <w:hideMark/>
                  </w:tcPr>
                  <w:p>
                    <w:pPr>
                      <w:jc w:val="center"/>
                      <w:rPr>
                        <w:sz w:val="20"/>
                      </w:rPr>
                    </w:pPr>
                    <w:r>
                      <w:rPr>
                        <w:sz w:val="20"/>
                      </w:rPr>
                      <w:t>ŠMSA (SPFS)</w:t>
                    </w:r>
                  </w:p>
                </w:tc>
                <w:tc>
                  <w:tcPr>
                    <w:tcW w:w="1134" w:type="dxa"/>
                    <w:shd w:val="clear" w:color="auto" w:fill="FCE4D6"/>
                    <w:vAlign w:val="center"/>
                    <w:hideMark/>
                  </w:tcPr>
                  <w:p>
                    <w:pPr>
                      <w:jc w:val="center"/>
                      <w:rPr>
                        <w:sz w:val="20"/>
                      </w:rPr>
                    </w:pPr>
                    <w:r>
                      <w:rPr>
                        <w:sz w:val="20"/>
                      </w:rPr>
                      <w:t>0,82 (2023)</w:t>
                    </w:r>
                  </w:p>
                </w:tc>
                <w:tc>
                  <w:tcPr>
                    <w:tcW w:w="1134" w:type="dxa"/>
                    <w:shd w:val="clear" w:color="auto" w:fill="FCE4D6"/>
                    <w:vAlign w:val="center"/>
                    <w:hideMark/>
                  </w:tcPr>
                  <w:p>
                    <w:pPr>
                      <w:jc w:val="center"/>
                      <w:rPr>
                        <w:sz w:val="20"/>
                      </w:rPr>
                    </w:pPr>
                    <w:r>
                      <w:rPr>
                        <w:sz w:val="20"/>
                      </w:rPr>
                      <w:t>1,3 (2033)</w:t>
                    </w:r>
                  </w:p>
                </w:tc>
              </w:tr>
              <w:tr>
                <w:trPr>
                  <w:trHeight w:val="53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sz w:val="20"/>
                      </w:rPr>
                    </w:pPr>
                    <w:r>
                      <w:rPr>
                        <w:sz w:val="20"/>
                      </w:rPr>
                      <w:t>R-11-01-02</w:t>
                    </w:r>
                  </w:p>
                </w:tc>
                <w:tc>
                  <w:tcPr>
                    <w:tcW w:w="4111" w:type="dxa"/>
                    <w:shd w:val="clear" w:color="auto" w:fill="FCE4D6"/>
                    <w:vAlign w:val="center"/>
                    <w:hideMark/>
                  </w:tcPr>
                  <w:p>
                    <w:pPr>
                      <w:rPr>
                        <w:sz w:val="20"/>
                      </w:rPr>
                    </w:pPr>
                    <w:r>
                      <w:rPr>
                        <w:sz w:val="20"/>
                      </w:rPr>
                      <w:t>Vieta pagal lyčių lygybės stebėsenos savivaldybėse rodiklius (v.)</w:t>
                    </w:r>
                  </w:p>
                </w:tc>
                <w:tc>
                  <w:tcPr>
                    <w:tcW w:w="1134" w:type="dxa"/>
                    <w:shd w:val="clear" w:color="auto" w:fill="FCE4D6"/>
                    <w:vAlign w:val="center"/>
                    <w:hideMark/>
                  </w:tcPr>
                  <w:p>
                    <w:pPr>
                      <w:jc w:val="center"/>
                      <w:rPr>
                        <w:sz w:val="20"/>
                      </w:rPr>
                    </w:pPr>
                    <w:r>
                      <w:rPr>
                        <w:sz w:val="20"/>
                      </w:rPr>
                      <w:t>LGKT (KAAK)</w:t>
                    </w:r>
                  </w:p>
                </w:tc>
                <w:tc>
                  <w:tcPr>
                    <w:tcW w:w="1134" w:type="dxa"/>
                    <w:shd w:val="clear" w:color="auto" w:fill="FCE4D6"/>
                    <w:vAlign w:val="center"/>
                    <w:hideMark/>
                  </w:tcPr>
                  <w:p>
                    <w:pPr>
                      <w:jc w:val="center"/>
                      <w:rPr>
                        <w:sz w:val="20"/>
                      </w:rPr>
                    </w:pPr>
                    <w:r>
                      <w:rPr>
                        <w:sz w:val="20"/>
                      </w:rPr>
                      <w:t>21 (2022)</w:t>
                    </w:r>
                  </w:p>
                </w:tc>
                <w:tc>
                  <w:tcPr>
                    <w:tcW w:w="1134" w:type="dxa"/>
                    <w:shd w:val="clear" w:color="auto" w:fill="FCE4D6"/>
                    <w:vAlign w:val="center"/>
                    <w:hideMark/>
                  </w:tcPr>
                  <w:p>
                    <w:pPr>
                      <w:jc w:val="center"/>
                      <w:rPr>
                        <w:sz w:val="20"/>
                      </w:rPr>
                    </w:pPr>
                    <w:r>
                      <w:rPr>
                        <w:sz w:val="20"/>
                      </w:rPr>
                      <w:t>10 (2033)</w:t>
                    </w:r>
                  </w:p>
                </w:tc>
              </w:tr>
              <w:tr>
                <w:trPr>
                  <w:trHeight w:val="700"/>
                  <w:jc w:val="center"/>
                </w:trPr>
                <w:tc>
                  <w:tcPr>
                    <w:tcW w:w="988" w:type="dxa"/>
                    <w:vMerge w:val="restart"/>
                    <w:noWrap/>
                    <w:vAlign w:val="center"/>
                    <w:hideMark/>
                  </w:tcPr>
                  <w:p>
                    <w:pPr>
                      <w:rPr>
                        <w:sz w:val="20"/>
                      </w:rPr>
                    </w:pPr>
                    <w:r>
                      <w:rPr>
                        <w:sz w:val="20"/>
                      </w:rPr>
                      <w:t>11-01-01</w:t>
                    </w:r>
                  </w:p>
                </w:tc>
                <w:tc>
                  <w:tcPr>
                    <w:tcW w:w="2126" w:type="dxa"/>
                    <w:vMerge w:val="restart"/>
                    <w:vAlign w:val="center"/>
                    <w:hideMark/>
                  </w:tcPr>
                  <w:p>
                    <w:pPr>
                      <w:rPr>
                        <w:sz w:val="20"/>
                      </w:rPr>
                    </w:pPr>
                    <w:r>
                      <w:rPr>
                        <w:sz w:val="20"/>
                      </w:rPr>
                      <w:t>Didinti savivaldybės administracijos ir jos atliekamų funkcijų skaitmenizacijos lygį</w:t>
                    </w:r>
                  </w:p>
                </w:tc>
                <w:tc>
                  <w:tcPr>
                    <w:tcW w:w="850" w:type="dxa"/>
                    <w:vMerge w:val="restart"/>
                    <w:vAlign w:val="center"/>
                    <w:hideMark/>
                  </w:tcPr>
                  <w:p>
                    <w:pPr>
                      <w:jc w:val="center"/>
                      <w:rPr>
                        <w:sz w:val="20"/>
                      </w:rPr>
                    </w:pPr>
                    <w:r>
                      <w:rPr>
                        <w:sz w:val="20"/>
                      </w:rPr>
                      <w:t>BRS (ITP)</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P-11-01-01-01</w:t>
                    </w:r>
                  </w:p>
                </w:tc>
                <w:tc>
                  <w:tcPr>
                    <w:tcW w:w="4111" w:type="dxa"/>
                    <w:vAlign w:val="center"/>
                    <w:hideMark/>
                  </w:tcPr>
                  <w:p>
                    <w:pPr>
                      <w:rPr>
                        <w:sz w:val="20"/>
                      </w:rPr>
                    </w:pPr>
                    <w:r>
                      <w:rPr>
                        <w:sz w:val="20"/>
                      </w:rPr>
                      <w:t>Elektroniniu būdu suteiktų administracinių paslaugų dalis nuo visų suteiktų paslaugų (proc.)</w:t>
                    </w:r>
                  </w:p>
                </w:tc>
                <w:tc>
                  <w:tcPr>
                    <w:tcW w:w="1134" w:type="dxa"/>
                    <w:vAlign w:val="center"/>
                    <w:hideMark/>
                  </w:tcPr>
                  <w:p>
                    <w:pPr>
                      <w:jc w:val="center"/>
                      <w:rPr>
                        <w:sz w:val="20"/>
                      </w:rPr>
                    </w:pPr>
                    <w:r>
                      <w:rPr>
                        <w:sz w:val="20"/>
                      </w:rPr>
                      <w:t>AAS</w:t>
                    </w:r>
                  </w:p>
                </w:tc>
                <w:tc>
                  <w:tcPr>
                    <w:tcW w:w="1134" w:type="dxa"/>
                    <w:vAlign w:val="center"/>
                    <w:hideMark/>
                  </w:tcPr>
                  <w:p>
                    <w:pPr>
                      <w:jc w:val="center"/>
                      <w:rPr>
                        <w:sz w:val="20"/>
                      </w:rPr>
                    </w:pPr>
                    <w:r>
                      <w:rPr>
                        <w:sz w:val="20"/>
                      </w:rPr>
                      <w:t>22 (2023)</w:t>
                    </w:r>
                  </w:p>
                </w:tc>
                <w:tc>
                  <w:tcPr>
                    <w:tcW w:w="1134" w:type="dxa"/>
                    <w:vAlign w:val="center"/>
                    <w:hideMark/>
                  </w:tcPr>
                  <w:p>
                    <w:pPr>
                      <w:jc w:val="center"/>
                      <w:rPr>
                        <w:sz w:val="20"/>
                      </w:rPr>
                    </w:pPr>
                    <w:r>
                      <w:rPr>
                        <w:sz w:val="20"/>
                      </w:rPr>
                      <w:t>42 (2033)</w:t>
                    </w:r>
                  </w:p>
                </w:tc>
              </w:tr>
              <w:tr>
                <w:trPr>
                  <w:trHeight w:val="56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P-11-01-01-02</w:t>
                    </w:r>
                  </w:p>
                </w:tc>
                <w:tc>
                  <w:tcPr>
                    <w:tcW w:w="4111" w:type="dxa"/>
                    <w:vAlign w:val="center"/>
                    <w:hideMark/>
                  </w:tcPr>
                  <w:p>
                    <w:pPr>
                      <w:rPr>
                        <w:sz w:val="20"/>
                      </w:rPr>
                    </w:pPr>
                    <w:r>
                      <w:rPr>
                        <w:sz w:val="20"/>
                      </w:rPr>
                      <w:t>Elektroninių paslaugų teikimo brandos lygis (lygis)</w:t>
                    </w:r>
                  </w:p>
                </w:tc>
                <w:tc>
                  <w:tcPr>
                    <w:tcW w:w="1134" w:type="dxa"/>
                    <w:vAlign w:val="center"/>
                    <w:hideMark/>
                  </w:tcPr>
                  <w:p>
                    <w:pPr>
                      <w:jc w:val="center"/>
                      <w:rPr>
                        <w:sz w:val="20"/>
                      </w:rPr>
                    </w:pPr>
                    <w:r>
                      <w:rPr>
                        <w:sz w:val="20"/>
                      </w:rPr>
                      <w:t>ITP</w:t>
                    </w:r>
                  </w:p>
                </w:tc>
                <w:tc>
                  <w:tcPr>
                    <w:tcW w:w="1134" w:type="dxa"/>
                    <w:vAlign w:val="center"/>
                    <w:hideMark/>
                  </w:tcPr>
                  <w:p>
                    <w:pPr>
                      <w:jc w:val="center"/>
                      <w:rPr>
                        <w:sz w:val="20"/>
                      </w:rPr>
                    </w:pPr>
                    <w:r>
                      <w:rPr>
                        <w:sz w:val="20"/>
                      </w:rPr>
                      <w:t>II (2023)</w:t>
                    </w:r>
                  </w:p>
                </w:tc>
                <w:tc>
                  <w:tcPr>
                    <w:tcW w:w="1134" w:type="dxa"/>
                    <w:vAlign w:val="center"/>
                    <w:hideMark/>
                  </w:tcPr>
                  <w:p>
                    <w:pPr>
                      <w:jc w:val="center"/>
                      <w:rPr>
                        <w:sz w:val="20"/>
                      </w:rPr>
                    </w:pPr>
                    <w:r>
                      <w:rPr>
                        <w:sz w:val="20"/>
                      </w:rPr>
                      <w:t>IV (2033)</w:t>
                    </w:r>
                  </w:p>
                </w:tc>
              </w:tr>
              <w:tr>
                <w:trPr>
                  <w:trHeight w:val="408"/>
                  <w:jc w:val="center"/>
                </w:trPr>
                <w:tc>
                  <w:tcPr>
                    <w:tcW w:w="988" w:type="dxa"/>
                    <w:vMerge w:val="restart"/>
                    <w:noWrap/>
                    <w:vAlign w:val="center"/>
                    <w:hideMark/>
                  </w:tcPr>
                  <w:p>
                    <w:pPr>
                      <w:rPr>
                        <w:sz w:val="20"/>
                      </w:rPr>
                    </w:pPr>
                    <w:r>
                      <w:rPr>
                        <w:sz w:val="20"/>
                      </w:rPr>
                      <w:t>11-01-02</w:t>
                    </w:r>
                  </w:p>
                </w:tc>
                <w:tc>
                  <w:tcPr>
                    <w:tcW w:w="2126" w:type="dxa"/>
                    <w:vMerge w:val="restart"/>
                    <w:vAlign w:val="center"/>
                    <w:hideMark/>
                  </w:tcPr>
                  <w:p>
                    <w:pPr>
                      <w:rPr>
                        <w:sz w:val="20"/>
                      </w:rPr>
                    </w:pPr>
                    <w:r>
                      <w:rPr>
                        <w:sz w:val="20"/>
                      </w:rPr>
                      <w:t>Taikyti gerąsias valdymo praktikas Savivaldybėje ir jos valdomosiose įmonėse ir įstaigose</w:t>
                    </w:r>
                  </w:p>
                </w:tc>
                <w:tc>
                  <w:tcPr>
                    <w:tcW w:w="850" w:type="dxa"/>
                    <w:vMerge w:val="restart"/>
                    <w:vAlign w:val="center"/>
                    <w:hideMark/>
                  </w:tcPr>
                  <w:p>
                    <w:pPr>
                      <w:jc w:val="center"/>
                      <w:rPr>
                        <w:sz w:val="20"/>
                      </w:rPr>
                    </w:pPr>
                    <w:r>
                      <w:rPr>
                        <w:sz w:val="20"/>
                      </w:rPr>
                      <w:t>AD</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tcBorders>
                      <w:bottom w:val="single" w:sz="4" w:space="0" w:color="auto"/>
                    </w:tcBorders>
                    <w:vAlign w:val="center"/>
                    <w:hideMark/>
                  </w:tcPr>
                  <w:p>
                    <w:pPr>
                      <w:rPr>
                        <w:sz w:val="20"/>
                      </w:rPr>
                    </w:pPr>
                    <w:r>
                      <w:rPr>
                        <w:sz w:val="20"/>
                      </w:rPr>
                      <w:t>P-11-01-02-01</w:t>
                    </w:r>
                  </w:p>
                </w:tc>
                <w:tc>
                  <w:tcPr>
                    <w:tcW w:w="4111" w:type="dxa"/>
                    <w:tcBorders>
                      <w:bottom w:val="single" w:sz="4" w:space="0" w:color="auto"/>
                    </w:tcBorders>
                    <w:vAlign w:val="center"/>
                    <w:hideMark/>
                  </w:tcPr>
                  <w:p>
                    <w:pPr>
                      <w:rPr>
                        <w:sz w:val="20"/>
                      </w:rPr>
                    </w:pPr>
                    <w:r>
                      <w:rPr>
                        <w:sz w:val="20"/>
                      </w:rPr>
                      <w:t xml:space="preserve">Sukurtas pažangus Savivaldybės ir jos  įstaigų turto valdymo sprendimas (vnt.)</w:t>
                    </w:r>
                  </w:p>
                </w:tc>
                <w:tc>
                  <w:tcPr>
                    <w:tcW w:w="1134" w:type="dxa"/>
                    <w:tcBorders>
                      <w:bottom w:val="single" w:sz="4" w:space="0" w:color="auto"/>
                    </w:tcBorders>
                    <w:vAlign w:val="center"/>
                    <w:hideMark/>
                  </w:tcPr>
                  <w:p>
                    <w:pPr>
                      <w:jc w:val="center"/>
                      <w:rPr>
                        <w:sz w:val="20"/>
                      </w:rPr>
                    </w:pPr>
                    <w:r>
                      <w:rPr>
                        <w:sz w:val="20"/>
                      </w:rPr>
                      <w:t>TVS</w:t>
                    </w:r>
                  </w:p>
                </w:tc>
                <w:tc>
                  <w:tcPr>
                    <w:tcW w:w="1134" w:type="dxa"/>
                    <w:tcBorders>
                      <w:bottom w:val="single" w:sz="4" w:space="0" w:color="auto"/>
                    </w:tcBorders>
                    <w:vAlign w:val="center"/>
                    <w:hideMark/>
                  </w:tcPr>
                  <w:p>
                    <w:pPr>
                      <w:jc w:val="center"/>
                      <w:rPr>
                        <w:sz w:val="20"/>
                      </w:rPr>
                    </w:pPr>
                    <w:r>
                      <w:rPr>
                        <w:sz w:val="20"/>
                      </w:rPr>
                      <w:t>0 (2023)</w:t>
                    </w:r>
                  </w:p>
                </w:tc>
                <w:tc>
                  <w:tcPr>
                    <w:tcW w:w="1134" w:type="dxa"/>
                    <w:tcBorders>
                      <w:bottom w:val="single" w:sz="4" w:space="0" w:color="auto"/>
                    </w:tcBorders>
                    <w:vAlign w:val="center"/>
                    <w:hideMark/>
                  </w:tcPr>
                  <w:p>
                    <w:pPr>
                      <w:jc w:val="center"/>
                      <w:rPr>
                        <w:sz w:val="20"/>
                      </w:rPr>
                    </w:pPr>
                    <w:r>
                      <w:rPr>
                        <w:sz w:val="20"/>
                      </w:rPr>
                      <w:t>1 (2026)</w:t>
                    </w:r>
                  </w:p>
                </w:tc>
              </w:tr>
              <w:tr>
                <w:trPr>
                  <w:trHeight w:val="514"/>
                  <w:jc w:val="center"/>
                </w:trPr>
                <w:tc>
                  <w:tcPr>
                    <w:tcW w:w="988" w:type="dxa"/>
                    <w:vMerge/>
                    <w:vAlign w:val="center"/>
                  </w:tcPr>
                  <w:p>
                    <w:pPr>
                      <w:rPr>
                        <w:sz w:val="20"/>
                      </w:rPr>
                    </w:pPr>
                  </w:p>
                </w:tc>
                <w:tc>
                  <w:tcPr>
                    <w:tcW w:w="2126" w:type="dxa"/>
                    <w:vMerge/>
                    <w:vAlign w:val="center"/>
                  </w:tcPr>
                  <w:p>
                    <w:pPr>
                      <w:rPr>
                        <w:sz w:val="20"/>
                      </w:rPr>
                    </w:pPr>
                  </w:p>
                </w:tc>
                <w:tc>
                  <w:tcPr>
                    <w:tcW w:w="850" w:type="dxa"/>
                    <w:vMerge/>
                    <w:vAlign w:val="center"/>
                  </w:tcPr>
                  <w:p>
                    <w:pPr>
                      <w:rPr>
                        <w:sz w:val="20"/>
                      </w:rPr>
                    </w:pPr>
                  </w:p>
                </w:tc>
                <w:tc>
                  <w:tcPr>
                    <w:tcW w:w="709" w:type="dxa"/>
                    <w:vMerge/>
                    <w:vAlign w:val="center"/>
                  </w:tcPr>
                  <w:p>
                    <w:pPr>
                      <w:rPr>
                        <w:sz w:val="20"/>
                      </w:rPr>
                    </w:pPr>
                  </w:p>
                </w:tc>
                <w:tc>
                  <w:tcPr>
                    <w:tcW w:w="709" w:type="dxa"/>
                    <w:vMerge/>
                    <w:vAlign w:val="center"/>
                  </w:tcPr>
                  <w:p>
                    <w:pP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rFonts w:eastAsia="MS Mincho"/>
                        <w:color w:val="000000"/>
                        <w:kern w:val="2"/>
                        <w:sz w:val="20"/>
                      </w:rPr>
                      <w:t>P-11-01-02-02</w:t>
                    </w:r>
                  </w:p>
                </w:tc>
                <w:tc>
                  <w:tcPr>
                    <w:tcW w:w="4111" w:type="dxa"/>
                    <w:tcBorders>
                      <w:top w:val="single" w:sz="4" w:space="0" w:color="auto"/>
                      <w:left w:val="nil"/>
                      <w:bottom w:val="single" w:sz="4" w:space="0" w:color="auto"/>
                      <w:right w:val="single" w:sz="4" w:space="0" w:color="auto"/>
                    </w:tcBorders>
                    <w:shd w:val="clear" w:color="auto" w:fill="auto"/>
                    <w:vAlign w:val="center"/>
                  </w:tcPr>
                  <w:p>
                    <w:pPr>
                      <w:rPr>
                        <w:sz w:val="20"/>
                      </w:rPr>
                    </w:pPr>
                    <w:r>
                      <w:rPr>
                        <w:rFonts w:eastAsia="MS Mincho"/>
                        <w:color w:val="000000"/>
                        <w:kern w:val="2"/>
                        <w:sz w:val="20"/>
                      </w:rPr>
                      <w:t>Savivaldybės administracijos žaliųjų pirkimų vertės dalis, nuo visų pirkimų (proc.)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TS (VPP)</w:t>
                    </w:r>
                  </w:p>
                </w:tc>
                <w:tc>
                  <w:tcPr>
                    <w:tcW w:w="1134" w:type="dxa"/>
                    <w:tcBorders>
                      <w:top w:val="single" w:sz="4" w:space="0" w:color="auto"/>
                      <w:left w:val="nil"/>
                      <w:bottom w:val="single" w:sz="4" w:space="0" w:color="auto"/>
                      <w:right w:val="nil"/>
                    </w:tcBorders>
                    <w:shd w:val="clear" w:color="auto" w:fill="auto"/>
                    <w:vAlign w:val="center"/>
                  </w:tcPr>
                  <w:p>
                    <w:pPr>
                      <w:jc w:val="center"/>
                      <w:rPr>
                        <w:sz w:val="20"/>
                      </w:rPr>
                    </w:pPr>
                    <w:r>
                      <w:rPr>
                        <w:rFonts w:eastAsia="MS Mincho"/>
                        <w:kern w:val="2"/>
                        <w:sz w:val="20"/>
                      </w:rPr>
                      <w:t>96,2 (2023)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kern w:val="2"/>
                        <w:sz w:val="20"/>
                      </w:rPr>
                      <w:t>100 (2026)</w:t>
                    </w:r>
                  </w:p>
                </w:tc>
              </w:tr>
              <w:tr>
                <w:trPr>
                  <w:trHeight w:val="358"/>
                  <w:jc w:val="center"/>
                </w:trPr>
                <w:tc>
                  <w:tcPr>
                    <w:tcW w:w="988" w:type="dxa"/>
                    <w:vMerge/>
                    <w:vAlign w:val="center"/>
                  </w:tcPr>
                  <w:p>
                    <w:pPr>
                      <w:rPr>
                        <w:sz w:val="20"/>
                      </w:rPr>
                    </w:pPr>
                  </w:p>
                </w:tc>
                <w:tc>
                  <w:tcPr>
                    <w:tcW w:w="2126" w:type="dxa"/>
                    <w:vMerge/>
                    <w:vAlign w:val="center"/>
                  </w:tcPr>
                  <w:p>
                    <w:pPr>
                      <w:rPr>
                        <w:sz w:val="20"/>
                      </w:rPr>
                    </w:pPr>
                  </w:p>
                </w:tc>
                <w:tc>
                  <w:tcPr>
                    <w:tcW w:w="850" w:type="dxa"/>
                    <w:vMerge/>
                    <w:vAlign w:val="center"/>
                  </w:tcPr>
                  <w:p>
                    <w:pPr>
                      <w:rPr>
                        <w:sz w:val="20"/>
                      </w:rPr>
                    </w:pPr>
                  </w:p>
                </w:tc>
                <w:tc>
                  <w:tcPr>
                    <w:tcW w:w="709" w:type="dxa"/>
                    <w:vMerge/>
                    <w:vAlign w:val="center"/>
                  </w:tcPr>
                  <w:p>
                    <w:pPr>
                      <w:rPr>
                        <w:sz w:val="20"/>
                      </w:rPr>
                    </w:pPr>
                  </w:p>
                </w:tc>
                <w:tc>
                  <w:tcPr>
                    <w:tcW w:w="709" w:type="dxa"/>
                    <w:vMerge/>
                    <w:vAlign w:val="center"/>
                  </w:tcPr>
                  <w:p>
                    <w:pPr>
                      <w:rPr>
                        <w:sz w:val="20"/>
                      </w:rPr>
                    </w:pPr>
                  </w:p>
                </w:tc>
                <w:tc>
                  <w:tcPr>
                    <w:tcW w:w="1417" w:type="dxa"/>
                    <w:tcBorders>
                      <w:top w:val="single" w:sz="4" w:space="0" w:color="auto"/>
                    </w:tcBorders>
                    <w:vAlign w:val="center"/>
                  </w:tcPr>
                  <w:p>
                    <w:pPr>
                      <w:rPr>
                        <w:sz w:val="20"/>
                      </w:rPr>
                    </w:pPr>
                    <w:r>
                      <w:rPr>
                        <w:rFonts w:eastAsia="MS Mincho"/>
                        <w:color w:val="000000"/>
                        <w:kern w:val="2"/>
                        <w:sz w:val="20"/>
                      </w:rPr>
                      <w:t>P-11-01-02-03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rFonts w:eastAsia="MS Mincho"/>
                        <w:color w:val="000000"/>
                        <w:kern w:val="2"/>
                        <w:sz w:val="20"/>
                      </w:rPr>
                      <w:t xml:space="preserve">Pirkimų dalis, kuriuose pirkimų procese nustatomi socialiniai kriterijai (proc.)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TS (VPP)</w:t>
                    </w:r>
                  </w:p>
                </w:tc>
                <w:tc>
                  <w:tcPr>
                    <w:tcW w:w="1134" w:type="dxa"/>
                    <w:tcBorders>
                      <w:top w:val="single" w:sz="4" w:space="0" w:color="auto"/>
                      <w:left w:val="nil"/>
                      <w:bottom w:val="single" w:sz="4" w:space="0" w:color="auto"/>
                      <w:right w:val="nil"/>
                    </w:tcBorders>
                    <w:shd w:val="clear" w:color="auto" w:fill="auto"/>
                    <w:vAlign w:val="center"/>
                  </w:tcPr>
                  <w:p>
                    <w:pPr>
                      <w:jc w:val="center"/>
                      <w:rPr>
                        <w:sz w:val="20"/>
                      </w:rPr>
                    </w:pPr>
                    <w:r>
                      <w:rPr>
                        <w:rFonts w:eastAsia="MS Mincho"/>
                        <w:kern w:val="2"/>
                        <w:sz w:val="20"/>
                      </w:rPr>
                      <w:t>15 (2023)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kern w:val="2"/>
                        <w:sz w:val="20"/>
                      </w:rPr>
                      <w:t>60 (2033)</w:t>
                    </w:r>
                  </w:p>
                </w:tc>
              </w:tr>
              <w:tr>
                <w:trPr>
                  <w:trHeight w:val="591"/>
                  <w:jc w:val="center"/>
                </w:trPr>
                <w:tc>
                  <w:tcPr>
                    <w:tcW w:w="988" w:type="dxa"/>
                    <w:vMerge/>
                    <w:vAlign w:val="center"/>
                  </w:tcPr>
                  <w:p>
                    <w:pPr>
                      <w:rPr>
                        <w:sz w:val="20"/>
                      </w:rPr>
                    </w:pPr>
                  </w:p>
                </w:tc>
                <w:tc>
                  <w:tcPr>
                    <w:tcW w:w="2126" w:type="dxa"/>
                    <w:vMerge/>
                    <w:vAlign w:val="center"/>
                  </w:tcPr>
                  <w:p>
                    <w:pPr>
                      <w:rPr>
                        <w:sz w:val="20"/>
                      </w:rPr>
                    </w:pPr>
                  </w:p>
                </w:tc>
                <w:tc>
                  <w:tcPr>
                    <w:tcW w:w="850" w:type="dxa"/>
                    <w:vMerge/>
                    <w:vAlign w:val="center"/>
                  </w:tcPr>
                  <w:p>
                    <w:pPr>
                      <w:rPr>
                        <w:sz w:val="20"/>
                      </w:rPr>
                    </w:pPr>
                  </w:p>
                </w:tc>
                <w:tc>
                  <w:tcPr>
                    <w:tcW w:w="709" w:type="dxa"/>
                    <w:vMerge/>
                    <w:vAlign w:val="center"/>
                  </w:tcPr>
                  <w:p>
                    <w:pPr>
                      <w:rPr>
                        <w:sz w:val="20"/>
                      </w:rPr>
                    </w:pPr>
                  </w:p>
                </w:tc>
                <w:tc>
                  <w:tcPr>
                    <w:tcW w:w="709" w:type="dxa"/>
                    <w:vMerge/>
                    <w:vAlign w:val="center"/>
                  </w:tcPr>
                  <w:p>
                    <w:pPr>
                      <w:rPr>
                        <w:sz w:val="20"/>
                      </w:rPr>
                    </w:pPr>
                  </w:p>
                </w:tc>
                <w:tc>
                  <w:tcPr>
                    <w:tcW w:w="1417" w:type="dxa"/>
                    <w:tcBorders>
                      <w:top w:val="single" w:sz="4" w:space="0" w:color="auto"/>
                    </w:tcBorders>
                    <w:vAlign w:val="center"/>
                  </w:tcPr>
                  <w:p>
                    <w:pPr>
                      <w:rPr>
                        <w:sz w:val="20"/>
                      </w:rPr>
                    </w:pPr>
                    <w:r>
                      <w:rPr>
                        <w:sz w:val="20"/>
                      </w:rPr>
                      <w:t>P-11-01-02-04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rFonts w:eastAsia="MS Mincho"/>
                        <w:color w:val="000000"/>
                        <w:kern w:val="2"/>
                        <w:sz w:val="20"/>
                      </w:rPr>
                      <w:t>Savivaldybės administracijos inovatyvių pirkimų dalis, nuo visų pirkimų (išskyrus supaprastintus mažos vertės pirkimus) (proc.)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TS (VPP)</w:t>
                    </w:r>
                  </w:p>
                </w:tc>
                <w:tc>
                  <w:tcPr>
                    <w:tcW w:w="1134" w:type="dxa"/>
                    <w:tcBorders>
                      <w:top w:val="single" w:sz="4" w:space="0" w:color="auto"/>
                      <w:left w:val="nil"/>
                      <w:bottom w:val="single" w:sz="4" w:space="0" w:color="auto"/>
                      <w:right w:val="nil"/>
                    </w:tcBorders>
                    <w:shd w:val="clear" w:color="auto" w:fill="auto"/>
                    <w:vAlign w:val="center"/>
                  </w:tcPr>
                  <w:p>
                    <w:pPr>
                      <w:jc w:val="center"/>
                      <w:rPr>
                        <w:sz w:val="20"/>
                      </w:rPr>
                    </w:pPr>
                    <w:r>
                      <w:rPr>
                        <w:rFonts w:eastAsia="MS Mincho"/>
                        <w:kern w:val="2"/>
                        <w:sz w:val="20"/>
                      </w:rPr>
                      <w:t>0,14 (2023)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kern w:val="2"/>
                        <w:sz w:val="20"/>
                      </w:rPr>
                      <w:t>20 (2033)</w:t>
                    </w:r>
                  </w:p>
                </w:tc>
              </w:tr>
              <w:tr>
                <w:trPr>
                  <w:trHeight w:val="884"/>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P-11-01-02-05</w:t>
                    </w:r>
                  </w:p>
                </w:tc>
                <w:tc>
                  <w:tcPr>
                    <w:tcW w:w="4111" w:type="dxa"/>
                    <w:vAlign w:val="center"/>
                    <w:hideMark/>
                  </w:tcPr>
                  <w:p>
                    <w:pPr>
                      <w:rPr>
                        <w:sz w:val="20"/>
                      </w:rPr>
                    </w:pPr>
                    <w:r>
                      <w:rPr>
                        <w:sz w:val="20"/>
                      </w:rPr>
                      <w:t>Savivaldybės biudžetinių įstaigų, organizuojančių anoniminę darbuotojų apklausą tolerancijos korupcijai indeksui nustatyti, dalis (proc.)</w:t>
                    </w:r>
                  </w:p>
                </w:tc>
                <w:tc>
                  <w:tcPr>
                    <w:tcW w:w="1134" w:type="dxa"/>
                    <w:vAlign w:val="center"/>
                    <w:hideMark/>
                  </w:tcPr>
                  <w:p>
                    <w:pPr>
                      <w:jc w:val="center"/>
                      <w:rPr>
                        <w:sz w:val="20"/>
                      </w:rPr>
                    </w:pPr>
                    <w:r>
                      <w:rPr>
                        <w:sz w:val="20"/>
                      </w:rPr>
                      <w:t>KAAK</w:t>
                    </w:r>
                  </w:p>
                </w:tc>
                <w:tc>
                  <w:tcPr>
                    <w:tcW w:w="1134" w:type="dxa"/>
                    <w:vAlign w:val="center"/>
                    <w:hideMark/>
                  </w:tcPr>
                  <w:p>
                    <w:pPr>
                      <w:jc w:val="center"/>
                      <w:rPr>
                        <w:sz w:val="20"/>
                      </w:rPr>
                    </w:pPr>
                    <w:r>
                      <w:rPr>
                        <w:sz w:val="20"/>
                      </w:rPr>
                      <w:t>n.d. (2023)</w:t>
                    </w:r>
                  </w:p>
                </w:tc>
                <w:tc>
                  <w:tcPr>
                    <w:tcW w:w="1134" w:type="dxa"/>
                    <w:vAlign w:val="center"/>
                    <w:hideMark/>
                  </w:tcPr>
                  <w:p>
                    <w:pPr>
                      <w:jc w:val="center"/>
                      <w:rPr>
                        <w:sz w:val="20"/>
                      </w:rPr>
                    </w:pPr>
                    <w:r>
                      <w:rPr>
                        <w:sz w:val="20"/>
                      </w:rPr>
                      <w:t>100 (2033)</w:t>
                    </w:r>
                  </w:p>
                </w:tc>
              </w:tr>
              <w:tr>
                <w:trPr>
                  <w:trHeight w:val="657"/>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P-11-01-02-06</w:t>
                    </w:r>
                  </w:p>
                </w:tc>
                <w:tc>
                  <w:tcPr>
                    <w:tcW w:w="4111" w:type="dxa"/>
                    <w:vAlign w:val="center"/>
                    <w:hideMark/>
                  </w:tcPr>
                  <w:p>
                    <w:pPr>
                      <w:rPr>
                        <w:sz w:val="20"/>
                      </w:rPr>
                    </w:pPr>
                    <w:r>
                      <w:rPr>
                        <w:sz w:val="20"/>
                      </w:rPr>
                      <w:t>Gautų skundų dėl lyčių lygybės ir lygių galimybių principų įgyvendinimo Savivaldybės įstaigose skaičius (vnt.)</w:t>
                    </w:r>
                  </w:p>
                </w:tc>
                <w:tc>
                  <w:tcPr>
                    <w:tcW w:w="1134" w:type="dxa"/>
                    <w:vAlign w:val="center"/>
                    <w:hideMark/>
                  </w:tcPr>
                  <w:p>
                    <w:pPr>
                      <w:jc w:val="center"/>
                      <w:rPr>
                        <w:sz w:val="20"/>
                      </w:rPr>
                    </w:pPr>
                    <w:r>
                      <w:rPr>
                        <w:sz w:val="20"/>
                      </w:rPr>
                      <w:t>AAS</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0 (2033)</w:t>
                    </w:r>
                  </w:p>
                </w:tc>
              </w:tr>
              <w:tr>
                <w:trPr>
                  <w:trHeight w:val="553"/>
                  <w:jc w:val="center"/>
                </w:trPr>
                <w:tc>
                  <w:tcPr>
                    <w:tcW w:w="988" w:type="dxa"/>
                    <w:vMerge w:val="restart"/>
                    <w:noWrap/>
                    <w:vAlign w:val="center"/>
                    <w:hideMark/>
                  </w:tcPr>
                  <w:p>
                    <w:pPr>
                      <w:rPr>
                        <w:sz w:val="20"/>
                      </w:rPr>
                    </w:pPr>
                    <w:r>
                      <w:rPr>
                        <w:sz w:val="20"/>
                      </w:rPr>
                      <w:t>11-01-03</w:t>
                    </w:r>
                  </w:p>
                </w:tc>
                <w:tc>
                  <w:tcPr>
                    <w:tcW w:w="2126" w:type="dxa"/>
                    <w:vMerge w:val="restart"/>
                    <w:vAlign w:val="center"/>
                    <w:hideMark/>
                  </w:tcPr>
                  <w:p>
                    <w:pPr>
                      <w:rPr>
                        <w:sz w:val="20"/>
                      </w:rPr>
                    </w:pPr>
                    <w:r>
                      <w:rPr>
                        <w:sz w:val="20"/>
                      </w:rPr>
                      <w:t>Kurti ir palaikyti Savivaldybės ir jos įstaigų viešosios informacijos sistemas</w:t>
                    </w:r>
                  </w:p>
                </w:tc>
                <w:tc>
                  <w:tcPr>
                    <w:tcW w:w="850" w:type="dxa"/>
                    <w:vMerge w:val="restart"/>
                    <w:vAlign w:val="center"/>
                    <w:hideMark/>
                  </w:tcPr>
                  <w:p>
                    <w:pPr>
                      <w:jc w:val="center"/>
                      <w:rPr>
                        <w:sz w:val="20"/>
                      </w:rPr>
                    </w:pPr>
                    <w:r>
                      <w:rPr>
                        <w:sz w:val="20"/>
                      </w:rPr>
                      <w:t>BRS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2027</w:t>
                    </w:r>
                  </w:p>
                </w:tc>
                <w:tc>
                  <w:tcPr>
                    <w:tcW w:w="1417" w:type="dxa"/>
                    <w:vAlign w:val="center"/>
                    <w:hideMark/>
                  </w:tcPr>
                  <w:p>
                    <w:pPr>
                      <w:rPr>
                        <w:sz w:val="20"/>
                      </w:rPr>
                    </w:pPr>
                    <w:r>
                      <w:rPr>
                        <w:sz w:val="20"/>
                      </w:rPr>
                      <w:t>P-11-01-03-01</w:t>
                    </w:r>
                  </w:p>
                </w:tc>
                <w:tc>
                  <w:tcPr>
                    <w:tcW w:w="4111" w:type="dxa"/>
                    <w:vAlign w:val="center"/>
                    <w:hideMark/>
                  </w:tcPr>
                  <w:p>
                    <w:pPr>
                      <w:rPr>
                        <w:sz w:val="20"/>
                      </w:rPr>
                    </w:pPr>
                    <w:r>
                      <w:rPr>
                        <w:sz w:val="20"/>
                      </w:rPr>
                      <w:t>Atliktas „siauliai.lt“ ir susijusių platformų pritaikymas skirtingas negalias turintiems asmenims (vnt.)</w:t>
                    </w:r>
                  </w:p>
                </w:tc>
                <w:tc>
                  <w:tcPr>
                    <w:tcW w:w="1134" w:type="dxa"/>
                    <w:vAlign w:val="center"/>
                    <w:hideMark/>
                  </w:tcPr>
                  <w:p>
                    <w:pPr>
                      <w:jc w:val="center"/>
                      <w:rPr>
                        <w:sz w:val="20"/>
                      </w:rPr>
                    </w:pPr>
                    <w:r>
                      <w:rPr>
                        <w:sz w:val="20"/>
                      </w:rPr>
                      <w:t>ITP</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 (2025)</w:t>
                    </w:r>
                  </w:p>
                </w:tc>
              </w:tr>
              <w:tr>
                <w:trPr>
                  <w:trHeight w:val="26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P-11-01-03-02</w:t>
                    </w:r>
                  </w:p>
                </w:tc>
                <w:tc>
                  <w:tcPr>
                    <w:tcW w:w="4111" w:type="dxa"/>
                    <w:vAlign w:val="center"/>
                    <w:hideMark/>
                  </w:tcPr>
                  <w:p>
                    <w:pPr>
                      <w:rPr>
                        <w:sz w:val="20"/>
                      </w:rPr>
                    </w:pPr>
                    <w:r>
                      <w:rPr>
                        <w:sz w:val="20"/>
                      </w:rPr>
                      <w:t>Įdiegta kultūros ir sporto renginių platforma (vnt.)</w:t>
                    </w:r>
                    <w:r>
                      <w:rPr>
                        <w:b/>
                        <w:bCs/>
                        <w:sz w:val="20"/>
                      </w:rPr>
                      <w:t xml:space="preserve"> </w:t>
                    </w:r>
                  </w:p>
                </w:tc>
                <w:tc>
                  <w:tcPr>
                    <w:tcW w:w="1134" w:type="dxa"/>
                    <w:vAlign w:val="center"/>
                    <w:hideMark/>
                  </w:tcPr>
                  <w:p>
                    <w:pPr>
                      <w:jc w:val="center"/>
                      <w:rPr>
                        <w:sz w:val="20"/>
                      </w:rPr>
                    </w:pPr>
                    <w:r>
                      <w:rPr>
                        <w:sz w:val="20"/>
                      </w:rPr>
                      <w:t>ITP</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 (2026)</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P-11-01-03-03</w:t>
                    </w:r>
                  </w:p>
                </w:tc>
                <w:tc>
                  <w:tcPr>
                    <w:tcW w:w="4111" w:type="dxa"/>
                    <w:vAlign w:val="center"/>
                    <w:hideMark/>
                  </w:tcPr>
                  <w:p>
                    <w:pPr>
                      <w:rPr>
                        <w:sz w:val="20"/>
                      </w:rPr>
                    </w:pPr>
                    <w:r>
                      <w:rPr>
                        <w:sz w:val="20"/>
                      </w:rPr>
                      <w:t>Naujai atvertų duomenų rinkinių, teikiančių informaciją realiu laiku, skaičius (vnt.)</w:t>
                    </w:r>
                  </w:p>
                </w:tc>
                <w:tc>
                  <w:tcPr>
                    <w:tcW w:w="1134" w:type="dxa"/>
                    <w:vAlign w:val="center"/>
                    <w:hideMark/>
                  </w:tcPr>
                  <w:p>
                    <w:pPr>
                      <w:jc w:val="center"/>
                      <w:rPr>
                        <w:sz w:val="20"/>
                      </w:rPr>
                    </w:pPr>
                    <w:r>
                      <w:rPr>
                        <w:sz w:val="20"/>
                      </w:rPr>
                      <w:t>ITP</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10 (2027)</w:t>
                    </w:r>
                  </w:p>
                </w:tc>
              </w:tr>
              <w:tr>
                <w:trPr>
                  <w:trHeight w:val="677"/>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P-11-01-03-04</w:t>
                    </w:r>
                  </w:p>
                </w:tc>
                <w:tc>
                  <w:tcPr>
                    <w:tcW w:w="4111" w:type="dxa"/>
                    <w:vAlign w:val="center"/>
                    <w:hideMark/>
                  </w:tcPr>
                  <w:p>
                    <w:pPr>
                      <w:rPr>
                        <w:sz w:val="20"/>
                      </w:rPr>
                    </w:pPr>
                    <w:r>
                      <w:rPr>
                        <w:sz w:val="20"/>
                      </w:rPr>
                      <w:t>Gyventojų informavimo ir komunikacijos paslaugų skaičius, kurias teikiant pasitelkiami dirbtinio intelekto sprendimai (vnt.)</w:t>
                    </w:r>
                  </w:p>
                </w:tc>
                <w:tc>
                  <w:tcPr>
                    <w:tcW w:w="1134" w:type="dxa"/>
                    <w:vAlign w:val="center"/>
                    <w:hideMark/>
                  </w:tcPr>
                  <w:p>
                    <w:pPr>
                      <w:jc w:val="center"/>
                      <w:rPr>
                        <w:sz w:val="20"/>
                      </w:rPr>
                    </w:pPr>
                    <w:r>
                      <w:rPr>
                        <w:sz w:val="20"/>
                      </w:rPr>
                      <w:t>AAS, ITP, MKS</w:t>
                    </w:r>
                  </w:p>
                </w:tc>
                <w:tc>
                  <w:tcPr>
                    <w:tcW w:w="1134" w:type="dxa"/>
                    <w:vAlign w:val="center"/>
                    <w:hideMark/>
                  </w:tcPr>
                  <w:p>
                    <w:pPr>
                      <w:jc w:val="center"/>
                      <w:rPr>
                        <w:sz w:val="20"/>
                      </w:rPr>
                    </w:pPr>
                    <w:r>
                      <w:rPr>
                        <w:sz w:val="20"/>
                      </w:rPr>
                      <w:t>1 (2023)</w:t>
                    </w:r>
                  </w:p>
                </w:tc>
                <w:tc>
                  <w:tcPr>
                    <w:tcW w:w="1134" w:type="dxa"/>
                    <w:vAlign w:val="center"/>
                    <w:hideMark/>
                  </w:tcPr>
                  <w:p>
                    <w:pPr>
                      <w:jc w:val="center"/>
                      <w:rPr>
                        <w:sz w:val="20"/>
                      </w:rPr>
                    </w:pPr>
                    <w:r>
                      <w:rPr>
                        <w:sz w:val="20"/>
                      </w:rPr>
                      <w:t>2 (2030)</w:t>
                    </w:r>
                  </w:p>
                </w:tc>
              </w:tr>
              <w:tr>
                <w:trPr>
                  <w:trHeight w:val="66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P-11-01-03-05</w:t>
                    </w:r>
                  </w:p>
                </w:tc>
                <w:tc>
                  <w:tcPr>
                    <w:tcW w:w="4111" w:type="dxa"/>
                    <w:vAlign w:val="center"/>
                    <w:hideMark/>
                  </w:tcPr>
                  <w:p>
                    <w:pPr>
                      <w:rPr>
                        <w:sz w:val="20"/>
                      </w:rPr>
                    </w:pPr>
                    <w:r>
                      <w:rPr>
                        <w:sz w:val="20"/>
                      </w:rPr>
                      <w:t>Savivaldybės įstaigų dalis, kurių internetiniai portalai pritaikyti skirtingas negalias turintiems asmenims (proc.)</w:t>
                    </w:r>
                  </w:p>
                </w:tc>
                <w:tc>
                  <w:tcPr>
                    <w:tcW w:w="1134" w:type="dxa"/>
                    <w:vAlign w:val="center"/>
                    <w:hideMark/>
                  </w:tcPr>
                  <w:p>
                    <w:pPr>
                      <w:jc w:val="center"/>
                      <w:rPr>
                        <w:sz w:val="20"/>
                      </w:rPr>
                    </w:pPr>
                    <w:r>
                      <w:rPr>
                        <w:sz w:val="20"/>
                      </w:rPr>
                      <w:t>AAS</w:t>
                    </w:r>
                  </w:p>
                </w:tc>
                <w:tc>
                  <w:tcPr>
                    <w:tcW w:w="1134" w:type="dxa"/>
                    <w:vAlign w:val="center"/>
                    <w:hideMark/>
                  </w:tcPr>
                  <w:p>
                    <w:pPr>
                      <w:jc w:val="center"/>
                      <w:rPr>
                        <w:sz w:val="20"/>
                      </w:rPr>
                    </w:pPr>
                    <w:r>
                      <w:rPr>
                        <w:sz w:val="20"/>
                      </w:rPr>
                      <w:t>23,7 (2023)</w:t>
                    </w:r>
                  </w:p>
                </w:tc>
                <w:tc>
                  <w:tcPr>
                    <w:tcW w:w="1134" w:type="dxa"/>
                    <w:vAlign w:val="center"/>
                    <w:hideMark/>
                  </w:tcPr>
                  <w:p>
                    <w:pPr>
                      <w:jc w:val="center"/>
                      <w:rPr>
                        <w:sz w:val="20"/>
                      </w:rPr>
                    </w:pPr>
                    <w:r>
                      <w:rPr>
                        <w:sz w:val="20"/>
                      </w:rPr>
                      <w:t>100 (2026)</w:t>
                    </w:r>
                  </w:p>
                </w:tc>
              </w:tr>
              <w:tr>
                <w:trPr>
                  <w:trHeight w:val="671"/>
                  <w:jc w:val="center"/>
                </w:trPr>
                <w:tc>
                  <w:tcPr>
                    <w:tcW w:w="988" w:type="dxa"/>
                    <w:vMerge w:val="restart"/>
                    <w:noWrap/>
                    <w:vAlign w:val="center"/>
                    <w:hideMark/>
                  </w:tcPr>
                  <w:p>
                    <w:pPr>
                      <w:rPr>
                        <w:sz w:val="20"/>
                      </w:rPr>
                    </w:pPr>
                    <w:r>
                      <w:rPr>
                        <w:sz w:val="20"/>
                      </w:rPr>
                      <w:t>11-01-04</w:t>
                    </w:r>
                  </w:p>
                </w:tc>
                <w:tc>
                  <w:tcPr>
                    <w:tcW w:w="2126" w:type="dxa"/>
                    <w:vMerge w:val="restart"/>
                    <w:vAlign w:val="center"/>
                    <w:hideMark/>
                  </w:tcPr>
                  <w:p>
                    <w:pPr>
                      <w:rPr>
                        <w:sz w:val="20"/>
                      </w:rPr>
                    </w:pPr>
                    <w:r>
                      <w:rPr>
                        <w:sz w:val="20"/>
                      </w:rPr>
                      <w:t>Pasirengti efektyviam ekstremaliųjų situacijų valdymui Šiaulių miesto savivaldybėje</w:t>
                    </w:r>
                  </w:p>
                </w:tc>
                <w:tc>
                  <w:tcPr>
                    <w:tcW w:w="850" w:type="dxa"/>
                    <w:vMerge w:val="restart"/>
                    <w:vAlign w:val="center"/>
                    <w:hideMark/>
                  </w:tcPr>
                  <w:p>
                    <w:pPr>
                      <w:jc w:val="center"/>
                      <w:rPr>
                        <w:sz w:val="20"/>
                      </w:rPr>
                    </w:pPr>
                    <w:r>
                      <w:rPr>
                        <w:sz w:val="20"/>
                      </w:rPr>
                      <w:t>CSTS (CSP)</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2030</w:t>
                    </w:r>
                  </w:p>
                </w:tc>
                <w:tc>
                  <w:tcPr>
                    <w:tcW w:w="1417" w:type="dxa"/>
                    <w:vAlign w:val="center"/>
                    <w:hideMark/>
                  </w:tcPr>
                  <w:p>
                    <w:pPr>
                      <w:rPr>
                        <w:sz w:val="20"/>
                      </w:rPr>
                    </w:pPr>
                    <w:r>
                      <w:rPr>
                        <w:sz w:val="20"/>
                      </w:rPr>
                      <w:t>P-11-01-04-01</w:t>
                    </w:r>
                  </w:p>
                </w:tc>
                <w:tc>
                  <w:tcPr>
                    <w:tcW w:w="4111" w:type="dxa"/>
                    <w:vAlign w:val="center"/>
                    <w:hideMark/>
                  </w:tcPr>
                  <w:p>
                    <w:pPr>
                      <w:rPr>
                        <w:sz w:val="20"/>
                      </w:rPr>
                    </w:pPr>
                    <w:r>
                      <w:rPr>
                        <w:sz w:val="20"/>
                      </w:rPr>
                      <w:t>Gyventojų dalis, kuriems užtikrintas kolektyvinės apsaugos statinių poreikis ekstremaliųjų situacijų metu (proc.)</w:t>
                    </w:r>
                  </w:p>
                </w:tc>
                <w:tc>
                  <w:tcPr>
                    <w:tcW w:w="1134" w:type="dxa"/>
                    <w:vAlign w:val="center"/>
                    <w:hideMark/>
                  </w:tcPr>
                  <w:p>
                    <w:pPr>
                      <w:jc w:val="center"/>
                      <w:rPr>
                        <w:sz w:val="20"/>
                      </w:rPr>
                    </w:pPr>
                    <w:r>
                      <w:rPr>
                        <w:sz w:val="20"/>
                      </w:rPr>
                      <w:t>CSP</w:t>
                    </w:r>
                  </w:p>
                </w:tc>
                <w:tc>
                  <w:tcPr>
                    <w:tcW w:w="1134" w:type="dxa"/>
                    <w:vAlign w:val="center"/>
                    <w:hideMark/>
                  </w:tcPr>
                  <w:p>
                    <w:pPr>
                      <w:jc w:val="center"/>
                      <w:rPr>
                        <w:sz w:val="20"/>
                      </w:rPr>
                    </w:pPr>
                    <w:r>
                      <w:rPr>
                        <w:sz w:val="20"/>
                      </w:rPr>
                      <w:t>32 (2024)</w:t>
                    </w:r>
                  </w:p>
                </w:tc>
                <w:tc>
                  <w:tcPr>
                    <w:tcW w:w="1134" w:type="dxa"/>
                    <w:vAlign w:val="center"/>
                    <w:hideMark/>
                  </w:tcPr>
                  <w:p>
                    <w:pPr>
                      <w:jc w:val="center"/>
                      <w:rPr>
                        <w:sz w:val="20"/>
                      </w:rPr>
                    </w:pPr>
                    <w:r>
                      <w:rPr>
                        <w:sz w:val="20"/>
                      </w:rPr>
                      <w:t>43 (2025)</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P-11-01-04-02</w:t>
                    </w:r>
                  </w:p>
                </w:tc>
                <w:tc>
                  <w:tcPr>
                    <w:tcW w:w="4111" w:type="dxa"/>
                    <w:vAlign w:val="center"/>
                    <w:hideMark/>
                  </w:tcPr>
                  <w:p>
                    <w:pPr>
                      <w:rPr>
                        <w:sz w:val="20"/>
                      </w:rPr>
                    </w:pPr>
                    <w:r>
                      <w:rPr>
                        <w:sz w:val="20"/>
                      </w:rPr>
                      <w:t>Gyventojų dalis, kuriems užtikrintas priedangų poreikis ekstremaliųjų situacijų metu (proc.)</w:t>
                    </w:r>
                  </w:p>
                </w:tc>
                <w:tc>
                  <w:tcPr>
                    <w:tcW w:w="1134" w:type="dxa"/>
                    <w:vAlign w:val="center"/>
                    <w:hideMark/>
                  </w:tcPr>
                  <w:p>
                    <w:pPr>
                      <w:jc w:val="center"/>
                      <w:rPr>
                        <w:sz w:val="20"/>
                      </w:rPr>
                    </w:pPr>
                    <w:r>
                      <w:rPr>
                        <w:sz w:val="20"/>
                      </w:rPr>
                      <w:t>CSP</w:t>
                    </w:r>
                  </w:p>
                </w:tc>
                <w:tc>
                  <w:tcPr>
                    <w:tcW w:w="1134" w:type="dxa"/>
                    <w:vAlign w:val="center"/>
                    <w:hideMark/>
                  </w:tcPr>
                  <w:p>
                    <w:pPr>
                      <w:jc w:val="center"/>
                      <w:rPr>
                        <w:sz w:val="20"/>
                      </w:rPr>
                    </w:pPr>
                    <w:r>
                      <w:rPr>
                        <w:sz w:val="20"/>
                      </w:rPr>
                      <w:t>51 (2024)</w:t>
                    </w:r>
                  </w:p>
                </w:tc>
                <w:tc>
                  <w:tcPr>
                    <w:tcW w:w="1134" w:type="dxa"/>
                    <w:vAlign w:val="center"/>
                    <w:hideMark/>
                  </w:tcPr>
                  <w:p>
                    <w:pPr>
                      <w:jc w:val="center"/>
                      <w:rPr>
                        <w:sz w:val="20"/>
                      </w:rPr>
                    </w:pPr>
                    <w:r>
                      <w:rPr>
                        <w:sz w:val="20"/>
                      </w:rPr>
                      <w:t>60 (2025)</w:t>
                    </w:r>
                  </w:p>
                </w:tc>
              </w:tr>
              <w:tr>
                <w:trPr>
                  <w:trHeight w:val="26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P-11-01-04-03</w:t>
                    </w:r>
                  </w:p>
                </w:tc>
                <w:tc>
                  <w:tcPr>
                    <w:tcW w:w="4111" w:type="dxa"/>
                    <w:vAlign w:val="center"/>
                    <w:hideMark/>
                  </w:tcPr>
                  <w:p>
                    <w:pPr>
                      <w:rPr>
                        <w:sz w:val="20"/>
                      </w:rPr>
                    </w:pPr>
                    <w:r>
                      <w:rPr>
                        <w:sz w:val="20"/>
                      </w:rPr>
                      <w:t>Įrengtų perspėjimo sirenų skaičius (vnt.)</w:t>
                    </w:r>
                  </w:p>
                </w:tc>
                <w:tc>
                  <w:tcPr>
                    <w:tcW w:w="1134" w:type="dxa"/>
                    <w:vAlign w:val="center"/>
                    <w:hideMark/>
                  </w:tcPr>
                  <w:p>
                    <w:pPr>
                      <w:jc w:val="center"/>
                      <w:rPr>
                        <w:sz w:val="20"/>
                      </w:rPr>
                    </w:pPr>
                    <w:r>
                      <w:rPr>
                        <w:sz w:val="20"/>
                      </w:rPr>
                      <w:t>CSP</w:t>
                    </w:r>
                  </w:p>
                </w:tc>
                <w:tc>
                  <w:tcPr>
                    <w:tcW w:w="1134" w:type="dxa"/>
                    <w:vAlign w:val="center"/>
                    <w:hideMark/>
                  </w:tcPr>
                  <w:p>
                    <w:pPr>
                      <w:jc w:val="center"/>
                      <w:rPr>
                        <w:sz w:val="20"/>
                      </w:rPr>
                    </w:pPr>
                    <w:r>
                      <w:rPr>
                        <w:sz w:val="20"/>
                      </w:rPr>
                      <w:t>24 (2024)</w:t>
                    </w:r>
                  </w:p>
                </w:tc>
                <w:tc>
                  <w:tcPr>
                    <w:tcW w:w="1134" w:type="dxa"/>
                    <w:vAlign w:val="center"/>
                    <w:hideMark/>
                  </w:tcPr>
                  <w:p>
                    <w:pPr>
                      <w:jc w:val="center"/>
                      <w:rPr>
                        <w:sz w:val="20"/>
                      </w:rPr>
                    </w:pPr>
                    <w:r>
                      <w:rPr>
                        <w:sz w:val="20"/>
                      </w:rPr>
                      <w:t>34 (2030)</w:t>
                    </w:r>
                  </w:p>
                </w:tc>
              </w:tr>
              <w:tr>
                <w:trPr>
                  <w:trHeight w:val="667"/>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P-11-01-04-04</w:t>
                    </w:r>
                  </w:p>
                </w:tc>
                <w:tc>
                  <w:tcPr>
                    <w:tcW w:w="4111" w:type="dxa"/>
                    <w:vAlign w:val="center"/>
                    <w:hideMark/>
                  </w:tcPr>
                  <w:p>
                    <w:pPr>
                      <w:rPr>
                        <w:sz w:val="20"/>
                      </w:rPr>
                    </w:pPr>
                    <w:r>
                      <w:rPr>
                        <w:sz w:val="20"/>
                      </w:rPr>
                      <w:t>Įrengta slėptuvė Šiaulių miesto savivaldybės ekstremaliųjų situacijų operacijų centro veiklai, darbui (vnt.)</w:t>
                    </w:r>
                  </w:p>
                </w:tc>
                <w:tc>
                  <w:tcPr>
                    <w:tcW w:w="1134" w:type="dxa"/>
                    <w:vAlign w:val="center"/>
                    <w:hideMark/>
                  </w:tcPr>
                  <w:p>
                    <w:pPr>
                      <w:jc w:val="center"/>
                      <w:rPr>
                        <w:sz w:val="20"/>
                      </w:rPr>
                    </w:pPr>
                    <w:r>
                      <w:rPr>
                        <w:sz w:val="20"/>
                      </w:rPr>
                      <w:t>CSP, SRS</w:t>
                    </w:r>
                  </w:p>
                </w:tc>
                <w:tc>
                  <w:tcPr>
                    <w:tcW w:w="1134" w:type="dxa"/>
                    <w:vAlign w:val="center"/>
                    <w:hideMark/>
                  </w:tcPr>
                  <w:p>
                    <w:pPr>
                      <w:jc w:val="center"/>
                      <w:rPr>
                        <w:sz w:val="20"/>
                      </w:rPr>
                    </w:pPr>
                    <w:r>
                      <w:rPr>
                        <w:sz w:val="20"/>
                      </w:rPr>
                      <w:t>0 (2024)</w:t>
                    </w:r>
                  </w:p>
                </w:tc>
                <w:tc>
                  <w:tcPr>
                    <w:tcW w:w="1134" w:type="dxa"/>
                    <w:vAlign w:val="center"/>
                    <w:hideMark/>
                  </w:tcPr>
                  <w:p>
                    <w:pPr>
                      <w:jc w:val="center"/>
                      <w:rPr>
                        <w:sz w:val="20"/>
                      </w:rPr>
                    </w:pPr>
                    <w:r>
                      <w:rPr>
                        <w:sz w:val="20"/>
                      </w:rPr>
                      <w:t>1 (2026)</w:t>
                    </w:r>
                  </w:p>
                </w:tc>
              </w:tr>
              <w:tr>
                <w:trPr>
                  <w:trHeight w:val="520"/>
                  <w:jc w:val="center"/>
                </w:trPr>
                <w:tc>
                  <w:tcPr>
                    <w:tcW w:w="988" w:type="dxa"/>
                    <w:vMerge w:val="restart"/>
                    <w:noWrap/>
                    <w:vAlign w:val="center"/>
                    <w:hideMark/>
                  </w:tcPr>
                  <w:p>
                    <w:pPr>
                      <w:rPr>
                        <w:sz w:val="20"/>
                      </w:rPr>
                    </w:pPr>
                    <w:r>
                      <w:rPr>
                        <w:sz w:val="20"/>
                      </w:rPr>
                      <w:t>11-01-05</w:t>
                    </w:r>
                  </w:p>
                </w:tc>
                <w:tc>
                  <w:tcPr>
                    <w:tcW w:w="2126" w:type="dxa"/>
                    <w:vMerge w:val="restart"/>
                    <w:vAlign w:val="center"/>
                    <w:hideMark/>
                  </w:tcPr>
                  <w:p>
                    <w:pPr>
                      <w:rPr>
                        <w:sz w:val="20"/>
                      </w:rPr>
                    </w:pPr>
                    <w:r>
                      <w:rPr>
                        <w:sz w:val="20"/>
                      </w:rPr>
                      <w:t>Įgyvendinti lyčių lygybės, lygių galimybių ir korupcijos prevencijos principus</w:t>
                    </w:r>
                  </w:p>
                </w:tc>
                <w:tc>
                  <w:tcPr>
                    <w:tcW w:w="850" w:type="dxa"/>
                    <w:vMerge w:val="restart"/>
                    <w:vAlign w:val="center"/>
                    <w:hideMark/>
                  </w:tcPr>
                  <w:p>
                    <w:pPr>
                      <w:jc w:val="center"/>
                      <w:rPr>
                        <w:sz w:val="20"/>
                      </w:rPr>
                    </w:pPr>
                    <w:r>
                      <w:rPr>
                        <w:sz w:val="20"/>
                      </w:rPr>
                      <w:t>AD</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P-11-01-05-01</w:t>
                    </w:r>
                  </w:p>
                </w:tc>
                <w:tc>
                  <w:tcPr>
                    <w:tcW w:w="4111" w:type="dxa"/>
                    <w:vAlign w:val="center"/>
                    <w:hideMark/>
                  </w:tcPr>
                  <w:p>
                    <w:pPr>
                      <w:rPr>
                        <w:sz w:val="20"/>
                      </w:rPr>
                    </w:pPr>
                    <w:r>
                      <w:rPr>
                        <w:sz w:val="20"/>
                      </w:rPr>
                      <w:t>Atnaujinta nuotolinio darbo savivaldybės administracijoje tvarka (vnt.)</w:t>
                    </w:r>
                  </w:p>
                </w:tc>
                <w:tc>
                  <w:tcPr>
                    <w:tcW w:w="1134" w:type="dxa"/>
                    <w:vAlign w:val="center"/>
                    <w:hideMark/>
                  </w:tcPr>
                  <w:p>
                    <w:pPr>
                      <w:jc w:val="center"/>
                      <w:rPr>
                        <w:sz w:val="20"/>
                      </w:rPr>
                    </w:pPr>
                    <w:r>
                      <w:rPr>
                        <w:sz w:val="20"/>
                      </w:rPr>
                      <w:t>PS</w:t>
                    </w:r>
                  </w:p>
                </w:tc>
                <w:tc>
                  <w:tcPr>
                    <w:tcW w:w="1134" w:type="dxa"/>
                    <w:vAlign w:val="center"/>
                    <w:hideMark/>
                  </w:tcPr>
                  <w:p>
                    <w:pPr>
                      <w:jc w:val="center"/>
                      <w:rPr>
                        <w:sz w:val="20"/>
                      </w:rPr>
                    </w:pPr>
                    <w:r>
                      <w:rPr>
                        <w:sz w:val="20"/>
                      </w:rPr>
                      <w:t>0 (2024)</w:t>
                    </w:r>
                  </w:p>
                </w:tc>
                <w:tc>
                  <w:tcPr>
                    <w:tcW w:w="1134" w:type="dxa"/>
                    <w:vAlign w:val="center"/>
                    <w:hideMark/>
                  </w:tcPr>
                  <w:p>
                    <w:pPr>
                      <w:jc w:val="center"/>
                      <w:rPr>
                        <w:sz w:val="20"/>
                      </w:rPr>
                    </w:pPr>
                    <w:r>
                      <w:rPr>
                        <w:sz w:val="20"/>
                      </w:rPr>
                      <w:t>1 (2025)</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P-11-01-05-02</w:t>
                    </w:r>
                  </w:p>
                </w:tc>
                <w:tc>
                  <w:tcPr>
                    <w:tcW w:w="4111" w:type="dxa"/>
                    <w:vAlign w:val="center"/>
                    <w:hideMark/>
                  </w:tcPr>
                  <w:p>
                    <w:pPr>
                      <w:rPr>
                        <w:sz w:val="20"/>
                      </w:rPr>
                    </w:pPr>
                    <w:r>
                      <w:rPr>
                        <w:sz w:val="20"/>
                      </w:rPr>
                      <w:t>Darbuotojų, pasinaudojusių nuotolinio darbo galimybe, dalis nuo visų darbuotojų (proc.)</w:t>
                    </w:r>
                  </w:p>
                </w:tc>
                <w:tc>
                  <w:tcPr>
                    <w:tcW w:w="1134" w:type="dxa"/>
                    <w:vAlign w:val="center"/>
                    <w:hideMark/>
                  </w:tcPr>
                  <w:p>
                    <w:pPr>
                      <w:jc w:val="center"/>
                      <w:rPr>
                        <w:sz w:val="20"/>
                      </w:rPr>
                    </w:pPr>
                    <w:r>
                      <w:rPr>
                        <w:sz w:val="20"/>
                      </w:rPr>
                      <w:t>PS</w:t>
                    </w:r>
                  </w:p>
                </w:tc>
                <w:tc>
                  <w:tcPr>
                    <w:tcW w:w="1134" w:type="dxa"/>
                    <w:vAlign w:val="center"/>
                    <w:hideMark/>
                  </w:tcPr>
                  <w:p>
                    <w:pPr>
                      <w:jc w:val="center"/>
                      <w:rPr>
                        <w:sz w:val="20"/>
                      </w:rPr>
                    </w:pPr>
                    <w:r>
                      <w:rPr>
                        <w:sz w:val="20"/>
                      </w:rPr>
                      <w:t>50 (2023)</w:t>
                    </w:r>
                  </w:p>
                </w:tc>
                <w:tc>
                  <w:tcPr>
                    <w:tcW w:w="1134" w:type="dxa"/>
                    <w:vAlign w:val="center"/>
                    <w:hideMark/>
                  </w:tcPr>
                  <w:p>
                    <w:pPr>
                      <w:jc w:val="center"/>
                      <w:rPr>
                        <w:sz w:val="20"/>
                      </w:rPr>
                    </w:pPr>
                    <w:r>
                      <w:rPr>
                        <w:sz w:val="20"/>
                      </w:rPr>
                      <w:t>80 (2033)</w:t>
                    </w:r>
                  </w:p>
                </w:tc>
              </w:tr>
              <w:tr>
                <w:trPr>
                  <w:trHeight w:val="78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P-11-01-05-03</w:t>
                    </w:r>
                  </w:p>
                </w:tc>
                <w:tc>
                  <w:tcPr>
                    <w:tcW w:w="4111" w:type="dxa"/>
                    <w:vAlign w:val="center"/>
                    <w:hideMark/>
                  </w:tcPr>
                  <w:p>
                    <w:pPr>
                      <w:rPr>
                        <w:sz w:val="20"/>
                      </w:rPr>
                    </w:pPr>
                    <w:r>
                      <w:rPr>
                        <w:sz w:val="20"/>
                      </w:rPr>
                      <w:t>Įsteigta koordinatoriaus, lygių galimybių, lyčių lygybės ir apsaugos nuo smurto artimoje aplinkoje, pareigybė (vnt.)</w:t>
                    </w:r>
                  </w:p>
                </w:tc>
                <w:tc>
                  <w:tcPr>
                    <w:tcW w:w="1134" w:type="dxa"/>
                    <w:vAlign w:val="center"/>
                    <w:hideMark/>
                  </w:tcPr>
                  <w:p>
                    <w:pPr>
                      <w:jc w:val="center"/>
                      <w:rPr>
                        <w:sz w:val="20"/>
                      </w:rPr>
                    </w:pPr>
                    <w:r>
                      <w:rPr>
                        <w:sz w:val="20"/>
                      </w:rPr>
                      <w:t>AAS</w:t>
                    </w:r>
                  </w:p>
                </w:tc>
                <w:tc>
                  <w:tcPr>
                    <w:tcW w:w="1134" w:type="dxa"/>
                    <w:vAlign w:val="center"/>
                    <w:hideMark/>
                  </w:tcPr>
                  <w:p>
                    <w:pPr>
                      <w:jc w:val="center"/>
                      <w:rPr>
                        <w:sz w:val="20"/>
                      </w:rPr>
                    </w:pPr>
                    <w:r>
                      <w:rPr>
                        <w:sz w:val="20"/>
                      </w:rPr>
                      <w:t>0 (2024)</w:t>
                    </w:r>
                  </w:p>
                </w:tc>
                <w:tc>
                  <w:tcPr>
                    <w:tcW w:w="1134" w:type="dxa"/>
                    <w:vAlign w:val="center"/>
                    <w:hideMark/>
                  </w:tcPr>
                  <w:p>
                    <w:pPr>
                      <w:jc w:val="center"/>
                      <w:rPr>
                        <w:sz w:val="20"/>
                      </w:rPr>
                    </w:pPr>
                    <w:r>
                      <w:rPr>
                        <w:sz w:val="20"/>
                      </w:rPr>
                      <w:t>1 (2026)</w:t>
                    </w:r>
                  </w:p>
                </w:tc>
              </w:tr>
              <w:tr>
                <w:trPr>
                  <w:trHeight w:val="78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P-11-01-05-04</w:t>
                    </w:r>
                  </w:p>
                </w:tc>
                <w:tc>
                  <w:tcPr>
                    <w:tcW w:w="4111" w:type="dxa"/>
                    <w:vAlign w:val="center"/>
                    <w:hideMark/>
                  </w:tcPr>
                  <w:p>
                    <w:pPr>
                      <w:rPr>
                        <w:sz w:val="20"/>
                      </w:rPr>
                    </w:pPr>
                    <w:r>
                      <w:rPr>
                        <w:sz w:val="20"/>
                      </w:rPr>
                      <w:t>Gautų skundų skaičius dėl lyčių lygybės ir lygių galimybių principų įgyvendinimo savivaldybės administracijoje (vnt.)</w:t>
                    </w:r>
                  </w:p>
                </w:tc>
                <w:tc>
                  <w:tcPr>
                    <w:tcW w:w="1134" w:type="dxa"/>
                    <w:vAlign w:val="center"/>
                    <w:hideMark/>
                  </w:tcPr>
                  <w:p>
                    <w:pPr>
                      <w:jc w:val="center"/>
                      <w:rPr>
                        <w:sz w:val="20"/>
                      </w:rPr>
                    </w:pPr>
                    <w:r>
                      <w:rPr>
                        <w:sz w:val="20"/>
                      </w:rPr>
                      <w:t>AAS</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0 (2033)</w:t>
                    </w:r>
                  </w:p>
                </w:tc>
              </w:tr>
              <w:tr>
                <w:trPr>
                  <w:trHeight w:val="78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P-11-01-05-05</w:t>
                    </w:r>
                  </w:p>
                </w:tc>
                <w:tc>
                  <w:tcPr>
                    <w:tcW w:w="4111" w:type="dxa"/>
                    <w:vAlign w:val="center"/>
                    <w:hideMark/>
                  </w:tcPr>
                  <w:p>
                    <w:pPr>
                      <w:rPr>
                        <w:sz w:val="20"/>
                      </w:rPr>
                    </w:pPr>
                    <w:r>
                      <w:rPr>
                        <w:sz w:val="20"/>
                      </w:rPr>
                      <w:t>Suorganizuotų anoniminių apklausų savivaldybės administracijos darbuotojų psichologinio mikroklimato temomis skaičius (vnt.)</w:t>
                    </w:r>
                  </w:p>
                </w:tc>
                <w:tc>
                  <w:tcPr>
                    <w:tcW w:w="1134" w:type="dxa"/>
                    <w:vAlign w:val="center"/>
                    <w:hideMark/>
                  </w:tcPr>
                  <w:p>
                    <w:pPr>
                      <w:jc w:val="center"/>
                      <w:rPr>
                        <w:sz w:val="20"/>
                      </w:rPr>
                    </w:pPr>
                    <w:r>
                      <w:rPr>
                        <w:sz w:val="20"/>
                      </w:rPr>
                      <w:t>KAAK</w:t>
                    </w:r>
                  </w:p>
                </w:tc>
                <w:tc>
                  <w:tcPr>
                    <w:tcW w:w="1134" w:type="dxa"/>
                    <w:vAlign w:val="center"/>
                    <w:hideMark/>
                  </w:tcPr>
                  <w:p>
                    <w:pPr>
                      <w:jc w:val="center"/>
                      <w:rPr>
                        <w:sz w:val="20"/>
                      </w:rPr>
                    </w:pPr>
                    <w:r>
                      <w:rPr>
                        <w:sz w:val="20"/>
                      </w:rPr>
                      <w:t>1 (2023)</w:t>
                    </w:r>
                  </w:p>
                </w:tc>
                <w:tc>
                  <w:tcPr>
                    <w:tcW w:w="1134" w:type="dxa"/>
                    <w:vAlign w:val="center"/>
                    <w:hideMark/>
                  </w:tcPr>
                  <w:p>
                    <w:pPr>
                      <w:jc w:val="center"/>
                      <w:rPr>
                        <w:sz w:val="20"/>
                      </w:rPr>
                    </w:pPr>
                    <w:r>
                      <w:rPr>
                        <w:sz w:val="20"/>
                      </w:rPr>
                      <w:t>5 (2033)</w:t>
                    </w:r>
                  </w:p>
                </w:tc>
              </w:tr>
              <w:tr>
                <w:trPr>
                  <w:trHeight w:val="79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P-11-01-05-06</w:t>
                    </w:r>
                  </w:p>
                </w:tc>
                <w:tc>
                  <w:tcPr>
                    <w:tcW w:w="4111" w:type="dxa"/>
                    <w:vAlign w:val="center"/>
                    <w:hideMark/>
                  </w:tcPr>
                  <w:p>
                    <w:pPr>
                      <w:rPr>
                        <w:sz w:val="20"/>
                      </w:rPr>
                    </w:pPr>
                    <w:r>
                      <w:rPr>
                        <w:sz w:val="20"/>
                      </w:rPr>
                      <w:t xml:space="preserve">Suorganizuotų anoniminių apklausų savivaldybės administracijos darbuotojų tolerancijos korupcijai indeksui nustatyti skaičius (vnt.) </w:t>
                    </w:r>
                  </w:p>
                </w:tc>
                <w:tc>
                  <w:tcPr>
                    <w:tcW w:w="1134" w:type="dxa"/>
                    <w:vAlign w:val="center"/>
                    <w:hideMark/>
                  </w:tcPr>
                  <w:p>
                    <w:pPr>
                      <w:jc w:val="center"/>
                      <w:rPr>
                        <w:sz w:val="20"/>
                      </w:rPr>
                    </w:pPr>
                    <w:r>
                      <w:rPr>
                        <w:sz w:val="20"/>
                      </w:rPr>
                      <w:t>KAAK</w:t>
                    </w:r>
                  </w:p>
                </w:tc>
                <w:tc>
                  <w:tcPr>
                    <w:tcW w:w="1134" w:type="dxa"/>
                    <w:vAlign w:val="center"/>
                    <w:hideMark/>
                  </w:tcPr>
                  <w:p>
                    <w:pPr>
                      <w:jc w:val="center"/>
                      <w:rPr>
                        <w:sz w:val="20"/>
                      </w:rPr>
                    </w:pPr>
                    <w:r>
                      <w:rPr>
                        <w:sz w:val="20"/>
                      </w:rPr>
                      <w:t>1 (2024)</w:t>
                    </w:r>
                  </w:p>
                </w:tc>
                <w:tc>
                  <w:tcPr>
                    <w:tcW w:w="1134" w:type="dxa"/>
                    <w:vAlign w:val="center"/>
                    <w:hideMark/>
                  </w:tcPr>
                  <w:p>
                    <w:pPr>
                      <w:jc w:val="center"/>
                      <w:rPr>
                        <w:sz w:val="20"/>
                      </w:rPr>
                    </w:pPr>
                    <w:r>
                      <w:rPr>
                        <w:sz w:val="20"/>
                      </w:rPr>
                      <w:t>3 (2033)</w:t>
                    </w:r>
                  </w:p>
                </w:tc>
              </w:tr>
              <w:tr>
                <w:trPr>
                  <w:trHeight w:val="1050"/>
                  <w:jc w:val="center"/>
                </w:trPr>
                <w:tc>
                  <w:tcPr>
                    <w:tcW w:w="988" w:type="dxa"/>
                    <w:shd w:val="clear" w:color="auto" w:fill="FCE4D6"/>
                    <w:noWrap/>
                    <w:vAlign w:val="center"/>
                    <w:hideMark/>
                  </w:tcPr>
                  <w:p>
                    <w:pPr>
                      <w:rPr>
                        <w:b/>
                        <w:bCs/>
                        <w:sz w:val="20"/>
                      </w:rPr>
                    </w:pPr>
                    <w:r>
                      <w:rPr>
                        <w:b/>
                        <w:bCs/>
                        <w:sz w:val="20"/>
                      </w:rPr>
                      <w:t>11-02</w:t>
                    </w:r>
                  </w:p>
                </w:tc>
                <w:tc>
                  <w:tcPr>
                    <w:tcW w:w="2126" w:type="dxa"/>
                    <w:shd w:val="clear" w:color="auto" w:fill="FCE4D6"/>
                    <w:vAlign w:val="center"/>
                    <w:hideMark/>
                  </w:tcPr>
                  <w:p>
                    <w:pPr>
                      <w:rPr>
                        <w:b/>
                        <w:bCs/>
                        <w:sz w:val="20"/>
                      </w:rPr>
                    </w:pPr>
                    <w:r>
                      <w:rPr>
                        <w:b/>
                        <w:bCs/>
                        <w:sz w:val="20"/>
                      </w:rPr>
                      <w:t>Skatinti įtraukų bendradarbiavimą su visuomene ir suinteresuotomis šalimis</w:t>
                    </w:r>
                  </w:p>
                </w:tc>
                <w:tc>
                  <w:tcPr>
                    <w:tcW w:w="850" w:type="dxa"/>
                    <w:shd w:val="clear" w:color="auto" w:fill="FCE4D6"/>
                    <w:vAlign w:val="center"/>
                    <w:hideMark/>
                  </w:tcPr>
                  <w:p>
                    <w:pPr>
                      <w:jc w:val="center"/>
                      <w:rPr>
                        <w:sz w:val="20"/>
                      </w:rPr>
                    </w:pPr>
                    <w:r>
                      <w:rPr>
                        <w:sz w:val="20"/>
                      </w:rPr>
                      <w:t>BRS</w:t>
                    </w:r>
                  </w:p>
                </w:tc>
                <w:tc>
                  <w:tcPr>
                    <w:tcW w:w="709" w:type="dxa"/>
                    <w:shd w:val="clear" w:color="auto" w:fill="FCE4D6"/>
                    <w:vAlign w:val="center"/>
                    <w:hideMark/>
                  </w:tcPr>
                  <w:p>
                    <w:pPr>
                      <w:jc w:val="center"/>
                      <w:rPr>
                        <w:sz w:val="20"/>
                      </w:rPr>
                    </w:pPr>
                    <w:r>
                      <w:rPr>
                        <w:sz w:val="20"/>
                      </w:rPr>
                      <w:t>2025</w:t>
                    </w:r>
                  </w:p>
                </w:tc>
                <w:tc>
                  <w:tcPr>
                    <w:tcW w:w="709" w:type="dxa"/>
                    <w:shd w:val="clear" w:color="auto" w:fill="FCE4D6"/>
                    <w:vAlign w:val="center"/>
                    <w:hideMark/>
                  </w:tcPr>
                  <w:p>
                    <w:pPr>
                      <w:jc w:val="center"/>
                      <w:rPr>
                        <w:sz w:val="20"/>
                      </w:rPr>
                    </w:pPr>
                    <w:r>
                      <w:rPr>
                        <w:sz w:val="20"/>
                      </w:rPr>
                      <w:t>2033</w:t>
                    </w:r>
                  </w:p>
                </w:tc>
                <w:tc>
                  <w:tcPr>
                    <w:tcW w:w="1417" w:type="dxa"/>
                    <w:shd w:val="clear" w:color="auto" w:fill="FCE4D6"/>
                    <w:vAlign w:val="center"/>
                    <w:hideMark/>
                  </w:tcPr>
                  <w:p>
                    <w:pPr>
                      <w:rPr>
                        <w:b/>
                        <w:bCs/>
                        <w:sz w:val="20"/>
                      </w:rPr>
                    </w:pPr>
                    <w:r>
                      <w:rPr>
                        <w:b/>
                        <w:bCs/>
                        <w:sz w:val="20"/>
                      </w:rPr>
                      <w:t>R-11-02-01</w:t>
                    </w:r>
                  </w:p>
                </w:tc>
                <w:tc>
                  <w:tcPr>
                    <w:tcW w:w="4111" w:type="dxa"/>
                    <w:shd w:val="clear" w:color="auto" w:fill="FCE4D6"/>
                    <w:vAlign w:val="center"/>
                    <w:hideMark/>
                  </w:tcPr>
                  <w:p>
                    <w:pPr>
                      <w:rPr>
                        <w:sz w:val="20"/>
                      </w:rPr>
                    </w:pPr>
                    <w:r>
                      <w:rPr>
                        <w:sz w:val="20"/>
                      </w:rPr>
                      <w:t>Gyventojų aktyvumas vietos savivaldos rinkimuose (proc.)</w:t>
                    </w:r>
                  </w:p>
                </w:tc>
                <w:tc>
                  <w:tcPr>
                    <w:tcW w:w="1134" w:type="dxa"/>
                    <w:shd w:val="clear" w:color="auto" w:fill="FCE4D6"/>
                    <w:vAlign w:val="center"/>
                    <w:hideMark/>
                  </w:tcPr>
                  <w:p>
                    <w:pPr>
                      <w:jc w:val="center"/>
                      <w:rPr>
                        <w:sz w:val="20"/>
                      </w:rPr>
                    </w:pPr>
                    <w:r>
                      <w:rPr>
                        <w:sz w:val="20"/>
                      </w:rPr>
                      <w:t>VRK (BRS)</w:t>
                    </w:r>
                  </w:p>
                </w:tc>
                <w:tc>
                  <w:tcPr>
                    <w:tcW w:w="1134" w:type="dxa"/>
                    <w:shd w:val="clear" w:color="auto" w:fill="FCE4D6"/>
                    <w:vAlign w:val="center"/>
                    <w:hideMark/>
                  </w:tcPr>
                  <w:p>
                    <w:pPr>
                      <w:jc w:val="center"/>
                      <w:rPr>
                        <w:sz w:val="20"/>
                      </w:rPr>
                    </w:pPr>
                    <w:r>
                      <w:rPr>
                        <w:sz w:val="20"/>
                      </w:rPr>
                      <w:t>45,8 (2023)</w:t>
                    </w:r>
                  </w:p>
                </w:tc>
                <w:tc>
                  <w:tcPr>
                    <w:tcW w:w="1134" w:type="dxa"/>
                    <w:shd w:val="clear" w:color="auto" w:fill="FCE4D6"/>
                    <w:vAlign w:val="center"/>
                    <w:hideMark/>
                  </w:tcPr>
                  <w:p>
                    <w:pPr>
                      <w:jc w:val="center"/>
                      <w:rPr>
                        <w:sz w:val="20"/>
                      </w:rPr>
                    </w:pPr>
                    <w:r>
                      <w:rPr>
                        <w:sz w:val="20"/>
                      </w:rPr>
                      <w:t>50 (2033)</w:t>
                    </w:r>
                  </w:p>
                </w:tc>
              </w:tr>
              <w:tr>
                <w:trPr>
                  <w:trHeight w:val="520"/>
                  <w:jc w:val="center"/>
                </w:trPr>
                <w:tc>
                  <w:tcPr>
                    <w:tcW w:w="988" w:type="dxa"/>
                    <w:vMerge w:val="restart"/>
                    <w:noWrap/>
                    <w:vAlign w:val="center"/>
                    <w:hideMark/>
                  </w:tcPr>
                  <w:p>
                    <w:pPr>
                      <w:rPr>
                        <w:sz w:val="20"/>
                      </w:rPr>
                    </w:pPr>
                    <w:r>
                      <w:rPr>
                        <w:sz w:val="20"/>
                      </w:rPr>
                      <w:t>11-02-01</w:t>
                    </w:r>
                  </w:p>
                </w:tc>
                <w:tc>
                  <w:tcPr>
                    <w:tcW w:w="2126" w:type="dxa"/>
                    <w:vMerge w:val="restart"/>
                    <w:vAlign w:val="center"/>
                    <w:hideMark/>
                  </w:tcPr>
                  <w:p>
                    <w:pPr>
                      <w:rPr>
                        <w:sz w:val="20"/>
                      </w:rPr>
                    </w:pPr>
                    <w:r>
                      <w:rPr>
                        <w:sz w:val="20"/>
                      </w:rPr>
                      <w:t>Skatinti gyventojų bendruomeniškumą ir įtrauktį</w:t>
                    </w:r>
                  </w:p>
                </w:tc>
                <w:tc>
                  <w:tcPr>
                    <w:tcW w:w="850" w:type="dxa"/>
                    <w:vMerge w:val="restart"/>
                    <w:vAlign w:val="center"/>
                    <w:hideMark/>
                  </w:tcPr>
                  <w:p>
                    <w:pPr>
                      <w:jc w:val="center"/>
                      <w:rPr>
                        <w:sz w:val="20"/>
                      </w:rPr>
                    </w:pPr>
                    <w:r>
                      <w:rPr>
                        <w:sz w:val="20"/>
                      </w:rPr>
                      <w:t>NOK</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P-11-02-01-01</w:t>
                    </w:r>
                  </w:p>
                </w:tc>
                <w:tc>
                  <w:tcPr>
                    <w:tcW w:w="4111" w:type="dxa"/>
                    <w:vAlign w:val="center"/>
                    <w:hideMark/>
                  </w:tcPr>
                  <w:p>
                    <w:pPr>
                      <w:rPr>
                        <w:sz w:val="20"/>
                      </w:rPr>
                    </w:pPr>
                    <w:r>
                      <w:rPr>
                        <w:sz w:val="20"/>
                      </w:rPr>
                      <w:t xml:space="preserve">Patalpų, skirtų bendruomenių, NVO susirinkimų,  veiklos vykdymo poreikiams tenkinti mikrorajonuose, skaičius (vnt.)</w:t>
                    </w:r>
                  </w:p>
                </w:tc>
                <w:tc>
                  <w:tcPr>
                    <w:tcW w:w="1134" w:type="dxa"/>
                    <w:vAlign w:val="center"/>
                    <w:hideMark/>
                  </w:tcPr>
                  <w:p>
                    <w:pPr>
                      <w:jc w:val="center"/>
                      <w:rPr>
                        <w:sz w:val="20"/>
                      </w:rPr>
                    </w:pPr>
                    <w:r>
                      <w:rPr>
                        <w:sz w:val="20"/>
                      </w:rPr>
                      <w:t>KS, NOK</w:t>
                    </w:r>
                  </w:p>
                </w:tc>
                <w:tc>
                  <w:tcPr>
                    <w:tcW w:w="1134" w:type="dxa"/>
                    <w:vAlign w:val="center"/>
                    <w:hideMark/>
                  </w:tcPr>
                  <w:p>
                    <w:pPr>
                      <w:jc w:val="center"/>
                      <w:rPr>
                        <w:sz w:val="20"/>
                      </w:rPr>
                    </w:pPr>
                    <w:r>
                      <w:rPr>
                        <w:sz w:val="20"/>
                      </w:rPr>
                      <w:t>2 (2023)</w:t>
                    </w:r>
                  </w:p>
                </w:tc>
                <w:tc>
                  <w:tcPr>
                    <w:tcW w:w="1134" w:type="dxa"/>
                    <w:vAlign w:val="center"/>
                    <w:hideMark/>
                  </w:tcPr>
                  <w:p>
                    <w:pPr>
                      <w:jc w:val="center"/>
                      <w:rPr>
                        <w:sz w:val="20"/>
                      </w:rPr>
                    </w:pPr>
                    <w:r>
                      <w:rPr>
                        <w:sz w:val="20"/>
                      </w:rPr>
                      <w:t>4 (2027)</w:t>
                    </w:r>
                  </w:p>
                </w:tc>
              </w:tr>
              <w:tr>
                <w:trPr>
                  <w:trHeight w:val="87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P-11-02-01-02</w:t>
                    </w:r>
                  </w:p>
                </w:tc>
                <w:tc>
                  <w:tcPr>
                    <w:tcW w:w="4111" w:type="dxa"/>
                    <w:vAlign w:val="center"/>
                    <w:hideMark/>
                  </w:tcPr>
                  <w:p>
                    <w:pPr>
                      <w:rPr>
                        <w:sz w:val="20"/>
                      </w:rPr>
                    </w:pPr>
                    <w:r>
                      <w:rPr>
                        <w:sz w:val="20"/>
                      </w:rPr>
                      <w:t>Įgyvendintų iniciatyvų skaičius, bendradarbiaujant su Savivaldybės tarybos patvirtintomis jaunimo, nevyriausybinių ir bendruomeninių organizacijų tarybomis (vnt.)</w:t>
                    </w:r>
                  </w:p>
                </w:tc>
                <w:tc>
                  <w:tcPr>
                    <w:tcW w:w="1134" w:type="dxa"/>
                    <w:vAlign w:val="center"/>
                    <w:hideMark/>
                  </w:tcPr>
                  <w:p>
                    <w:pPr>
                      <w:jc w:val="center"/>
                      <w:rPr>
                        <w:sz w:val="20"/>
                      </w:rPr>
                    </w:pPr>
                    <w:r>
                      <w:rPr>
                        <w:sz w:val="20"/>
                      </w:rPr>
                      <w:t>JRK, NOK</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14 (2033)</w:t>
                    </w:r>
                  </w:p>
                </w:tc>
              </w:tr>
              <w:tr>
                <w:trPr>
                  <w:trHeight w:val="807"/>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P-11-02-01-03</w:t>
                    </w:r>
                  </w:p>
                </w:tc>
                <w:tc>
                  <w:tcPr>
                    <w:tcW w:w="4111" w:type="dxa"/>
                    <w:vAlign w:val="center"/>
                    <w:hideMark/>
                  </w:tcPr>
                  <w:p>
                    <w:pPr>
                      <w:rPr>
                        <w:sz w:val="20"/>
                      </w:rPr>
                    </w:pPr>
                    <w:r>
                      <w:rPr>
                        <w:sz w:val="20"/>
                      </w:rPr>
                      <w:t>Gyventojų pranešimų dėl problemų mieste dalis, gaunama per elektroninę problemų registravimo sistemą, nuo visų pranešimų, gaunamų per platformą, skaičiaus (proc.)</w:t>
                    </w:r>
                  </w:p>
                </w:tc>
                <w:tc>
                  <w:tcPr>
                    <w:tcW w:w="1134" w:type="dxa"/>
                    <w:vAlign w:val="center"/>
                    <w:hideMark/>
                  </w:tcPr>
                  <w:p>
                    <w:pPr>
                      <w:jc w:val="center"/>
                      <w:rPr>
                        <w:sz w:val="20"/>
                      </w:rPr>
                    </w:pPr>
                    <w:r>
                      <w:rPr>
                        <w:sz w:val="20"/>
                      </w:rPr>
                      <w:t>MKS</w:t>
                    </w:r>
                  </w:p>
                </w:tc>
                <w:tc>
                  <w:tcPr>
                    <w:tcW w:w="1134" w:type="dxa"/>
                    <w:vAlign w:val="center"/>
                    <w:hideMark/>
                  </w:tcPr>
                  <w:p>
                    <w:pPr>
                      <w:jc w:val="center"/>
                      <w:rPr>
                        <w:sz w:val="20"/>
                      </w:rPr>
                    </w:pPr>
                    <w:r>
                      <w:rPr>
                        <w:sz w:val="20"/>
                      </w:rPr>
                      <w:t>n.d. (2023)</w:t>
                    </w:r>
                  </w:p>
                </w:tc>
                <w:tc>
                  <w:tcPr>
                    <w:tcW w:w="1134" w:type="dxa"/>
                    <w:vAlign w:val="center"/>
                    <w:hideMark/>
                  </w:tcPr>
                  <w:p>
                    <w:pPr>
                      <w:jc w:val="center"/>
                      <w:rPr>
                        <w:sz w:val="20"/>
                      </w:rPr>
                    </w:pPr>
                    <w:r>
                      <w:rPr>
                        <w:sz w:val="20"/>
                      </w:rPr>
                      <w:t>30 (2033)</w:t>
                    </w:r>
                  </w:p>
                </w:tc>
              </w:tr>
              <w:tr>
                <w:trPr>
                  <w:trHeight w:val="520"/>
                  <w:jc w:val="center"/>
                </w:trPr>
                <w:tc>
                  <w:tcPr>
                    <w:tcW w:w="988" w:type="dxa"/>
                    <w:vMerge w:val="restart"/>
                    <w:noWrap/>
                    <w:vAlign w:val="center"/>
                    <w:hideMark/>
                  </w:tcPr>
                  <w:p>
                    <w:pPr>
                      <w:rPr>
                        <w:sz w:val="20"/>
                      </w:rPr>
                    </w:pPr>
                    <w:r>
                      <w:rPr>
                        <w:sz w:val="20"/>
                      </w:rPr>
                      <w:t>11-02-02</w:t>
                    </w:r>
                  </w:p>
                </w:tc>
                <w:tc>
                  <w:tcPr>
                    <w:tcW w:w="2126" w:type="dxa"/>
                    <w:vMerge w:val="restart"/>
                    <w:vAlign w:val="center"/>
                    <w:hideMark/>
                  </w:tcPr>
                  <w:p>
                    <w:pPr>
                      <w:rPr>
                        <w:sz w:val="20"/>
                      </w:rPr>
                    </w:pPr>
                    <w:r>
                      <w:rPr>
                        <w:sz w:val="20"/>
                      </w:rPr>
                      <w:t>Vystyti dalyvaujamojo biudžeto modelį</w:t>
                    </w:r>
                  </w:p>
                </w:tc>
                <w:tc>
                  <w:tcPr>
                    <w:tcW w:w="850" w:type="dxa"/>
                    <w:vMerge w:val="restart"/>
                    <w:vAlign w:val="center"/>
                    <w:hideMark/>
                  </w:tcPr>
                  <w:p>
                    <w:pPr>
                      <w:jc w:val="center"/>
                      <w:rPr>
                        <w:sz w:val="20"/>
                      </w:rPr>
                    </w:pPr>
                    <w:r>
                      <w:rPr>
                        <w:sz w:val="20"/>
                      </w:rPr>
                      <w:t>NOK</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P-11-02-02-01</w:t>
                    </w:r>
                  </w:p>
                </w:tc>
                <w:tc>
                  <w:tcPr>
                    <w:tcW w:w="4111" w:type="dxa"/>
                    <w:vAlign w:val="center"/>
                    <w:hideMark/>
                  </w:tcPr>
                  <w:p>
                    <w:pPr>
                      <w:rPr>
                        <w:sz w:val="20"/>
                      </w:rPr>
                    </w:pPr>
                    <w:r>
                      <w:rPr>
                        <w:sz w:val="20"/>
                      </w:rPr>
                      <w:t>Projektų, įgyvendintų pagal dalyvaujamojo biudžeto metodiką, skaičius (vnt.)</w:t>
                    </w:r>
                  </w:p>
                </w:tc>
                <w:tc>
                  <w:tcPr>
                    <w:tcW w:w="1134" w:type="dxa"/>
                    <w:vAlign w:val="center"/>
                    <w:hideMark/>
                  </w:tcPr>
                  <w:p>
                    <w:pPr>
                      <w:jc w:val="center"/>
                      <w:rPr>
                        <w:sz w:val="20"/>
                      </w:rPr>
                    </w:pPr>
                    <w:r>
                      <w:rPr>
                        <w:sz w:val="20"/>
                      </w:rPr>
                      <w:t>JK, NOK</w:t>
                    </w:r>
                  </w:p>
                </w:tc>
                <w:tc>
                  <w:tcPr>
                    <w:tcW w:w="1134" w:type="dxa"/>
                    <w:vAlign w:val="center"/>
                    <w:hideMark/>
                  </w:tcPr>
                  <w:p>
                    <w:pPr>
                      <w:jc w:val="center"/>
                      <w:rPr>
                        <w:sz w:val="20"/>
                      </w:rPr>
                    </w:pPr>
                    <w:r>
                      <w:rPr>
                        <w:sz w:val="20"/>
                      </w:rPr>
                      <w:t>2 (2023)</w:t>
                    </w:r>
                  </w:p>
                </w:tc>
                <w:tc>
                  <w:tcPr>
                    <w:tcW w:w="1134" w:type="dxa"/>
                    <w:vAlign w:val="center"/>
                    <w:hideMark/>
                  </w:tcPr>
                  <w:p>
                    <w:pPr>
                      <w:jc w:val="center"/>
                      <w:rPr>
                        <w:sz w:val="20"/>
                      </w:rPr>
                    </w:pPr>
                    <w:r>
                      <w:rPr>
                        <w:sz w:val="20"/>
                      </w:rPr>
                      <w:t>30-35 (2033)</w:t>
                    </w:r>
                  </w:p>
                </w:tc>
              </w:tr>
              <w:tr>
                <w:trPr>
                  <w:trHeight w:val="1164"/>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P-11-02-02-02</w:t>
                    </w:r>
                  </w:p>
                </w:tc>
                <w:tc>
                  <w:tcPr>
                    <w:tcW w:w="4111" w:type="dxa"/>
                    <w:vAlign w:val="center"/>
                    <w:hideMark/>
                  </w:tcPr>
                  <w:p>
                    <w:pPr>
                      <w:rPr>
                        <w:sz w:val="20"/>
                      </w:rPr>
                    </w:pPr>
                    <w:r>
                      <w:rPr>
                        <w:sz w:val="20"/>
                      </w:rPr>
                      <w:t>Lėšų dalis, skirta finansuoti projektams pagal dalyvaujamojo biudžeto modelį, palyginti su bendrąja savivaldybės biudžeto pajamų (atėmus dotacijas, ES lėšas, likutį, paskolas ir kitas lėšas) apimtimi (proc.)</w:t>
                    </w:r>
                  </w:p>
                </w:tc>
                <w:tc>
                  <w:tcPr>
                    <w:tcW w:w="1134" w:type="dxa"/>
                    <w:vAlign w:val="center"/>
                    <w:hideMark/>
                  </w:tcPr>
                  <w:p>
                    <w:pPr>
                      <w:jc w:val="center"/>
                      <w:rPr>
                        <w:sz w:val="20"/>
                      </w:rPr>
                    </w:pPr>
                    <w:r>
                      <w:rPr>
                        <w:sz w:val="20"/>
                      </w:rPr>
                      <w:t>NOK</w:t>
                    </w:r>
                  </w:p>
                </w:tc>
                <w:tc>
                  <w:tcPr>
                    <w:tcW w:w="1134" w:type="dxa"/>
                    <w:vAlign w:val="center"/>
                    <w:hideMark/>
                  </w:tcPr>
                  <w:p>
                    <w:pPr>
                      <w:jc w:val="center"/>
                      <w:rPr>
                        <w:sz w:val="20"/>
                      </w:rPr>
                    </w:pPr>
                    <w:r>
                      <w:rPr>
                        <w:sz w:val="20"/>
                      </w:rPr>
                      <w:t>0,18 (2023)</w:t>
                    </w:r>
                  </w:p>
                </w:tc>
                <w:tc>
                  <w:tcPr>
                    <w:tcW w:w="1134" w:type="dxa"/>
                    <w:vAlign w:val="center"/>
                    <w:hideMark/>
                  </w:tcPr>
                  <w:p>
                    <w:pPr>
                      <w:jc w:val="center"/>
                      <w:rPr>
                        <w:sz w:val="20"/>
                      </w:rPr>
                    </w:pPr>
                    <w:r>
                      <w:rPr>
                        <w:sz w:val="20"/>
                      </w:rPr>
                      <w:t>0,25 (2033)</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P-11-02-02-03</w:t>
                    </w:r>
                  </w:p>
                </w:tc>
                <w:tc>
                  <w:tcPr>
                    <w:tcW w:w="4111" w:type="dxa"/>
                    <w:vAlign w:val="center"/>
                    <w:hideMark/>
                  </w:tcPr>
                  <w:p>
                    <w:pPr>
                      <w:rPr>
                        <w:sz w:val="20"/>
                      </w:rPr>
                    </w:pPr>
                    <w:r>
                      <w:rPr>
                        <w:sz w:val="20"/>
                      </w:rPr>
                      <w:t xml:space="preserve">Balsavusiųjų dalyvaujamojo biudžeto projektų atrankose dalis nuo visų gyventojų (proc.) </w:t>
                    </w:r>
                  </w:p>
                </w:tc>
                <w:tc>
                  <w:tcPr>
                    <w:tcW w:w="1134" w:type="dxa"/>
                    <w:vAlign w:val="center"/>
                    <w:hideMark/>
                  </w:tcPr>
                  <w:p>
                    <w:pPr>
                      <w:jc w:val="center"/>
                      <w:rPr>
                        <w:sz w:val="20"/>
                      </w:rPr>
                    </w:pPr>
                    <w:r>
                      <w:rPr>
                        <w:sz w:val="20"/>
                      </w:rPr>
                      <w:t>NOK</w:t>
                    </w:r>
                  </w:p>
                </w:tc>
                <w:tc>
                  <w:tcPr>
                    <w:tcW w:w="1134" w:type="dxa"/>
                    <w:vAlign w:val="center"/>
                    <w:hideMark/>
                  </w:tcPr>
                  <w:p>
                    <w:pPr>
                      <w:jc w:val="center"/>
                      <w:rPr>
                        <w:sz w:val="20"/>
                      </w:rPr>
                    </w:pPr>
                    <w:r>
                      <w:rPr>
                        <w:sz w:val="20"/>
                      </w:rPr>
                      <w:t>6,3 (2023)</w:t>
                    </w:r>
                  </w:p>
                </w:tc>
                <w:tc>
                  <w:tcPr>
                    <w:tcW w:w="1134" w:type="dxa"/>
                    <w:vAlign w:val="center"/>
                    <w:hideMark/>
                  </w:tcPr>
                  <w:p>
                    <w:pPr>
                      <w:jc w:val="center"/>
                      <w:rPr>
                        <w:sz w:val="20"/>
                      </w:rPr>
                    </w:pPr>
                    <w:r>
                      <w:rPr>
                        <w:sz w:val="20"/>
                      </w:rPr>
                      <w:t>13 (2023)</w:t>
                    </w:r>
                  </w:p>
                </w:tc>
              </w:tr>
              <w:tr>
                <w:trPr>
                  <w:trHeight w:val="622"/>
                  <w:jc w:val="center"/>
                </w:trPr>
                <w:tc>
                  <w:tcPr>
                    <w:tcW w:w="988" w:type="dxa"/>
                    <w:vMerge w:val="restart"/>
                    <w:noWrap/>
                    <w:vAlign w:val="center"/>
                    <w:hideMark/>
                  </w:tcPr>
                  <w:p>
                    <w:pPr>
                      <w:rPr>
                        <w:sz w:val="20"/>
                      </w:rPr>
                    </w:pPr>
                    <w:r>
                      <w:rPr>
                        <w:sz w:val="20"/>
                      </w:rPr>
                      <w:t>11-02-03</w:t>
                    </w:r>
                  </w:p>
                </w:tc>
                <w:tc>
                  <w:tcPr>
                    <w:tcW w:w="2126" w:type="dxa"/>
                    <w:vMerge w:val="restart"/>
                    <w:vAlign w:val="center"/>
                    <w:hideMark/>
                  </w:tcPr>
                  <w:p>
                    <w:pPr>
                      <w:rPr>
                        <w:sz w:val="20"/>
                      </w:rPr>
                    </w:pPr>
                    <w:r>
                      <w:rPr>
                        <w:sz w:val="20"/>
                      </w:rPr>
                      <w:t>Užtikrinti sklandžią imigrantų integraciją Šiauliuose</w:t>
                    </w:r>
                  </w:p>
                </w:tc>
                <w:tc>
                  <w:tcPr>
                    <w:tcW w:w="850" w:type="dxa"/>
                    <w:vMerge w:val="restart"/>
                    <w:vAlign w:val="center"/>
                    <w:hideMark/>
                  </w:tcPr>
                  <w:p>
                    <w:pPr>
                      <w:jc w:val="center"/>
                      <w:rPr>
                        <w:sz w:val="20"/>
                      </w:rPr>
                    </w:pPr>
                    <w:r>
                      <w:rPr>
                        <w:sz w:val="20"/>
                      </w:rPr>
                      <w:t>SPS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P-11-02-03-01</w:t>
                    </w:r>
                  </w:p>
                </w:tc>
                <w:tc>
                  <w:tcPr>
                    <w:tcW w:w="4111" w:type="dxa"/>
                    <w:vAlign w:val="center"/>
                    <w:hideMark/>
                  </w:tcPr>
                  <w:p>
                    <w:pPr>
                      <w:rPr>
                        <w:sz w:val="20"/>
                      </w:rPr>
                    </w:pPr>
                    <w:r>
                      <w:rPr>
                        <w:sz w:val="20"/>
                      </w:rPr>
                      <w:t>Užsienio šalių piliečių, gavusių paslaugas pagal integracijos teikimo plano priemones, skaičius (asm. per metus)</w:t>
                    </w:r>
                  </w:p>
                </w:tc>
                <w:tc>
                  <w:tcPr>
                    <w:tcW w:w="1134" w:type="dxa"/>
                    <w:vAlign w:val="center"/>
                    <w:hideMark/>
                  </w:tcPr>
                  <w:p>
                    <w:pPr>
                      <w:jc w:val="center"/>
                      <w:rPr>
                        <w:sz w:val="20"/>
                      </w:rPr>
                    </w:pPr>
                    <w:r>
                      <w:rPr>
                        <w:sz w:val="20"/>
                      </w:rPr>
                      <w:t>SPS</w:t>
                    </w:r>
                  </w:p>
                </w:tc>
                <w:tc>
                  <w:tcPr>
                    <w:tcW w:w="1134" w:type="dxa"/>
                    <w:vAlign w:val="center"/>
                    <w:hideMark/>
                  </w:tcPr>
                  <w:p>
                    <w:pPr>
                      <w:jc w:val="center"/>
                      <w:rPr>
                        <w:sz w:val="20"/>
                      </w:rPr>
                    </w:pPr>
                    <w:r>
                      <w:rPr>
                        <w:sz w:val="20"/>
                      </w:rPr>
                      <w:t>3700 (2023)</w:t>
                    </w:r>
                  </w:p>
                </w:tc>
                <w:tc>
                  <w:tcPr>
                    <w:tcW w:w="1134" w:type="dxa"/>
                    <w:vAlign w:val="center"/>
                    <w:hideMark/>
                  </w:tcPr>
                  <w:p>
                    <w:pPr>
                      <w:jc w:val="center"/>
                      <w:rPr>
                        <w:sz w:val="20"/>
                      </w:rPr>
                    </w:pPr>
                    <w:r>
                      <w:rPr>
                        <w:sz w:val="20"/>
                      </w:rPr>
                      <w:t>2500 (2033)</w:t>
                    </w:r>
                  </w:p>
                </w:tc>
              </w:tr>
              <w:tr>
                <w:trPr>
                  <w:trHeight w:val="79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P-11-02-03-02</w:t>
                    </w:r>
                  </w:p>
                </w:tc>
                <w:tc>
                  <w:tcPr>
                    <w:tcW w:w="4111" w:type="dxa"/>
                    <w:vAlign w:val="center"/>
                    <w:hideMark/>
                  </w:tcPr>
                  <w:p>
                    <w:pPr>
                      <w:rPr>
                        <w:sz w:val="20"/>
                      </w:rPr>
                    </w:pPr>
                    <w:r>
                      <w:rPr>
                        <w:sz w:val="20"/>
                      </w:rPr>
                      <w:t>Užsienio šalių piliečių, dalyvavusių lietuvių kalbos kursuose, skaičius ir dalis nuo visų norinčiųjų (asm. / proc.)</w:t>
                    </w:r>
                  </w:p>
                </w:tc>
                <w:tc>
                  <w:tcPr>
                    <w:tcW w:w="1134" w:type="dxa"/>
                    <w:vAlign w:val="center"/>
                    <w:hideMark/>
                  </w:tcPr>
                  <w:p>
                    <w:pPr>
                      <w:jc w:val="center"/>
                      <w:rPr>
                        <w:sz w:val="20"/>
                      </w:rPr>
                    </w:pPr>
                    <w:r>
                      <w:rPr>
                        <w:sz w:val="20"/>
                      </w:rPr>
                      <w:t>ŠS</w:t>
                    </w:r>
                  </w:p>
                </w:tc>
                <w:tc>
                  <w:tcPr>
                    <w:tcW w:w="1134" w:type="dxa"/>
                    <w:vAlign w:val="center"/>
                    <w:hideMark/>
                  </w:tcPr>
                  <w:p>
                    <w:pPr>
                      <w:jc w:val="center"/>
                      <w:rPr>
                        <w:sz w:val="20"/>
                      </w:rPr>
                    </w:pPr>
                    <w:r>
                      <w:rPr>
                        <w:sz w:val="20"/>
                      </w:rPr>
                      <w:t>450 / 95 (2023)</w:t>
                    </w:r>
                  </w:p>
                </w:tc>
                <w:tc>
                  <w:tcPr>
                    <w:tcW w:w="1134" w:type="dxa"/>
                    <w:vAlign w:val="center"/>
                    <w:hideMark/>
                  </w:tcPr>
                  <w:p>
                    <w:pPr>
                      <w:jc w:val="center"/>
                      <w:rPr>
                        <w:sz w:val="20"/>
                      </w:rPr>
                    </w:pPr>
                    <w:r>
                      <w:rPr>
                        <w:sz w:val="20"/>
                      </w:rPr>
                      <w:t>900 / 98 (2033)</w:t>
                    </w:r>
                  </w:p>
                </w:tc>
              </w:tr>
              <w:tr>
                <w:trPr>
                  <w:trHeight w:val="790"/>
                  <w:jc w:val="center"/>
                </w:trPr>
                <w:tc>
                  <w:tcPr>
                    <w:tcW w:w="988" w:type="dxa"/>
                    <w:shd w:val="clear" w:color="auto" w:fill="FFD966"/>
                    <w:noWrap/>
                    <w:vAlign w:val="center"/>
                    <w:hideMark/>
                  </w:tcPr>
                  <w:p>
                    <w:pPr>
                      <w:rPr>
                        <w:b/>
                        <w:bCs/>
                        <w:sz w:val="20"/>
                      </w:rPr>
                    </w:pPr>
                    <w:r>
                      <w:rPr>
                        <w:b/>
                        <w:bCs/>
                        <w:sz w:val="20"/>
                      </w:rPr>
                      <w:t>12</w:t>
                    </w:r>
                  </w:p>
                </w:tc>
                <w:tc>
                  <w:tcPr>
                    <w:tcW w:w="2126" w:type="dxa"/>
                    <w:shd w:val="clear" w:color="auto" w:fill="FFD966"/>
                    <w:vAlign w:val="center"/>
                    <w:hideMark/>
                  </w:tcPr>
                  <w:p>
                    <w:pPr>
                      <w:rPr>
                        <w:b/>
                        <w:bCs/>
                        <w:sz w:val="20"/>
                      </w:rPr>
                    </w:pPr>
                    <w:r>
                      <w:rPr>
                        <w:b/>
                        <w:bCs/>
                        <w:sz w:val="20"/>
                      </w:rPr>
                      <w:t>Užtikrinti įtraukias, konkurencingas kultūrines paslaugas ir jų prieinamumą</w:t>
                    </w:r>
                  </w:p>
                </w:tc>
                <w:tc>
                  <w:tcPr>
                    <w:tcW w:w="850" w:type="dxa"/>
                    <w:shd w:val="clear" w:color="auto" w:fill="FFD966"/>
                    <w:vAlign w:val="center"/>
                    <w:hideMark/>
                  </w:tcPr>
                  <w:p>
                    <w:pPr>
                      <w:jc w:val="center"/>
                      <w:rPr>
                        <w:sz w:val="20"/>
                      </w:rPr>
                    </w:pPr>
                    <w:r>
                      <w:rPr>
                        <w:sz w:val="20"/>
                      </w:rPr>
                      <w:t>KS</w:t>
                    </w:r>
                  </w:p>
                </w:tc>
                <w:tc>
                  <w:tcPr>
                    <w:tcW w:w="709" w:type="dxa"/>
                    <w:shd w:val="clear" w:color="auto" w:fill="FFD966"/>
                    <w:noWrap/>
                    <w:vAlign w:val="center"/>
                    <w:hideMark/>
                  </w:tcPr>
                  <w:p>
                    <w:pPr>
                      <w:jc w:val="center"/>
                      <w:rPr>
                        <w:sz w:val="20"/>
                      </w:rPr>
                    </w:pPr>
                    <w:r>
                      <w:rPr>
                        <w:sz w:val="20"/>
                      </w:rPr>
                      <w:t>2025</w:t>
                    </w:r>
                  </w:p>
                </w:tc>
                <w:tc>
                  <w:tcPr>
                    <w:tcW w:w="709" w:type="dxa"/>
                    <w:shd w:val="clear" w:color="auto" w:fill="FFD966"/>
                    <w:noWrap/>
                    <w:vAlign w:val="center"/>
                    <w:hideMark/>
                  </w:tcPr>
                  <w:p>
                    <w:pPr>
                      <w:jc w:val="center"/>
                      <w:rPr>
                        <w:sz w:val="20"/>
                      </w:rPr>
                    </w:pPr>
                    <w:r>
                      <w:rPr>
                        <w:sz w:val="20"/>
                      </w:rPr>
                      <w:t>2033</w:t>
                    </w:r>
                  </w:p>
                </w:tc>
                <w:tc>
                  <w:tcPr>
                    <w:tcW w:w="1417" w:type="dxa"/>
                    <w:shd w:val="clear" w:color="auto" w:fill="FFD966"/>
                    <w:noWrap/>
                    <w:vAlign w:val="center"/>
                    <w:hideMark/>
                  </w:tcPr>
                  <w:p>
                    <w:pPr>
                      <w:rPr>
                        <w:sz w:val="20"/>
                      </w:rPr>
                    </w:pPr>
                    <w:r>
                      <w:rPr>
                        <w:sz w:val="20"/>
                      </w:rPr>
                      <w:t>P-12-01</w:t>
                    </w:r>
                  </w:p>
                </w:tc>
                <w:tc>
                  <w:tcPr>
                    <w:tcW w:w="4111" w:type="dxa"/>
                    <w:shd w:val="clear" w:color="auto" w:fill="FFD966"/>
                    <w:vAlign w:val="center"/>
                    <w:hideMark/>
                  </w:tcPr>
                  <w:p>
                    <w:pPr>
                      <w:rPr>
                        <w:sz w:val="20"/>
                      </w:rPr>
                    </w:pPr>
                    <w:r>
                      <w:rPr>
                        <w:sz w:val="20"/>
                      </w:rPr>
                      <w:t>Gyventojų pasitenkinimas kultūros paslaugomis (balas)</w:t>
                    </w:r>
                  </w:p>
                </w:tc>
                <w:tc>
                  <w:tcPr>
                    <w:tcW w:w="1134" w:type="dxa"/>
                    <w:shd w:val="clear" w:color="auto" w:fill="FFD966"/>
                    <w:vAlign w:val="center"/>
                    <w:hideMark/>
                  </w:tcPr>
                  <w:p>
                    <w:pPr>
                      <w:jc w:val="center"/>
                      <w:rPr>
                        <w:sz w:val="20"/>
                      </w:rPr>
                    </w:pPr>
                    <w:r>
                      <w:rPr>
                        <w:sz w:val="20"/>
                      </w:rPr>
                      <w:t>Tyrimas (KS)</w:t>
                    </w:r>
                  </w:p>
                </w:tc>
                <w:tc>
                  <w:tcPr>
                    <w:tcW w:w="1134" w:type="dxa"/>
                    <w:shd w:val="clear" w:color="auto" w:fill="FFD966"/>
                    <w:noWrap/>
                    <w:vAlign w:val="center"/>
                    <w:hideMark/>
                  </w:tcPr>
                  <w:p>
                    <w:pPr>
                      <w:jc w:val="center"/>
                      <w:rPr>
                        <w:sz w:val="20"/>
                      </w:rPr>
                    </w:pPr>
                    <w:r>
                      <w:rPr>
                        <w:sz w:val="20"/>
                      </w:rPr>
                      <w:t>8,2 (2023)</w:t>
                    </w:r>
                  </w:p>
                </w:tc>
                <w:tc>
                  <w:tcPr>
                    <w:tcW w:w="1134" w:type="dxa"/>
                    <w:shd w:val="clear" w:color="auto" w:fill="FFD966"/>
                    <w:noWrap/>
                    <w:vAlign w:val="center"/>
                    <w:hideMark/>
                  </w:tcPr>
                  <w:p>
                    <w:pPr>
                      <w:jc w:val="center"/>
                      <w:rPr>
                        <w:sz w:val="20"/>
                      </w:rPr>
                    </w:pPr>
                    <w:r>
                      <w:rPr>
                        <w:sz w:val="20"/>
                      </w:rPr>
                      <w:t>9 (2033)</w:t>
                    </w:r>
                  </w:p>
                </w:tc>
              </w:tr>
              <w:tr>
                <w:trPr>
                  <w:trHeight w:val="520"/>
                  <w:jc w:val="center"/>
                </w:trPr>
                <w:tc>
                  <w:tcPr>
                    <w:tcW w:w="988" w:type="dxa"/>
                    <w:vMerge w:val="restart"/>
                    <w:shd w:val="clear" w:color="auto" w:fill="FCE4D6"/>
                    <w:noWrap/>
                    <w:vAlign w:val="center"/>
                    <w:hideMark/>
                  </w:tcPr>
                  <w:p>
                    <w:pPr>
                      <w:rPr>
                        <w:b/>
                        <w:bCs/>
                        <w:sz w:val="20"/>
                      </w:rPr>
                    </w:pPr>
                    <w:r>
                      <w:rPr>
                        <w:b/>
                        <w:bCs/>
                        <w:sz w:val="20"/>
                      </w:rPr>
                      <w:t>12-01</w:t>
                    </w:r>
                  </w:p>
                </w:tc>
                <w:tc>
                  <w:tcPr>
                    <w:tcW w:w="2126" w:type="dxa"/>
                    <w:vMerge w:val="restart"/>
                    <w:shd w:val="clear" w:color="auto" w:fill="FCE4D6"/>
                    <w:vAlign w:val="center"/>
                    <w:hideMark/>
                  </w:tcPr>
                  <w:p>
                    <w:pPr>
                      <w:rPr>
                        <w:b/>
                        <w:bCs/>
                        <w:sz w:val="20"/>
                      </w:rPr>
                    </w:pPr>
                    <w:r>
                      <w:rPr>
                        <w:b/>
                        <w:bCs/>
                        <w:sz w:val="20"/>
                      </w:rPr>
                      <w:t>Stiprinti miesto kultūrinio gyvenimo aktyvumą</w:t>
                    </w:r>
                  </w:p>
                </w:tc>
                <w:tc>
                  <w:tcPr>
                    <w:tcW w:w="850" w:type="dxa"/>
                    <w:vMerge w:val="restart"/>
                    <w:shd w:val="clear" w:color="auto" w:fill="FCE4D6"/>
                    <w:vAlign w:val="center"/>
                    <w:hideMark/>
                  </w:tcPr>
                  <w:p>
                    <w:pPr>
                      <w:jc w:val="center"/>
                      <w:rPr>
                        <w:sz w:val="20"/>
                      </w:rPr>
                    </w:pPr>
                    <w:r>
                      <w:rPr>
                        <w:sz w:val="20"/>
                      </w:rPr>
                      <w:t>KS</w:t>
                    </w:r>
                  </w:p>
                </w:tc>
                <w:tc>
                  <w:tcPr>
                    <w:tcW w:w="709" w:type="dxa"/>
                    <w:vMerge w:val="restart"/>
                    <w:shd w:val="clear" w:color="auto" w:fill="FCE4D6"/>
                    <w:noWrap/>
                    <w:vAlign w:val="center"/>
                    <w:hideMark/>
                  </w:tcPr>
                  <w:p>
                    <w:pPr>
                      <w:jc w:val="center"/>
                      <w:rPr>
                        <w:sz w:val="20"/>
                      </w:rPr>
                    </w:pPr>
                    <w:r>
                      <w:rPr>
                        <w:sz w:val="20"/>
                      </w:rPr>
                      <w:t>2025</w:t>
                    </w:r>
                  </w:p>
                </w:tc>
                <w:tc>
                  <w:tcPr>
                    <w:tcW w:w="709" w:type="dxa"/>
                    <w:vMerge w:val="restart"/>
                    <w:shd w:val="clear" w:color="auto" w:fill="FCE4D6"/>
                    <w:noWrap/>
                    <w:vAlign w:val="center"/>
                    <w:hideMark/>
                  </w:tcPr>
                  <w:p>
                    <w:pPr>
                      <w:jc w:val="center"/>
                      <w:rPr>
                        <w:sz w:val="20"/>
                      </w:rPr>
                    </w:pPr>
                    <w:r>
                      <w:rPr>
                        <w:sz w:val="20"/>
                      </w:rPr>
                      <w:t>2033</w:t>
                    </w:r>
                  </w:p>
                </w:tc>
                <w:tc>
                  <w:tcPr>
                    <w:tcW w:w="1417" w:type="dxa"/>
                    <w:vMerge w:val="restart"/>
                    <w:shd w:val="clear" w:color="auto" w:fill="FCE4D6"/>
                    <w:noWrap/>
                    <w:vAlign w:val="center"/>
                    <w:hideMark/>
                  </w:tcPr>
                  <w:p>
                    <w:pPr>
                      <w:rPr>
                        <w:sz w:val="20"/>
                      </w:rPr>
                    </w:pPr>
                    <w:r>
                      <w:rPr>
                        <w:sz w:val="20"/>
                      </w:rPr>
                      <w:t>R-12-01-01</w:t>
                    </w:r>
                  </w:p>
                </w:tc>
                <w:tc>
                  <w:tcPr>
                    <w:tcW w:w="4111" w:type="dxa"/>
                    <w:shd w:val="clear" w:color="auto" w:fill="FCE4D6"/>
                    <w:vAlign w:val="center"/>
                    <w:hideMark/>
                  </w:tcPr>
                  <w:p>
                    <w:pPr>
                      <w:rPr>
                        <w:sz w:val="20"/>
                      </w:rPr>
                    </w:pPr>
                    <w:r>
                      <w:rPr>
                        <w:sz w:val="20"/>
                      </w:rPr>
                      <w:t>Kultūros įstaigų lankytojų skaičius (tūkst. asm. per metus):</w:t>
                    </w:r>
                  </w:p>
                </w:tc>
                <w:tc>
                  <w:tcPr>
                    <w:tcW w:w="1134" w:type="dxa"/>
                    <w:vMerge w:val="restart"/>
                    <w:shd w:val="clear" w:color="auto" w:fill="FCE4D6"/>
                    <w:noWrap/>
                    <w:vAlign w:val="center"/>
                    <w:hideMark/>
                  </w:tcPr>
                  <w:p>
                    <w:pPr>
                      <w:jc w:val="center"/>
                      <w:rPr>
                        <w:sz w:val="20"/>
                      </w:rPr>
                    </w:pPr>
                    <w:r>
                      <w:rPr>
                        <w:sz w:val="20"/>
                      </w:rPr>
                      <w:t>ŠMSA (KS)</w:t>
                    </w:r>
                  </w:p>
                </w:tc>
                <w:tc>
                  <w:tcPr>
                    <w:tcW w:w="1134" w:type="dxa"/>
                    <w:shd w:val="clear" w:color="auto" w:fill="FCE4D6"/>
                    <w:noWrap/>
                    <w:vAlign w:val="center"/>
                    <w:hideMark/>
                  </w:tcPr>
                  <w:p>
                    <w:pPr>
                      <w:jc w:val="center"/>
                      <w:rPr>
                        <w:sz w:val="20"/>
                      </w:rPr>
                    </w:pPr>
                    <w:r>
                      <w:rPr>
                        <w:sz w:val="20"/>
                      </w:rPr>
                      <w:t>983 (2022)</w:t>
                    </w:r>
                  </w:p>
                </w:tc>
                <w:tc>
                  <w:tcPr>
                    <w:tcW w:w="1134" w:type="dxa"/>
                    <w:shd w:val="clear" w:color="auto" w:fill="FCE4D6"/>
                    <w:noWrap/>
                    <w:vAlign w:val="center"/>
                    <w:hideMark/>
                  </w:tcPr>
                  <w:p>
                    <w:pPr>
                      <w:jc w:val="center"/>
                      <w:rPr>
                        <w:sz w:val="20"/>
                      </w:rPr>
                    </w:pPr>
                    <w:r>
                      <w:rPr>
                        <w:sz w:val="20"/>
                      </w:rPr>
                      <w:t>1070 (2033)</w:t>
                    </w:r>
                  </w:p>
                </w:tc>
              </w:tr>
              <w:tr>
                <w:trPr>
                  <w:trHeight w:val="52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vMerge/>
                    <w:shd w:val="clear" w:color="auto" w:fill="FCE4D6"/>
                    <w:vAlign w:val="center"/>
                    <w:hideMark/>
                  </w:tcPr>
                  <w:p>
                    <w:pPr>
                      <w:rPr>
                        <w:sz w:val="20"/>
                      </w:rPr>
                    </w:pPr>
                  </w:p>
                </w:tc>
                <w:tc>
                  <w:tcPr>
                    <w:tcW w:w="4111" w:type="dxa"/>
                    <w:shd w:val="clear" w:color="auto" w:fill="FCE4D6"/>
                    <w:vAlign w:val="center"/>
                    <w:hideMark/>
                  </w:tcPr>
                  <w:p>
                    <w:pPr>
                      <w:rPr>
                        <w:sz w:val="20"/>
                      </w:rPr>
                    </w:pPr>
                    <w:r>
                      <w:rPr>
                        <w:sz w:val="20"/>
                      </w:rPr>
                      <w:t>Bibliotekų lankytojų skaičius (tūkst. asm. per metus)</w:t>
                    </w:r>
                  </w:p>
                </w:tc>
                <w:tc>
                  <w:tcPr>
                    <w:tcW w:w="1134" w:type="dxa"/>
                    <w:vMerge/>
                    <w:shd w:val="clear" w:color="auto" w:fill="FCE4D6"/>
                    <w:vAlign w:val="center"/>
                    <w:hideMark/>
                  </w:tcPr>
                  <w:p>
                    <w:pPr>
                      <w:jc w:val="center"/>
                      <w:rPr>
                        <w:sz w:val="20"/>
                      </w:rPr>
                    </w:pPr>
                  </w:p>
                </w:tc>
                <w:tc>
                  <w:tcPr>
                    <w:tcW w:w="1134" w:type="dxa"/>
                    <w:shd w:val="clear" w:color="auto" w:fill="FCE4D6"/>
                    <w:noWrap/>
                    <w:vAlign w:val="center"/>
                    <w:hideMark/>
                  </w:tcPr>
                  <w:p>
                    <w:pPr>
                      <w:jc w:val="center"/>
                      <w:rPr>
                        <w:sz w:val="20"/>
                      </w:rPr>
                    </w:pPr>
                    <w:r>
                      <w:rPr>
                        <w:sz w:val="20"/>
                      </w:rPr>
                      <w:t>366 (2022)</w:t>
                    </w:r>
                  </w:p>
                </w:tc>
                <w:tc>
                  <w:tcPr>
                    <w:tcW w:w="1134" w:type="dxa"/>
                    <w:shd w:val="clear" w:color="auto" w:fill="FCE4D6"/>
                    <w:noWrap/>
                    <w:vAlign w:val="center"/>
                    <w:hideMark/>
                  </w:tcPr>
                  <w:p>
                    <w:pPr>
                      <w:jc w:val="center"/>
                      <w:rPr>
                        <w:sz w:val="20"/>
                      </w:rPr>
                    </w:pPr>
                    <w:r>
                      <w:rPr>
                        <w:sz w:val="20"/>
                      </w:rPr>
                      <w:t>384 (2033)</w:t>
                    </w:r>
                  </w:p>
                </w:tc>
              </w:tr>
              <w:tr>
                <w:trPr>
                  <w:trHeight w:val="44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vMerge/>
                    <w:shd w:val="clear" w:color="auto" w:fill="FCE4D6"/>
                    <w:vAlign w:val="center"/>
                    <w:hideMark/>
                  </w:tcPr>
                  <w:p>
                    <w:pPr>
                      <w:rPr>
                        <w:sz w:val="20"/>
                      </w:rPr>
                    </w:pPr>
                  </w:p>
                </w:tc>
                <w:tc>
                  <w:tcPr>
                    <w:tcW w:w="4111" w:type="dxa"/>
                    <w:shd w:val="clear" w:color="auto" w:fill="FCE4D6"/>
                    <w:vAlign w:val="center"/>
                    <w:hideMark/>
                  </w:tcPr>
                  <w:p>
                    <w:pPr>
                      <w:rPr>
                        <w:sz w:val="20"/>
                      </w:rPr>
                    </w:pPr>
                    <w:r>
                      <w:rPr>
                        <w:sz w:val="20"/>
                      </w:rPr>
                      <w:t>Muziejų lankytojų skaičius (tūkst. asm. per metus)</w:t>
                    </w:r>
                  </w:p>
                </w:tc>
                <w:tc>
                  <w:tcPr>
                    <w:tcW w:w="1134" w:type="dxa"/>
                    <w:vMerge/>
                    <w:shd w:val="clear" w:color="auto" w:fill="FCE4D6"/>
                    <w:vAlign w:val="center"/>
                    <w:hideMark/>
                  </w:tcPr>
                  <w:p>
                    <w:pPr>
                      <w:jc w:val="center"/>
                      <w:rPr>
                        <w:sz w:val="20"/>
                      </w:rPr>
                    </w:pPr>
                  </w:p>
                </w:tc>
                <w:tc>
                  <w:tcPr>
                    <w:tcW w:w="1134" w:type="dxa"/>
                    <w:shd w:val="clear" w:color="auto" w:fill="FCE4D6"/>
                    <w:noWrap/>
                    <w:vAlign w:val="center"/>
                    <w:hideMark/>
                  </w:tcPr>
                  <w:p>
                    <w:pPr>
                      <w:jc w:val="center"/>
                      <w:rPr>
                        <w:sz w:val="20"/>
                      </w:rPr>
                    </w:pPr>
                    <w:r>
                      <w:rPr>
                        <w:sz w:val="20"/>
                      </w:rPr>
                      <w:t>129 (2022)</w:t>
                    </w:r>
                  </w:p>
                </w:tc>
                <w:tc>
                  <w:tcPr>
                    <w:tcW w:w="1134" w:type="dxa"/>
                    <w:shd w:val="clear" w:color="auto" w:fill="FCE4D6"/>
                    <w:noWrap/>
                    <w:vAlign w:val="center"/>
                    <w:hideMark/>
                  </w:tcPr>
                  <w:p>
                    <w:pPr>
                      <w:jc w:val="center"/>
                      <w:rPr>
                        <w:sz w:val="20"/>
                      </w:rPr>
                    </w:pPr>
                    <w:r>
                      <w:rPr>
                        <w:sz w:val="20"/>
                      </w:rPr>
                      <w:t>140 (2033)</w:t>
                    </w:r>
                  </w:p>
                </w:tc>
              </w:tr>
              <w:tr>
                <w:trPr>
                  <w:trHeight w:val="44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vMerge/>
                    <w:shd w:val="clear" w:color="auto" w:fill="FCE4D6"/>
                    <w:vAlign w:val="center"/>
                    <w:hideMark/>
                  </w:tcPr>
                  <w:p>
                    <w:pPr>
                      <w:rPr>
                        <w:sz w:val="20"/>
                      </w:rPr>
                    </w:pPr>
                  </w:p>
                </w:tc>
                <w:tc>
                  <w:tcPr>
                    <w:tcW w:w="4111" w:type="dxa"/>
                    <w:shd w:val="clear" w:color="auto" w:fill="FCE4D6"/>
                    <w:vAlign w:val="center"/>
                    <w:hideMark/>
                  </w:tcPr>
                  <w:p>
                    <w:pPr>
                      <w:rPr>
                        <w:sz w:val="20"/>
                      </w:rPr>
                    </w:pPr>
                    <w:r>
                      <w:rPr>
                        <w:sz w:val="20"/>
                      </w:rPr>
                      <w:t>Galerijų lankytojų skaičius (tūkst. asm. per metus)</w:t>
                    </w:r>
                  </w:p>
                </w:tc>
                <w:tc>
                  <w:tcPr>
                    <w:tcW w:w="1134" w:type="dxa"/>
                    <w:vMerge/>
                    <w:shd w:val="clear" w:color="auto" w:fill="FCE4D6"/>
                    <w:vAlign w:val="center"/>
                    <w:hideMark/>
                  </w:tcPr>
                  <w:p>
                    <w:pPr>
                      <w:jc w:val="center"/>
                      <w:rPr>
                        <w:sz w:val="20"/>
                      </w:rPr>
                    </w:pPr>
                  </w:p>
                </w:tc>
                <w:tc>
                  <w:tcPr>
                    <w:tcW w:w="1134" w:type="dxa"/>
                    <w:shd w:val="clear" w:color="auto" w:fill="FCE4D6"/>
                    <w:noWrap/>
                    <w:vAlign w:val="center"/>
                    <w:hideMark/>
                  </w:tcPr>
                  <w:p>
                    <w:pPr>
                      <w:jc w:val="center"/>
                      <w:rPr>
                        <w:sz w:val="20"/>
                      </w:rPr>
                    </w:pPr>
                    <w:r>
                      <w:rPr>
                        <w:sz w:val="20"/>
                      </w:rPr>
                      <w:t>63 (2022)</w:t>
                    </w:r>
                  </w:p>
                </w:tc>
                <w:tc>
                  <w:tcPr>
                    <w:tcW w:w="1134" w:type="dxa"/>
                    <w:shd w:val="clear" w:color="auto" w:fill="FCE4D6"/>
                    <w:noWrap/>
                    <w:vAlign w:val="center"/>
                    <w:hideMark/>
                  </w:tcPr>
                  <w:p>
                    <w:pPr>
                      <w:jc w:val="center"/>
                      <w:rPr>
                        <w:sz w:val="20"/>
                      </w:rPr>
                    </w:pPr>
                    <w:r>
                      <w:rPr>
                        <w:sz w:val="20"/>
                      </w:rPr>
                      <w:t>66 (2033)</w:t>
                    </w:r>
                  </w:p>
                </w:tc>
              </w:tr>
              <w:tr>
                <w:trPr>
                  <w:trHeight w:val="29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vMerge/>
                    <w:shd w:val="clear" w:color="auto" w:fill="FCE4D6"/>
                    <w:vAlign w:val="center"/>
                    <w:hideMark/>
                  </w:tcPr>
                  <w:p>
                    <w:pPr>
                      <w:rPr>
                        <w:sz w:val="20"/>
                      </w:rPr>
                    </w:pPr>
                  </w:p>
                </w:tc>
                <w:tc>
                  <w:tcPr>
                    <w:tcW w:w="4111" w:type="dxa"/>
                    <w:shd w:val="clear" w:color="auto" w:fill="FCE4D6"/>
                    <w:vAlign w:val="center"/>
                    <w:hideMark/>
                  </w:tcPr>
                  <w:p>
                    <w:pPr>
                      <w:rPr>
                        <w:sz w:val="20"/>
                      </w:rPr>
                    </w:pPr>
                    <w:r>
                      <w:rPr>
                        <w:sz w:val="20"/>
                      </w:rPr>
                      <w:t>Teatrų lankytojų skaičius (tūkst. asm. per metus)</w:t>
                    </w:r>
                  </w:p>
                </w:tc>
                <w:tc>
                  <w:tcPr>
                    <w:tcW w:w="1134" w:type="dxa"/>
                    <w:vMerge/>
                    <w:shd w:val="clear" w:color="auto" w:fill="FCE4D6"/>
                    <w:vAlign w:val="center"/>
                    <w:hideMark/>
                  </w:tcPr>
                  <w:p>
                    <w:pPr>
                      <w:jc w:val="center"/>
                      <w:rPr>
                        <w:sz w:val="20"/>
                      </w:rPr>
                    </w:pPr>
                  </w:p>
                </w:tc>
                <w:tc>
                  <w:tcPr>
                    <w:tcW w:w="1134" w:type="dxa"/>
                    <w:shd w:val="clear" w:color="auto" w:fill="FCE4D6"/>
                    <w:noWrap/>
                    <w:vAlign w:val="center"/>
                    <w:hideMark/>
                  </w:tcPr>
                  <w:p>
                    <w:pPr>
                      <w:jc w:val="center"/>
                      <w:rPr>
                        <w:sz w:val="20"/>
                      </w:rPr>
                    </w:pPr>
                    <w:r>
                      <w:rPr>
                        <w:sz w:val="20"/>
                      </w:rPr>
                      <w:t>29 (2022)</w:t>
                    </w:r>
                  </w:p>
                </w:tc>
                <w:tc>
                  <w:tcPr>
                    <w:tcW w:w="1134" w:type="dxa"/>
                    <w:shd w:val="clear" w:color="auto" w:fill="FCE4D6"/>
                    <w:noWrap/>
                    <w:vAlign w:val="center"/>
                    <w:hideMark/>
                  </w:tcPr>
                  <w:p>
                    <w:pPr>
                      <w:jc w:val="center"/>
                      <w:rPr>
                        <w:sz w:val="20"/>
                      </w:rPr>
                    </w:pPr>
                    <w:r>
                      <w:rPr>
                        <w:sz w:val="20"/>
                      </w:rPr>
                      <w:t>40 (2033)</w:t>
                    </w:r>
                  </w:p>
                </w:tc>
              </w:tr>
              <w:tr>
                <w:trPr>
                  <w:trHeight w:val="52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vMerge/>
                    <w:shd w:val="clear" w:color="auto" w:fill="FCE4D6"/>
                    <w:vAlign w:val="center"/>
                    <w:hideMark/>
                  </w:tcPr>
                  <w:p>
                    <w:pPr>
                      <w:rPr>
                        <w:sz w:val="20"/>
                      </w:rPr>
                    </w:pPr>
                  </w:p>
                </w:tc>
                <w:tc>
                  <w:tcPr>
                    <w:tcW w:w="4111" w:type="dxa"/>
                    <w:shd w:val="clear" w:color="auto" w:fill="FCE4D6"/>
                    <w:vAlign w:val="center"/>
                    <w:hideMark/>
                  </w:tcPr>
                  <w:p>
                    <w:pPr>
                      <w:rPr>
                        <w:sz w:val="20"/>
                      </w:rPr>
                    </w:pPr>
                    <w:r>
                      <w:rPr>
                        <w:sz w:val="20"/>
                      </w:rPr>
                      <w:t>Koncertų salių lankytojų skaičius (tūkst. asm. per metus)</w:t>
                    </w:r>
                  </w:p>
                </w:tc>
                <w:tc>
                  <w:tcPr>
                    <w:tcW w:w="1134" w:type="dxa"/>
                    <w:vMerge/>
                    <w:shd w:val="clear" w:color="auto" w:fill="FCE4D6"/>
                    <w:vAlign w:val="center"/>
                    <w:hideMark/>
                  </w:tcPr>
                  <w:p>
                    <w:pPr>
                      <w:jc w:val="center"/>
                      <w:rPr>
                        <w:sz w:val="20"/>
                      </w:rPr>
                    </w:pPr>
                  </w:p>
                </w:tc>
                <w:tc>
                  <w:tcPr>
                    <w:tcW w:w="1134" w:type="dxa"/>
                    <w:shd w:val="clear" w:color="auto" w:fill="FCE4D6"/>
                    <w:noWrap/>
                    <w:vAlign w:val="center"/>
                    <w:hideMark/>
                  </w:tcPr>
                  <w:p>
                    <w:pPr>
                      <w:jc w:val="center"/>
                      <w:rPr>
                        <w:sz w:val="20"/>
                      </w:rPr>
                    </w:pPr>
                    <w:r>
                      <w:rPr>
                        <w:sz w:val="20"/>
                      </w:rPr>
                      <w:t>105 (2022)</w:t>
                    </w:r>
                  </w:p>
                </w:tc>
                <w:tc>
                  <w:tcPr>
                    <w:tcW w:w="1134" w:type="dxa"/>
                    <w:shd w:val="clear" w:color="auto" w:fill="FCE4D6"/>
                    <w:noWrap/>
                    <w:vAlign w:val="center"/>
                    <w:hideMark/>
                  </w:tcPr>
                  <w:p>
                    <w:pPr>
                      <w:jc w:val="center"/>
                      <w:rPr>
                        <w:sz w:val="20"/>
                      </w:rPr>
                    </w:pPr>
                    <w:r>
                      <w:rPr>
                        <w:sz w:val="20"/>
                      </w:rPr>
                      <w:t>130 (2033)</w:t>
                    </w:r>
                  </w:p>
                </w:tc>
              </w:tr>
              <w:tr>
                <w:trPr>
                  <w:trHeight w:val="479"/>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vMerge/>
                    <w:shd w:val="clear" w:color="auto" w:fill="FCE4D6"/>
                    <w:vAlign w:val="center"/>
                    <w:hideMark/>
                  </w:tcPr>
                  <w:p>
                    <w:pPr>
                      <w:rPr>
                        <w:sz w:val="20"/>
                      </w:rPr>
                    </w:pPr>
                  </w:p>
                </w:tc>
                <w:tc>
                  <w:tcPr>
                    <w:tcW w:w="4111" w:type="dxa"/>
                    <w:shd w:val="clear" w:color="auto" w:fill="FCE4D6"/>
                    <w:vAlign w:val="center"/>
                    <w:hideMark/>
                  </w:tcPr>
                  <w:p>
                    <w:pPr>
                      <w:rPr>
                        <w:sz w:val="20"/>
                      </w:rPr>
                    </w:pPr>
                    <w:r>
                      <w:rPr>
                        <w:sz w:val="20"/>
                      </w:rPr>
                      <w:t>Kultūros centrų lankytojų skaičius (tūkst. asm. per metus)</w:t>
                    </w:r>
                  </w:p>
                </w:tc>
                <w:tc>
                  <w:tcPr>
                    <w:tcW w:w="1134" w:type="dxa"/>
                    <w:vMerge/>
                    <w:shd w:val="clear" w:color="auto" w:fill="FCE4D6"/>
                    <w:vAlign w:val="center"/>
                    <w:hideMark/>
                  </w:tcPr>
                  <w:p>
                    <w:pPr>
                      <w:jc w:val="center"/>
                      <w:rPr>
                        <w:sz w:val="20"/>
                      </w:rPr>
                    </w:pPr>
                  </w:p>
                </w:tc>
                <w:tc>
                  <w:tcPr>
                    <w:tcW w:w="1134" w:type="dxa"/>
                    <w:shd w:val="clear" w:color="auto" w:fill="FCE4D6"/>
                    <w:noWrap/>
                    <w:vAlign w:val="center"/>
                    <w:hideMark/>
                  </w:tcPr>
                  <w:p>
                    <w:pPr>
                      <w:jc w:val="center"/>
                      <w:rPr>
                        <w:sz w:val="20"/>
                      </w:rPr>
                    </w:pPr>
                    <w:r>
                      <w:rPr>
                        <w:sz w:val="20"/>
                      </w:rPr>
                      <w:t>291 (2022)</w:t>
                    </w:r>
                  </w:p>
                </w:tc>
                <w:tc>
                  <w:tcPr>
                    <w:tcW w:w="1134" w:type="dxa"/>
                    <w:shd w:val="clear" w:color="auto" w:fill="FCE4D6"/>
                    <w:noWrap/>
                    <w:vAlign w:val="center"/>
                    <w:hideMark/>
                  </w:tcPr>
                  <w:p>
                    <w:pPr>
                      <w:jc w:val="center"/>
                      <w:rPr>
                        <w:sz w:val="20"/>
                      </w:rPr>
                    </w:pPr>
                    <w:r>
                      <w:rPr>
                        <w:sz w:val="20"/>
                      </w:rPr>
                      <w:t>310 (2033)</w:t>
                    </w:r>
                  </w:p>
                </w:tc>
              </w:tr>
              <w:tr>
                <w:trPr>
                  <w:trHeight w:val="79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noWrap/>
                    <w:vAlign w:val="center"/>
                    <w:hideMark/>
                  </w:tcPr>
                  <w:p>
                    <w:pPr>
                      <w:rPr>
                        <w:sz w:val="20"/>
                      </w:rPr>
                    </w:pPr>
                    <w:r>
                      <w:rPr>
                        <w:sz w:val="20"/>
                      </w:rPr>
                      <w:t>R-12-01-02</w:t>
                    </w:r>
                  </w:p>
                </w:tc>
                <w:tc>
                  <w:tcPr>
                    <w:tcW w:w="4111" w:type="dxa"/>
                    <w:shd w:val="clear" w:color="auto" w:fill="FCE4D6"/>
                    <w:vAlign w:val="center"/>
                    <w:hideMark/>
                  </w:tcPr>
                  <w:p>
                    <w:pPr>
                      <w:rPr>
                        <w:sz w:val="20"/>
                      </w:rPr>
                    </w:pPr>
                    <w:r>
                      <w:rPr>
                        <w:sz w:val="20"/>
                      </w:rPr>
                      <w:t xml:space="preserve">Naujų užsienio miestų (ir šalių), įtrauktų į ilgalaikę kultūros partnerystę (trunkančią ilgiau kaip 1 m.), skaičius (vnt.) </w:t>
                    </w:r>
                  </w:p>
                </w:tc>
                <w:tc>
                  <w:tcPr>
                    <w:tcW w:w="1134" w:type="dxa"/>
                    <w:shd w:val="clear" w:color="auto" w:fill="FCE4D6"/>
                    <w:noWrap/>
                    <w:vAlign w:val="center"/>
                    <w:hideMark/>
                  </w:tcPr>
                  <w:p>
                    <w:pPr>
                      <w:jc w:val="center"/>
                      <w:rPr>
                        <w:sz w:val="20"/>
                      </w:rPr>
                    </w:pPr>
                    <w:r>
                      <w:rPr>
                        <w:sz w:val="20"/>
                      </w:rPr>
                      <w:t>ŠMSA (KS)</w:t>
                    </w:r>
                  </w:p>
                </w:tc>
                <w:tc>
                  <w:tcPr>
                    <w:tcW w:w="1134" w:type="dxa"/>
                    <w:shd w:val="clear" w:color="auto" w:fill="FCE4D6"/>
                    <w:noWrap/>
                    <w:vAlign w:val="center"/>
                    <w:hideMark/>
                  </w:tcPr>
                  <w:p>
                    <w:pPr>
                      <w:jc w:val="center"/>
                      <w:rPr>
                        <w:sz w:val="20"/>
                      </w:rPr>
                    </w:pPr>
                    <w:r>
                      <w:rPr>
                        <w:sz w:val="20"/>
                      </w:rPr>
                      <w:t>4 (2023)</w:t>
                    </w:r>
                  </w:p>
                </w:tc>
                <w:tc>
                  <w:tcPr>
                    <w:tcW w:w="1134" w:type="dxa"/>
                    <w:shd w:val="clear" w:color="auto" w:fill="FCE4D6"/>
                    <w:noWrap/>
                    <w:vAlign w:val="center"/>
                    <w:hideMark/>
                  </w:tcPr>
                  <w:p>
                    <w:pPr>
                      <w:jc w:val="center"/>
                      <w:rPr>
                        <w:sz w:val="20"/>
                      </w:rPr>
                    </w:pPr>
                    <w:r>
                      <w:rPr>
                        <w:sz w:val="20"/>
                      </w:rPr>
                      <w:t>5 (2033)</w:t>
                    </w:r>
                  </w:p>
                </w:tc>
              </w:tr>
              <w:tr>
                <w:trPr>
                  <w:trHeight w:val="483"/>
                  <w:jc w:val="center"/>
                </w:trPr>
                <w:tc>
                  <w:tcPr>
                    <w:tcW w:w="988" w:type="dxa"/>
                    <w:vMerge w:val="restart"/>
                    <w:noWrap/>
                    <w:vAlign w:val="center"/>
                    <w:hideMark/>
                  </w:tcPr>
                  <w:p>
                    <w:pPr>
                      <w:rPr>
                        <w:sz w:val="20"/>
                      </w:rPr>
                    </w:pPr>
                    <w:r>
                      <w:rPr>
                        <w:sz w:val="20"/>
                      </w:rPr>
                      <w:t>12-01-01</w:t>
                    </w:r>
                  </w:p>
                </w:tc>
                <w:tc>
                  <w:tcPr>
                    <w:tcW w:w="2126" w:type="dxa"/>
                    <w:vMerge w:val="restart"/>
                    <w:vAlign w:val="center"/>
                    <w:hideMark/>
                  </w:tcPr>
                  <w:p>
                    <w:pPr>
                      <w:rPr>
                        <w:sz w:val="20"/>
                      </w:rPr>
                    </w:pPr>
                    <w:r>
                      <w:rPr>
                        <w:sz w:val="20"/>
                      </w:rPr>
                      <w:t>Didinti inovatyvių kultūros paslaugų ir produktų įvairovę</w:t>
                    </w:r>
                  </w:p>
                </w:tc>
                <w:tc>
                  <w:tcPr>
                    <w:tcW w:w="850" w:type="dxa"/>
                    <w:vMerge w:val="restart"/>
                    <w:noWrap/>
                    <w:vAlign w:val="center"/>
                    <w:hideMark/>
                  </w:tcPr>
                  <w:p>
                    <w:pPr>
                      <w:jc w:val="center"/>
                      <w:rPr>
                        <w:sz w:val="20"/>
                      </w:rPr>
                    </w:pPr>
                    <w:r>
                      <w:rPr>
                        <w:sz w:val="20"/>
                      </w:rPr>
                      <w:t>KS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P-12-01-01-01</w:t>
                    </w:r>
                  </w:p>
                </w:tc>
                <w:tc>
                  <w:tcPr>
                    <w:tcW w:w="4111" w:type="dxa"/>
                    <w:vAlign w:val="center"/>
                    <w:hideMark/>
                  </w:tcPr>
                  <w:p>
                    <w:pPr>
                      <w:rPr>
                        <w:sz w:val="20"/>
                      </w:rPr>
                    </w:pPr>
                    <w:r>
                      <w:rPr>
                        <w:sz w:val="20"/>
                      </w:rPr>
                      <w:t>Įgyvendintų naujų kultūros srities iniciatyvų skaičius (vnt.)</w:t>
                    </w:r>
                  </w:p>
                </w:tc>
                <w:tc>
                  <w:tcPr>
                    <w:tcW w:w="1134" w:type="dxa"/>
                    <w:noWrap/>
                    <w:vAlign w:val="center"/>
                    <w:hideMark/>
                  </w:tcPr>
                  <w:p>
                    <w:pPr>
                      <w:jc w:val="center"/>
                      <w:rPr>
                        <w:sz w:val="20"/>
                      </w:rPr>
                    </w:pPr>
                    <w:r>
                      <w:rPr>
                        <w:sz w:val="20"/>
                      </w:rPr>
                      <w:t>KĮ, KS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18 (2033)</w:t>
                    </w:r>
                  </w:p>
                </w:tc>
              </w:tr>
              <w:tr>
                <w:trPr>
                  <w:trHeight w:val="56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P-12-01-01-02</w:t>
                    </w:r>
                  </w:p>
                </w:tc>
                <w:tc>
                  <w:tcPr>
                    <w:tcW w:w="4111" w:type="dxa"/>
                    <w:vAlign w:val="center"/>
                    <w:hideMark/>
                  </w:tcPr>
                  <w:p>
                    <w:pPr>
                      <w:rPr>
                        <w:sz w:val="20"/>
                      </w:rPr>
                    </w:pPr>
                    <w:r>
                      <w:rPr>
                        <w:sz w:val="20"/>
                      </w:rPr>
                      <w:t>Įgyvendintas menininkų ir kultūros kūrėjų rezidencijų projektas (vnt.)</w:t>
                    </w:r>
                  </w:p>
                </w:tc>
                <w:tc>
                  <w:tcPr>
                    <w:tcW w:w="1134" w:type="dxa"/>
                    <w:noWrap/>
                    <w:vAlign w:val="center"/>
                    <w:hideMark/>
                  </w:tcPr>
                  <w:p>
                    <w:pPr>
                      <w:jc w:val="center"/>
                      <w:rPr>
                        <w:sz w:val="20"/>
                      </w:rPr>
                    </w:pPr>
                    <w:r>
                      <w:rPr>
                        <w:sz w:val="20"/>
                      </w:rPr>
                      <w:t>KS</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1 (2033)</w:t>
                    </w:r>
                  </w:p>
                </w:tc>
              </w:tr>
              <w:tr>
                <w:trPr>
                  <w:trHeight w:val="854"/>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P-12-01-01-03</w:t>
                    </w:r>
                  </w:p>
                </w:tc>
                <w:tc>
                  <w:tcPr>
                    <w:tcW w:w="4111" w:type="dxa"/>
                    <w:vAlign w:val="center"/>
                    <w:hideMark/>
                  </w:tcPr>
                  <w:p>
                    <w:pPr>
                      <w:rPr>
                        <w:sz w:val="20"/>
                      </w:rPr>
                    </w:pPr>
                    <w:r>
                      <w:rPr>
                        <w:sz w:val="20"/>
                      </w:rPr>
                      <w:t>Pagal parengtą naują Kultūros ir meno kūrėjų stipendijų programą, sukurtų naujų kultūros produktų /stipendijas gavusių asmenų skaičius (vnt. / asm.)</w:t>
                    </w:r>
                  </w:p>
                </w:tc>
                <w:tc>
                  <w:tcPr>
                    <w:tcW w:w="1134" w:type="dxa"/>
                    <w:noWrap/>
                    <w:vAlign w:val="center"/>
                    <w:hideMark/>
                  </w:tcPr>
                  <w:p>
                    <w:pPr>
                      <w:jc w:val="center"/>
                      <w:rPr>
                        <w:sz w:val="20"/>
                      </w:rPr>
                    </w:pPr>
                    <w:r>
                      <w:rPr>
                        <w:sz w:val="20"/>
                      </w:rPr>
                      <w:t>KS</w:t>
                    </w:r>
                  </w:p>
                </w:tc>
                <w:tc>
                  <w:tcPr>
                    <w:tcW w:w="1134" w:type="dxa"/>
                    <w:noWrap/>
                    <w:vAlign w:val="center"/>
                    <w:hideMark/>
                  </w:tcPr>
                  <w:p>
                    <w:pPr>
                      <w:jc w:val="center"/>
                      <w:rPr>
                        <w:sz w:val="20"/>
                      </w:rPr>
                    </w:pPr>
                    <w:r>
                      <w:rPr>
                        <w:sz w:val="20"/>
                      </w:rPr>
                      <w:t>0/0 (2023)</w:t>
                    </w:r>
                  </w:p>
                </w:tc>
                <w:tc>
                  <w:tcPr>
                    <w:tcW w:w="1134" w:type="dxa"/>
                    <w:noWrap/>
                    <w:vAlign w:val="center"/>
                    <w:hideMark/>
                  </w:tcPr>
                  <w:p>
                    <w:pPr>
                      <w:jc w:val="center"/>
                      <w:rPr>
                        <w:sz w:val="20"/>
                      </w:rPr>
                    </w:pPr>
                    <w:r>
                      <w:rPr>
                        <w:sz w:val="20"/>
                      </w:rPr>
                      <w:t>3/24 (2033)</w:t>
                    </w:r>
                  </w:p>
                </w:tc>
              </w:tr>
              <w:tr>
                <w:trPr>
                  <w:trHeight w:val="642"/>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P-12-01-01-04</w:t>
                    </w:r>
                  </w:p>
                </w:tc>
                <w:tc>
                  <w:tcPr>
                    <w:tcW w:w="4111" w:type="dxa"/>
                    <w:vAlign w:val="center"/>
                    <w:hideMark/>
                  </w:tcPr>
                  <w:p>
                    <w:pPr>
                      <w:rPr>
                        <w:sz w:val="20"/>
                      </w:rPr>
                    </w:pPr>
                    <w:r>
                      <w:rPr>
                        <w:sz w:val="20"/>
                      </w:rPr>
                      <w:t>Pagal parengtą naują Meno (viešose erdvėse) rėmimo programą, sukurtų naujų kultūros produktų / programos dalyvių skaičius (vnt. / asm.)</w:t>
                    </w:r>
                  </w:p>
                </w:tc>
                <w:tc>
                  <w:tcPr>
                    <w:tcW w:w="1134" w:type="dxa"/>
                    <w:noWrap/>
                    <w:vAlign w:val="center"/>
                    <w:hideMark/>
                  </w:tcPr>
                  <w:p>
                    <w:pPr>
                      <w:jc w:val="center"/>
                      <w:rPr>
                        <w:sz w:val="20"/>
                      </w:rPr>
                    </w:pPr>
                    <w:r>
                      <w:rPr>
                        <w:sz w:val="20"/>
                      </w:rPr>
                      <w:t>KS</w:t>
                    </w:r>
                  </w:p>
                </w:tc>
                <w:tc>
                  <w:tcPr>
                    <w:tcW w:w="1134" w:type="dxa"/>
                    <w:noWrap/>
                    <w:vAlign w:val="center"/>
                    <w:hideMark/>
                  </w:tcPr>
                  <w:p>
                    <w:pPr>
                      <w:jc w:val="center"/>
                      <w:rPr>
                        <w:sz w:val="20"/>
                      </w:rPr>
                    </w:pPr>
                    <w:r>
                      <w:rPr>
                        <w:sz w:val="20"/>
                      </w:rPr>
                      <w:t>0/0 (2023)</w:t>
                    </w:r>
                  </w:p>
                </w:tc>
                <w:tc>
                  <w:tcPr>
                    <w:tcW w:w="1134" w:type="dxa"/>
                    <w:noWrap/>
                    <w:vAlign w:val="center"/>
                    <w:hideMark/>
                  </w:tcPr>
                  <w:p>
                    <w:pPr>
                      <w:jc w:val="center"/>
                      <w:rPr>
                        <w:sz w:val="20"/>
                      </w:rPr>
                    </w:pPr>
                    <w:r>
                      <w:rPr>
                        <w:sz w:val="20"/>
                      </w:rPr>
                      <w:t>16/16 (2033)</w:t>
                    </w:r>
                  </w:p>
                </w:tc>
              </w:tr>
              <w:tr>
                <w:trPr>
                  <w:trHeight w:val="27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P-12-01-01-05</w:t>
                    </w:r>
                  </w:p>
                </w:tc>
                <w:tc>
                  <w:tcPr>
                    <w:tcW w:w="4111" w:type="dxa"/>
                    <w:vAlign w:val="center"/>
                    <w:hideMark/>
                  </w:tcPr>
                  <w:p>
                    <w:pPr>
                      <w:rPr>
                        <w:sz w:val="20"/>
                      </w:rPr>
                    </w:pPr>
                    <w:r>
                      <w:rPr>
                        <w:sz w:val="20"/>
                      </w:rPr>
                      <w:t>Naujų skaitmenizuotų kultūros paslaugų skaičius kultūros įstaigose (vnt.)</w:t>
                    </w:r>
                  </w:p>
                </w:tc>
                <w:tc>
                  <w:tcPr>
                    <w:tcW w:w="1134" w:type="dxa"/>
                    <w:noWrap/>
                    <w:vAlign w:val="center"/>
                    <w:hideMark/>
                  </w:tcPr>
                  <w:p>
                    <w:pPr>
                      <w:jc w:val="center"/>
                      <w:rPr>
                        <w:sz w:val="20"/>
                      </w:rPr>
                    </w:pPr>
                    <w:r>
                      <w:rPr>
                        <w:sz w:val="20"/>
                      </w:rPr>
                      <w:t>KS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18 (2033)</w:t>
                    </w:r>
                  </w:p>
                </w:tc>
              </w:tr>
              <w:tr>
                <w:trPr>
                  <w:trHeight w:val="236"/>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P-12-01-01-06</w:t>
                    </w:r>
                  </w:p>
                </w:tc>
                <w:tc>
                  <w:tcPr>
                    <w:tcW w:w="4111" w:type="dxa"/>
                    <w:vAlign w:val="center"/>
                    <w:hideMark/>
                  </w:tcPr>
                  <w:p>
                    <w:pPr>
                      <w:rPr>
                        <w:sz w:val="20"/>
                      </w:rPr>
                    </w:pPr>
                    <w:r>
                      <w:rPr>
                        <w:sz w:val="20"/>
                      </w:rPr>
                      <w:t>Įkurtas meno ir kūrybiškumo centras (vnt.)</w:t>
                    </w:r>
                  </w:p>
                </w:tc>
                <w:tc>
                  <w:tcPr>
                    <w:tcW w:w="1134" w:type="dxa"/>
                    <w:noWrap/>
                    <w:vAlign w:val="center"/>
                    <w:hideMark/>
                  </w:tcPr>
                  <w:p>
                    <w:pPr>
                      <w:jc w:val="center"/>
                      <w:rPr>
                        <w:sz w:val="20"/>
                      </w:rPr>
                    </w:pPr>
                    <w:r>
                      <w:rPr>
                        <w:sz w:val="20"/>
                      </w:rPr>
                      <w:t>KS</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1 (2033)</w:t>
                    </w:r>
                  </w:p>
                </w:tc>
              </w:tr>
              <w:tr>
                <w:trPr>
                  <w:trHeight w:val="941"/>
                  <w:jc w:val="center"/>
                </w:trPr>
                <w:tc>
                  <w:tcPr>
                    <w:tcW w:w="988" w:type="dxa"/>
                    <w:vMerge w:val="restart"/>
                    <w:noWrap/>
                    <w:vAlign w:val="center"/>
                    <w:hideMark/>
                  </w:tcPr>
                  <w:p>
                    <w:pPr>
                      <w:rPr>
                        <w:sz w:val="20"/>
                      </w:rPr>
                    </w:pPr>
                    <w:r>
                      <w:rPr>
                        <w:sz w:val="20"/>
                      </w:rPr>
                      <w:t>12-01-02</w:t>
                    </w:r>
                  </w:p>
                </w:tc>
                <w:tc>
                  <w:tcPr>
                    <w:tcW w:w="2126" w:type="dxa"/>
                    <w:vMerge w:val="restart"/>
                    <w:vAlign w:val="center"/>
                    <w:hideMark/>
                  </w:tcPr>
                  <w:p>
                    <w:pPr>
                      <w:rPr>
                        <w:sz w:val="20"/>
                      </w:rPr>
                    </w:pPr>
                    <w:r>
                      <w:rPr>
                        <w:sz w:val="20"/>
                      </w:rPr>
                      <w:t>Skatinti kultūros ir kitose srityse veikiančių organizacijų bendradarbiavimą miesto, šalies ir tarptautiniu mastu</w:t>
                    </w:r>
                  </w:p>
                </w:tc>
                <w:tc>
                  <w:tcPr>
                    <w:tcW w:w="850" w:type="dxa"/>
                    <w:vMerge w:val="restart"/>
                    <w:noWrap/>
                    <w:vAlign w:val="center"/>
                    <w:hideMark/>
                  </w:tcPr>
                  <w:p>
                    <w:pPr>
                      <w:jc w:val="center"/>
                      <w:rPr>
                        <w:sz w:val="20"/>
                      </w:rPr>
                    </w:pPr>
                    <w:r>
                      <w:rPr>
                        <w:sz w:val="20"/>
                      </w:rPr>
                      <w:t>KS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P-12-01-02-01</w:t>
                    </w:r>
                  </w:p>
                </w:tc>
                <w:tc>
                  <w:tcPr>
                    <w:tcW w:w="4111" w:type="dxa"/>
                    <w:vAlign w:val="center"/>
                    <w:hideMark/>
                  </w:tcPr>
                  <w:p>
                    <w:pPr>
                      <w:rPr>
                        <w:sz w:val="20"/>
                      </w:rPr>
                    </w:pPr>
                    <w:r>
                      <w:rPr>
                        <w:sz w:val="20"/>
                      </w:rPr>
                      <w:t>Kultūros partnerysčių, vykdytų bendradarbiaujant su kitų sričių organizacijomis, skaičius / jų projektų skaičius (vnt. /vnt.)</w:t>
                    </w:r>
                  </w:p>
                </w:tc>
                <w:tc>
                  <w:tcPr>
                    <w:tcW w:w="1134" w:type="dxa"/>
                    <w:vAlign w:val="center"/>
                    <w:hideMark/>
                  </w:tcPr>
                  <w:p>
                    <w:pPr>
                      <w:jc w:val="center"/>
                      <w:rPr>
                        <w:sz w:val="20"/>
                      </w:rPr>
                    </w:pPr>
                    <w:r>
                      <w:rPr>
                        <w:sz w:val="20"/>
                      </w:rPr>
                      <w:t>KS, KĮ</w:t>
                    </w:r>
                  </w:p>
                </w:tc>
                <w:tc>
                  <w:tcPr>
                    <w:tcW w:w="1134" w:type="dxa"/>
                    <w:noWrap/>
                    <w:vAlign w:val="center"/>
                    <w:hideMark/>
                  </w:tcPr>
                  <w:p>
                    <w:pPr>
                      <w:jc w:val="center"/>
                      <w:rPr>
                        <w:sz w:val="20"/>
                      </w:rPr>
                    </w:pPr>
                    <w:r>
                      <w:rPr>
                        <w:sz w:val="20"/>
                      </w:rPr>
                      <w:t>0/0 (2023)</w:t>
                    </w:r>
                  </w:p>
                </w:tc>
                <w:tc>
                  <w:tcPr>
                    <w:tcW w:w="1134" w:type="dxa"/>
                    <w:noWrap/>
                    <w:vAlign w:val="center"/>
                    <w:hideMark/>
                  </w:tcPr>
                  <w:p>
                    <w:pPr>
                      <w:jc w:val="center"/>
                      <w:rPr>
                        <w:sz w:val="20"/>
                      </w:rPr>
                    </w:pPr>
                    <w:r>
                      <w:rPr>
                        <w:sz w:val="20"/>
                      </w:rPr>
                      <w:t>24/24 (2033)</w:t>
                    </w:r>
                  </w:p>
                </w:tc>
              </w:tr>
              <w:tr>
                <w:trPr>
                  <w:trHeight w:val="996"/>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P-12-01-02-02</w:t>
                    </w:r>
                  </w:p>
                </w:tc>
                <w:tc>
                  <w:tcPr>
                    <w:tcW w:w="4111" w:type="dxa"/>
                    <w:vAlign w:val="center"/>
                    <w:hideMark/>
                  </w:tcPr>
                  <w:p>
                    <w:pPr>
                      <w:rPr>
                        <w:sz w:val="20"/>
                      </w:rPr>
                    </w:pPr>
                    <w:r>
                      <w:rPr>
                        <w:sz w:val="20"/>
                      </w:rPr>
                      <w:t>Projekto „Šiauliai – Lietuvos kultūros sostinė“ kultūros partnerysčių, vykdytų bendradarbiaujant su įvairių sričių įstaigomis, organizacijomis skaičius (vnt.)</w:t>
                    </w:r>
                  </w:p>
                </w:tc>
                <w:tc>
                  <w:tcPr>
                    <w:tcW w:w="1134" w:type="dxa"/>
                    <w:noWrap/>
                    <w:vAlign w:val="center"/>
                    <w:hideMark/>
                  </w:tcPr>
                  <w:p>
                    <w:pPr>
                      <w:jc w:val="center"/>
                      <w:rPr>
                        <w:sz w:val="20"/>
                      </w:rPr>
                    </w:pPr>
                    <w:r>
                      <w:rPr>
                        <w:sz w:val="20"/>
                      </w:rPr>
                      <w:t>KC, KS</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10 (2026)</w:t>
                    </w:r>
                  </w:p>
                </w:tc>
              </w:tr>
              <w:tr>
                <w:trPr>
                  <w:trHeight w:val="520"/>
                  <w:jc w:val="center"/>
                </w:trPr>
                <w:tc>
                  <w:tcPr>
                    <w:tcW w:w="988" w:type="dxa"/>
                    <w:vMerge w:val="restart"/>
                    <w:noWrap/>
                    <w:vAlign w:val="center"/>
                    <w:hideMark/>
                  </w:tcPr>
                  <w:p>
                    <w:pPr>
                      <w:rPr>
                        <w:sz w:val="20"/>
                      </w:rPr>
                    </w:pPr>
                    <w:r>
                      <w:rPr>
                        <w:sz w:val="20"/>
                      </w:rPr>
                      <w:t>12-01-03</w:t>
                    </w:r>
                  </w:p>
                </w:tc>
                <w:tc>
                  <w:tcPr>
                    <w:tcW w:w="2126" w:type="dxa"/>
                    <w:vMerge w:val="restart"/>
                    <w:vAlign w:val="center"/>
                    <w:hideMark/>
                  </w:tcPr>
                  <w:p>
                    <w:pPr>
                      <w:rPr>
                        <w:sz w:val="20"/>
                      </w:rPr>
                    </w:pPr>
                    <w:r>
                      <w:rPr>
                        <w:sz w:val="20"/>
                      </w:rPr>
                      <w:t>Skatinti gyventojų kultūrinį dalyvavimą</w:t>
                    </w:r>
                  </w:p>
                </w:tc>
                <w:tc>
                  <w:tcPr>
                    <w:tcW w:w="850" w:type="dxa"/>
                    <w:vMerge w:val="restart"/>
                    <w:noWrap/>
                    <w:vAlign w:val="center"/>
                    <w:hideMark/>
                  </w:tcPr>
                  <w:p>
                    <w:pPr>
                      <w:jc w:val="center"/>
                      <w:rPr>
                        <w:sz w:val="20"/>
                      </w:rPr>
                    </w:pPr>
                    <w:r>
                      <w:rPr>
                        <w:sz w:val="20"/>
                      </w:rPr>
                      <w:t>KS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P-12-01-03-01</w:t>
                    </w:r>
                  </w:p>
                </w:tc>
                <w:tc>
                  <w:tcPr>
                    <w:tcW w:w="4111" w:type="dxa"/>
                    <w:vAlign w:val="center"/>
                    <w:hideMark/>
                  </w:tcPr>
                  <w:p>
                    <w:pPr>
                      <w:rPr>
                        <w:sz w:val="20"/>
                      </w:rPr>
                    </w:pPr>
                    <w:r>
                      <w:rPr>
                        <w:sz w:val="20"/>
                      </w:rPr>
                      <w:t>Kultūros įstaigų renginių, suorganizuotų kartu su jaunaisiais meno kūrėjais, skaičius (vnt.)</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36 (2033)</w:t>
                    </w:r>
                  </w:p>
                </w:tc>
              </w:tr>
              <w:tr>
                <w:trPr>
                  <w:trHeight w:val="735"/>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P-12-01-03-02</w:t>
                    </w:r>
                  </w:p>
                </w:tc>
                <w:tc>
                  <w:tcPr>
                    <w:tcW w:w="4111" w:type="dxa"/>
                    <w:vAlign w:val="center"/>
                    <w:hideMark/>
                  </w:tcPr>
                  <w:p>
                    <w:pPr>
                      <w:rPr>
                        <w:sz w:val="20"/>
                      </w:rPr>
                    </w:pPr>
                    <w:r>
                      <w:rPr>
                        <w:sz w:val="20"/>
                      </w:rPr>
                      <w:t>Atnaujintų ir / ar naujų kultūros paslaugų skaičius tautinėms mažumoms pavaldžiose kultūros įstaigose (vnt.)</w:t>
                    </w:r>
                  </w:p>
                </w:tc>
                <w:tc>
                  <w:tcPr>
                    <w:tcW w:w="1134" w:type="dxa"/>
                    <w:noWrap/>
                    <w:vAlign w:val="center"/>
                    <w:hideMark/>
                  </w:tcPr>
                  <w:p>
                    <w:pPr>
                      <w:jc w:val="center"/>
                      <w:rPr>
                        <w:sz w:val="20"/>
                      </w:rPr>
                    </w:pPr>
                    <w:r>
                      <w:rPr>
                        <w:sz w:val="20"/>
                      </w:rPr>
                      <w:t>KS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5 (2033)</w:t>
                    </w:r>
                  </w:p>
                </w:tc>
              </w:tr>
              <w:tr>
                <w:trPr>
                  <w:trHeight w:val="688"/>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P-12-01-03-03</w:t>
                    </w:r>
                  </w:p>
                </w:tc>
                <w:tc>
                  <w:tcPr>
                    <w:tcW w:w="4111" w:type="dxa"/>
                    <w:vAlign w:val="center"/>
                    <w:hideMark/>
                  </w:tcPr>
                  <w:p>
                    <w:pPr>
                      <w:rPr>
                        <w:sz w:val="20"/>
                      </w:rPr>
                    </w:pPr>
                    <w:r>
                      <w:rPr>
                        <w:sz w:val="20"/>
                      </w:rPr>
                      <w:t>Įgyvendintų kultūros įstaigų projektų, skirtų socialinę ir kultūrinę atskirtį patiriantiems gyventojams, skaičius (vnt.)</w:t>
                    </w:r>
                  </w:p>
                </w:tc>
                <w:tc>
                  <w:tcPr>
                    <w:tcW w:w="1134" w:type="dxa"/>
                    <w:noWrap/>
                    <w:vAlign w:val="center"/>
                    <w:hideMark/>
                  </w:tcPr>
                  <w:p>
                    <w:pPr>
                      <w:jc w:val="center"/>
                      <w:rPr>
                        <w:sz w:val="20"/>
                      </w:rPr>
                    </w:pPr>
                    <w:r>
                      <w:rPr>
                        <w:sz w:val="20"/>
                      </w:rPr>
                      <w:t>KS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27 (2033)</w:t>
                    </w:r>
                  </w:p>
                </w:tc>
              </w:tr>
              <w:tr>
                <w:trPr>
                  <w:trHeight w:val="743"/>
                  <w:jc w:val="center"/>
                </w:trPr>
                <w:tc>
                  <w:tcPr>
                    <w:tcW w:w="988" w:type="dxa"/>
                    <w:shd w:val="clear" w:color="auto" w:fill="FCE4D6"/>
                    <w:noWrap/>
                    <w:vAlign w:val="center"/>
                    <w:hideMark/>
                  </w:tcPr>
                  <w:p>
                    <w:pPr>
                      <w:rPr>
                        <w:b/>
                        <w:bCs/>
                        <w:sz w:val="20"/>
                      </w:rPr>
                    </w:pPr>
                    <w:r>
                      <w:rPr>
                        <w:b/>
                        <w:bCs/>
                        <w:sz w:val="20"/>
                      </w:rPr>
                      <w:t>12-02</w:t>
                    </w:r>
                  </w:p>
                </w:tc>
                <w:tc>
                  <w:tcPr>
                    <w:tcW w:w="2126" w:type="dxa"/>
                    <w:shd w:val="clear" w:color="auto" w:fill="FCE4D6"/>
                    <w:vAlign w:val="center"/>
                    <w:hideMark/>
                  </w:tcPr>
                  <w:p>
                    <w:pPr>
                      <w:rPr>
                        <w:b/>
                        <w:bCs/>
                        <w:sz w:val="20"/>
                      </w:rPr>
                    </w:pPr>
                    <w:r>
                      <w:rPr>
                        <w:b/>
                        <w:bCs/>
                        <w:sz w:val="20"/>
                      </w:rPr>
                      <w:t>Išvystyti gyventojų poreikius atitinkančią kultūros įstaigų infrastruktūrą</w:t>
                    </w:r>
                  </w:p>
                </w:tc>
                <w:tc>
                  <w:tcPr>
                    <w:tcW w:w="850" w:type="dxa"/>
                    <w:shd w:val="clear" w:color="auto" w:fill="FCE4D6"/>
                    <w:vAlign w:val="center"/>
                    <w:hideMark/>
                  </w:tcPr>
                  <w:p>
                    <w:pPr>
                      <w:jc w:val="center"/>
                      <w:rPr>
                        <w:sz w:val="20"/>
                      </w:rPr>
                    </w:pPr>
                    <w:r>
                      <w:rPr>
                        <w:sz w:val="20"/>
                      </w:rPr>
                      <w:t>KS</w:t>
                    </w:r>
                  </w:p>
                </w:tc>
                <w:tc>
                  <w:tcPr>
                    <w:tcW w:w="709" w:type="dxa"/>
                    <w:shd w:val="clear" w:color="auto" w:fill="FCE4D6"/>
                    <w:noWrap/>
                    <w:vAlign w:val="center"/>
                    <w:hideMark/>
                  </w:tcPr>
                  <w:p>
                    <w:pPr>
                      <w:jc w:val="center"/>
                      <w:rPr>
                        <w:sz w:val="20"/>
                      </w:rPr>
                    </w:pPr>
                    <w:r>
                      <w:rPr>
                        <w:sz w:val="20"/>
                      </w:rPr>
                      <w:t>2025</w:t>
                    </w:r>
                  </w:p>
                </w:tc>
                <w:tc>
                  <w:tcPr>
                    <w:tcW w:w="709" w:type="dxa"/>
                    <w:shd w:val="clear" w:color="auto" w:fill="FCE4D6"/>
                    <w:noWrap/>
                    <w:vAlign w:val="center"/>
                    <w:hideMark/>
                  </w:tcPr>
                  <w:p>
                    <w:pPr>
                      <w:jc w:val="center"/>
                      <w:rPr>
                        <w:sz w:val="20"/>
                      </w:rPr>
                    </w:pPr>
                    <w:r>
                      <w:rPr>
                        <w:sz w:val="20"/>
                      </w:rPr>
                      <w:t>2033</w:t>
                    </w:r>
                  </w:p>
                </w:tc>
                <w:tc>
                  <w:tcPr>
                    <w:tcW w:w="1417" w:type="dxa"/>
                    <w:shd w:val="clear" w:color="auto" w:fill="FCE4D6"/>
                    <w:noWrap/>
                    <w:vAlign w:val="center"/>
                    <w:hideMark/>
                  </w:tcPr>
                  <w:p>
                    <w:pPr>
                      <w:rPr>
                        <w:sz w:val="20"/>
                      </w:rPr>
                    </w:pPr>
                    <w:r>
                      <w:rPr>
                        <w:sz w:val="20"/>
                      </w:rPr>
                      <w:t>R-12-02-01</w:t>
                    </w:r>
                  </w:p>
                </w:tc>
                <w:tc>
                  <w:tcPr>
                    <w:tcW w:w="4111" w:type="dxa"/>
                    <w:shd w:val="clear" w:color="auto" w:fill="FCE4D6"/>
                    <w:vAlign w:val="center"/>
                    <w:hideMark/>
                  </w:tcPr>
                  <w:p>
                    <w:pPr>
                      <w:rPr>
                        <w:sz w:val="20"/>
                      </w:rPr>
                    </w:pPr>
                    <w:r>
                      <w:rPr>
                        <w:sz w:val="20"/>
                      </w:rPr>
                      <w:t>Kultūros įstaigų pastatų, kurie yra geros būklės, skaičius nuo visų kultūros įstaigų pastatų (vnt. / vnt.)</w:t>
                    </w:r>
                  </w:p>
                </w:tc>
                <w:tc>
                  <w:tcPr>
                    <w:tcW w:w="1134" w:type="dxa"/>
                    <w:shd w:val="clear" w:color="auto" w:fill="FCE4D6"/>
                    <w:noWrap/>
                    <w:vAlign w:val="center"/>
                    <w:hideMark/>
                  </w:tcPr>
                  <w:p>
                    <w:pPr>
                      <w:jc w:val="center"/>
                      <w:rPr>
                        <w:sz w:val="20"/>
                      </w:rPr>
                    </w:pPr>
                    <w:r>
                      <w:rPr>
                        <w:sz w:val="20"/>
                      </w:rPr>
                      <w:t>ŠMSA (KS)</w:t>
                    </w:r>
                  </w:p>
                </w:tc>
                <w:tc>
                  <w:tcPr>
                    <w:tcW w:w="1134" w:type="dxa"/>
                    <w:shd w:val="clear" w:color="auto" w:fill="FCE4D6"/>
                    <w:noWrap/>
                    <w:vAlign w:val="center"/>
                    <w:hideMark/>
                  </w:tcPr>
                  <w:p>
                    <w:pPr>
                      <w:jc w:val="center"/>
                      <w:rPr>
                        <w:sz w:val="20"/>
                      </w:rPr>
                    </w:pPr>
                    <w:r>
                      <w:rPr>
                        <w:sz w:val="20"/>
                      </w:rPr>
                      <w:t>7/10 (2023)</w:t>
                    </w:r>
                  </w:p>
                </w:tc>
                <w:tc>
                  <w:tcPr>
                    <w:tcW w:w="1134" w:type="dxa"/>
                    <w:shd w:val="clear" w:color="auto" w:fill="FCE4D6"/>
                    <w:noWrap/>
                    <w:vAlign w:val="center"/>
                    <w:hideMark/>
                  </w:tcPr>
                  <w:p>
                    <w:pPr>
                      <w:jc w:val="center"/>
                      <w:rPr>
                        <w:sz w:val="20"/>
                      </w:rPr>
                    </w:pPr>
                    <w:r>
                      <w:rPr>
                        <w:sz w:val="20"/>
                      </w:rPr>
                      <w:t>11/11 (2033)</w:t>
                    </w:r>
                  </w:p>
                </w:tc>
              </w:tr>
              <w:tr>
                <w:trPr>
                  <w:trHeight w:val="365"/>
                  <w:jc w:val="center"/>
                </w:trPr>
                <w:tc>
                  <w:tcPr>
                    <w:tcW w:w="988" w:type="dxa"/>
                    <w:vMerge w:val="restart"/>
                    <w:noWrap/>
                    <w:vAlign w:val="center"/>
                    <w:hideMark/>
                  </w:tcPr>
                  <w:p>
                    <w:pPr>
                      <w:rPr>
                        <w:sz w:val="20"/>
                      </w:rPr>
                    </w:pPr>
                    <w:r>
                      <w:rPr>
                        <w:sz w:val="20"/>
                      </w:rPr>
                      <w:t>12-02-01</w:t>
                    </w:r>
                  </w:p>
                </w:tc>
                <w:tc>
                  <w:tcPr>
                    <w:tcW w:w="2126" w:type="dxa"/>
                    <w:vMerge w:val="restart"/>
                    <w:vAlign w:val="center"/>
                    <w:hideMark/>
                  </w:tcPr>
                  <w:p>
                    <w:pPr>
                      <w:rPr>
                        <w:sz w:val="20"/>
                      </w:rPr>
                    </w:pPr>
                    <w:r>
                      <w:rPr>
                        <w:sz w:val="20"/>
                      </w:rPr>
                      <w:t>Modernizuoti ar atnaujinti kultūros įstaigų infrastruktūrą</w:t>
                    </w:r>
                  </w:p>
                </w:tc>
                <w:tc>
                  <w:tcPr>
                    <w:tcW w:w="850" w:type="dxa"/>
                    <w:vMerge w:val="restart"/>
                    <w:noWrap/>
                    <w:vAlign w:val="center"/>
                    <w:hideMark/>
                  </w:tcPr>
                  <w:p>
                    <w:pPr>
                      <w:jc w:val="center"/>
                      <w:rPr>
                        <w:sz w:val="20"/>
                      </w:rPr>
                    </w:pPr>
                    <w:r>
                      <w:rPr>
                        <w:sz w:val="20"/>
                      </w:rPr>
                      <w:t>KS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P-12-02-01-01</w:t>
                    </w:r>
                  </w:p>
                </w:tc>
                <w:tc>
                  <w:tcPr>
                    <w:tcW w:w="4111" w:type="dxa"/>
                    <w:vAlign w:val="center"/>
                    <w:hideMark/>
                  </w:tcPr>
                  <w:p>
                    <w:pPr>
                      <w:rPr>
                        <w:sz w:val="20"/>
                      </w:rPr>
                    </w:pPr>
                    <w:r>
                      <w:rPr>
                        <w:sz w:val="20"/>
                      </w:rPr>
                      <w:t xml:space="preserve">Atnaujinta / modernizuota Šiaulių dailės galerija (vnt.) </w:t>
                    </w:r>
                  </w:p>
                </w:tc>
                <w:tc>
                  <w:tcPr>
                    <w:tcW w:w="1134" w:type="dxa"/>
                    <w:vAlign w:val="center"/>
                    <w:hideMark/>
                  </w:tcPr>
                  <w:p>
                    <w:pPr>
                      <w:jc w:val="center"/>
                      <w:rPr>
                        <w:sz w:val="20"/>
                      </w:rPr>
                    </w:pPr>
                    <w:r>
                      <w:rPr>
                        <w:sz w:val="20"/>
                      </w:rPr>
                      <w:t>KS</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1 (2033)</w:t>
                    </w:r>
                  </w:p>
                </w:tc>
              </w:tr>
              <w:tr>
                <w:trPr>
                  <w:trHeight w:val="56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P-12-02-01-02</w:t>
                    </w:r>
                  </w:p>
                </w:tc>
                <w:tc>
                  <w:tcPr>
                    <w:tcW w:w="4111" w:type="dxa"/>
                    <w:vAlign w:val="center"/>
                    <w:hideMark/>
                  </w:tcPr>
                  <w:p>
                    <w:pPr>
                      <w:rPr>
                        <w:sz w:val="20"/>
                      </w:rPr>
                    </w:pPr>
                    <w:r>
                      <w:rPr>
                        <w:sz w:val="20"/>
                      </w:rPr>
                      <w:t>Savivaldybės kultūros įstaigų, kurių patalpos pritaikytos fizinę negalią turintiems asmenims, dalis (proc.)</w:t>
                    </w:r>
                  </w:p>
                </w:tc>
                <w:tc>
                  <w:tcPr>
                    <w:tcW w:w="1134" w:type="dxa"/>
                    <w:vAlign w:val="center"/>
                    <w:hideMark/>
                  </w:tcPr>
                  <w:p>
                    <w:pPr>
                      <w:jc w:val="center"/>
                      <w:rPr>
                        <w:sz w:val="20"/>
                      </w:rPr>
                    </w:pPr>
                    <w:r>
                      <w:rPr>
                        <w:sz w:val="20"/>
                      </w:rPr>
                      <w:t>KS</w:t>
                    </w:r>
                  </w:p>
                </w:tc>
                <w:tc>
                  <w:tcPr>
                    <w:tcW w:w="1134" w:type="dxa"/>
                    <w:noWrap/>
                    <w:vAlign w:val="center"/>
                    <w:hideMark/>
                  </w:tcPr>
                  <w:p>
                    <w:pPr>
                      <w:jc w:val="center"/>
                      <w:rPr>
                        <w:sz w:val="20"/>
                      </w:rPr>
                    </w:pPr>
                    <w:r>
                      <w:rPr>
                        <w:sz w:val="20"/>
                      </w:rPr>
                      <w:t>85 (2023)</w:t>
                    </w:r>
                  </w:p>
                </w:tc>
                <w:tc>
                  <w:tcPr>
                    <w:tcW w:w="1134" w:type="dxa"/>
                    <w:noWrap/>
                    <w:vAlign w:val="center"/>
                    <w:hideMark/>
                  </w:tcPr>
                  <w:p>
                    <w:pPr>
                      <w:jc w:val="center"/>
                      <w:rPr>
                        <w:sz w:val="20"/>
                      </w:rPr>
                    </w:pPr>
                    <w:r>
                      <w:rPr>
                        <w:sz w:val="20"/>
                      </w:rPr>
                      <w:t>90 (2033)</w:t>
                    </w:r>
                  </w:p>
                </w:tc>
              </w:tr>
              <w:tr>
                <w:trPr>
                  <w:trHeight w:val="467"/>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P-12-02-01-03</w:t>
                    </w:r>
                  </w:p>
                </w:tc>
                <w:tc>
                  <w:tcPr>
                    <w:tcW w:w="4111" w:type="dxa"/>
                    <w:vAlign w:val="center"/>
                    <w:hideMark/>
                  </w:tcPr>
                  <w:p>
                    <w:pPr>
                      <w:rPr>
                        <w:sz w:val="20"/>
                      </w:rPr>
                    </w:pPr>
                    <w:r>
                      <w:rPr>
                        <w:sz w:val="20"/>
                      </w:rPr>
                      <w:t>Įgyvendintų akustinių sprendinių skaičius kultūros įstaigose (vnt.)</w:t>
                    </w:r>
                  </w:p>
                </w:tc>
                <w:tc>
                  <w:tcPr>
                    <w:tcW w:w="1134" w:type="dxa"/>
                    <w:vAlign w:val="center"/>
                    <w:hideMark/>
                  </w:tcPr>
                  <w:p>
                    <w:pPr>
                      <w:jc w:val="center"/>
                      <w:rPr>
                        <w:sz w:val="20"/>
                      </w:rPr>
                    </w:pPr>
                    <w:r>
                      <w:rPr>
                        <w:sz w:val="20"/>
                      </w:rPr>
                      <w:t>KS</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1 (2033)</w:t>
                    </w:r>
                  </w:p>
                </w:tc>
              </w:tr>
              <w:tr>
                <w:trPr>
                  <w:trHeight w:val="317"/>
                  <w:jc w:val="center"/>
                </w:trPr>
                <w:tc>
                  <w:tcPr>
                    <w:tcW w:w="988" w:type="dxa"/>
                    <w:vMerge w:val="restart"/>
                    <w:noWrap/>
                    <w:vAlign w:val="center"/>
                    <w:hideMark/>
                  </w:tcPr>
                  <w:p>
                    <w:pPr>
                      <w:rPr>
                        <w:sz w:val="20"/>
                      </w:rPr>
                    </w:pPr>
                    <w:r>
                      <w:rPr>
                        <w:sz w:val="20"/>
                      </w:rPr>
                      <w:t>12-02-02</w:t>
                    </w:r>
                  </w:p>
                </w:tc>
                <w:tc>
                  <w:tcPr>
                    <w:tcW w:w="2126" w:type="dxa"/>
                    <w:vMerge w:val="restart"/>
                    <w:vAlign w:val="center"/>
                    <w:hideMark/>
                  </w:tcPr>
                  <w:p>
                    <w:pPr>
                      <w:rPr>
                        <w:sz w:val="20"/>
                      </w:rPr>
                    </w:pPr>
                    <w:r>
                      <w:rPr>
                        <w:sz w:val="20"/>
                      </w:rPr>
                      <w:t>Skatinti naujų kultūros įstaigų atsiradimą</w:t>
                    </w:r>
                  </w:p>
                </w:tc>
                <w:tc>
                  <w:tcPr>
                    <w:tcW w:w="850" w:type="dxa"/>
                    <w:vMerge w:val="restart"/>
                    <w:noWrap/>
                    <w:vAlign w:val="center"/>
                    <w:hideMark/>
                  </w:tcPr>
                  <w:p>
                    <w:pPr>
                      <w:jc w:val="center"/>
                      <w:rPr>
                        <w:sz w:val="20"/>
                      </w:rPr>
                    </w:pPr>
                    <w:r>
                      <w:rPr>
                        <w:sz w:val="20"/>
                      </w:rPr>
                      <w:t>KS</w:t>
                    </w:r>
                  </w:p>
                </w:tc>
                <w:tc>
                  <w:tcPr>
                    <w:tcW w:w="709" w:type="dxa"/>
                    <w:vMerge w:val="restart"/>
                    <w:noWrap/>
                    <w:vAlign w:val="center"/>
                    <w:hideMark/>
                  </w:tcPr>
                  <w:p>
                    <w:pPr>
                      <w:jc w:val="center"/>
                      <w:rPr>
                        <w:sz w:val="20"/>
                      </w:rPr>
                    </w:pPr>
                    <w:r>
                      <w:rPr>
                        <w:sz w:val="20"/>
                      </w:rPr>
                      <w:t>2028</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P-12-02-02-01</w:t>
                    </w:r>
                  </w:p>
                </w:tc>
                <w:tc>
                  <w:tcPr>
                    <w:tcW w:w="4111" w:type="dxa"/>
                    <w:vAlign w:val="center"/>
                    <w:hideMark/>
                  </w:tcPr>
                  <w:p>
                    <w:pPr>
                      <w:rPr>
                        <w:sz w:val="20"/>
                      </w:rPr>
                    </w:pPr>
                    <w:r>
                      <w:rPr>
                        <w:sz w:val="20"/>
                      </w:rPr>
                      <w:t>Pastatyta šiuolaikinė koncertų salė (vnt.)</w:t>
                    </w:r>
                  </w:p>
                </w:tc>
                <w:tc>
                  <w:tcPr>
                    <w:tcW w:w="1134" w:type="dxa"/>
                    <w:vAlign w:val="center"/>
                    <w:hideMark/>
                  </w:tcPr>
                  <w:p>
                    <w:pPr>
                      <w:jc w:val="center"/>
                      <w:rPr>
                        <w:sz w:val="20"/>
                      </w:rPr>
                    </w:pPr>
                    <w:r>
                      <w:rPr>
                        <w:sz w:val="20"/>
                      </w:rPr>
                      <w:t>KS</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1 (2033)</w:t>
                    </w:r>
                  </w:p>
                </w:tc>
              </w:tr>
              <w:tr>
                <w:trPr>
                  <w:trHeight w:val="323"/>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noWrap/>
                    <w:vAlign w:val="center"/>
                  </w:tcPr>
                  <w:p>
                    <w:pPr>
                      <w:rPr>
                        <w:sz w:val="20"/>
                      </w:rPr>
                    </w:pPr>
                    <w:r>
                      <w:rPr>
                        <w:sz w:val="20"/>
                      </w:rPr>
                      <w:t>P-12-02-02-02</w:t>
                    </w:r>
                  </w:p>
                </w:tc>
                <w:tc>
                  <w:tcPr>
                    <w:tcW w:w="4111" w:type="dxa"/>
                    <w:vAlign w:val="center"/>
                  </w:tcPr>
                  <w:p>
                    <w:pPr>
                      <w:rPr>
                        <w:sz w:val="20"/>
                      </w:rPr>
                    </w:pPr>
                    <w:r>
                      <w:rPr>
                        <w:sz w:val="20"/>
                      </w:rPr>
                      <w:t>Įkurtas meno ir kūrybiškumo centras (vnt.)</w:t>
                    </w:r>
                  </w:p>
                </w:tc>
                <w:tc>
                  <w:tcPr>
                    <w:tcW w:w="1134" w:type="dxa"/>
                    <w:vAlign w:val="center"/>
                  </w:tcPr>
                  <w:p>
                    <w:pPr>
                      <w:jc w:val="center"/>
                      <w:rPr>
                        <w:sz w:val="20"/>
                      </w:rPr>
                    </w:pPr>
                    <w:r>
                      <w:rPr>
                        <w:sz w:val="20"/>
                      </w:rPr>
                      <w:t>KS</w:t>
                    </w:r>
                  </w:p>
                </w:tc>
                <w:tc>
                  <w:tcPr>
                    <w:tcW w:w="1134" w:type="dxa"/>
                    <w:noWrap/>
                    <w:vAlign w:val="center"/>
                  </w:tcPr>
                  <w:p>
                    <w:pPr>
                      <w:jc w:val="center"/>
                      <w:rPr>
                        <w:sz w:val="20"/>
                      </w:rPr>
                    </w:pPr>
                    <w:r>
                      <w:rPr>
                        <w:sz w:val="20"/>
                      </w:rPr>
                      <w:t>0 (2024)</w:t>
                    </w:r>
                  </w:p>
                </w:tc>
                <w:tc>
                  <w:tcPr>
                    <w:tcW w:w="1134" w:type="dxa"/>
                    <w:noWrap/>
                    <w:vAlign w:val="center"/>
                  </w:tcPr>
                  <w:p>
                    <w:pPr>
                      <w:jc w:val="center"/>
                      <w:rPr>
                        <w:sz w:val="20"/>
                      </w:rPr>
                    </w:pPr>
                    <w:r>
                      <w:rPr>
                        <w:sz w:val="20"/>
                      </w:rPr>
                      <w:t>1 (2033)</w:t>
                    </w:r>
                  </w:p>
                </w:tc>
              </w:tr>
              <w:tr>
                <w:trPr>
                  <w:trHeight w:val="530"/>
                  <w:jc w:val="center"/>
                </w:trPr>
                <w:tc>
                  <w:tcPr>
                    <w:tcW w:w="988" w:type="dxa"/>
                    <w:vMerge w:val="restart"/>
                    <w:noWrap/>
                    <w:vAlign w:val="center"/>
                    <w:hideMark/>
                  </w:tcPr>
                  <w:p>
                    <w:pPr>
                      <w:rPr>
                        <w:sz w:val="20"/>
                      </w:rPr>
                    </w:pPr>
                    <w:r>
                      <w:rPr>
                        <w:sz w:val="20"/>
                      </w:rPr>
                      <w:t>12-02-03</w:t>
                    </w:r>
                  </w:p>
                </w:tc>
                <w:tc>
                  <w:tcPr>
                    <w:tcW w:w="2126" w:type="dxa"/>
                    <w:vMerge w:val="restart"/>
                    <w:vAlign w:val="center"/>
                    <w:hideMark/>
                  </w:tcPr>
                  <w:p>
                    <w:pPr>
                      <w:rPr>
                        <w:sz w:val="20"/>
                      </w:rPr>
                    </w:pPr>
                    <w:r>
                      <w:rPr>
                        <w:sz w:val="20"/>
                      </w:rPr>
                      <w:t>Sudaryti sąlygas saugoti, įveiklinti miesto nekilnojamąjį kultūros paveldą</w:t>
                    </w:r>
                  </w:p>
                </w:tc>
                <w:tc>
                  <w:tcPr>
                    <w:tcW w:w="850" w:type="dxa"/>
                    <w:vMerge w:val="restart"/>
                    <w:noWrap/>
                    <w:vAlign w:val="center"/>
                    <w:hideMark/>
                  </w:tcPr>
                  <w:p>
                    <w:pPr>
                      <w:jc w:val="center"/>
                      <w:rPr>
                        <w:sz w:val="20"/>
                      </w:rPr>
                    </w:pPr>
                    <w:r>
                      <w:rPr>
                        <w:sz w:val="20"/>
                      </w:rPr>
                      <w:t>MPPS</w:t>
                    </w:r>
                  </w:p>
                </w:tc>
                <w:tc>
                  <w:tcPr>
                    <w:tcW w:w="709" w:type="dxa"/>
                    <w:vMerge w:val="restart"/>
                    <w:noWrap/>
                    <w:vAlign w:val="center"/>
                    <w:hideMark/>
                  </w:tcPr>
                  <w:p>
                    <w:pPr>
                      <w:jc w:val="center"/>
                      <w:rPr>
                        <w:sz w:val="20"/>
                      </w:rPr>
                    </w:pPr>
                    <w:r>
                      <w:rPr>
                        <w:sz w:val="20"/>
                      </w:rPr>
                      <w:t>2028</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P-12-02-03-01</w:t>
                    </w:r>
                  </w:p>
                </w:tc>
                <w:tc>
                  <w:tcPr>
                    <w:tcW w:w="4111" w:type="dxa"/>
                    <w:vAlign w:val="center"/>
                    <w:hideMark/>
                  </w:tcPr>
                  <w:p>
                    <w:pPr>
                      <w:rPr>
                        <w:sz w:val="20"/>
                      </w:rPr>
                    </w:pPr>
                    <w:r>
                      <w:rPr>
                        <w:sz w:val="20"/>
                      </w:rPr>
                      <w:t>Perimti, sutvarkyti ir įveiklinti Šiaulių dvaro sodybos, vad. Didždvario, rūmai (Zubovų rūmai) (vnt.)</w:t>
                    </w:r>
                  </w:p>
                </w:tc>
                <w:tc>
                  <w:tcPr>
                    <w:tcW w:w="1134" w:type="dxa"/>
                    <w:vAlign w:val="center"/>
                    <w:hideMark/>
                  </w:tcPr>
                  <w:p>
                    <w:pPr>
                      <w:jc w:val="center"/>
                      <w:rPr>
                        <w:sz w:val="20"/>
                      </w:rPr>
                    </w:pPr>
                    <w:r>
                      <w:rPr>
                        <w:sz w:val="20"/>
                      </w:rPr>
                      <w:t>KS, MPPS, SRS, TVS</w:t>
                    </w:r>
                  </w:p>
                </w:tc>
                <w:tc>
                  <w:tcPr>
                    <w:tcW w:w="1134" w:type="dxa"/>
                    <w:vAlign w:val="center"/>
                    <w:hideMark/>
                  </w:tcPr>
                  <w:p>
                    <w:pPr>
                      <w:jc w:val="center"/>
                      <w:rPr>
                        <w:sz w:val="20"/>
                      </w:rPr>
                    </w:pPr>
                    <w:r>
                      <w:rPr>
                        <w:sz w:val="20"/>
                      </w:rPr>
                      <w:t>0 (2024)</w:t>
                    </w:r>
                  </w:p>
                </w:tc>
                <w:tc>
                  <w:tcPr>
                    <w:tcW w:w="1134" w:type="dxa"/>
                    <w:vAlign w:val="center"/>
                    <w:hideMark/>
                  </w:tcPr>
                  <w:p>
                    <w:pPr>
                      <w:jc w:val="center"/>
                      <w:rPr>
                        <w:sz w:val="20"/>
                      </w:rPr>
                    </w:pPr>
                    <w:r>
                      <w:rPr>
                        <w:sz w:val="20"/>
                      </w:rPr>
                      <w:t>1 (2030)</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P-12-02-03-02</w:t>
                    </w:r>
                  </w:p>
                </w:tc>
                <w:tc>
                  <w:tcPr>
                    <w:tcW w:w="4111" w:type="dxa"/>
                    <w:vAlign w:val="center"/>
                    <w:hideMark/>
                  </w:tcPr>
                  <w:p>
                    <w:pPr>
                      <w:rPr>
                        <w:sz w:val="20"/>
                      </w:rPr>
                    </w:pPr>
                    <w:r>
                      <w:rPr>
                        <w:sz w:val="20"/>
                      </w:rPr>
                      <w:t>Atnaujintų, valstybės saugomų kultūros paveldo objektų mieste, skaičius (vnt.)</w:t>
                    </w:r>
                  </w:p>
                </w:tc>
                <w:tc>
                  <w:tcPr>
                    <w:tcW w:w="1134" w:type="dxa"/>
                    <w:vAlign w:val="center"/>
                    <w:hideMark/>
                  </w:tcPr>
                  <w:p>
                    <w:pPr>
                      <w:jc w:val="center"/>
                      <w:rPr>
                        <w:sz w:val="20"/>
                      </w:rPr>
                    </w:pPr>
                    <w:r>
                      <w:rPr>
                        <w:sz w:val="20"/>
                      </w:rPr>
                      <w:t>MPPS</w:t>
                    </w:r>
                  </w:p>
                </w:tc>
                <w:tc>
                  <w:tcPr>
                    <w:tcW w:w="1134" w:type="dxa"/>
                    <w:vAlign w:val="center"/>
                    <w:hideMark/>
                  </w:tcPr>
                  <w:p>
                    <w:pPr>
                      <w:jc w:val="center"/>
                      <w:rPr>
                        <w:sz w:val="20"/>
                      </w:rPr>
                    </w:pPr>
                    <w:r>
                      <w:rPr>
                        <w:sz w:val="20"/>
                      </w:rPr>
                      <w:t>1 (2023)</w:t>
                    </w:r>
                  </w:p>
                </w:tc>
                <w:tc>
                  <w:tcPr>
                    <w:tcW w:w="1134" w:type="dxa"/>
                    <w:vAlign w:val="center"/>
                    <w:hideMark/>
                  </w:tcPr>
                  <w:p>
                    <w:pPr>
                      <w:jc w:val="center"/>
                      <w:rPr>
                        <w:sz w:val="20"/>
                      </w:rPr>
                    </w:pPr>
                    <w:r>
                      <w:rPr>
                        <w:sz w:val="20"/>
                      </w:rPr>
                      <w:t>2 (2033)</w:t>
                    </w:r>
                  </w:p>
                </w:tc>
              </w:tr>
              <w:tr>
                <w:trPr>
                  <w:trHeight w:val="996"/>
                  <w:jc w:val="center"/>
                </w:trPr>
                <w:tc>
                  <w:tcPr>
                    <w:tcW w:w="988" w:type="dxa"/>
                    <w:shd w:val="clear" w:color="auto" w:fill="FFD966"/>
                    <w:noWrap/>
                    <w:vAlign w:val="center"/>
                    <w:hideMark/>
                  </w:tcPr>
                  <w:p>
                    <w:pPr>
                      <w:rPr>
                        <w:b/>
                        <w:bCs/>
                        <w:sz w:val="20"/>
                      </w:rPr>
                    </w:pPr>
                    <w:r>
                      <w:rPr>
                        <w:b/>
                        <w:bCs/>
                        <w:sz w:val="20"/>
                      </w:rPr>
                      <w:t>13</w:t>
                    </w:r>
                  </w:p>
                </w:tc>
                <w:tc>
                  <w:tcPr>
                    <w:tcW w:w="2126" w:type="dxa"/>
                    <w:shd w:val="clear" w:color="auto" w:fill="FFD966"/>
                    <w:vAlign w:val="center"/>
                    <w:hideMark/>
                  </w:tcPr>
                  <w:p>
                    <w:pPr>
                      <w:rPr>
                        <w:b/>
                        <w:bCs/>
                        <w:sz w:val="20"/>
                      </w:rPr>
                    </w:pPr>
                    <w:r>
                      <w:rPr>
                        <w:b/>
                        <w:bCs/>
                        <w:sz w:val="20"/>
                      </w:rPr>
                      <w:t>Pagerinti aplinkos kokybę mieste, užtikrinant poveikio klimatui neutralumą</w:t>
                    </w:r>
                  </w:p>
                </w:tc>
                <w:tc>
                  <w:tcPr>
                    <w:tcW w:w="850" w:type="dxa"/>
                    <w:shd w:val="clear" w:color="auto" w:fill="FFD966"/>
                    <w:vAlign w:val="center"/>
                    <w:hideMark/>
                  </w:tcPr>
                  <w:p>
                    <w:pPr>
                      <w:jc w:val="center"/>
                      <w:rPr>
                        <w:sz w:val="20"/>
                      </w:rPr>
                    </w:pPr>
                    <w:r>
                      <w:rPr>
                        <w:sz w:val="20"/>
                      </w:rPr>
                      <w:t>MŪAS</w:t>
                    </w:r>
                  </w:p>
                </w:tc>
                <w:tc>
                  <w:tcPr>
                    <w:tcW w:w="709" w:type="dxa"/>
                    <w:shd w:val="clear" w:color="auto" w:fill="FFD966"/>
                    <w:noWrap/>
                    <w:vAlign w:val="center"/>
                    <w:hideMark/>
                  </w:tcPr>
                  <w:p>
                    <w:pPr>
                      <w:jc w:val="center"/>
                      <w:rPr>
                        <w:sz w:val="20"/>
                      </w:rPr>
                    </w:pPr>
                    <w:r>
                      <w:rPr>
                        <w:sz w:val="20"/>
                      </w:rPr>
                      <w:t>2025</w:t>
                    </w:r>
                  </w:p>
                </w:tc>
                <w:tc>
                  <w:tcPr>
                    <w:tcW w:w="709" w:type="dxa"/>
                    <w:shd w:val="clear" w:color="auto" w:fill="FFD966"/>
                    <w:noWrap/>
                    <w:vAlign w:val="center"/>
                    <w:hideMark/>
                  </w:tcPr>
                  <w:p>
                    <w:pPr>
                      <w:jc w:val="center"/>
                      <w:rPr>
                        <w:sz w:val="20"/>
                      </w:rPr>
                    </w:pPr>
                    <w:r>
                      <w:rPr>
                        <w:sz w:val="20"/>
                      </w:rPr>
                      <w:t>2033</w:t>
                    </w:r>
                  </w:p>
                </w:tc>
                <w:tc>
                  <w:tcPr>
                    <w:tcW w:w="1417" w:type="dxa"/>
                    <w:shd w:val="clear" w:color="auto" w:fill="FFD966"/>
                    <w:noWrap/>
                    <w:vAlign w:val="center"/>
                    <w:hideMark/>
                  </w:tcPr>
                  <w:p>
                    <w:pPr>
                      <w:rPr>
                        <w:sz w:val="20"/>
                      </w:rPr>
                    </w:pPr>
                    <w:r>
                      <w:rPr>
                        <w:sz w:val="20"/>
                      </w:rPr>
                      <w:t>P-13-01</w:t>
                    </w:r>
                  </w:p>
                </w:tc>
                <w:tc>
                  <w:tcPr>
                    <w:tcW w:w="4111" w:type="dxa"/>
                    <w:shd w:val="clear" w:color="auto" w:fill="FFD966"/>
                    <w:vAlign w:val="center"/>
                    <w:hideMark/>
                  </w:tcPr>
                  <w:p>
                    <w:pPr>
                      <w:rPr>
                        <w:sz w:val="20"/>
                      </w:rPr>
                    </w:pPr>
                    <w:r>
                      <w:rPr>
                        <w:sz w:val="20"/>
                      </w:rPr>
                      <w:t>Savivaldybės darnios energetikos plėtros indeksas (balas)</w:t>
                    </w:r>
                  </w:p>
                </w:tc>
                <w:tc>
                  <w:tcPr>
                    <w:tcW w:w="1134" w:type="dxa"/>
                    <w:shd w:val="clear" w:color="auto" w:fill="FFD966"/>
                    <w:vAlign w:val="center"/>
                    <w:hideMark/>
                  </w:tcPr>
                  <w:p>
                    <w:pPr>
                      <w:jc w:val="center"/>
                      <w:rPr>
                        <w:sz w:val="20"/>
                      </w:rPr>
                    </w:pPr>
                    <w:r>
                      <w:rPr>
                        <w:sz w:val="20"/>
                      </w:rPr>
                      <w:t>ŠMSA (MŪAS)</w:t>
                    </w:r>
                  </w:p>
                </w:tc>
                <w:tc>
                  <w:tcPr>
                    <w:tcW w:w="1134" w:type="dxa"/>
                    <w:shd w:val="clear" w:color="auto" w:fill="FFD966"/>
                    <w:noWrap/>
                    <w:vAlign w:val="center"/>
                    <w:hideMark/>
                  </w:tcPr>
                  <w:p>
                    <w:pPr>
                      <w:jc w:val="center"/>
                      <w:rPr>
                        <w:sz w:val="20"/>
                      </w:rPr>
                    </w:pPr>
                    <w:r>
                      <w:rPr>
                        <w:sz w:val="20"/>
                      </w:rPr>
                      <w:t>26,5 (2022)</w:t>
                    </w:r>
                  </w:p>
                </w:tc>
                <w:tc>
                  <w:tcPr>
                    <w:tcW w:w="1134" w:type="dxa"/>
                    <w:shd w:val="clear" w:color="auto" w:fill="FFD966"/>
                    <w:noWrap/>
                    <w:vAlign w:val="center"/>
                    <w:hideMark/>
                  </w:tcPr>
                  <w:p>
                    <w:pPr>
                      <w:jc w:val="center"/>
                      <w:rPr>
                        <w:sz w:val="20"/>
                      </w:rPr>
                    </w:pPr>
                    <w:r>
                      <w:rPr>
                        <w:sz w:val="20"/>
                      </w:rPr>
                      <w:t>46 (2033)</w:t>
                    </w:r>
                  </w:p>
                </w:tc>
              </w:tr>
              <w:tr>
                <w:trPr>
                  <w:trHeight w:val="548"/>
                  <w:jc w:val="center"/>
                </w:trPr>
                <w:tc>
                  <w:tcPr>
                    <w:tcW w:w="988" w:type="dxa"/>
                    <w:vMerge w:val="restart"/>
                    <w:shd w:val="clear" w:color="auto" w:fill="FCE4D6"/>
                    <w:noWrap/>
                    <w:vAlign w:val="center"/>
                    <w:hideMark/>
                  </w:tcPr>
                  <w:p>
                    <w:pPr>
                      <w:rPr>
                        <w:b/>
                        <w:bCs/>
                        <w:sz w:val="20"/>
                      </w:rPr>
                    </w:pPr>
                    <w:r>
                      <w:rPr>
                        <w:b/>
                        <w:bCs/>
                        <w:sz w:val="20"/>
                      </w:rPr>
                      <w:t>13-01</w:t>
                    </w:r>
                  </w:p>
                </w:tc>
                <w:tc>
                  <w:tcPr>
                    <w:tcW w:w="2126" w:type="dxa"/>
                    <w:vMerge w:val="restart"/>
                    <w:shd w:val="clear" w:color="auto" w:fill="FCE4D6"/>
                    <w:vAlign w:val="center"/>
                    <w:hideMark/>
                  </w:tcPr>
                  <w:p>
                    <w:pPr>
                      <w:rPr>
                        <w:b/>
                        <w:bCs/>
                        <w:sz w:val="20"/>
                      </w:rPr>
                    </w:pPr>
                    <w:r>
                      <w:rPr>
                        <w:b/>
                        <w:bCs/>
                        <w:sz w:val="20"/>
                      </w:rPr>
                      <w:t>Mažinti aplinkos taršą ir kurti miesto ekosistemą, siekiant didinti atsparumą klimato kaitos padariniams</w:t>
                    </w:r>
                  </w:p>
                </w:tc>
                <w:tc>
                  <w:tcPr>
                    <w:tcW w:w="850" w:type="dxa"/>
                    <w:vMerge w:val="restart"/>
                    <w:shd w:val="clear" w:color="auto" w:fill="FCE4D6"/>
                    <w:vAlign w:val="center"/>
                    <w:hideMark/>
                  </w:tcPr>
                  <w:p>
                    <w:pPr>
                      <w:jc w:val="center"/>
                      <w:rPr>
                        <w:sz w:val="20"/>
                      </w:rPr>
                    </w:pPr>
                    <w:r>
                      <w:rPr>
                        <w:sz w:val="20"/>
                      </w:rPr>
                      <w:t>MŪAS</w:t>
                    </w:r>
                  </w:p>
                </w:tc>
                <w:tc>
                  <w:tcPr>
                    <w:tcW w:w="709" w:type="dxa"/>
                    <w:vMerge w:val="restart"/>
                    <w:shd w:val="clear" w:color="auto" w:fill="FCE4D6"/>
                    <w:noWrap/>
                    <w:vAlign w:val="center"/>
                    <w:hideMark/>
                  </w:tcPr>
                  <w:p>
                    <w:pPr>
                      <w:jc w:val="center"/>
                      <w:rPr>
                        <w:sz w:val="20"/>
                      </w:rPr>
                    </w:pPr>
                    <w:r>
                      <w:rPr>
                        <w:sz w:val="20"/>
                      </w:rPr>
                      <w:t>2025</w:t>
                    </w:r>
                  </w:p>
                </w:tc>
                <w:tc>
                  <w:tcPr>
                    <w:tcW w:w="709" w:type="dxa"/>
                    <w:vMerge w:val="restart"/>
                    <w:shd w:val="clear" w:color="auto" w:fill="FCE4D6"/>
                    <w:noWrap/>
                    <w:vAlign w:val="center"/>
                    <w:hideMark/>
                  </w:tcPr>
                  <w:p>
                    <w:pPr>
                      <w:jc w:val="center"/>
                      <w:rPr>
                        <w:sz w:val="20"/>
                      </w:rPr>
                    </w:pPr>
                    <w:r>
                      <w:rPr>
                        <w:sz w:val="20"/>
                      </w:rPr>
                      <w:t>2033</w:t>
                    </w:r>
                  </w:p>
                </w:tc>
                <w:tc>
                  <w:tcPr>
                    <w:tcW w:w="1417" w:type="dxa"/>
                    <w:shd w:val="clear" w:color="auto" w:fill="FCE4D6"/>
                    <w:noWrap/>
                    <w:vAlign w:val="center"/>
                    <w:hideMark/>
                  </w:tcPr>
                  <w:p>
                    <w:pPr>
                      <w:rPr>
                        <w:sz w:val="20"/>
                      </w:rPr>
                    </w:pPr>
                    <w:r>
                      <w:rPr>
                        <w:sz w:val="20"/>
                      </w:rPr>
                      <w:t>R-13-01-01</w:t>
                    </w:r>
                  </w:p>
                </w:tc>
                <w:tc>
                  <w:tcPr>
                    <w:tcW w:w="4111" w:type="dxa"/>
                    <w:shd w:val="clear" w:color="auto" w:fill="FCE4D6"/>
                    <w:vAlign w:val="center"/>
                    <w:hideMark/>
                  </w:tcPr>
                  <w:p>
                    <w:pPr>
                      <w:rPr>
                        <w:sz w:val="20"/>
                      </w:rPr>
                    </w:pPr>
                    <w:r>
                      <w:rPr>
                        <w:sz w:val="20"/>
                      </w:rPr>
                      <w:t>Atsinaujinančių išteklių dalis pagal savivaldybės energijos balansą (proc.)</w:t>
                    </w:r>
                  </w:p>
                </w:tc>
                <w:tc>
                  <w:tcPr>
                    <w:tcW w:w="1134" w:type="dxa"/>
                    <w:shd w:val="clear" w:color="auto" w:fill="FCE4D6"/>
                    <w:noWrap/>
                    <w:vAlign w:val="center"/>
                    <w:hideMark/>
                  </w:tcPr>
                  <w:p>
                    <w:pPr>
                      <w:jc w:val="center"/>
                      <w:rPr>
                        <w:sz w:val="20"/>
                      </w:rPr>
                    </w:pPr>
                    <w:r>
                      <w:rPr>
                        <w:sz w:val="20"/>
                      </w:rPr>
                      <w:t>ŠMSA (MŪAS)</w:t>
                    </w:r>
                  </w:p>
                </w:tc>
                <w:tc>
                  <w:tcPr>
                    <w:tcW w:w="1134" w:type="dxa"/>
                    <w:shd w:val="clear" w:color="auto" w:fill="FCE4D6"/>
                    <w:noWrap/>
                    <w:vAlign w:val="center"/>
                    <w:hideMark/>
                  </w:tcPr>
                  <w:p>
                    <w:pPr>
                      <w:jc w:val="center"/>
                      <w:rPr>
                        <w:sz w:val="20"/>
                      </w:rPr>
                    </w:pPr>
                    <w:r>
                      <w:rPr>
                        <w:sz w:val="20"/>
                      </w:rPr>
                      <w:t>31,89 (2021)</w:t>
                    </w:r>
                  </w:p>
                </w:tc>
                <w:tc>
                  <w:tcPr>
                    <w:tcW w:w="1134" w:type="dxa"/>
                    <w:shd w:val="clear" w:color="auto" w:fill="FCE4D6"/>
                    <w:noWrap/>
                    <w:vAlign w:val="center"/>
                    <w:hideMark/>
                  </w:tcPr>
                  <w:p>
                    <w:pPr>
                      <w:jc w:val="center"/>
                      <w:rPr>
                        <w:sz w:val="20"/>
                      </w:rPr>
                    </w:pPr>
                    <w:r>
                      <w:rPr>
                        <w:sz w:val="20"/>
                      </w:rPr>
                      <w:t>35,78 (2033)</w:t>
                    </w:r>
                  </w:p>
                </w:tc>
              </w:tr>
              <w:tr>
                <w:trPr>
                  <w:trHeight w:val="52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noWrap/>
                    <w:vAlign w:val="center"/>
                    <w:hideMark/>
                  </w:tcPr>
                  <w:p>
                    <w:pPr>
                      <w:rPr>
                        <w:sz w:val="20"/>
                      </w:rPr>
                    </w:pPr>
                    <w:r>
                      <w:rPr>
                        <w:sz w:val="20"/>
                      </w:rPr>
                      <w:t>R-13-01-02</w:t>
                    </w:r>
                  </w:p>
                </w:tc>
                <w:tc>
                  <w:tcPr>
                    <w:tcW w:w="4111" w:type="dxa"/>
                    <w:shd w:val="clear" w:color="auto" w:fill="FCE4D6"/>
                    <w:vAlign w:val="center"/>
                    <w:hideMark/>
                  </w:tcPr>
                  <w:p>
                    <w:pPr>
                      <w:rPr>
                        <w:sz w:val="20"/>
                      </w:rPr>
                    </w:pPr>
                    <w:r>
                      <w:rPr>
                        <w:sz w:val="20"/>
                      </w:rPr>
                      <w:t>Gyventojų dalis, kurių būstai veikiami padidinto triukšmo lygio, nuo visų gyventojų skaičiaus (proc.)</w:t>
                    </w:r>
                  </w:p>
                </w:tc>
                <w:tc>
                  <w:tcPr>
                    <w:tcW w:w="1134" w:type="dxa"/>
                    <w:shd w:val="clear" w:color="auto" w:fill="FCE4D6"/>
                    <w:noWrap/>
                    <w:vAlign w:val="center"/>
                    <w:hideMark/>
                  </w:tcPr>
                  <w:p>
                    <w:pPr>
                      <w:jc w:val="center"/>
                      <w:rPr>
                        <w:sz w:val="20"/>
                      </w:rPr>
                    </w:pPr>
                    <w:r>
                      <w:rPr>
                        <w:sz w:val="20"/>
                      </w:rPr>
                      <w:t>ŠMSA (MŪAS)</w:t>
                    </w:r>
                  </w:p>
                </w:tc>
                <w:tc>
                  <w:tcPr>
                    <w:tcW w:w="1134" w:type="dxa"/>
                    <w:shd w:val="clear" w:color="auto" w:fill="FCE4D6"/>
                    <w:noWrap/>
                    <w:vAlign w:val="center"/>
                    <w:hideMark/>
                  </w:tcPr>
                  <w:p>
                    <w:pPr>
                      <w:jc w:val="center"/>
                      <w:rPr>
                        <w:sz w:val="20"/>
                      </w:rPr>
                    </w:pPr>
                    <w:r>
                      <w:rPr>
                        <w:sz w:val="20"/>
                      </w:rPr>
                      <w:t>20,89 (2021)</w:t>
                    </w:r>
                  </w:p>
                </w:tc>
                <w:tc>
                  <w:tcPr>
                    <w:tcW w:w="1134" w:type="dxa"/>
                    <w:shd w:val="clear" w:color="auto" w:fill="FCE4D6"/>
                    <w:noWrap/>
                    <w:vAlign w:val="center"/>
                    <w:hideMark/>
                  </w:tcPr>
                  <w:p>
                    <w:pPr>
                      <w:jc w:val="center"/>
                      <w:rPr>
                        <w:sz w:val="20"/>
                      </w:rPr>
                    </w:pPr>
                    <w:r>
                      <w:rPr>
                        <w:sz w:val="20"/>
                      </w:rPr>
                      <w:t>15 (2033)</w:t>
                    </w:r>
                  </w:p>
                </w:tc>
              </w:tr>
              <w:tr>
                <w:trPr>
                  <w:trHeight w:val="26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noWrap/>
                    <w:vAlign w:val="center"/>
                    <w:hideMark/>
                  </w:tcPr>
                  <w:p>
                    <w:pPr>
                      <w:rPr>
                        <w:sz w:val="20"/>
                      </w:rPr>
                    </w:pPr>
                    <w:r>
                      <w:rPr>
                        <w:sz w:val="20"/>
                      </w:rPr>
                      <w:t>R-13-01-03</w:t>
                    </w:r>
                  </w:p>
                </w:tc>
                <w:tc>
                  <w:tcPr>
                    <w:tcW w:w="4111" w:type="dxa"/>
                    <w:shd w:val="clear" w:color="auto" w:fill="FCE4D6"/>
                    <w:vAlign w:val="center"/>
                    <w:hideMark/>
                  </w:tcPr>
                  <w:p>
                    <w:pPr>
                      <w:rPr>
                        <w:sz w:val="20"/>
                      </w:rPr>
                    </w:pPr>
                    <w:r>
                      <w:rPr>
                        <w:sz w:val="20"/>
                      </w:rPr>
                      <w:t>Kietųjų dalelių skaičius (μg/m³)</w:t>
                    </w:r>
                  </w:p>
                </w:tc>
                <w:tc>
                  <w:tcPr>
                    <w:tcW w:w="1134" w:type="dxa"/>
                    <w:shd w:val="clear" w:color="auto" w:fill="FCE4D6"/>
                    <w:noWrap/>
                    <w:vAlign w:val="center"/>
                    <w:hideMark/>
                  </w:tcPr>
                  <w:p>
                    <w:pPr>
                      <w:jc w:val="center"/>
                      <w:rPr>
                        <w:sz w:val="20"/>
                      </w:rPr>
                    </w:pPr>
                    <w:r>
                      <w:rPr>
                        <w:sz w:val="20"/>
                      </w:rPr>
                      <w:t>AAA (MŪAS)</w:t>
                    </w:r>
                  </w:p>
                </w:tc>
                <w:tc>
                  <w:tcPr>
                    <w:tcW w:w="1134" w:type="dxa"/>
                    <w:shd w:val="clear" w:color="auto" w:fill="FCE4D6"/>
                    <w:noWrap/>
                    <w:vAlign w:val="center"/>
                    <w:hideMark/>
                  </w:tcPr>
                  <w:p>
                    <w:pPr>
                      <w:jc w:val="center"/>
                      <w:rPr>
                        <w:sz w:val="20"/>
                      </w:rPr>
                    </w:pPr>
                    <w:r>
                      <w:rPr>
                        <w:sz w:val="20"/>
                      </w:rPr>
                      <w:t>21 (2023)</w:t>
                    </w:r>
                  </w:p>
                </w:tc>
                <w:tc>
                  <w:tcPr>
                    <w:tcW w:w="1134" w:type="dxa"/>
                    <w:shd w:val="clear" w:color="auto" w:fill="FCE4D6"/>
                    <w:noWrap/>
                    <w:vAlign w:val="center"/>
                    <w:hideMark/>
                  </w:tcPr>
                  <w:p>
                    <w:pPr>
                      <w:jc w:val="center"/>
                      <w:rPr>
                        <w:sz w:val="20"/>
                      </w:rPr>
                    </w:pPr>
                    <w:r>
                      <w:rPr>
                        <w:sz w:val="20"/>
                      </w:rPr>
                      <w:t>18 (2033)</w:t>
                    </w:r>
                  </w:p>
                </w:tc>
              </w:tr>
              <w:tr>
                <w:trPr>
                  <w:trHeight w:val="53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noWrap/>
                    <w:vAlign w:val="center"/>
                    <w:hideMark/>
                  </w:tcPr>
                  <w:p>
                    <w:pPr>
                      <w:rPr>
                        <w:sz w:val="20"/>
                      </w:rPr>
                    </w:pPr>
                    <w:r>
                      <w:rPr>
                        <w:sz w:val="20"/>
                      </w:rPr>
                      <w:t>R-11-01-04</w:t>
                    </w:r>
                  </w:p>
                </w:tc>
                <w:tc>
                  <w:tcPr>
                    <w:tcW w:w="4111" w:type="dxa"/>
                    <w:shd w:val="clear" w:color="auto" w:fill="FCE4D6"/>
                    <w:vAlign w:val="center"/>
                    <w:hideMark/>
                  </w:tcPr>
                  <w:p>
                    <w:pPr>
                      <w:rPr>
                        <w:sz w:val="20"/>
                      </w:rPr>
                    </w:pPr>
                    <w:r>
                      <w:rPr>
                        <w:sz w:val="20"/>
                      </w:rPr>
                      <w:t>Bendras viešųjų atskirųjų želdynų plotas, tenkantis vienam miesto gyventojui (m²)</w:t>
                    </w:r>
                  </w:p>
                </w:tc>
                <w:tc>
                  <w:tcPr>
                    <w:tcW w:w="1134" w:type="dxa"/>
                    <w:shd w:val="clear" w:color="auto" w:fill="FCE4D6"/>
                    <w:noWrap/>
                    <w:vAlign w:val="center"/>
                    <w:hideMark/>
                  </w:tcPr>
                  <w:p>
                    <w:pPr>
                      <w:jc w:val="center"/>
                      <w:rPr>
                        <w:sz w:val="20"/>
                      </w:rPr>
                    </w:pPr>
                    <w:r>
                      <w:rPr>
                        <w:sz w:val="20"/>
                      </w:rPr>
                      <w:t>ŠMSA (MPPS)</w:t>
                    </w:r>
                  </w:p>
                </w:tc>
                <w:tc>
                  <w:tcPr>
                    <w:tcW w:w="1134" w:type="dxa"/>
                    <w:shd w:val="clear" w:color="auto" w:fill="FCE4D6"/>
                    <w:noWrap/>
                    <w:vAlign w:val="center"/>
                    <w:hideMark/>
                  </w:tcPr>
                  <w:p>
                    <w:pPr>
                      <w:jc w:val="center"/>
                      <w:rPr>
                        <w:sz w:val="20"/>
                      </w:rPr>
                    </w:pPr>
                    <w:r>
                      <w:rPr>
                        <w:sz w:val="20"/>
                      </w:rPr>
                      <w:t>48,3 (2023)</w:t>
                    </w:r>
                  </w:p>
                </w:tc>
                <w:tc>
                  <w:tcPr>
                    <w:tcW w:w="1134" w:type="dxa"/>
                    <w:shd w:val="clear" w:color="auto" w:fill="FCE4D6"/>
                    <w:vAlign w:val="center"/>
                    <w:hideMark/>
                  </w:tcPr>
                  <w:p>
                    <w:pPr>
                      <w:jc w:val="center"/>
                      <w:rPr>
                        <w:sz w:val="20"/>
                      </w:rPr>
                    </w:pPr>
                    <w:r>
                      <w:rPr>
                        <w:sz w:val="20"/>
                      </w:rPr>
                      <w:t>44,9 (2033)</w:t>
                    </w:r>
                  </w:p>
                </w:tc>
              </w:tr>
              <w:tr>
                <w:trPr>
                  <w:trHeight w:val="521"/>
                  <w:jc w:val="center"/>
                </w:trPr>
                <w:tc>
                  <w:tcPr>
                    <w:tcW w:w="988" w:type="dxa"/>
                    <w:vMerge w:val="restart"/>
                    <w:noWrap/>
                    <w:vAlign w:val="center"/>
                    <w:hideMark/>
                  </w:tcPr>
                  <w:p>
                    <w:pPr>
                      <w:rPr>
                        <w:sz w:val="20"/>
                      </w:rPr>
                    </w:pPr>
                    <w:r>
                      <w:rPr>
                        <w:sz w:val="20"/>
                      </w:rPr>
                      <w:t>13-01-01</w:t>
                    </w:r>
                  </w:p>
                </w:tc>
                <w:tc>
                  <w:tcPr>
                    <w:tcW w:w="2126" w:type="dxa"/>
                    <w:vMerge w:val="restart"/>
                    <w:vAlign w:val="center"/>
                    <w:hideMark/>
                  </w:tcPr>
                  <w:p>
                    <w:pPr>
                      <w:rPr>
                        <w:sz w:val="20"/>
                      </w:rPr>
                    </w:pPr>
                    <w:r>
                      <w:rPr>
                        <w:sz w:val="20"/>
                      </w:rPr>
                      <w:t>Išsaugoti biologinę įvairovę</w:t>
                    </w:r>
                  </w:p>
                </w:tc>
                <w:tc>
                  <w:tcPr>
                    <w:tcW w:w="850" w:type="dxa"/>
                    <w:vMerge w:val="restart"/>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P-13-01-01-01</w:t>
                    </w:r>
                  </w:p>
                </w:tc>
                <w:tc>
                  <w:tcPr>
                    <w:tcW w:w="4111" w:type="dxa"/>
                    <w:vAlign w:val="center"/>
                    <w:hideMark/>
                  </w:tcPr>
                  <w:p>
                    <w:pPr>
                      <w:rPr>
                        <w:sz w:val="20"/>
                      </w:rPr>
                    </w:pPr>
                    <w:r>
                      <w:rPr>
                        <w:sz w:val="20"/>
                      </w:rPr>
                      <w:t>Įdiegtų natūralių ir pusiau natūralių pievų želdynuose plotas (ha)</w:t>
                    </w:r>
                  </w:p>
                </w:tc>
                <w:tc>
                  <w:tcPr>
                    <w:tcW w:w="1134" w:type="dxa"/>
                    <w:noWrap/>
                    <w:vAlign w:val="center"/>
                    <w:hideMark/>
                  </w:tcPr>
                  <w:p>
                    <w:pPr>
                      <w:jc w:val="center"/>
                      <w:rPr>
                        <w:sz w:val="20"/>
                      </w:rPr>
                    </w:pPr>
                    <w:r>
                      <w:rPr>
                        <w:sz w:val="20"/>
                      </w:rPr>
                      <w:t>MŪAS</w:t>
                    </w:r>
                  </w:p>
                </w:tc>
                <w:tc>
                  <w:tcPr>
                    <w:tcW w:w="1134" w:type="dxa"/>
                    <w:noWrap/>
                    <w:vAlign w:val="center"/>
                    <w:hideMark/>
                  </w:tcPr>
                  <w:p>
                    <w:pPr>
                      <w:jc w:val="center"/>
                      <w:rPr>
                        <w:sz w:val="20"/>
                      </w:rPr>
                    </w:pPr>
                    <w:r>
                      <w:rPr>
                        <w:sz w:val="20"/>
                      </w:rPr>
                      <w:t>n.d. (2023)</w:t>
                    </w:r>
                  </w:p>
                </w:tc>
                <w:tc>
                  <w:tcPr>
                    <w:tcW w:w="1134" w:type="dxa"/>
                    <w:noWrap/>
                    <w:vAlign w:val="center"/>
                    <w:hideMark/>
                  </w:tcPr>
                  <w:p>
                    <w:pPr>
                      <w:jc w:val="center"/>
                      <w:rPr>
                        <w:sz w:val="20"/>
                      </w:rPr>
                    </w:pPr>
                    <w:r>
                      <w:rPr>
                        <w:sz w:val="20"/>
                      </w:rPr>
                      <w:t>10 (2033)</w:t>
                    </w:r>
                  </w:p>
                </w:tc>
              </w:tr>
              <w:tr>
                <w:trPr>
                  <w:trHeight w:val="558"/>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P-13-01-01-02</w:t>
                    </w:r>
                  </w:p>
                </w:tc>
                <w:tc>
                  <w:tcPr>
                    <w:tcW w:w="4111" w:type="dxa"/>
                    <w:vAlign w:val="center"/>
                    <w:hideMark/>
                  </w:tcPr>
                  <w:p>
                    <w:pPr>
                      <w:rPr>
                        <w:sz w:val="20"/>
                      </w:rPr>
                    </w:pPr>
                    <w:r>
                      <w:rPr>
                        <w:sz w:val="20"/>
                      </w:rPr>
                      <w:t>Įrengtų želdinių juostų šalia gatvių, pėsčiųjų ir dviračių takų ilgis (m)</w:t>
                    </w:r>
                  </w:p>
                </w:tc>
                <w:tc>
                  <w:tcPr>
                    <w:tcW w:w="1134" w:type="dxa"/>
                    <w:noWrap/>
                    <w:vAlign w:val="center"/>
                    <w:hideMark/>
                  </w:tcPr>
                  <w:p>
                    <w:pPr>
                      <w:jc w:val="center"/>
                      <w:rPr>
                        <w:sz w:val="20"/>
                      </w:rPr>
                    </w:pPr>
                    <w:r>
                      <w:rPr>
                        <w:sz w:val="20"/>
                      </w:rPr>
                      <w:t>MŪAS</w:t>
                    </w:r>
                  </w:p>
                </w:tc>
                <w:tc>
                  <w:tcPr>
                    <w:tcW w:w="1134" w:type="dxa"/>
                    <w:noWrap/>
                    <w:vAlign w:val="center"/>
                    <w:hideMark/>
                  </w:tcPr>
                  <w:p>
                    <w:pPr>
                      <w:jc w:val="center"/>
                      <w:rPr>
                        <w:sz w:val="20"/>
                      </w:rPr>
                    </w:pPr>
                    <w:r>
                      <w:rPr>
                        <w:sz w:val="20"/>
                      </w:rPr>
                      <w:t>n.d. (2023)</w:t>
                    </w:r>
                  </w:p>
                </w:tc>
                <w:tc>
                  <w:tcPr>
                    <w:tcW w:w="1134" w:type="dxa"/>
                    <w:vAlign w:val="center"/>
                    <w:hideMark/>
                  </w:tcPr>
                  <w:p>
                    <w:pPr>
                      <w:jc w:val="center"/>
                      <w:rPr>
                        <w:sz w:val="20"/>
                      </w:rPr>
                    </w:pPr>
                    <w:r>
                      <w:rPr>
                        <w:sz w:val="20"/>
                      </w:rPr>
                      <w:t>5000 (2033)</w:t>
                    </w:r>
                  </w:p>
                </w:tc>
              </w:tr>
              <w:tr>
                <w:trPr>
                  <w:trHeight w:val="41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P-13-01-01-03</w:t>
                    </w:r>
                  </w:p>
                </w:tc>
                <w:tc>
                  <w:tcPr>
                    <w:tcW w:w="4111" w:type="dxa"/>
                    <w:vAlign w:val="center"/>
                    <w:hideMark/>
                  </w:tcPr>
                  <w:p>
                    <w:pPr>
                      <w:rPr>
                        <w:sz w:val="20"/>
                      </w:rPr>
                    </w:pPr>
                    <w:r>
                      <w:rPr>
                        <w:sz w:val="20"/>
                      </w:rPr>
                      <w:t>Robotizuotai prižiūrimų želdynų ploto dalis nuo viso želdynų ploto (proc.)</w:t>
                    </w:r>
                  </w:p>
                </w:tc>
                <w:tc>
                  <w:tcPr>
                    <w:tcW w:w="1134" w:type="dxa"/>
                    <w:noWrap/>
                    <w:vAlign w:val="center"/>
                    <w:hideMark/>
                  </w:tcPr>
                  <w:p>
                    <w:pPr>
                      <w:jc w:val="center"/>
                      <w:rPr>
                        <w:sz w:val="20"/>
                      </w:rPr>
                    </w:pPr>
                    <w:r>
                      <w:rPr>
                        <w:sz w:val="20"/>
                      </w:rPr>
                      <w:t>MŪAS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10 (2033)</w:t>
                    </w:r>
                  </w:p>
                </w:tc>
              </w:tr>
              <w:tr>
                <w:trPr>
                  <w:trHeight w:val="217"/>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P-13-01-01-04</w:t>
                    </w:r>
                  </w:p>
                </w:tc>
                <w:tc>
                  <w:tcPr>
                    <w:tcW w:w="4111" w:type="dxa"/>
                    <w:vAlign w:val="center"/>
                    <w:hideMark/>
                  </w:tcPr>
                  <w:p>
                    <w:pPr>
                      <w:rPr>
                        <w:sz w:val="20"/>
                      </w:rPr>
                    </w:pPr>
                    <w:r>
                      <w:rPr>
                        <w:sz w:val="20"/>
                      </w:rPr>
                      <w:t>Įregistruotų atskirųjų želdynų sklypų plotas (ha)</w:t>
                    </w:r>
                  </w:p>
                </w:tc>
                <w:tc>
                  <w:tcPr>
                    <w:tcW w:w="1134" w:type="dxa"/>
                    <w:noWrap/>
                    <w:vAlign w:val="center"/>
                    <w:hideMark/>
                  </w:tcPr>
                  <w:p>
                    <w:pPr>
                      <w:jc w:val="center"/>
                      <w:rPr>
                        <w:sz w:val="20"/>
                      </w:rPr>
                    </w:pPr>
                    <w:r>
                      <w:rPr>
                        <w:sz w:val="20"/>
                      </w:rPr>
                      <w:t>MŪAS</w:t>
                    </w:r>
                  </w:p>
                </w:tc>
                <w:tc>
                  <w:tcPr>
                    <w:tcW w:w="1134" w:type="dxa"/>
                    <w:noWrap/>
                    <w:vAlign w:val="center"/>
                    <w:hideMark/>
                  </w:tcPr>
                  <w:p>
                    <w:pPr>
                      <w:jc w:val="center"/>
                      <w:rPr>
                        <w:sz w:val="20"/>
                      </w:rPr>
                    </w:pPr>
                    <w:r>
                      <w:rPr>
                        <w:sz w:val="20"/>
                      </w:rPr>
                      <w:t>120 (2024)</w:t>
                    </w:r>
                  </w:p>
                </w:tc>
                <w:tc>
                  <w:tcPr>
                    <w:tcW w:w="1134" w:type="dxa"/>
                    <w:noWrap/>
                    <w:vAlign w:val="center"/>
                    <w:hideMark/>
                  </w:tcPr>
                  <w:p>
                    <w:pPr>
                      <w:jc w:val="center"/>
                      <w:rPr>
                        <w:sz w:val="20"/>
                      </w:rPr>
                    </w:pPr>
                    <w:r>
                      <w:rPr>
                        <w:sz w:val="20"/>
                      </w:rPr>
                      <w:t>130 (2033)</w:t>
                    </w:r>
                  </w:p>
                </w:tc>
              </w:tr>
              <w:tr>
                <w:trPr>
                  <w:trHeight w:val="406"/>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P-13-01-01-05</w:t>
                    </w:r>
                  </w:p>
                </w:tc>
                <w:tc>
                  <w:tcPr>
                    <w:tcW w:w="4111" w:type="dxa"/>
                    <w:vAlign w:val="center"/>
                    <w:hideMark/>
                  </w:tcPr>
                  <w:p>
                    <w:pPr>
                      <w:rPr>
                        <w:sz w:val="20"/>
                      </w:rPr>
                    </w:pPr>
                    <w:r>
                      <w:rPr>
                        <w:sz w:val="20"/>
                      </w:rPr>
                      <w:t>Naujai įrengtų atskirųjų želdynų, pritaikytų naudoti visais metų laikais, skaičius (vnt.)</w:t>
                    </w:r>
                  </w:p>
                </w:tc>
                <w:tc>
                  <w:tcPr>
                    <w:tcW w:w="1134" w:type="dxa"/>
                    <w:noWrap/>
                    <w:vAlign w:val="center"/>
                    <w:hideMark/>
                  </w:tcPr>
                  <w:p>
                    <w:pPr>
                      <w:jc w:val="center"/>
                      <w:rPr>
                        <w:sz w:val="20"/>
                      </w:rPr>
                    </w:pPr>
                    <w:r>
                      <w:rPr>
                        <w:sz w:val="20"/>
                      </w:rPr>
                      <w:t>MPPS</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3 (2033)</w:t>
                    </w:r>
                  </w:p>
                </w:tc>
              </w:tr>
              <w:tr>
                <w:trPr>
                  <w:trHeight w:val="415"/>
                  <w:jc w:val="center"/>
                </w:trPr>
                <w:tc>
                  <w:tcPr>
                    <w:tcW w:w="988" w:type="dxa"/>
                    <w:vMerge w:val="restart"/>
                    <w:noWrap/>
                    <w:vAlign w:val="center"/>
                    <w:hideMark/>
                  </w:tcPr>
                  <w:p>
                    <w:pPr>
                      <w:rPr>
                        <w:sz w:val="20"/>
                      </w:rPr>
                    </w:pPr>
                    <w:r>
                      <w:rPr>
                        <w:sz w:val="20"/>
                      </w:rPr>
                      <w:t>13-01-02</w:t>
                    </w:r>
                  </w:p>
                </w:tc>
                <w:tc>
                  <w:tcPr>
                    <w:tcW w:w="2126" w:type="dxa"/>
                    <w:vMerge w:val="restart"/>
                    <w:vAlign w:val="center"/>
                    <w:hideMark/>
                  </w:tcPr>
                  <w:p>
                    <w:pPr>
                      <w:rPr>
                        <w:sz w:val="20"/>
                      </w:rPr>
                    </w:pPr>
                    <w:r>
                      <w:rPr>
                        <w:sz w:val="20"/>
                      </w:rPr>
                      <w:t>Gerinti vandens telkinių vandens kokybę</w:t>
                    </w:r>
                  </w:p>
                </w:tc>
                <w:tc>
                  <w:tcPr>
                    <w:tcW w:w="850" w:type="dxa"/>
                    <w:vMerge w:val="restart"/>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P-13-01-02-01</w:t>
                    </w:r>
                  </w:p>
                </w:tc>
                <w:tc>
                  <w:tcPr>
                    <w:tcW w:w="4111" w:type="dxa"/>
                    <w:vAlign w:val="center"/>
                    <w:hideMark/>
                  </w:tcPr>
                  <w:p>
                    <w:pPr>
                      <w:rPr>
                        <w:sz w:val="20"/>
                      </w:rPr>
                    </w:pPr>
                    <w:r>
                      <w:rPr>
                        <w:sz w:val="20"/>
                      </w:rPr>
                      <w:t>Takų, kuriuos prižiūrint nenaudojama druska, plotas (m²)</w:t>
                    </w:r>
                  </w:p>
                </w:tc>
                <w:tc>
                  <w:tcPr>
                    <w:tcW w:w="1134" w:type="dxa"/>
                    <w:noWrap/>
                    <w:vAlign w:val="center"/>
                    <w:hideMark/>
                  </w:tcPr>
                  <w:p>
                    <w:pPr>
                      <w:jc w:val="center"/>
                      <w:rPr>
                        <w:sz w:val="20"/>
                      </w:rPr>
                    </w:pPr>
                    <w:r>
                      <w:rPr>
                        <w:sz w:val="20"/>
                      </w:rPr>
                      <w:t>MŪAS</w:t>
                    </w:r>
                  </w:p>
                </w:tc>
                <w:tc>
                  <w:tcPr>
                    <w:tcW w:w="1134" w:type="dxa"/>
                    <w:noWrap/>
                    <w:vAlign w:val="center"/>
                    <w:hideMark/>
                  </w:tcPr>
                  <w:p>
                    <w:pPr>
                      <w:jc w:val="center"/>
                      <w:rPr>
                        <w:sz w:val="20"/>
                      </w:rPr>
                    </w:pPr>
                    <w:r>
                      <w:rPr>
                        <w:sz w:val="20"/>
                      </w:rPr>
                      <w:t>784 (2023)</w:t>
                    </w:r>
                  </w:p>
                </w:tc>
                <w:tc>
                  <w:tcPr>
                    <w:tcW w:w="1134" w:type="dxa"/>
                    <w:noWrap/>
                    <w:vAlign w:val="center"/>
                    <w:hideMark/>
                  </w:tcPr>
                  <w:p>
                    <w:pPr>
                      <w:jc w:val="center"/>
                      <w:rPr>
                        <w:sz w:val="20"/>
                      </w:rPr>
                    </w:pPr>
                    <w:r>
                      <w:rPr>
                        <w:sz w:val="20"/>
                      </w:rPr>
                      <w:t>5000 (2033)</w:t>
                    </w:r>
                  </w:p>
                </w:tc>
              </w:tr>
              <w:tr>
                <w:trPr>
                  <w:trHeight w:val="52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P-13-01-02-02</w:t>
                    </w:r>
                  </w:p>
                </w:tc>
                <w:tc>
                  <w:tcPr>
                    <w:tcW w:w="4111" w:type="dxa"/>
                    <w:vAlign w:val="center"/>
                    <w:hideMark/>
                  </w:tcPr>
                  <w:p>
                    <w:pPr>
                      <w:rPr>
                        <w:sz w:val="20"/>
                      </w:rPr>
                    </w:pPr>
                    <w:r>
                      <w:rPr>
                        <w:sz w:val="20"/>
                      </w:rPr>
                      <w:t xml:space="preserve">Naujai įrengtų, rekonstruotų ir suremontuotų paviršinių nuotekų tinklų ilgis (km) </w:t>
                    </w:r>
                  </w:p>
                </w:tc>
                <w:tc>
                  <w:tcPr>
                    <w:tcW w:w="1134" w:type="dxa"/>
                    <w:noWrap/>
                    <w:vAlign w:val="center"/>
                    <w:hideMark/>
                  </w:tcPr>
                  <w:p>
                    <w:pPr>
                      <w:jc w:val="center"/>
                      <w:rPr>
                        <w:sz w:val="20"/>
                      </w:rPr>
                    </w:pPr>
                    <w:r>
                      <w:rPr>
                        <w:sz w:val="20"/>
                      </w:rPr>
                      <w:t>ŠV</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15 (2033)</w:t>
                    </w:r>
                  </w:p>
                </w:tc>
              </w:tr>
              <w:tr>
                <w:trPr>
                  <w:trHeight w:val="415"/>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P-13-01-02-03</w:t>
                    </w:r>
                  </w:p>
                </w:tc>
                <w:tc>
                  <w:tcPr>
                    <w:tcW w:w="4111" w:type="dxa"/>
                    <w:vAlign w:val="center"/>
                    <w:hideMark/>
                  </w:tcPr>
                  <w:p>
                    <w:pPr>
                      <w:rPr>
                        <w:sz w:val="20"/>
                      </w:rPr>
                    </w:pPr>
                    <w:r>
                      <w:rPr>
                        <w:sz w:val="20"/>
                      </w:rPr>
                      <w:t xml:space="preserve">Naujai įrengtų paviršinių nuotekų kaupyklų ir valymo įrenginių skaičius (vnt.) </w:t>
                    </w:r>
                  </w:p>
                </w:tc>
                <w:tc>
                  <w:tcPr>
                    <w:tcW w:w="1134" w:type="dxa"/>
                    <w:noWrap/>
                    <w:vAlign w:val="center"/>
                    <w:hideMark/>
                  </w:tcPr>
                  <w:p>
                    <w:pPr>
                      <w:jc w:val="center"/>
                      <w:rPr>
                        <w:sz w:val="20"/>
                      </w:rPr>
                    </w:pPr>
                    <w:r>
                      <w:rPr>
                        <w:sz w:val="20"/>
                      </w:rPr>
                      <w:t>ŠV</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7 (2033)</w:t>
                    </w:r>
                  </w:p>
                </w:tc>
              </w:tr>
              <w:tr>
                <w:trPr>
                  <w:trHeight w:val="216"/>
                  <w:jc w:val="center"/>
                </w:trPr>
                <w:tc>
                  <w:tcPr>
                    <w:tcW w:w="988" w:type="dxa"/>
                    <w:vMerge w:val="restart"/>
                    <w:noWrap/>
                    <w:vAlign w:val="center"/>
                    <w:hideMark/>
                  </w:tcPr>
                  <w:p>
                    <w:pPr>
                      <w:rPr>
                        <w:sz w:val="20"/>
                      </w:rPr>
                    </w:pPr>
                    <w:r>
                      <w:rPr>
                        <w:sz w:val="20"/>
                      </w:rPr>
                      <w:t>13-01-03</w:t>
                    </w:r>
                  </w:p>
                </w:tc>
                <w:tc>
                  <w:tcPr>
                    <w:tcW w:w="2126" w:type="dxa"/>
                    <w:vMerge w:val="restart"/>
                    <w:vAlign w:val="center"/>
                    <w:hideMark/>
                  </w:tcPr>
                  <w:p>
                    <w:pPr>
                      <w:rPr>
                        <w:sz w:val="20"/>
                      </w:rPr>
                    </w:pPr>
                    <w:r>
                      <w:rPr>
                        <w:sz w:val="20"/>
                      </w:rPr>
                      <w:t>Įdiegti taršos matavimo, mažinimo ir prevencijos priemones</w:t>
                    </w:r>
                  </w:p>
                </w:tc>
                <w:tc>
                  <w:tcPr>
                    <w:tcW w:w="850" w:type="dxa"/>
                    <w:vMerge w:val="restart"/>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P-13-01-03-01</w:t>
                    </w:r>
                  </w:p>
                </w:tc>
                <w:tc>
                  <w:tcPr>
                    <w:tcW w:w="4111" w:type="dxa"/>
                    <w:vAlign w:val="center"/>
                    <w:hideMark/>
                  </w:tcPr>
                  <w:p>
                    <w:pPr>
                      <w:rPr>
                        <w:sz w:val="20"/>
                      </w:rPr>
                    </w:pPr>
                    <w:r>
                      <w:rPr>
                        <w:sz w:val="20"/>
                      </w:rPr>
                      <w:t>Įdiegta mažos taršos zona (vnt.)</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 (2026)</w:t>
                    </w:r>
                  </w:p>
                </w:tc>
              </w:tr>
              <w:tr>
                <w:trPr>
                  <w:trHeight w:val="293"/>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P-13-01-03-02</w:t>
                    </w:r>
                  </w:p>
                </w:tc>
                <w:tc>
                  <w:tcPr>
                    <w:tcW w:w="4111" w:type="dxa"/>
                    <w:vAlign w:val="center"/>
                    <w:hideMark/>
                  </w:tcPr>
                  <w:p>
                    <w:pPr>
                      <w:rPr>
                        <w:sz w:val="20"/>
                      </w:rPr>
                    </w:pPr>
                    <w:r>
                      <w:rPr>
                        <w:sz w:val="20"/>
                      </w:rPr>
                      <w:t>Patobulinta aplinkos monitoringo sistema (vnt.)</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 (2028)</w:t>
                    </w:r>
                  </w:p>
                </w:tc>
              </w:tr>
              <w:tr>
                <w:trPr>
                  <w:trHeight w:val="94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P-13-01-03-03</w:t>
                    </w:r>
                  </w:p>
                </w:tc>
                <w:tc>
                  <w:tcPr>
                    <w:tcW w:w="4111" w:type="dxa"/>
                    <w:vAlign w:val="center"/>
                    <w:hideMark/>
                  </w:tcPr>
                  <w:p>
                    <w:pPr>
                      <w:rPr>
                        <w:sz w:val="20"/>
                      </w:rPr>
                    </w:pPr>
                    <w:r>
                      <w:rPr>
                        <w:sz w:val="20"/>
                      </w:rPr>
                      <w:t>Gatvių, kuriose naudojama MaCh arba kitos alternatyvios medžiagos dulkėtumui vasarą mažinti, dalis, palyginti su visomis žvyruotomis gatvėmis (proc.)</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5 (2023)</w:t>
                    </w:r>
                  </w:p>
                </w:tc>
                <w:tc>
                  <w:tcPr>
                    <w:tcW w:w="1134" w:type="dxa"/>
                    <w:vAlign w:val="center"/>
                    <w:hideMark/>
                  </w:tcPr>
                  <w:p>
                    <w:pPr>
                      <w:jc w:val="center"/>
                      <w:rPr>
                        <w:sz w:val="20"/>
                      </w:rPr>
                    </w:pPr>
                    <w:r>
                      <w:rPr>
                        <w:sz w:val="20"/>
                      </w:rPr>
                      <w:t>30 (2033)</w:t>
                    </w:r>
                  </w:p>
                </w:tc>
              </w:tr>
              <w:tr>
                <w:trPr>
                  <w:trHeight w:val="651"/>
                  <w:jc w:val="center"/>
                </w:trPr>
                <w:tc>
                  <w:tcPr>
                    <w:tcW w:w="988" w:type="dxa"/>
                    <w:vMerge w:val="restart"/>
                    <w:noWrap/>
                    <w:vAlign w:val="center"/>
                    <w:hideMark/>
                  </w:tcPr>
                  <w:p>
                    <w:pPr>
                      <w:rPr>
                        <w:sz w:val="20"/>
                      </w:rPr>
                    </w:pPr>
                    <w:r>
                      <w:rPr>
                        <w:sz w:val="20"/>
                      </w:rPr>
                      <w:t>13-01-04</w:t>
                    </w:r>
                  </w:p>
                </w:tc>
                <w:tc>
                  <w:tcPr>
                    <w:tcW w:w="2126" w:type="dxa"/>
                    <w:vMerge w:val="restart"/>
                    <w:vAlign w:val="center"/>
                    <w:hideMark/>
                  </w:tcPr>
                  <w:p>
                    <w:pPr>
                      <w:rPr>
                        <w:sz w:val="20"/>
                      </w:rPr>
                    </w:pPr>
                    <w:r>
                      <w:rPr>
                        <w:sz w:val="20"/>
                      </w:rPr>
                      <w:t>Skatinti atsinaujinančių išteklių naudojimą Šiaulių mieste</w:t>
                    </w:r>
                  </w:p>
                </w:tc>
                <w:tc>
                  <w:tcPr>
                    <w:tcW w:w="850" w:type="dxa"/>
                    <w:vMerge w:val="restart"/>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P-13-01-04-01</w:t>
                    </w:r>
                  </w:p>
                </w:tc>
                <w:tc>
                  <w:tcPr>
                    <w:tcW w:w="4111" w:type="dxa"/>
                    <w:vAlign w:val="center"/>
                    <w:hideMark/>
                  </w:tcPr>
                  <w:p>
                    <w:pPr>
                      <w:rPr>
                        <w:sz w:val="20"/>
                      </w:rPr>
                    </w:pPr>
                    <w:r>
                      <w:rPr>
                        <w:sz w:val="20"/>
                      </w:rPr>
                      <w:t xml:space="preserve">Santykinės šilumos, tiekiamos Šiaulių m. CŠT, sąnaudos </w:t>
                    </w:r>
                    <w:r>
                      <w:rPr>
                        <w:sz w:val="20"/>
                        <w:lang w:val="en-GB"/>
                      </w:rPr>
                      <w:t>1 m²</w:t>
                    </w:r>
                    <w:r>
                      <w:rPr>
                        <w:sz w:val="20"/>
                      </w:rPr>
                      <w:t xml:space="preserve"> gyvenamojo pastato naudingojo ploto šildyti vienam dienolaipsniui (kW)</w:t>
                    </w:r>
                  </w:p>
                </w:tc>
                <w:tc>
                  <w:tcPr>
                    <w:tcW w:w="1134" w:type="dxa"/>
                    <w:vAlign w:val="center"/>
                    <w:hideMark/>
                  </w:tcPr>
                  <w:p>
                    <w:pPr>
                      <w:jc w:val="center"/>
                      <w:rPr>
                        <w:sz w:val="20"/>
                      </w:rPr>
                    </w:pPr>
                    <w:r>
                      <w:rPr>
                        <w:sz w:val="20"/>
                      </w:rPr>
                      <w:t>ŠE</w:t>
                    </w:r>
                  </w:p>
                </w:tc>
                <w:tc>
                  <w:tcPr>
                    <w:tcW w:w="1134" w:type="dxa"/>
                    <w:noWrap/>
                    <w:vAlign w:val="center"/>
                    <w:hideMark/>
                  </w:tcPr>
                  <w:p>
                    <w:pPr>
                      <w:jc w:val="center"/>
                      <w:rPr>
                        <w:sz w:val="20"/>
                      </w:rPr>
                    </w:pPr>
                    <w:r>
                      <w:rPr>
                        <w:sz w:val="20"/>
                      </w:rPr>
                      <w:t>0,0295 (2023)</w:t>
                    </w:r>
                  </w:p>
                </w:tc>
                <w:tc>
                  <w:tcPr>
                    <w:tcW w:w="1134" w:type="dxa"/>
                    <w:noWrap/>
                    <w:vAlign w:val="center"/>
                    <w:hideMark/>
                  </w:tcPr>
                  <w:p>
                    <w:pPr>
                      <w:jc w:val="center"/>
                      <w:rPr>
                        <w:sz w:val="20"/>
                      </w:rPr>
                    </w:pPr>
                    <w:r>
                      <w:rPr>
                        <w:sz w:val="20"/>
                      </w:rPr>
                      <w:t>0,0289 (2033)</w:t>
                    </w:r>
                  </w:p>
                </w:tc>
              </w:tr>
              <w:tr>
                <w:trPr>
                  <w:trHeight w:val="91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P-13-01-04-02</w:t>
                    </w:r>
                  </w:p>
                </w:tc>
                <w:tc>
                  <w:tcPr>
                    <w:tcW w:w="4111" w:type="dxa"/>
                    <w:vAlign w:val="center"/>
                    <w:hideMark/>
                  </w:tcPr>
                  <w:p>
                    <w:pPr>
                      <w:rPr>
                        <w:sz w:val="20"/>
                      </w:rPr>
                    </w:pPr>
                    <w:r>
                      <w:rPr>
                        <w:sz w:val="20"/>
                      </w:rPr>
                      <w:t>Centralizuotai tiekiamos šilumos energijos, pagamintos iš atsinaujinančių energijos išteklių, dalis pagal šilumos energijos balansą Pietinės katilinės centralizuoto šilumos tiekimo sistemoje (proc.)</w:t>
                    </w:r>
                  </w:p>
                </w:tc>
                <w:tc>
                  <w:tcPr>
                    <w:tcW w:w="1134" w:type="dxa"/>
                    <w:vAlign w:val="center"/>
                    <w:hideMark/>
                  </w:tcPr>
                  <w:p>
                    <w:pPr>
                      <w:jc w:val="center"/>
                      <w:rPr>
                        <w:sz w:val="20"/>
                      </w:rPr>
                    </w:pPr>
                    <w:r>
                      <w:rPr>
                        <w:sz w:val="20"/>
                      </w:rPr>
                      <w:t>ŠE</w:t>
                    </w:r>
                  </w:p>
                </w:tc>
                <w:tc>
                  <w:tcPr>
                    <w:tcW w:w="1134" w:type="dxa"/>
                    <w:noWrap/>
                    <w:vAlign w:val="center"/>
                    <w:hideMark/>
                  </w:tcPr>
                  <w:p>
                    <w:pPr>
                      <w:jc w:val="center"/>
                      <w:rPr>
                        <w:sz w:val="20"/>
                      </w:rPr>
                    </w:pPr>
                    <w:r>
                      <w:rPr>
                        <w:sz w:val="20"/>
                      </w:rPr>
                      <w:t>80 (2023)</w:t>
                    </w:r>
                  </w:p>
                </w:tc>
                <w:tc>
                  <w:tcPr>
                    <w:tcW w:w="1134" w:type="dxa"/>
                    <w:noWrap/>
                    <w:vAlign w:val="center"/>
                    <w:hideMark/>
                  </w:tcPr>
                  <w:p>
                    <w:pPr>
                      <w:jc w:val="center"/>
                      <w:rPr>
                        <w:sz w:val="20"/>
                      </w:rPr>
                    </w:pPr>
                    <w:r>
                      <w:rPr>
                        <w:sz w:val="20"/>
                      </w:rPr>
                      <w:t>90 (2033)</w:t>
                    </w:r>
                  </w:p>
                </w:tc>
              </w:tr>
              <w:tr>
                <w:trPr>
                  <w:trHeight w:val="683"/>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P-13-01-04-03</w:t>
                    </w:r>
                  </w:p>
                </w:tc>
                <w:tc>
                  <w:tcPr>
                    <w:tcW w:w="4111" w:type="dxa"/>
                    <w:vAlign w:val="center"/>
                    <w:hideMark/>
                  </w:tcPr>
                  <w:p>
                    <w:pPr>
                      <w:rPr>
                        <w:sz w:val="20"/>
                      </w:rPr>
                    </w:pPr>
                    <w:r>
                      <w:rPr>
                        <w:sz w:val="20"/>
                      </w:rPr>
                      <w:t>Savivaldybės įstaigų ir įmonių, įdiegusių atsinaujinančių ir alternatyvių energijos išteklių priemones savo pastatuose, dalis (proc.)</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13 (2023)</w:t>
                    </w:r>
                  </w:p>
                </w:tc>
                <w:tc>
                  <w:tcPr>
                    <w:tcW w:w="1134" w:type="dxa"/>
                    <w:noWrap/>
                    <w:vAlign w:val="center"/>
                    <w:hideMark/>
                  </w:tcPr>
                  <w:p>
                    <w:pPr>
                      <w:jc w:val="center"/>
                      <w:rPr>
                        <w:sz w:val="20"/>
                      </w:rPr>
                    </w:pPr>
                    <w:r>
                      <w:rPr>
                        <w:sz w:val="20"/>
                      </w:rPr>
                      <w:t>80 (2033)</w:t>
                    </w:r>
                  </w:p>
                </w:tc>
              </w:tr>
              <w:tr>
                <w:trPr>
                  <w:trHeight w:val="693"/>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P-13-01-04-04</w:t>
                    </w:r>
                  </w:p>
                </w:tc>
                <w:tc>
                  <w:tcPr>
                    <w:tcW w:w="4111" w:type="dxa"/>
                    <w:vAlign w:val="center"/>
                    <w:hideMark/>
                  </w:tcPr>
                  <w:p>
                    <w:pPr>
                      <w:rPr>
                        <w:sz w:val="20"/>
                      </w:rPr>
                    </w:pPr>
                    <w:r>
                      <w:rPr>
                        <w:sz w:val="20"/>
                      </w:rPr>
                      <w:t>Savivaldybės administracijos suvartojamos elektros energijos dalis iš atsinaujinančių išteklių energijos šaltinių (proc.)</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100 (2033)</w:t>
                    </w:r>
                  </w:p>
                </w:tc>
              </w:tr>
              <w:tr>
                <w:trPr>
                  <w:trHeight w:val="670"/>
                  <w:jc w:val="center"/>
                </w:trPr>
                <w:tc>
                  <w:tcPr>
                    <w:tcW w:w="988" w:type="dxa"/>
                    <w:vMerge w:val="restart"/>
                    <w:shd w:val="clear" w:color="auto" w:fill="FCE4D6"/>
                    <w:noWrap/>
                    <w:vAlign w:val="center"/>
                    <w:hideMark/>
                  </w:tcPr>
                  <w:p>
                    <w:pPr>
                      <w:rPr>
                        <w:b/>
                        <w:bCs/>
                        <w:sz w:val="20"/>
                      </w:rPr>
                    </w:pPr>
                    <w:r>
                      <w:rPr>
                        <w:b/>
                        <w:bCs/>
                        <w:sz w:val="20"/>
                      </w:rPr>
                      <w:t>13-02</w:t>
                    </w:r>
                  </w:p>
                </w:tc>
                <w:tc>
                  <w:tcPr>
                    <w:tcW w:w="2126" w:type="dxa"/>
                    <w:vMerge w:val="restart"/>
                    <w:shd w:val="clear" w:color="auto" w:fill="FCE4D6"/>
                    <w:vAlign w:val="center"/>
                    <w:hideMark/>
                  </w:tcPr>
                  <w:p>
                    <w:pPr>
                      <w:rPr>
                        <w:b/>
                        <w:bCs/>
                        <w:sz w:val="20"/>
                      </w:rPr>
                    </w:pPr>
                    <w:r>
                      <w:rPr>
                        <w:b/>
                        <w:bCs/>
                        <w:sz w:val="20"/>
                      </w:rPr>
                      <w:t>Taikyti žiedinės ekonomikos principus komunalinių atliekų tvarkyme</w:t>
                    </w:r>
                  </w:p>
                </w:tc>
                <w:tc>
                  <w:tcPr>
                    <w:tcW w:w="850" w:type="dxa"/>
                    <w:vMerge w:val="restart"/>
                    <w:shd w:val="clear" w:color="auto" w:fill="FCE4D6"/>
                    <w:vAlign w:val="center"/>
                    <w:hideMark/>
                  </w:tcPr>
                  <w:p>
                    <w:pPr>
                      <w:jc w:val="center"/>
                      <w:rPr>
                        <w:sz w:val="20"/>
                      </w:rPr>
                    </w:pPr>
                    <w:r>
                      <w:rPr>
                        <w:sz w:val="20"/>
                      </w:rPr>
                      <w:t>MŪAS</w:t>
                    </w:r>
                  </w:p>
                </w:tc>
                <w:tc>
                  <w:tcPr>
                    <w:tcW w:w="709" w:type="dxa"/>
                    <w:vMerge w:val="restart"/>
                    <w:shd w:val="clear" w:color="auto" w:fill="FCE4D6"/>
                    <w:noWrap/>
                    <w:vAlign w:val="center"/>
                    <w:hideMark/>
                  </w:tcPr>
                  <w:p>
                    <w:pPr>
                      <w:jc w:val="center"/>
                      <w:rPr>
                        <w:sz w:val="20"/>
                      </w:rPr>
                    </w:pPr>
                    <w:r>
                      <w:rPr>
                        <w:sz w:val="20"/>
                      </w:rPr>
                      <w:t>2025</w:t>
                    </w:r>
                  </w:p>
                </w:tc>
                <w:tc>
                  <w:tcPr>
                    <w:tcW w:w="709" w:type="dxa"/>
                    <w:vMerge w:val="restart"/>
                    <w:shd w:val="clear" w:color="auto" w:fill="FCE4D6"/>
                    <w:noWrap/>
                    <w:vAlign w:val="center"/>
                    <w:hideMark/>
                  </w:tcPr>
                  <w:p>
                    <w:pPr>
                      <w:jc w:val="center"/>
                      <w:rPr>
                        <w:sz w:val="20"/>
                      </w:rPr>
                    </w:pPr>
                    <w:r>
                      <w:rPr>
                        <w:sz w:val="20"/>
                      </w:rPr>
                      <w:t>2030</w:t>
                    </w:r>
                  </w:p>
                </w:tc>
                <w:tc>
                  <w:tcPr>
                    <w:tcW w:w="1417" w:type="dxa"/>
                    <w:shd w:val="clear" w:color="auto" w:fill="FCE4D6"/>
                    <w:noWrap/>
                    <w:vAlign w:val="center"/>
                    <w:hideMark/>
                  </w:tcPr>
                  <w:p>
                    <w:pPr>
                      <w:rPr>
                        <w:sz w:val="20"/>
                      </w:rPr>
                    </w:pPr>
                    <w:r>
                      <w:rPr>
                        <w:sz w:val="20"/>
                      </w:rPr>
                      <w:t>R-13-02-01</w:t>
                    </w:r>
                  </w:p>
                </w:tc>
                <w:tc>
                  <w:tcPr>
                    <w:tcW w:w="4111" w:type="dxa"/>
                    <w:shd w:val="clear" w:color="auto" w:fill="FCE4D6"/>
                    <w:vAlign w:val="center"/>
                    <w:hideMark/>
                  </w:tcPr>
                  <w:p>
                    <w:pPr>
                      <w:rPr>
                        <w:sz w:val="20"/>
                      </w:rPr>
                    </w:pPr>
                    <w:r>
                      <w:rPr>
                        <w:sz w:val="20"/>
                      </w:rPr>
                      <w:t>Sąvartynuose šalinamų komunalinių atliekų dalis nuo visų susidariusių komunalinių atliekų (proc.)</w:t>
                    </w:r>
                  </w:p>
                </w:tc>
                <w:tc>
                  <w:tcPr>
                    <w:tcW w:w="1134" w:type="dxa"/>
                    <w:shd w:val="clear" w:color="auto" w:fill="FCE4D6"/>
                    <w:vAlign w:val="center"/>
                    <w:hideMark/>
                  </w:tcPr>
                  <w:p>
                    <w:pPr>
                      <w:jc w:val="center"/>
                      <w:rPr>
                        <w:sz w:val="20"/>
                      </w:rPr>
                    </w:pPr>
                    <w:r>
                      <w:rPr>
                        <w:sz w:val="20"/>
                      </w:rPr>
                      <w:t>ŠMSA (ŠRATC)</w:t>
                    </w:r>
                  </w:p>
                </w:tc>
                <w:tc>
                  <w:tcPr>
                    <w:tcW w:w="1134" w:type="dxa"/>
                    <w:shd w:val="clear" w:color="auto" w:fill="FCE4D6"/>
                    <w:noWrap/>
                    <w:vAlign w:val="center"/>
                    <w:hideMark/>
                  </w:tcPr>
                  <w:p>
                    <w:pPr>
                      <w:jc w:val="center"/>
                      <w:rPr>
                        <w:sz w:val="20"/>
                      </w:rPr>
                    </w:pPr>
                    <w:r>
                      <w:rPr>
                        <w:sz w:val="20"/>
                      </w:rPr>
                      <w:t>13,25 (2023)</w:t>
                    </w:r>
                  </w:p>
                </w:tc>
                <w:tc>
                  <w:tcPr>
                    <w:tcW w:w="1134" w:type="dxa"/>
                    <w:shd w:val="clear" w:color="auto" w:fill="FCE4D6"/>
                    <w:noWrap/>
                    <w:vAlign w:val="center"/>
                    <w:hideMark/>
                  </w:tcPr>
                  <w:p>
                    <w:pPr>
                      <w:jc w:val="center"/>
                      <w:rPr>
                        <w:sz w:val="20"/>
                      </w:rPr>
                    </w:pPr>
                    <w:r>
                      <w:rPr>
                        <w:sz w:val="20"/>
                      </w:rPr>
                      <w:t>5 (2033)</w:t>
                    </w:r>
                  </w:p>
                </w:tc>
              </w:tr>
              <w:tr>
                <w:trPr>
                  <w:trHeight w:val="429"/>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noWrap/>
                    <w:vAlign w:val="center"/>
                    <w:hideMark/>
                  </w:tcPr>
                  <w:p>
                    <w:pPr>
                      <w:rPr>
                        <w:sz w:val="20"/>
                      </w:rPr>
                    </w:pPr>
                    <w:r>
                      <w:rPr>
                        <w:sz w:val="20"/>
                      </w:rPr>
                      <w:t>R-13-02-02</w:t>
                    </w:r>
                  </w:p>
                </w:tc>
                <w:tc>
                  <w:tcPr>
                    <w:tcW w:w="4111" w:type="dxa"/>
                    <w:shd w:val="clear" w:color="auto" w:fill="FCE4D6"/>
                    <w:vAlign w:val="center"/>
                    <w:hideMark/>
                  </w:tcPr>
                  <w:p>
                    <w:pPr>
                      <w:rPr>
                        <w:sz w:val="20"/>
                      </w:rPr>
                    </w:pPr>
                    <w:r>
                      <w:rPr>
                        <w:sz w:val="20"/>
                      </w:rPr>
                      <w:t>Atliekų, tenkančių vienam gyventojui, kiekis (kg/1 gyv.)</w:t>
                    </w:r>
                  </w:p>
                </w:tc>
                <w:tc>
                  <w:tcPr>
                    <w:tcW w:w="1134" w:type="dxa"/>
                    <w:shd w:val="clear" w:color="auto" w:fill="FCE4D6"/>
                    <w:vAlign w:val="center"/>
                    <w:hideMark/>
                  </w:tcPr>
                  <w:p>
                    <w:pPr>
                      <w:jc w:val="center"/>
                      <w:rPr>
                        <w:sz w:val="20"/>
                      </w:rPr>
                    </w:pPr>
                    <w:r>
                      <w:rPr>
                        <w:sz w:val="20"/>
                      </w:rPr>
                      <w:t>ŠMSA (ŠRATC)</w:t>
                    </w:r>
                  </w:p>
                </w:tc>
                <w:tc>
                  <w:tcPr>
                    <w:tcW w:w="1134" w:type="dxa"/>
                    <w:shd w:val="clear" w:color="auto" w:fill="FCE4D6"/>
                    <w:noWrap/>
                    <w:vAlign w:val="center"/>
                    <w:hideMark/>
                  </w:tcPr>
                  <w:p>
                    <w:pPr>
                      <w:jc w:val="center"/>
                      <w:rPr>
                        <w:sz w:val="20"/>
                      </w:rPr>
                    </w:pPr>
                    <w:r>
                      <w:rPr>
                        <w:sz w:val="20"/>
                      </w:rPr>
                      <w:t>357 (2023)</w:t>
                    </w:r>
                  </w:p>
                </w:tc>
                <w:tc>
                  <w:tcPr>
                    <w:tcW w:w="1134" w:type="dxa"/>
                    <w:shd w:val="clear" w:color="auto" w:fill="FCE4D6"/>
                    <w:noWrap/>
                    <w:vAlign w:val="center"/>
                    <w:hideMark/>
                  </w:tcPr>
                  <w:p>
                    <w:pPr>
                      <w:jc w:val="center"/>
                      <w:rPr>
                        <w:sz w:val="20"/>
                      </w:rPr>
                    </w:pPr>
                    <w:r>
                      <w:rPr>
                        <w:sz w:val="20"/>
                      </w:rPr>
                      <w:t>358 (2033)</w:t>
                    </w:r>
                  </w:p>
                </w:tc>
              </w:tr>
              <w:tr>
                <w:trPr>
                  <w:trHeight w:val="520"/>
                  <w:jc w:val="center"/>
                </w:trPr>
                <w:tc>
                  <w:tcPr>
                    <w:tcW w:w="988" w:type="dxa"/>
                    <w:vMerge w:val="restart"/>
                    <w:noWrap/>
                    <w:vAlign w:val="center"/>
                    <w:hideMark/>
                  </w:tcPr>
                  <w:p>
                    <w:pPr>
                      <w:rPr>
                        <w:sz w:val="20"/>
                      </w:rPr>
                    </w:pPr>
                    <w:r>
                      <w:rPr>
                        <w:sz w:val="20"/>
                      </w:rPr>
                      <w:t>13-02-01</w:t>
                    </w:r>
                  </w:p>
                </w:tc>
                <w:tc>
                  <w:tcPr>
                    <w:tcW w:w="2126" w:type="dxa"/>
                    <w:vMerge w:val="restart"/>
                    <w:vAlign w:val="center"/>
                    <w:hideMark/>
                  </w:tcPr>
                  <w:p>
                    <w:pPr>
                      <w:rPr>
                        <w:sz w:val="20"/>
                      </w:rPr>
                    </w:pPr>
                    <w:r>
                      <w:rPr>
                        <w:sz w:val="20"/>
                      </w:rPr>
                      <w:t>Skatinti komunalinių atliekų rūšiuojamąjį surinkimą</w:t>
                    </w:r>
                  </w:p>
                </w:tc>
                <w:tc>
                  <w:tcPr>
                    <w:tcW w:w="850" w:type="dxa"/>
                    <w:vMerge w:val="restart"/>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P-13-02-01-01</w:t>
                    </w:r>
                  </w:p>
                </w:tc>
                <w:tc>
                  <w:tcPr>
                    <w:tcW w:w="4111" w:type="dxa"/>
                    <w:vAlign w:val="center"/>
                    <w:hideMark/>
                  </w:tcPr>
                  <w:p>
                    <w:pPr>
                      <w:rPr>
                        <w:sz w:val="20"/>
                      </w:rPr>
                    </w:pPr>
                    <w:r>
                      <w:rPr>
                        <w:sz w:val="20"/>
                      </w:rPr>
                      <w:t>Komunalinių biologiškai skaidžių atliekų dalis mišrių komunalinių atliekų sudėtyje (proc.)</w:t>
                    </w:r>
                  </w:p>
                </w:tc>
                <w:tc>
                  <w:tcPr>
                    <w:tcW w:w="1134" w:type="dxa"/>
                    <w:vAlign w:val="center"/>
                    <w:hideMark/>
                  </w:tcPr>
                  <w:p>
                    <w:pPr>
                      <w:jc w:val="center"/>
                      <w:rPr>
                        <w:sz w:val="20"/>
                      </w:rPr>
                    </w:pPr>
                    <w:r>
                      <w:rPr>
                        <w:sz w:val="20"/>
                      </w:rPr>
                      <w:t>ŠRATC</w:t>
                    </w:r>
                  </w:p>
                </w:tc>
                <w:tc>
                  <w:tcPr>
                    <w:tcW w:w="1134" w:type="dxa"/>
                    <w:noWrap/>
                    <w:vAlign w:val="center"/>
                    <w:hideMark/>
                  </w:tcPr>
                  <w:p>
                    <w:pPr>
                      <w:jc w:val="center"/>
                      <w:rPr>
                        <w:sz w:val="20"/>
                      </w:rPr>
                    </w:pPr>
                    <w:r>
                      <w:rPr>
                        <w:sz w:val="20"/>
                      </w:rPr>
                      <w:t>43,11 (2023)</w:t>
                    </w:r>
                  </w:p>
                </w:tc>
                <w:tc>
                  <w:tcPr>
                    <w:tcW w:w="1134" w:type="dxa"/>
                    <w:noWrap/>
                    <w:vAlign w:val="center"/>
                    <w:hideMark/>
                  </w:tcPr>
                  <w:p>
                    <w:pPr>
                      <w:jc w:val="center"/>
                      <w:rPr>
                        <w:sz w:val="20"/>
                      </w:rPr>
                    </w:pPr>
                    <w:r>
                      <w:rPr>
                        <w:sz w:val="20"/>
                      </w:rPr>
                      <w:t>25 (2033)</w:t>
                    </w:r>
                  </w:p>
                </w:tc>
              </w:tr>
              <w:tr>
                <w:trPr>
                  <w:trHeight w:val="393"/>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P-13-02-01-02</w:t>
                    </w:r>
                  </w:p>
                </w:tc>
                <w:tc>
                  <w:tcPr>
                    <w:tcW w:w="4111" w:type="dxa"/>
                    <w:vAlign w:val="center"/>
                    <w:hideMark/>
                  </w:tcPr>
                  <w:p>
                    <w:pPr>
                      <w:rPr>
                        <w:sz w:val="20"/>
                      </w:rPr>
                    </w:pPr>
                    <w:r>
                      <w:rPr>
                        <w:sz w:val="20"/>
                      </w:rPr>
                      <w:t>Antrinių žaliavų (taip pat pakuočių) dalis mišrių komunalinių atliekų sudėtyje (proc.)</w:t>
                    </w:r>
                  </w:p>
                </w:tc>
                <w:tc>
                  <w:tcPr>
                    <w:tcW w:w="1134" w:type="dxa"/>
                    <w:vAlign w:val="center"/>
                    <w:hideMark/>
                  </w:tcPr>
                  <w:p>
                    <w:pPr>
                      <w:jc w:val="center"/>
                      <w:rPr>
                        <w:sz w:val="20"/>
                      </w:rPr>
                    </w:pPr>
                    <w:r>
                      <w:rPr>
                        <w:sz w:val="20"/>
                      </w:rPr>
                      <w:t>ŠRATC</w:t>
                    </w:r>
                  </w:p>
                </w:tc>
                <w:tc>
                  <w:tcPr>
                    <w:tcW w:w="1134" w:type="dxa"/>
                    <w:noWrap/>
                    <w:vAlign w:val="center"/>
                    <w:hideMark/>
                  </w:tcPr>
                  <w:p>
                    <w:pPr>
                      <w:jc w:val="center"/>
                      <w:rPr>
                        <w:sz w:val="20"/>
                      </w:rPr>
                    </w:pPr>
                    <w:r>
                      <w:rPr>
                        <w:sz w:val="20"/>
                      </w:rPr>
                      <w:t>31,98 (2023)</w:t>
                    </w:r>
                  </w:p>
                </w:tc>
                <w:tc>
                  <w:tcPr>
                    <w:tcW w:w="1134" w:type="dxa"/>
                    <w:noWrap/>
                    <w:vAlign w:val="center"/>
                    <w:hideMark/>
                  </w:tcPr>
                  <w:p>
                    <w:pPr>
                      <w:jc w:val="center"/>
                      <w:rPr>
                        <w:sz w:val="20"/>
                      </w:rPr>
                    </w:pPr>
                    <w:r>
                      <w:rPr>
                        <w:sz w:val="20"/>
                      </w:rPr>
                      <w:t>20 (2033)</w:t>
                    </w:r>
                  </w:p>
                </w:tc>
              </w:tr>
              <w:tr>
                <w:trPr>
                  <w:trHeight w:val="520"/>
                  <w:jc w:val="center"/>
                </w:trPr>
                <w:tc>
                  <w:tcPr>
                    <w:tcW w:w="988" w:type="dxa"/>
                    <w:vMerge w:val="restart"/>
                    <w:noWrap/>
                    <w:vAlign w:val="center"/>
                    <w:hideMark/>
                  </w:tcPr>
                  <w:p>
                    <w:pPr>
                      <w:rPr>
                        <w:sz w:val="20"/>
                      </w:rPr>
                    </w:pPr>
                    <w:r>
                      <w:rPr>
                        <w:sz w:val="20"/>
                      </w:rPr>
                      <w:t>13-02-02</w:t>
                    </w:r>
                  </w:p>
                </w:tc>
                <w:tc>
                  <w:tcPr>
                    <w:tcW w:w="2126" w:type="dxa"/>
                    <w:vMerge w:val="restart"/>
                    <w:vAlign w:val="center"/>
                    <w:hideMark/>
                  </w:tcPr>
                  <w:p>
                    <w:pPr>
                      <w:rPr>
                        <w:sz w:val="20"/>
                      </w:rPr>
                    </w:pPr>
                    <w:r>
                      <w:rPr>
                        <w:sz w:val="20"/>
                      </w:rPr>
                      <w:t>Plėtoti kitų, paruoštų naudoti pakartotinai ir perdirbti tinkamų, atliekų rūšiuojamojo surinkimo infrastruktūrą ir paslaugas</w:t>
                    </w:r>
                  </w:p>
                </w:tc>
                <w:tc>
                  <w:tcPr>
                    <w:tcW w:w="850" w:type="dxa"/>
                    <w:vMerge w:val="restart"/>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2027</w:t>
                    </w:r>
                  </w:p>
                </w:tc>
                <w:tc>
                  <w:tcPr>
                    <w:tcW w:w="1417" w:type="dxa"/>
                    <w:noWrap/>
                    <w:vAlign w:val="center"/>
                    <w:hideMark/>
                  </w:tcPr>
                  <w:p>
                    <w:pPr>
                      <w:rPr>
                        <w:sz w:val="20"/>
                      </w:rPr>
                    </w:pPr>
                    <w:r>
                      <w:rPr>
                        <w:sz w:val="20"/>
                      </w:rPr>
                      <w:t>P-13-02-02-01</w:t>
                    </w:r>
                  </w:p>
                </w:tc>
                <w:tc>
                  <w:tcPr>
                    <w:tcW w:w="4111" w:type="dxa"/>
                    <w:vAlign w:val="center"/>
                    <w:hideMark/>
                  </w:tcPr>
                  <w:p>
                    <w:pPr>
                      <w:rPr>
                        <w:sz w:val="20"/>
                      </w:rPr>
                    </w:pPr>
                    <w:r>
                      <w:rPr>
                        <w:sz w:val="20"/>
                      </w:rPr>
                      <w:t>Modernizuotų regioninių MBA įrenginių skaičius (vnt.)</w:t>
                    </w:r>
                  </w:p>
                </w:tc>
                <w:tc>
                  <w:tcPr>
                    <w:tcW w:w="1134" w:type="dxa"/>
                    <w:vAlign w:val="center"/>
                    <w:hideMark/>
                  </w:tcPr>
                  <w:p>
                    <w:pPr>
                      <w:jc w:val="center"/>
                      <w:rPr>
                        <w:sz w:val="20"/>
                      </w:rPr>
                    </w:pPr>
                    <w:r>
                      <w:rPr>
                        <w:sz w:val="20"/>
                      </w:rPr>
                      <w:t>ŠRATC</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 (2030)</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P-13-02-02-02</w:t>
                    </w:r>
                  </w:p>
                </w:tc>
                <w:tc>
                  <w:tcPr>
                    <w:tcW w:w="4111" w:type="dxa"/>
                    <w:vAlign w:val="center"/>
                    <w:hideMark/>
                  </w:tcPr>
                  <w:p>
                    <w:pPr>
                      <w:rPr>
                        <w:sz w:val="20"/>
                      </w:rPr>
                    </w:pPr>
                    <w:r>
                      <w:rPr>
                        <w:sz w:val="20"/>
                      </w:rPr>
                      <w:t>Daiktais dalijimosi stotelių „Daiktų kiemas“ skaičius (vnt.)</w:t>
                    </w:r>
                  </w:p>
                </w:tc>
                <w:tc>
                  <w:tcPr>
                    <w:tcW w:w="1134" w:type="dxa"/>
                    <w:vAlign w:val="center"/>
                    <w:hideMark/>
                  </w:tcPr>
                  <w:p>
                    <w:pPr>
                      <w:jc w:val="center"/>
                      <w:rPr>
                        <w:sz w:val="20"/>
                      </w:rPr>
                    </w:pPr>
                    <w:r>
                      <w:rPr>
                        <w:sz w:val="20"/>
                      </w:rPr>
                      <w:t>ŠRATC</w:t>
                    </w:r>
                  </w:p>
                </w:tc>
                <w:tc>
                  <w:tcPr>
                    <w:tcW w:w="1134" w:type="dxa"/>
                    <w:noWrap/>
                    <w:vAlign w:val="center"/>
                    <w:hideMark/>
                  </w:tcPr>
                  <w:p>
                    <w:pPr>
                      <w:jc w:val="center"/>
                      <w:rPr>
                        <w:sz w:val="20"/>
                      </w:rPr>
                    </w:pPr>
                    <w:r>
                      <w:rPr>
                        <w:sz w:val="20"/>
                      </w:rPr>
                      <w:t>3 (2023)</w:t>
                    </w:r>
                  </w:p>
                </w:tc>
                <w:tc>
                  <w:tcPr>
                    <w:tcW w:w="1134" w:type="dxa"/>
                    <w:noWrap/>
                    <w:vAlign w:val="center"/>
                    <w:hideMark/>
                  </w:tcPr>
                  <w:p>
                    <w:pPr>
                      <w:jc w:val="center"/>
                      <w:rPr>
                        <w:sz w:val="20"/>
                      </w:rPr>
                    </w:pPr>
                    <w:r>
                      <w:rPr>
                        <w:sz w:val="20"/>
                      </w:rPr>
                      <w:t>5 (2030)</w:t>
                    </w:r>
                  </w:p>
                </w:tc>
              </w:tr>
              <w:tr>
                <w:trPr>
                  <w:trHeight w:val="27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P-13-02-02-03</w:t>
                    </w:r>
                  </w:p>
                </w:tc>
                <w:tc>
                  <w:tcPr>
                    <w:tcW w:w="4111" w:type="dxa"/>
                    <w:vAlign w:val="center"/>
                    <w:hideMark/>
                  </w:tcPr>
                  <w:p>
                    <w:pPr>
                      <w:rPr>
                        <w:sz w:val="20"/>
                      </w:rPr>
                    </w:pPr>
                    <w:r>
                      <w:rPr>
                        <w:sz w:val="20"/>
                      </w:rPr>
                      <w:t>DGASA aikštelių skaičius (vnt.)</w:t>
                    </w:r>
                  </w:p>
                </w:tc>
                <w:tc>
                  <w:tcPr>
                    <w:tcW w:w="1134" w:type="dxa"/>
                    <w:vAlign w:val="center"/>
                    <w:hideMark/>
                  </w:tcPr>
                  <w:p>
                    <w:pPr>
                      <w:jc w:val="center"/>
                      <w:rPr>
                        <w:sz w:val="20"/>
                      </w:rPr>
                    </w:pPr>
                    <w:r>
                      <w:rPr>
                        <w:sz w:val="20"/>
                      </w:rPr>
                      <w:t>ŠRATC</w:t>
                    </w:r>
                  </w:p>
                </w:tc>
                <w:tc>
                  <w:tcPr>
                    <w:tcW w:w="1134" w:type="dxa"/>
                    <w:noWrap/>
                    <w:vAlign w:val="center"/>
                    <w:hideMark/>
                  </w:tcPr>
                  <w:p>
                    <w:pPr>
                      <w:jc w:val="center"/>
                      <w:rPr>
                        <w:sz w:val="20"/>
                      </w:rPr>
                    </w:pPr>
                    <w:r>
                      <w:rPr>
                        <w:sz w:val="20"/>
                      </w:rPr>
                      <w:t>4 (2024)</w:t>
                    </w:r>
                  </w:p>
                </w:tc>
                <w:tc>
                  <w:tcPr>
                    <w:tcW w:w="1134" w:type="dxa"/>
                    <w:noWrap/>
                    <w:vAlign w:val="center"/>
                    <w:hideMark/>
                  </w:tcPr>
                  <w:p>
                    <w:pPr>
                      <w:jc w:val="center"/>
                      <w:rPr>
                        <w:sz w:val="20"/>
                      </w:rPr>
                    </w:pPr>
                    <w:r>
                      <w:rPr>
                        <w:sz w:val="20"/>
                      </w:rPr>
                      <w:t>5 (2030)</w:t>
                    </w:r>
                  </w:p>
                </w:tc>
              </w:tr>
              <w:tr>
                <w:trPr>
                  <w:trHeight w:val="641"/>
                  <w:jc w:val="center"/>
                </w:trPr>
                <w:tc>
                  <w:tcPr>
                    <w:tcW w:w="988" w:type="dxa"/>
                    <w:vMerge w:val="restart"/>
                    <w:noWrap/>
                    <w:vAlign w:val="center"/>
                    <w:hideMark/>
                  </w:tcPr>
                  <w:p>
                    <w:pPr>
                      <w:rPr>
                        <w:sz w:val="20"/>
                      </w:rPr>
                    </w:pPr>
                    <w:r>
                      <w:rPr>
                        <w:sz w:val="20"/>
                      </w:rPr>
                      <w:t>13-02-03</w:t>
                    </w:r>
                  </w:p>
                </w:tc>
                <w:tc>
                  <w:tcPr>
                    <w:tcW w:w="2126" w:type="dxa"/>
                    <w:vMerge w:val="restart"/>
                    <w:vAlign w:val="center"/>
                    <w:hideMark/>
                  </w:tcPr>
                  <w:p>
                    <w:pPr>
                      <w:rPr>
                        <w:sz w:val="20"/>
                      </w:rPr>
                    </w:pPr>
                    <w:r>
                      <w:rPr>
                        <w:sz w:val="20"/>
                      </w:rPr>
                      <w:t>Didinti gyventojų ir verslo organizacijų supratimą apie žiedinę ekonomiką ir skatinti sąmoningumą, siekiant gyventi tvariau</w:t>
                    </w:r>
                  </w:p>
                </w:tc>
                <w:tc>
                  <w:tcPr>
                    <w:tcW w:w="850" w:type="dxa"/>
                    <w:vMerge w:val="restart"/>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2027</w:t>
                    </w:r>
                  </w:p>
                </w:tc>
                <w:tc>
                  <w:tcPr>
                    <w:tcW w:w="1417" w:type="dxa"/>
                    <w:noWrap/>
                    <w:vAlign w:val="center"/>
                    <w:hideMark/>
                  </w:tcPr>
                  <w:p>
                    <w:pPr>
                      <w:rPr>
                        <w:sz w:val="20"/>
                      </w:rPr>
                    </w:pPr>
                    <w:r>
                      <w:rPr>
                        <w:sz w:val="20"/>
                      </w:rPr>
                      <w:t>P-13-02-03-01</w:t>
                    </w:r>
                  </w:p>
                </w:tc>
                <w:tc>
                  <w:tcPr>
                    <w:tcW w:w="4111" w:type="dxa"/>
                    <w:vAlign w:val="center"/>
                    <w:hideMark/>
                  </w:tcPr>
                  <w:p>
                    <w:pPr>
                      <w:rPr>
                        <w:sz w:val="20"/>
                      </w:rPr>
                    </w:pPr>
                    <w:r>
                      <w:rPr>
                        <w:sz w:val="20"/>
                      </w:rPr>
                      <w:t>Įgyvendintų viešinimo kampanijų, skatinančių taupų apsipirkimą, atliekų rūšiuojamąjį surinkimą ir tinkamą tvarkymą, skaičius (vnt.)</w:t>
                    </w:r>
                  </w:p>
                </w:tc>
                <w:tc>
                  <w:tcPr>
                    <w:tcW w:w="1134" w:type="dxa"/>
                    <w:vAlign w:val="center"/>
                    <w:hideMark/>
                  </w:tcPr>
                  <w:p>
                    <w:pPr>
                      <w:jc w:val="center"/>
                      <w:rPr>
                        <w:sz w:val="20"/>
                      </w:rPr>
                    </w:pPr>
                    <w:r>
                      <w:rPr>
                        <w:sz w:val="20"/>
                      </w:rPr>
                      <w:t>ŠRATC</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 (2027)</w:t>
                    </w:r>
                  </w:p>
                </w:tc>
              </w:tr>
              <w:tr>
                <w:trPr>
                  <w:trHeight w:val="647"/>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P-13-02-03-02</w:t>
                    </w:r>
                  </w:p>
                </w:tc>
                <w:tc>
                  <w:tcPr>
                    <w:tcW w:w="4111" w:type="dxa"/>
                    <w:vAlign w:val="center"/>
                    <w:hideMark/>
                  </w:tcPr>
                  <w:p>
                    <w:pPr>
                      <w:rPr>
                        <w:sz w:val="20"/>
                      </w:rPr>
                    </w:pPr>
                    <w:r>
                      <w:rPr>
                        <w:sz w:val="20"/>
                      </w:rPr>
                      <w:t>Įgyvendintų viešinimo kampanijų, skatinančių rinktis daugkartinius gaminius ir pakartotinai naudoti daiktus, skaičius (vnt.)</w:t>
                    </w:r>
                  </w:p>
                </w:tc>
                <w:tc>
                  <w:tcPr>
                    <w:tcW w:w="1134" w:type="dxa"/>
                    <w:vAlign w:val="center"/>
                    <w:hideMark/>
                  </w:tcPr>
                  <w:p>
                    <w:pPr>
                      <w:jc w:val="center"/>
                      <w:rPr>
                        <w:sz w:val="20"/>
                      </w:rPr>
                    </w:pPr>
                    <w:r>
                      <w:rPr>
                        <w:sz w:val="20"/>
                      </w:rPr>
                      <w:t>ŠRATC</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 (2027)</w:t>
                    </w:r>
                  </w:p>
                </w:tc>
              </w:tr>
              <w:tr>
                <w:trPr>
                  <w:trHeight w:val="553"/>
                  <w:jc w:val="center"/>
                </w:trPr>
                <w:tc>
                  <w:tcPr>
                    <w:tcW w:w="988" w:type="dxa"/>
                    <w:vMerge w:val="restart"/>
                    <w:shd w:val="clear" w:color="auto" w:fill="FFD966"/>
                    <w:noWrap/>
                    <w:vAlign w:val="center"/>
                    <w:hideMark/>
                  </w:tcPr>
                  <w:p>
                    <w:pPr>
                      <w:rPr>
                        <w:b/>
                        <w:bCs/>
                        <w:sz w:val="20"/>
                      </w:rPr>
                    </w:pPr>
                    <w:r>
                      <w:rPr>
                        <w:b/>
                        <w:bCs/>
                        <w:sz w:val="20"/>
                      </w:rPr>
                      <w:t>14</w:t>
                    </w:r>
                  </w:p>
                </w:tc>
                <w:tc>
                  <w:tcPr>
                    <w:tcW w:w="2126" w:type="dxa"/>
                    <w:vMerge w:val="restart"/>
                    <w:shd w:val="clear" w:color="auto" w:fill="FFD966"/>
                    <w:vAlign w:val="center"/>
                    <w:hideMark/>
                  </w:tcPr>
                  <w:p>
                    <w:pPr>
                      <w:rPr>
                        <w:b/>
                        <w:bCs/>
                        <w:sz w:val="20"/>
                      </w:rPr>
                    </w:pPr>
                    <w:r>
                      <w:rPr>
                        <w:b/>
                        <w:bCs/>
                        <w:sz w:val="20"/>
                      </w:rPr>
                      <w:t>Formuoti gyvybingą, tvarią ir darniai sujungtą miesto struktūrą</w:t>
                    </w:r>
                  </w:p>
                </w:tc>
                <w:tc>
                  <w:tcPr>
                    <w:tcW w:w="850" w:type="dxa"/>
                    <w:vMerge w:val="restart"/>
                    <w:shd w:val="clear" w:color="auto" w:fill="FFD966"/>
                    <w:noWrap/>
                    <w:vAlign w:val="center"/>
                    <w:hideMark/>
                  </w:tcPr>
                  <w:p>
                    <w:pPr>
                      <w:jc w:val="center"/>
                      <w:rPr>
                        <w:sz w:val="20"/>
                      </w:rPr>
                    </w:pPr>
                    <w:r>
                      <w:rPr>
                        <w:sz w:val="20"/>
                      </w:rPr>
                      <w:t>MŪAS</w:t>
                    </w:r>
                  </w:p>
                </w:tc>
                <w:tc>
                  <w:tcPr>
                    <w:tcW w:w="709" w:type="dxa"/>
                    <w:vMerge w:val="restart"/>
                    <w:shd w:val="clear" w:color="auto" w:fill="FFD966"/>
                    <w:noWrap/>
                    <w:vAlign w:val="center"/>
                    <w:hideMark/>
                  </w:tcPr>
                  <w:p>
                    <w:pPr>
                      <w:jc w:val="center"/>
                      <w:rPr>
                        <w:sz w:val="20"/>
                      </w:rPr>
                    </w:pPr>
                    <w:r>
                      <w:rPr>
                        <w:sz w:val="20"/>
                      </w:rPr>
                      <w:t>2025</w:t>
                    </w:r>
                  </w:p>
                </w:tc>
                <w:tc>
                  <w:tcPr>
                    <w:tcW w:w="709" w:type="dxa"/>
                    <w:vMerge w:val="restart"/>
                    <w:shd w:val="clear" w:color="auto" w:fill="FFD966"/>
                    <w:noWrap/>
                    <w:vAlign w:val="center"/>
                    <w:hideMark/>
                  </w:tcPr>
                  <w:p>
                    <w:pPr>
                      <w:jc w:val="center"/>
                      <w:rPr>
                        <w:sz w:val="20"/>
                      </w:rPr>
                    </w:pPr>
                    <w:r>
                      <w:rPr>
                        <w:sz w:val="20"/>
                      </w:rPr>
                      <w:t>2033</w:t>
                    </w:r>
                  </w:p>
                </w:tc>
                <w:tc>
                  <w:tcPr>
                    <w:tcW w:w="1417" w:type="dxa"/>
                    <w:shd w:val="clear" w:color="auto" w:fill="FFD966"/>
                    <w:noWrap/>
                    <w:vAlign w:val="center"/>
                    <w:hideMark/>
                  </w:tcPr>
                  <w:p>
                    <w:pPr>
                      <w:rPr>
                        <w:sz w:val="20"/>
                      </w:rPr>
                    </w:pPr>
                    <w:r>
                      <w:rPr>
                        <w:sz w:val="20"/>
                      </w:rPr>
                      <w:t>P-14-01</w:t>
                    </w:r>
                  </w:p>
                </w:tc>
                <w:tc>
                  <w:tcPr>
                    <w:tcW w:w="4111" w:type="dxa"/>
                    <w:shd w:val="clear" w:color="auto" w:fill="FFD966"/>
                    <w:vAlign w:val="center"/>
                    <w:hideMark/>
                  </w:tcPr>
                  <w:p>
                    <w:pPr>
                      <w:rPr>
                        <w:sz w:val="20"/>
                      </w:rPr>
                    </w:pPr>
                    <w:r>
                      <w:rPr>
                        <w:sz w:val="20"/>
                      </w:rPr>
                      <w:t>Miesto driekos indeksas</w:t>
                    </w:r>
                  </w:p>
                </w:tc>
                <w:tc>
                  <w:tcPr>
                    <w:tcW w:w="1134" w:type="dxa"/>
                    <w:shd w:val="clear" w:color="auto" w:fill="FFD966"/>
                    <w:vAlign w:val="center"/>
                    <w:hideMark/>
                  </w:tcPr>
                  <w:p>
                    <w:pPr>
                      <w:jc w:val="center"/>
                      <w:rPr>
                        <w:sz w:val="20"/>
                      </w:rPr>
                    </w:pPr>
                    <w:r>
                      <w:rPr>
                        <w:sz w:val="20"/>
                      </w:rPr>
                      <w:t>ŠMSA (AS)</w:t>
                    </w:r>
                  </w:p>
                </w:tc>
                <w:tc>
                  <w:tcPr>
                    <w:tcW w:w="1134" w:type="dxa"/>
                    <w:shd w:val="clear" w:color="auto" w:fill="FFD966"/>
                    <w:vAlign w:val="center"/>
                    <w:hideMark/>
                  </w:tcPr>
                  <w:p>
                    <w:pPr>
                      <w:jc w:val="center"/>
                      <w:rPr>
                        <w:sz w:val="20"/>
                      </w:rPr>
                    </w:pPr>
                    <w:r>
                      <w:rPr>
                        <w:sz w:val="20"/>
                      </w:rPr>
                      <w:t>0 (2025)</w:t>
                    </w:r>
                  </w:p>
                </w:tc>
                <w:tc>
                  <w:tcPr>
                    <w:tcW w:w="1134" w:type="dxa"/>
                    <w:shd w:val="clear" w:color="auto" w:fill="FFD966"/>
                    <w:vAlign w:val="center"/>
                    <w:hideMark/>
                  </w:tcPr>
                  <w:p>
                    <w:pPr>
                      <w:jc w:val="center"/>
                      <w:rPr>
                        <w:sz w:val="20"/>
                      </w:rPr>
                    </w:pPr>
                    <w:r>
                      <w:rPr>
                        <w:sz w:val="20"/>
                      </w:rPr>
                      <w:t>- 20 (2033)</w:t>
                    </w:r>
                  </w:p>
                </w:tc>
              </w:tr>
              <w:tr>
                <w:trPr>
                  <w:trHeight w:val="343"/>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1417" w:type="dxa"/>
                    <w:shd w:val="clear" w:color="auto" w:fill="FFD966"/>
                    <w:noWrap/>
                    <w:vAlign w:val="center"/>
                    <w:hideMark/>
                  </w:tcPr>
                  <w:p>
                    <w:pPr>
                      <w:rPr>
                        <w:sz w:val="20"/>
                      </w:rPr>
                    </w:pPr>
                    <w:r>
                      <w:rPr>
                        <w:sz w:val="20"/>
                      </w:rPr>
                      <w:t>P-14-02</w:t>
                    </w:r>
                  </w:p>
                </w:tc>
                <w:tc>
                  <w:tcPr>
                    <w:tcW w:w="4111" w:type="dxa"/>
                    <w:shd w:val="clear" w:color="auto" w:fill="FFD966"/>
                    <w:vAlign w:val="center"/>
                    <w:hideMark/>
                  </w:tcPr>
                  <w:p>
                    <w:pPr>
                      <w:rPr>
                        <w:sz w:val="20"/>
                      </w:rPr>
                    </w:pPr>
                    <w:r>
                      <w:rPr>
                        <w:sz w:val="20"/>
                      </w:rPr>
                      <w:t>Miesto patrauklumo gyventi vertinimas (balai)</w:t>
                    </w:r>
                  </w:p>
                </w:tc>
                <w:tc>
                  <w:tcPr>
                    <w:tcW w:w="1134" w:type="dxa"/>
                    <w:shd w:val="clear" w:color="auto" w:fill="FFD966"/>
                    <w:vAlign w:val="center"/>
                    <w:hideMark/>
                  </w:tcPr>
                  <w:p>
                    <w:pPr>
                      <w:jc w:val="center"/>
                      <w:rPr>
                        <w:sz w:val="20"/>
                      </w:rPr>
                    </w:pPr>
                    <w:r>
                      <w:rPr>
                        <w:sz w:val="20"/>
                      </w:rPr>
                      <w:t>Tyrimas (AAS)</w:t>
                    </w:r>
                  </w:p>
                </w:tc>
                <w:tc>
                  <w:tcPr>
                    <w:tcW w:w="1134" w:type="dxa"/>
                    <w:shd w:val="clear" w:color="auto" w:fill="FFD966"/>
                    <w:vAlign w:val="center"/>
                    <w:hideMark/>
                  </w:tcPr>
                  <w:p>
                    <w:pPr>
                      <w:jc w:val="center"/>
                      <w:rPr>
                        <w:sz w:val="20"/>
                      </w:rPr>
                    </w:pPr>
                    <w:r>
                      <w:rPr>
                        <w:sz w:val="20"/>
                      </w:rPr>
                      <w:t>7,7 (2023)</w:t>
                    </w:r>
                  </w:p>
                </w:tc>
                <w:tc>
                  <w:tcPr>
                    <w:tcW w:w="1134" w:type="dxa"/>
                    <w:shd w:val="clear" w:color="auto" w:fill="FFD966"/>
                    <w:vAlign w:val="center"/>
                    <w:hideMark/>
                  </w:tcPr>
                  <w:p>
                    <w:pPr>
                      <w:jc w:val="center"/>
                      <w:rPr>
                        <w:sz w:val="20"/>
                      </w:rPr>
                    </w:pPr>
                    <w:r>
                      <w:rPr>
                        <w:sz w:val="20"/>
                      </w:rPr>
                      <w:t>8,</w:t>
                    </w:r>
                    <w:r>
                      <w:rPr>
                        <w:sz w:val="20"/>
                        <w:lang w:val="en-US"/>
                      </w:rPr>
                      <w:t>4</w:t>
                    </w:r>
                    <w:r>
                      <w:rPr>
                        <w:sz w:val="20"/>
                      </w:rPr>
                      <w:t xml:space="preserve"> (2033)</w:t>
                    </w:r>
                  </w:p>
                </w:tc>
              </w:tr>
              <w:tr>
                <w:trPr>
                  <w:trHeight w:val="725"/>
                  <w:jc w:val="center"/>
                </w:trPr>
                <w:tc>
                  <w:tcPr>
                    <w:tcW w:w="988" w:type="dxa"/>
                    <w:shd w:val="clear" w:color="auto" w:fill="FCE4D6"/>
                    <w:noWrap/>
                    <w:vAlign w:val="center"/>
                    <w:hideMark/>
                  </w:tcPr>
                  <w:p>
                    <w:pPr>
                      <w:rPr>
                        <w:b/>
                        <w:bCs/>
                        <w:sz w:val="20"/>
                      </w:rPr>
                    </w:pPr>
                    <w:r>
                      <w:rPr>
                        <w:b/>
                        <w:bCs/>
                        <w:sz w:val="20"/>
                      </w:rPr>
                      <w:t>14-01</w:t>
                    </w:r>
                  </w:p>
                </w:tc>
                <w:tc>
                  <w:tcPr>
                    <w:tcW w:w="2126" w:type="dxa"/>
                    <w:shd w:val="clear" w:color="auto" w:fill="FCE4D6"/>
                    <w:vAlign w:val="center"/>
                    <w:hideMark/>
                  </w:tcPr>
                  <w:p>
                    <w:pPr>
                      <w:rPr>
                        <w:b/>
                        <w:bCs/>
                        <w:sz w:val="20"/>
                      </w:rPr>
                    </w:pPr>
                    <w:r>
                      <w:rPr>
                        <w:b/>
                        <w:bCs/>
                        <w:sz w:val="20"/>
                      </w:rPr>
                      <w:t>Kompleksiškai planuoti gyvybingą ir nuoseklią miesto struktūrą</w:t>
                    </w:r>
                  </w:p>
                </w:tc>
                <w:tc>
                  <w:tcPr>
                    <w:tcW w:w="850" w:type="dxa"/>
                    <w:shd w:val="clear" w:color="auto" w:fill="FCE4D6"/>
                    <w:noWrap/>
                    <w:vAlign w:val="center"/>
                    <w:hideMark/>
                  </w:tcPr>
                  <w:p>
                    <w:pPr>
                      <w:jc w:val="center"/>
                      <w:rPr>
                        <w:sz w:val="20"/>
                      </w:rPr>
                    </w:pPr>
                    <w:r>
                      <w:rPr>
                        <w:sz w:val="20"/>
                      </w:rPr>
                      <w:t>AS</w:t>
                    </w:r>
                  </w:p>
                </w:tc>
                <w:tc>
                  <w:tcPr>
                    <w:tcW w:w="709" w:type="dxa"/>
                    <w:shd w:val="clear" w:color="auto" w:fill="FCE4D6"/>
                    <w:noWrap/>
                    <w:vAlign w:val="center"/>
                    <w:hideMark/>
                  </w:tcPr>
                  <w:p>
                    <w:pPr>
                      <w:jc w:val="center"/>
                      <w:rPr>
                        <w:sz w:val="20"/>
                      </w:rPr>
                    </w:pPr>
                    <w:r>
                      <w:rPr>
                        <w:sz w:val="20"/>
                      </w:rPr>
                      <w:t>2025</w:t>
                    </w:r>
                  </w:p>
                </w:tc>
                <w:tc>
                  <w:tcPr>
                    <w:tcW w:w="709" w:type="dxa"/>
                    <w:shd w:val="clear" w:color="auto" w:fill="FCE4D6"/>
                    <w:noWrap/>
                    <w:vAlign w:val="center"/>
                    <w:hideMark/>
                  </w:tcPr>
                  <w:p>
                    <w:pPr>
                      <w:jc w:val="center"/>
                      <w:rPr>
                        <w:sz w:val="20"/>
                      </w:rPr>
                    </w:pPr>
                    <w:r>
                      <w:rPr>
                        <w:sz w:val="20"/>
                      </w:rPr>
                      <w:t>2033</w:t>
                    </w:r>
                  </w:p>
                </w:tc>
                <w:tc>
                  <w:tcPr>
                    <w:tcW w:w="1417" w:type="dxa"/>
                    <w:shd w:val="clear" w:color="auto" w:fill="FCE4D6"/>
                    <w:noWrap/>
                    <w:vAlign w:val="center"/>
                    <w:hideMark/>
                  </w:tcPr>
                  <w:p>
                    <w:pPr>
                      <w:rPr>
                        <w:sz w:val="20"/>
                      </w:rPr>
                    </w:pPr>
                    <w:r>
                      <w:rPr>
                        <w:sz w:val="20"/>
                      </w:rPr>
                      <w:t>R-14-01-01</w:t>
                    </w:r>
                  </w:p>
                </w:tc>
                <w:tc>
                  <w:tcPr>
                    <w:tcW w:w="4111" w:type="dxa"/>
                    <w:shd w:val="clear" w:color="auto" w:fill="FCE4D6"/>
                    <w:vAlign w:val="center"/>
                    <w:hideMark/>
                  </w:tcPr>
                  <w:p>
                    <w:pPr>
                      <w:rPr>
                        <w:sz w:val="20"/>
                      </w:rPr>
                    </w:pPr>
                    <w:r>
                      <w:rPr>
                        <w:sz w:val="20"/>
                      </w:rPr>
                      <w:t>Kompleksiniais teritorijų planavimo dokumentais naujai suplanuotų teritorijų bendras plotas, palyginti su bendru miesto urbanizuotų teritorijų plotu (proc.)</w:t>
                    </w:r>
                  </w:p>
                </w:tc>
                <w:tc>
                  <w:tcPr>
                    <w:tcW w:w="1134" w:type="dxa"/>
                    <w:shd w:val="clear" w:color="auto" w:fill="FCE4D6"/>
                    <w:vAlign w:val="center"/>
                    <w:hideMark/>
                  </w:tcPr>
                  <w:p>
                    <w:pPr>
                      <w:jc w:val="center"/>
                      <w:rPr>
                        <w:sz w:val="20"/>
                      </w:rPr>
                    </w:pPr>
                    <w:r>
                      <w:rPr>
                        <w:sz w:val="20"/>
                      </w:rPr>
                      <w:t>ŠMSA (AS)</w:t>
                    </w:r>
                  </w:p>
                </w:tc>
                <w:tc>
                  <w:tcPr>
                    <w:tcW w:w="1134" w:type="dxa"/>
                    <w:shd w:val="clear" w:color="auto" w:fill="FCE4D6"/>
                    <w:noWrap/>
                    <w:vAlign w:val="center"/>
                    <w:hideMark/>
                  </w:tcPr>
                  <w:p>
                    <w:pPr>
                      <w:jc w:val="center"/>
                      <w:rPr>
                        <w:sz w:val="20"/>
                      </w:rPr>
                    </w:pPr>
                    <w:r>
                      <w:rPr>
                        <w:sz w:val="20"/>
                      </w:rPr>
                      <w:t>0 (2025)</w:t>
                    </w:r>
                  </w:p>
                </w:tc>
                <w:tc>
                  <w:tcPr>
                    <w:tcW w:w="1134" w:type="dxa"/>
                    <w:shd w:val="clear" w:color="auto" w:fill="FCE4D6"/>
                    <w:noWrap/>
                    <w:vAlign w:val="center"/>
                    <w:hideMark/>
                  </w:tcPr>
                  <w:p>
                    <w:pPr>
                      <w:jc w:val="center"/>
                      <w:rPr>
                        <w:sz w:val="20"/>
                      </w:rPr>
                    </w:pPr>
                    <w:r>
                      <w:rPr>
                        <w:sz w:val="20"/>
                        <w:lang w:val="en-US"/>
                      </w:rPr>
                      <w:t>3</w:t>
                    </w:r>
                    <w:r>
                      <w:rPr>
                        <w:sz w:val="20"/>
                      </w:rPr>
                      <w:t>0 (2033)</w:t>
                    </w:r>
                  </w:p>
                </w:tc>
              </w:tr>
              <w:tr>
                <w:trPr>
                  <w:trHeight w:val="842"/>
                  <w:jc w:val="center"/>
                </w:trPr>
                <w:tc>
                  <w:tcPr>
                    <w:tcW w:w="988" w:type="dxa"/>
                    <w:vMerge w:val="restart"/>
                    <w:noWrap/>
                    <w:vAlign w:val="center"/>
                    <w:hideMark/>
                  </w:tcPr>
                  <w:p>
                    <w:pPr>
                      <w:rPr>
                        <w:sz w:val="20"/>
                      </w:rPr>
                    </w:pPr>
                    <w:r>
                      <w:rPr>
                        <w:sz w:val="20"/>
                      </w:rPr>
                      <w:t>14-01-01</w:t>
                    </w:r>
                  </w:p>
                </w:tc>
                <w:tc>
                  <w:tcPr>
                    <w:tcW w:w="2126" w:type="dxa"/>
                    <w:vMerge w:val="restart"/>
                    <w:vAlign w:val="center"/>
                    <w:hideMark/>
                  </w:tcPr>
                  <w:p>
                    <w:pPr>
                      <w:rPr>
                        <w:sz w:val="20"/>
                      </w:rPr>
                    </w:pPr>
                    <w:r>
                      <w:rPr>
                        <w:sz w:val="20"/>
                      </w:rPr>
                      <w:t>Planuoti naują plėtrą centrinėse, gerai aprūpintose miesto teritorijose ir skatinti mažaaukštės, bet tankios tipologijos atsiradimą (kotedžai)</w:t>
                    </w:r>
                  </w:p>
                </w:tc>
                <w:tc>
                  <w:tcPr>
                    <w:tcW w:w="850" w:type="dxa"/>
                    <w:vMerge w:val="restart"/>
                    <w:noWrap/>
                    <w:vAlign w:val="center"/>
                    <w:hideMark/>
                  </w:tcPr>
                  <w:p>
                    <w:pPr>
                      <w:jc w:val="center"/>
                      <w:rPr>
                        <w:sz w:val="20"/>
                      </w:rPr>
                    </w:pPr>
                    <w:r>
                      <w:rPr>
                        <w:sz w:val="20"/>
                      </w:rPr>
                      <w:t>MPPS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P-14-01-01-01</w:t>
                    </w:r>
                  </w:p>
                </w:tc>
                <w:tc>
                  <w:tcPr>
                    <w:tcW w:w="4111" w:type="dxa"/>
                    <w:vAlign w:val="center"/>
                    <w:hideMark/>
                  </w:tcPr>
                  <w:p>
                    <w:pPr>
                      <w:rPr>
                        <w:sz w:val="20"/>
                      </w:rPr>
                    </w:pPr>
                    <w:r>
                      <w:rPr>
                        <w:sz w:val="20"/>
                      </w:rPr>
                      <w:t>Naujų statybos leidimų skaičius senamiestyje, miesto periferiniuose centruose, gyvenamosiose didelio užstatymo intensyvumo teritorijose ir kitose didelio užstatymo teritorijose (vnt.)</w:t>
                    </w:r>
                  </w:p>
                </w:tc>
                <w:tc>
                  <w:tcPr>
                    <w:tcW w:w="1134" w:type="dxa"/>
                    <w:vAlign w:val="center"/>
                    <w:hideMark/>
                  </w:tcPr>
                  <w:p>
                    <w:pPr>
                      <w:jc w:val="center"/>
                      <w:rPr>
                        <w:sz w:val="20"/>
                      </w:rPr>
                    </w:pPr>
                    <w:r>
                      <w:rPr>
                        <w:sz w:val="20"/>
                      </w:rPr>
                      <w:t>MPPS</w:t>
                    </w:r>
                  </w:p>
                </w:tc>
                <w:tc>
                  <w:tcPr>
                    <w:tcW w:w="1134" w:type="dxa"/>
                    <w:noWrap/>
                    <w:vAlign w:val="center"/>
                    <w:hideMark/>
                  </w:tcPr>
                  <w:p>
                    <w:pPr>
                      <w:jc w:val="center"/>
                      <w:rPr>
                        <w:sz w:val="20"/>
                      </w:rPr>
                    </w:pPr>
                    <w:r>
                      <w:rPr>
                        <w:sz w:val="20"/>
                      </w:rPr>
                      <w:t xml:space="preserve">n.d.  (2023)</w:t>
                    </w:r>
                  </w:p>
                </w:tc>
                <w:tc>
                  <w:tcPr>
                    <w:tcW w:w="1134" w:type="dxa"/>
                    <w:noWrap/>
                    <w:vAlign w:val="center"/>
                    <w:hideMark/>
                  </w:tcPr>
                  <w:p>
                    <w:pPr>
                      <w:jc w:val="center"/>
                      <w:rPr>
                        <w:sz w:val="20"/>
                      </w:rPr>
                    </w:pPr>
                    <w:r>
                      <w:rPr>
                        <w:sz w:val="20"/>
                      </w:rPr>
                      <w:t>1500 (2033)</w:t>
                    </w:r>
                  </w:p>
                </w:tc>
              </w:tr>
              <w:tr>
                <w:trPr>
                  <w:trHeight w:val="1095"/>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P-14-01-01-02</w:t>
                    </w:r>
                  </w:p>
                </w:tc>
                <w:tc>
                  <w:tcPr>
                    <w:tcW w:w="4111" w:type="dxa"/>
                    <w:vAlign w:val="center"/>
                    <w:hideMark/>
                  </w:tcPr>
                  <w:p>
                    <w:pPr>
                      <w:rPr>
                        <w:sz w:val="20"/>
                      </w:rPr>
                    </w:pPr>
                    <w:r>
                      <w:rPr>
                        <w:sz w:val="20"/>
                      </w:rPr>
                      <w:t>Kompleksinių teritorijų planavimo dokumentais naujai suplanuotas plotas senamiestyje, miesto periferiniuose centruose, gyvenamosiose didelio užstatymo intensyvumo teritorijose ir kitose didelio užstatymo teritorijose (ha)</w:t>
                    </w:r>
                  </w:p>
                </w:tc>
                <w:tc>
                  <w:tcPr>
                    <w:tcW w:w="1134" w:type="dxa"/>
                    <w:vAlign w:val="center"/>
                    <w:hideMark/>
                  </w:tcPr>
                  <w:p>
                    <w:pPr>
                      <w:jc w:val="center"/>
                      <w:rPr>
                        <w:sz w:val="20"/>
                      </w:rPr>
                    </w:pPr>
                    <w:r>
                      <w:rPr>
                        <w:sz w:val="20"/>
                      </w:rPr>
                      <w:t>AS</w:t>
                    </w:r>
                  </w:p>
                </w:tc>
                <w:tc>
                  <w:tcPr>
                    <w:tcW w:w="1134" w:type="dxa"/>
                    <w:noWrap/>
                    <w:vAlign w:val="center"/>
                    <w:hideMark/>
                  </w:tcPr>
                  <w:p>
                    <w:pPr>
                      <w:jc w:val="center"/>
                      <w:rPr>
                        <w:sz w:val="20"/>
                      </w:rPr>
                    </w:pPr>
                    <w:r>
                      <w:rPr>
                        <w:sz w:val="20"/>
                      </w:rPr>
                      <w:t>n.d. (2023)</w:t>
                    </w:r>
                  </w:p>
                </w:tc>
                <w:tc>
                  <w:tcPr>
                    <w:tcW w:w="1134" w:type="dxa"/>
                    <w:noWrap/>
                    <w:vAlign w:val="center"/>
                    <w:hideMark/>
                  </w:tcPr>
                  <w:p>
                    <w:pPr>
                      <w:jc w:val="center"/>
                      <w:rPr>
                        <w:sz w:val="20"/>
                      </w:rPr>
                    </w:pPr>
                    <w:r>
                      <w:rPr>
                        <w:sz w:val="20"/>
                      </w:rPr>
                      <w:t>100 (2033)</w:t>
                    </w:r>
                  </w:p>
                </w:tc>
              </w:tr>
              <w:tr>
                <w:trPr>
                  <w:trHeight w:val="642"/>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P-14-01-01-03</w:t>
                    </w:r>
                  </w:p>
                </w:tc>
                <w:tc>
                  <w:tcPr>
                    <w:tcW w:w="4111" w:type="dxa"/>
                    <w:vAlign w:val="center"/>
                    <w:hideMark/>
                  </w:tcPr>
                  <w:p>
                    <w:pPr>
                      <w:rPr>
                        <w:sz w:val="20"/>
                      </w:rPr>
                    </w:pPr>
                    <w:r>
                      <w:rPr>
                        <w:sz w:val="20"/>
                      </w:rPr>
                      <w:t>Mažaaukštės, bei tankios tipologijos (kotedžai) teritorijų planavimo dokumentais suplanuotas plotas (ha)</w:t>
                    </w:r>
                  </w:p>
                </w:tc>
                <w:tc>
                  <w:tcPr>
                    <w:tcW w:w="1134" w:type="dxa"/>
                    <w:vAlign w:val="center"/>
                    <w:hideMark/>
                  </w:tcPr>
                  <w:p>
                    <w:pPr>
                      <w:jc w:val="center"/>
                      <w:rPr>
                        <w:sz w:val="20"/>
                      </w:rPr>
                    </w:pPr>
                    <w:r>
                      <w:rPr>
                        <w:sz w:val="20"/>
                      </w:rPr>
                      <w:t>MPPS</w:t>
                    </w:r>
                  </w:p>
                </w:tc>
                <w:tc>
                  <w:tcPr>
                    <w:tcW w:w="1134" w:type="dxa"/>
                    <w:noWrap/>
                    <w:vAlign w:val="center"/>
                    <w:hideMark/>
                  </w:tcPr>
                  <w:p>
                    <w:pPr>
                      <w:jc w:val="center"/>
                      <w:rPr>
                        <w:sz w:val="20"/>
                      </w:rPr>
                    </w:pPr>
                    <w:r>
                      <w:rPr>
                        <w:sz w:val="20"/>
                      </w:rPr>
                      <w:t>n.d. (2023)</w:t>
                    </w:r>
                  </w:p>
                </w:tc>
                <w:tc>
                  <w:tcPr>
                    <w:tcW w:w="1134" w:type="dxa"/>
                    <w:noWrap/>
                    <w:vAlign w:val="center"/>
                    <w:hideMark/>
                  </w:tcPr>
                  <w:p>
                    <w:pPr>
                      <w:jc w:val="center"/>
                      <w:rPr>
                        <w:sz w:val="20"/>
                      </w:rPr>
                    </w:pPr>
                    <w:r>
                      <w:rPr>
                        <w:sz w:val="20"/>
                      </w:rPr>
                      <w:t>20 (2033)</w:t>
                    </w:r>
                  </w:p>
                </w:tc>
              </w:tr>
              <w:tr>
                <w:trPr>
                  <w:trHeight w:val="321"/>
                  <w:jc w:val="center"/>
                </w:trPr>
                <w:tc>
                  <w:tcPr>
                    <w:tcW w:w="988" w:type="dxa"/>
                    <w:vMerge w:val="restart"/>
                    <w:noWrap/>
                    <w:vAlign w:val="center"/>
                  </w:tcPr>
                  <w:p>
                    <w:pPr>
                      <w:rPr>
                        <w:sz w:val="20"/>
                      </w:rPr>
                    </w:pPr>
                    <w:r>
                      <w:rPr>
                        <w:sz w:val="20"/>
                      </w:rPr>
                      <w:t>14-01-02</w:t>
                    </w:r>
                  </w:p>
                </w:tc>
                <w:tc>
                  <w:tcPr>
                    <w:tcW w:w="2126" w:type="dxa"/>
                    <w:vMerge w:val="restart"/>
                    <w:vAlign w:val="center"/>
                  </w:tcPr>
                  <w:p>
                    <w:pPr>
                      <w:rPr>
                        <w:sz w:val="20"/>
                      </w:rPr>
                    </w:pPr>
                    <w:r>
                      <w:rPr>
                        <w:sz w:val="20"/>
                      </w:rPr>
                      <w:t>Užtikrini tvarų, miesto identitetą pabrėžiantį miesto planavimą</w:t>
                    </w:r>
                  </w:p>
                </w:tc>
                <w:tc>
                  <w:tcPr>
                    <w:tcW w:w="850" w:type="dxa"/>
                    <w:vMerge w:val="restart"/>
                    <w:noWrap/>
                    <w:vAlign w:val="center"/>
                  </w:tcPr>
                  <w:p>
                    <w:pPr>
                      <w:jc w:val="center"/>
                      <w:rPr>
                        <w:sz w:val="20"/>
                      </w:rPr>
                    </w:pPr>
                    <w:r>
                      <w:rPr>
                        <w:sz w:val="20"/>
                      </w:rPr>
                      <w:t>AS</w:t>
                    </w:r>
                  </w:p>
                </w:tc>
                <w:tc>
                  <w:tcPr>
                    <w:tcW w:w="709" w:type="dxa"/>
                    <w:vMerge w:val="restart"/>
                    <w:noWrap/>
                    <w:vAlign w:val="center"/>
                  </w:tcPr>
                  <w:p>
                    <w:pPr>
                      <w:jc w:val="center"/>
                      <w:rPr>
                        <w:sz w:val="20"/>
                      </w:rPr>
                    </w:pPr>
                    <w:r>
                      <w:rPr>
                        <w:sz w:val="20"/>
                      </w:rPr>
                      <w:t>2025</w:t>
                    </w:r>
                  </w:p>
                </w:tc>
                <w:tc>
                  <w:tcPr>
                    <w:tcW w:w="709" w:type="dxa"/>
                    <w:vMerge w:val="restart"/>
                    <w:noWrap/>
                    <w:vAlign w:val="center"/>
                  </w:tcPr>
                  <w:p>
                    <w:pPr>
                      <w:jc w:val="center"/>
                      <w:rPr>
                        <w:sz w:val="20"/>
                      </w:rPr>
                    </w:pPr>
                    <w:r>
                      <w:rPr>
                        <w:sz w:val="20"/>
                      </w:rPr>
                      <w:t>2033</w:t>
                    </w:r>
                  </w:p>
                </w:tc>
                <w:tc>
                  <w:tcPr>
                    <w:tcW w:w="1417" w:type="dxa"/>
                    <w:noWrap/>
                    <w:vAlign w:val="center"/>
                  </w:tcPr>
                  <w:p>
                    <w:pPr>
                      <w:rPr>
                        <w:sz w:val="20"/>
                      </w:rPr>
                    </w:pPr>
                    <w:r>
                      <w:rPr>
                        <w:sz w:val="20"/>
                      </w:rPr>
                      <w:t>P-14-01-02-01</w:t>
                    </w:r>
                  </w:p>
                </w:tc>
                <w:tc>
                  <w:tcPr>
                    <w:tcW w:w="4111" w:type="dxa"/>
                    <w:vAlign w:val="center"/>
                  </w:tcPr>
                  <w:p>
                    <w:pPr>
                      <w:rPr>
                        <w:sz w:val="20"/>
                      </w:rPr>
                    </w:pPr>
                    <w:r>
                      <w:rPr>
                        <w:sz w:val="20"/>
                      </w:rPr>
                      <w:t>Urbanistinių ir architektūrinių vizijų / koncepcijų / planų skaičius (vnt.)</w:t>
                    </w:r>
                  </w:p>
                </w:tc>
                <w:tc>
                  <w:tcPr>
                    <w:tcW w:w="1134" w:type="dxa"/>
                    <w:vAlign w:val="center"/>
                  </w:tcPr>
                  <w:p>
                    <w:pPr>
                      <w:jc w:val="center"/>
                      <w:rPr>
                        <w:sz w:val="20"/>
                      </w:rPr>
                    </w:pPr>
                    <w:r>
                      <w:rPr>
                        <w:sz w:val="20"/>
                      </w:rPr>
                      <w:t>AS</w:t>
                    </w:r>
                  </w:p>
                </w:tc>
                <w:tc>
                  <w:tcPr>
                    <w:tcW w:w="1134" w:type="dxa"/>
                    <w:noWrap/>
                    <w:vAlign w:val="center"/>
                  </w:tcPr>
                  <w:p>
                    <w:pPr>
                      <w:jc w:val="center"/>
                      <w:rPr>
                        <w:sz w:val="20"/>
                      </w:rPr>
                    </w:pPr>
                    <w:r>
                      <w:rPr>
                        <w:sz w:val="20"/>
                      </w:rPr>
                      <w:t>0 (2023)</w:t>
                    </w:r>
                  </w:p>
                </w:tc>
                <w:tc>
                  <w:tcPr>
                    <w:tcW w:w="1134" w:type="dxa"/>
                    <w:noWrap/>
                    <w:vAlign w:val="center"/>
                  </w:tcPr>
                  <w:p>
                    <w:pPr>
                      <w:jc w:val="center"/>
                      <w:rPr>
                        <w:sz w:val="20"/>
                      </w:rPr>
                    </w:pPr>
                    <w:r>
                      <w:rPr>
                        <w:sz w:val="20"/>
                      </w:rPr>
                      <w:t>2 (2033)</w:t>
                    </w:r>
                  </w:p>
                </w:tc>
              </w:tr>
              <w:tr>
                <w:trPr>
                  <w:trHeight w:val="321"/>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noWrap/>
                    <w:vAlign w:val="center"/>
                  </w:tcPr>
                  <w:p>
                    <w:pPr>
                      <w:rPr>
                        <w:sz w:val="20"/>
                      </w:rPr>
                    </w:pPr>
                    <w:r>
                      <w:rPr>
                        <w:sz w:val="20"/>
                      </w:rPr>
                      <w:t>P-14-01-02-02</w:t>
                    </w:r>
                  </w:p>
                </w:tc>
                <w:tc>
                  <w:tcPr>
                    <w:tcW w:w="4111" w:type="dxa"/>
                    <w:vAlign w:val="center"/>
                  </w:tcPr>
                  <w:p>
                    <w:pPr>
                      <w:rPr>
                        <w:sz w:val="20"/>
                      </w:rPr>
                    </w:pPr>
                    <w:r>
                      <w:rPr>
                        <w:sz w:val="20"/>
                      </w:rPr>
                      <w:t>Suorganizuotų urbanistinių ar architektūrinių konkursų skaičius (vnt.)</w:t>
                    </w:r>
                  </w:p>
                </w:tc>
                <w:tc>
                  <w:tcPr>
                    <w:tcW w:w="1134" w:type="dxa"/>
                    <w:vAlign w:val="center"/>
                  </w:tcPr>
                  <w:p>
                    <w:pPr>
                      <w:jc w:val="center"/>
                      <w:rPr>
                        <w:sz w:val="20"/>
                      </w:rPr>
                    </w:pPr>
                    <w:r>
                      <w:rPr>
                        <w:sz w:val="20"/>
                      </w:rPr>
                      <w:t>AS</w:t>
                    </w:r>
                  </w:p>
                </w:tc>
                <w:tc>
                  <w:tcPr>
                    <w:tcW w:w="1134" w:type="dxa"/>
                    <w:noWrap/>
                    <w:vAlign w:val="center"/>
                  </w:tcPr>
                  <w:p>
                    <w:pPr>
                      <w:jc w:val="center"/>
                      <w:rPr>
                        <w:sz w:val="20"/>
                      </w:rPr>
                    </w:pPr>
                    <w:r>
                      <w:rPr>
                        <w:sz w:val="20"/>
                      </w:rPr>
                      <w:t>0 (2023)</w:t>
                    </w:r>
                  </w:p>
                </w:tc>
                <w:tc>
                  <w:tcPr>
                    <w:tcW w:w="1134" w:type="dxa"/>
                    <w:noWrap/>
                    <w:vAlign w:val="center"/>
                  </w:tcPr>
                  <w:p>
                    <w:pPr>
                      <w:jc w:val="center"/>
                      <w:rPr>
                        <w:sz w:val="20"/>
                      </w:rPr>
                    </w:pPr>
                    <w:r>
                      <w:rPr>
                        <w:sz w:val="20"/>
                      </w:rPr>
                      <w:t>2 (2033)</w:t>
                    </w:r>
                  </w:p>
                </w:tc>
              </w:tr>
              <w:tr>
                <w:trPr>
                  <w:trHeight w:val="321"/>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noWrap/>
                    <w:vAlign w:val="center"/>
                  </w:tcPr>
                  <w:p>
                    <w:pPr>
                      <w:rPr>
                        <w:sz w:val="20"/>
                      </w:rPr>
                    </w:pPr>
                    <w:r>
                      <w:rPr>
                        <w:sz w:val="20"/>
                      </w:rPr>
                      <w:t>P-14-01-02-03</w:t>
                    </w:r>
                  </w:p>
                </w:tc>
                <w:tc>
                  <w:tcPr>
                    <w:tcW w:w="4111" w:type="dxa"/>
                    <w:vAlign w:val="center"/>
                  </w:tcPr>
                  <w:p>
                    <w:pPr>
                      <w:rPr>
                        <w:sz w:val="20"/>
                      </w:rPr>
                    </w:pPr>
                    <w:r>
                      <w:rPr>
                        <w:sz w:val="20"/>
                      </w:rPr>
                      <w:t>Atnaujintų / parengtų specialiųjų teritorijų planavimo dokumentų skaičius (vnt.)</w:t>
                    </w:r>
                  </w:p>
                </w:tc>
                <w:tc>
                  <w:tcPr>
                    <w:tcW w:w="1134" w:type="dxa"/>
                    <w:vAlign w:val="center"/>
                  </w:tcPr>
                  <w:p>
                    <w:pPr>
                      <w:jc w:val="center"/>
                      <w:rPr>
                        <w:sz w:val="20"/>
                      </w:rPr>
                    </w:pPr>
                    <w:r>
                      <w:rPr>
                        <w:sz w:val="20"/>
                      </w:rPr>
                      <w:t>AS</w:t>
                    </w:r>
                  </w:p>
                </w:tc>
                <w:tc>
                  <w:tcPr>
                    <w:tcW w:w="1134" w:type="dxa"/>
                    <w:noWrap/>
                    <w:vAlign w:val="center"/>
                  </w:tcPr>
                  <w:p>
                    <w:pPr>
                      <w:jc w:val="center"/>
                      <w:rPr>
                        <w:sz w:val="20"/>
                      </w:rPr>
                    </w:pPr>
                    <w:r>
                      <w:rPr>
                        <w:sz w:val="20"/>
                      </w:rPr>
                      <w:t>0 (2025)</w:t>
                    </w:r>
                  </w:p>
                </w:tc>
                <w:tc>
                  <w:tcPr>
                    <w:tcW w:w="1134" w:type="dxa"/>
                    <w:noWrap/>
                    <w:vAlign w:val="center"/>
                  </w:tcPr>
                  <w:p>
                    <w:pPr>
                      <w:jc w:val="center"/>
                      <w:rPr>
                        <w:sz w:val="20"/>
                      </w:rPr>
                    </w:pPr>
                    <w:r>
                      <w:rPr>
                        <w:sz w:val="20"/>
                      </w:rPr>
                      <w:t>2 (2033)</w:t>
                    </w:r>
                  </w:p>
                </w:tc>
              </w:tr>
              <w:tr>
                <w:trPr>
                  <w:trHeight w:val="321"/>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noWrap/>
                    <w:vAlign w:val="center"/>
                  </w:tcPr>
                  <w:p>
                    <w:pPr>
                      <w:rPr>
                        <w:sz w:val="20"/>
                      </w:rPr>
                    </w:pPr>
                    <w:r>
                      <w:rPr>
                        <w:sz w:val="20"/>
                      </w:rPr>
                      <w:t>P-14-01-02-04</w:t>
                    </w:r>
                  </w:p>
                </w:tc>
                <w:tc>
                  <w:tcPr>
                    <w:tcW w:w="4111" w:type="dxa"/>
                    <w:vAlign w:val="center"/>
                  </w:tcPr>
                  <w:p>
                    <w:pPr>
                      <w:rPr>
                        <w:sz w:val="20"/>
                      </w:rPr>
                    </w:pPr>
                    <w:r>
                      <w:rPr>
                        <w:sz w:val="20"/>
                      </w:rPr>
                      <w:t>Sukurta miesto vizualinio identiteto strategija, išryškinanti miesto identitetą, jį skatinančių, vizualinių, meninių priemonių / objektų, akcentų naudojimą (vnt.)</w:t>
                    </w:r>
                  </w:p>
                </w:tc>
                <w:tc>
                  <w:tcPr>
                    <w:tcW w:w="1134" w:type="dxa"/>
                    <w:vAlign w:val="center"/>
                  </w:tcPr>
                  <w:p>
                    <w:pPr>
                      <w:jc w:val="center"/>
                      <w:rPr>
                        <w:sz w:val="20"/>
                      </w:rPr>
                    </w:pPr>
                    <w:r>
                      <w:rPr>
                        <w:sz w:val="20"/>
                      </w:rPr>
                      <w:t>AS, MPPS</w:t>
                    </w:r>
                  </w:p>
                </w:tc>
                <w:tc>
                  <w:tcPr>
                    <w:tcW w:w="1134" w:type="dxa"/>
                    <w:noWrap/>
                    <w:vAlign w:val="center"/>
                  </w:tcPr>
                  <w:p>
                    <w:pPr>
                      <w:jc w:val="center"/>
                      <w:rPr>
                        <w:sz w:val="20"/>
                      </w:rPr>
                    </w:pPr>
                    <w:r>
                      <w:rPr>
                        <w:sz w:val="20"/>
                      </w:rPr>
                      <w:t>0 (2023)</w:t>
                    </w:r>
                  </w:p>
                </w:tc>
                <w:tc>
                  <w:tcPr>
                    <w:tcW w:w="1134" w:type="dxa"/>
                    <w:noWrap/>
                    <w:vAlign w:val="center"/>
                  </w:tcPr>
                  <w:p>
                    <w:pPr>
                      <w:jc w:val="center"/>
                      <w:rPr>
                        <w:sz w:val="20"/>
                      </w:rPr>
                    </w:pPr>
                    <w:r>
                      <w:rPr>
                        <w:sz w:val="20"/>
                      </w:rPr>
                      <w:t>1 (2025)</w:t>
                    </w:r>
                  </w:p>
                </w:tc>
              </w:tr>
              <w:tr>
                <w:trPr>
                  <w:trHeight w:val="321"/>
                  <w:jc w:val="center"/>
                </w:trPr>
                <w:tc>
                  <w:tcPr>
                    <w:tcW w:w="988" w:type="dxa"/>
                    <w:vMerge w:val="restart"/>
                    <w:noWrap/>
                    <w:vAlign w:val="center"/>
                  </w:tcPr>
                  <w:p>
                    <w:pPr>
                      <w:rPr>
                        <w:sz w:val="20"/>
                      </w:rPr>
                    </w:pPr>
                    <w:r>
                      <w:rPr>
                        <w:sz w:val="20"/>
                      </w:rPr>
                      <w:t>14-01-03</w:t>
                    </w:r>
                  </w:p>
                </w:tc>
                <w:tc>
                  <w:tcPr>
                    <w:tcW w:w="2126" w:type="dxa"/>
                    <w:vMerge w:val="restart"/>
                    <w:vAlign w:val="center"/>
                  </w:tcPr>
                  <w:p>
                    <w:pPr>
                      <w:rPr>
                        <w:sz w:val="20"/>
                      </w:rPr>
                    </w:pPr>
                    <w:r>
                      <w:rPr>
                        <w:sz w:val="20"/>
                      </w:rPr>
                      <w:t>Konvertuoti centro teritorijoje esančių pramoninių kompleksų teritorijas į mišrios paskirties miesto teritorijas</w:t>
                    </w:r>
                  </w:p>
                </w:tc>
                <w:tc>
                  <w:tcPr>
                    <w:tcW w:w="850" w:type="dxa"/>
                    <w:vMerge w:val="restart"/>
                    <w:noWrap/>
                    <w:vAlign w:val="center"/>
                  </w:tcPr>
                  <w:p>
                    <w:pPr>
                      <w:jc w:val="center"/>
                      <w:rPr>
                        <w:sz w:val="20"/>
                      </w:rPr>
                    </w:pPr>
                    <w:r>
                      <w:rPr>
                        <w:sz w:val="20"/>
                      </w:rPr>
                      <w:t>AS</w:t>
                    </w:r>
                  </w:p>
                </w:tc>
                <w:tc>
                  <w:tcPr>
                    <w:tcW w:w="709" w:type="dxa"/>
                    <w:vMerge w:val="restart"/>
                    <w:noWrap/>
                    <w:vAlign w:val="center"/>
                  </w:tcPr>
                  <w:p>
                    <w:pPr>
                      <w:jc w:val="center"/>
                      <w:rPr>
                        <w:sz w:val="20"/>
                      </w:rPr>
                    </w:pPr>
                    <w:r>
                      <w:rPr>
                        <w:sz w:val="20"/>
                      </w:rPr>
                      <w:t>2025</w:t>
                    </w:r>
                  </w:p>
                </w:tc>
                <w:tc>
                  <w:tcPr>
                    <w:tcW w:w="709" w:type="dxa"/>
                    <w:vMerge w:val="restart"/>
                    <w:noWrap/>
                    <w:vAlign w:val="center"/>
                  </w:tcPr>
                  <w:p>
                    <w:pPr>
                      <w:jc w:val="center"/>
                      <w:rPr>
                        <w:sz w:val="20"/>
                      </w:rPr>
                    </w:pPr>
                    <w:r>
                      <w:rPr>
                        <w:sz w:val="20"/>
                      </w:rPr>
                      <w:t>2033</w:t>
                    </w:r>
                  </w:p>
                </w:tc>
                <w:tc>
                  <w:tcPr>
                    <w:tcW w:w="1417" w:type="dxa"/>
                    <w:noWrap/>
                    <w:vAlign w:val="center"/>
                  </w:tcPr>
                  <w:p>
                    <w:pPr>
                      <w:rPr>
                        <w:sz w:val="20"/>
                      </w:rPr>
                    </w:pPr>
                    <w:r>
                      <w:rPr>
                        <w:sz w:val="20"/>
                      </w:rPr>
                      <w:t>P-14-01-03-01</w:t>
                    </w:r>
                  </w:p>
                </w:tc>
                <w:tc>
                  <w:tcPr>
                    <w:tcW w:w="4111" w:type="dxa"/>
                    <w:vAlign w:val="center"/>
                  </w:tcPr>
                  <w:p>
                    <w:pPr>
                      <w:rPr>
                        <w:sz w:val="20"/>
                      </w:rPr>
                    </w:pPr>
                    <w:r>
                      <w:rPr>
                        <w:sz w:val="20"/>
                      </w:rPr>
                      <w:t>Parengtų kompleksinių teritorijų planavimo dokumentų, kuriuose numatyta pramoninių teritorijų konversija, skaičius (vnt.)</w:t>
                    </w:r>
                  </w:p>
                </w:tc>
                <w:tc>
                  <w:tcPr>
                    <w:tcW w:w="1134" w:type="dxa"/>
                    <w:vAlign w:val="center"/>
                  </w:tcPr>
                  <w:p>
                    <w:pPr>
                      <w:jc w:val="center"/>
                      <w:rPr>
                        <w:sz w:val="20"/>
                      </w:rPr>
                    </w:pPr>
                    <w:r>
                      <w:rPr>
                        <w:sz w:val="20"/>
                      </w:rPr>
                      <w:t>AS</w:t>
                    </w:r>
                  </w:p>
                </w:tc>
                <w:tc>
                  <w:tcPr>
                    <w:tcW w:w="1134" w:type="dxa"/>
                    <w:noWrap/>
                    <w:vAlign w:val="center"/>
                  </w:tcPr>
                  <w:p>
                    <w:pPr>
                      <w:jc w:val="center"/>
                      <w:rPr>
                        <w:sz w:val="20"/>
                      </w:rPr>
                    </w:pPr>
                    <w:r>
                      <w:rPr>
                        <w:sz w:val="20"/>
                      </w:rPr>
                      <w:t>0 (2023)</w:t>
                    </w:r>
                  </w:p>
                </w:tc>
                <w:tc>
                  <w:tcPr>
                    <w:tcW w:w="1134" w:type="dxa"/>
                    <w:noWrap/>
                    <w:vAlign w:val="center"/>
                  </w:tcPr>
                  <w:p>
                    <w:pPr>
                      <w:jc w:val="center"/>
                      <w:rPr>
                        <w:sz w:val="20"/>
                      </w:rPr>
                    </w:pPr>
                    <w:r>
                      <w:rPr>
                        <w:sz w:val="20"/>
                      </w:rPr>
                      <w:t>3 (2033)</w:t>
                    </w:r>
                  </w:p>
                </w:tc>
              </w:tr>
              <w:tr>
                <w:trPr>
                  <w:trHeight w:val="321"/>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noWrap/>
                    <w:vAlign w:val="center"/>
                  </w:tcPr>
                  <w:p>
                    <w:pPr>
                      <w:rPr>
                        <w:sz w:val="20"/>
                      </w:rPr>
                    </w:pPr>
                    <w:r>
                      <w:rPr>
                        <w:sz w:val="20"/>
                      </w:rPr>
                      <w:t>P-14-01-03-02</w:t>
                    </w:r>
                  </w:p>
                </w:tc>
                <w:tc>
                  <w:tcPr>
                    <w:tcW w:w="4111" w:type="dxa"/>
                    <w:vAlign w:val="center"/>
                  </w:tcPr>
                  <w:p>
                    <w:pPr>
                      <w:rPr>
                        <w:sz w:val="20"/>
                      </w:rPr>
                    </w:pPr>
                    <w:r>
                      <w:rPr>
                        <w:sz w:val="20"/>
                      </w:rPr>
                      <w:t>Urbanistinių / architektūrinių konkursų konversinėse teritorijose skaičius (vnt.)</w:t>
                    </w:r>
                  </w:p>
                </w:tc>
                <w:tc>
                  <w:tcPr>
                    <w:tcW w:w="1134" w:type="dxa"/>
                    <w:vAlign w:val="center"/>
                  </w:tcPr>
                  <w:p>
                    <w:pPr>
                      <w:jc w:val="center"/>
                      <w:rPr>
                        <w:sz w:val="20"/>
                      </w:rPr>
                    </w:pPr>
                    <w:r>
                      <w:rPr>
                        <w:sz w:val="20"/>
                      </w:rPr>
                      <w:t>AS</w:t>
                    </w:r>
                  </w:p>
                </w:tc>
                <w:tc>
                  <w:tcPr>
                    <w:tcW w:w="1134" w:type="dxa"/>
                    <w:noWrap/>
                    <w:vAlign w:val="center"/>
                  </w:tcPr>
                  <w:p>
                    <w:pPr>
                      <w:jc w:val="center"/>
                      <w:rPr>
                        <w:sz w:val="20"/>
                      </w:rPr>
                    </w:pPr>
                    <w:r>
                      <w:rPr>
                        <w:sz w:val="20"/>
                      </w:rPr>
                      <w:t>0 (2023)</w:t>
                    </w:r>
                  </w:p>
                </w:tc>
                <w:tc>
                  <w:tcPr>
                    <w:tcW w:w="1134" w:type="dxa"/>
                    <w:noWrap/>
                    <w:vAlign w:val="center"/>
                  </w:tcPr>
                  <w:p>
                    <w:pPr>
                      <w:jc w:val="center"/>
                      <w:rPr>
                        <w:sz w:val="20"/>
                      </w:rPr>
                    </w:pPr>
                    <w:r>
                      <w:rPr>
                        <w:sz w:val="20"/>
                      </w:rPr>
                      <w:t>1 (2033)</w:t>
                    </w:r>
                  </w:p>
                </w:tc>
              </w:tr>
              <w:tr>
                <w:trPr>
                  <w:trHeight w:val="520"/>
                  <w:jc w:val="center"/>
                </w:trPr>
                <w:tc>
                  <w:tcPr>
                    <w:tcW w:w="988" w:type="dxa"/>
                    <w:vMerge w:val="restart"/>
                    <w:shd w:val="clear" w:color="auto" w:fill="FCE4D6"/>
                    <w:noWrap/>
                    <w:vAlign w:val="center"/>
                    <w:hideMark/>
                  </w:tcPr>
                  <w:p>
                    <w:pPr>
                      <w:rPr>
                        <w:b/>
                        <w:bCs/>
                        <w:sz w:val="20"/>
                      </w:rPr>
                    </w:pPr>
                    <w:r>
                      <w:rPr>
                        <w:b/>
                        <w:bCs/>
                        <w:sz w:val="20"/>
                      </w:rPr>
                      <w:t>14-02</w:t>
                    </w:r>
                  </w:p>
                </w:tc>
                <w:tc>
                  <w:tcPr>
                    <w:tcW w:w="2126" w:type="dxa"/>
                    <w:vMerge w:val="restart"/>
                    <w:shd w:val="clear" w:color="auto" w:fill="FCE4D6"/>
                    <w:vAlign w:val="center"/>
                    <w:hideMark/>
                  </w:tcPr>
                  <w:p>
                    <w:pPr>
                      <w:rPr>
                        <w:b/>
                        <w:bCs/>
                        <w:sz w:val="20"/>
                      </w:rPr>
                    </w:pPr>
                    <w:r>
                      <w:rPr>
                        <w:b/>
                        <w:bCs/>
                        <w:sz w:val="20"/>
                      </w:rPr>
                      <w:t>Formuoti darnias miesto jungtis, užtikrinančias tvarų ir saugų judėjimą mieste</w:t>
                    </w:r>
                  </w:p>
                </w:tc>
                <w:tc>
                  <w:tcPr>
                    <w:tcW w:w="850" w:type="dxa"/>
                    <w:vMerge w:val="restart"/>
                    <w:shd w:val="clear" w:color="auto" w:fill="FCE4D6"/>
                    <w:noWrap/>
                    <w:vAlign w:val="center"/>
                    <w:hideMark/>
                  </w:tcPr>
                  <w:p>
                    <w:pPr>
                      <w:jc w:val="center"/>
                      <w:rPr>
                        <w:sz w:val="20"/>
                      </w:rPr>
                    </w:pPr>
                    <w:r>
                      <w:rPr>
                        <w:sz w:val="20"/>
                      </w:rPr>
                      <w:t>MŪAS</w:t>
                    </w:r>
                  </w:p>
                </w:tc>
                <w:tc>
                  <w:tcPr>
                    <w:tcW w:w="709" w:type="dxa"/>
                    <w:vMerge w:val="restart"/>
                    <w:shd w:val="clear" w:color="auto" w:fill="FCE4D6"/>
                    <w:noWrap/>
                    <w:vAlign w:val="center"/>
                    <w:hideMark/>
                  </w:tcPr>
                  <w:p>
                    <w:pPr>
                      <w:jc w:val="center"/>
                      <w:rPr>
                        <w:sz w:val="20"/>
                      </w:rPr>
                    </w:pPr>
                    <w:r>
                      <w:rPr>
                        <w:sz w:val="20"/>
                      </w:rPr>
                      <w:t>2025</w:t>
                    </w:r>
                  </w:p>
                </w:tc>
                <w:tc>
                  <w:tcPr>
                    <w:tcW w:w="709" w:type="dxa"/>
                    <w:vMerge w:val="restart"/>
                    <w:shd w:val="clear" w:color="auto" w:fill="FCE4D6"/>
                    <w:noWrap/>
                    <w:vAlign w:val="center"/>
                    <w:hideMark/>
                  </w:tcPr>
                  <w:p>
                    <w:pPr>
                      <w:jc w:val="center"/>
                      <w:rPr>
                        <w:sz w:val="20"/>
                      </w:rPr>
                    </w:pPr>
                    <w:r>
                      <w:rPr>
                        <w:sz w:val="20"/>
                      </w:rPr>
                      <w:t>2033</w:t>
                    </w:r>
                  </w:p>
                </w:tc>
                <w:tc>
                  <w:tcPr>
                    <w:tcW w:w="1417" w:type="dxa"/>
                    <w:shd w:val="clear" w:color="auto" w:fill="FCE4D6"/>
                    <w:noWrap/>
                    <w:vAlign w:val="center"/>
                    <w:hideMark/>
                  </w:tcPr>
                  <w:p>
                    <w:pPr>
                      <w:rPr>
                        <w:sz w:val="20"/>
                      </w:rPr>
                    </w:pPr>
                    <w:r>
                      <w:rPr>
                        <w:sz w:val="20"/>
                      </w:rPr>
                      <w:t>R-14-02-01</w:t>
                    </w:r>
                  </w:p>
                </w:tc>
                <w:tc>
                  <w:tcPr>
                    <w:tcW w:w="4111" w:type="dxa"/>
                    <w:shd w:val="clear" w:color="auto" w:fill="FCE4D6"/>
                    <w:vAlign w:val="center"/>
                    <w:hideMark/>
                  </w:tcPr>
                  <w:p>
                    <w:pPr>
                      <w:rPr>
                        <w:sz w:val="20"/>
                      </w:rPr>
                    </w:pPr>
                    <w:r>
                      <w:rPr>
                        <w:sz w:val="20"/>
                      </w:rPr>
                      <w:t>Neasfaltuotų gatvių dalis nuo viso gatvių tinklo (proc.)</w:t>
                    </w:r>
                  </w:p>
                </w:tc>
                <w:tc>
                  <w:tcPr>
                    <w:tcW w:w="1134" w:type="dxa"/>
                    <w:shd w:val="clear" w:color="auto" w:fill="FCE4D6"/>
                    <w:vAlign w:val="center"/>
                    <w:hideMark/>
                  </w:tcPr>
                  <w:p>
                    <w:pPr>
                      <w:jc w:val="center"/>
                      <w:rPr>
                        <w:sz w:val="20"/>
                      </w:rPr>
                    </w:pPr>
                    <w:r>
                      <w:rPr>
                        <w:sz w:val="20"/>
                      </w:rPr>
                      <w:t>ŠMSA (MŪAS)</w:t>
                    </w:r>
                  </w:p>
                </w:tc>
                <w:tc>
                  <w:tcPr>
                    <w:tcW w:w="1134" w:type="dxa"/>
                    <w:shd w:val="clear" w:color="auto" w:fill="FCE4D6"/>
                    <w:noWrap/>
                    <w:vAlign w:val="center"/>
                    <w:hideMark/>
                  </w:tcPr>
                  <w:p>
                    <w:pPr>
                      <w:jc w:val="center"/>
                      <w:rPr>
                        <w:sz w:val="20"/>
                      </w:rPr>
                    </w:pPr>
                    <w:r>
                      <w:rPr>
                        <w:sz w:val="20"/>
                      </w:rPr>
                      <w:t>30 (2022)</w:t>
                    </w:r>
                  </w:p>
                </w:tc>
                <w:tc>
                  <w:tcPr>
                    <w:tcW w:w="1134" w:type="dxa"/>
                    <w:shd w:val="clear" w:color="auto" w:fill="FCE4D6"/>
                    <w:noWrap/>
                    <w:vAlign w:val="center"/>
                    <w:hideMark/>
                  </w:tcPr>
                  <w:p>
                    <w:pPr>
                      <w:jc w:val="center"/>
                      <w:rPr>
                        <w:sz w:val="20"/>
                      </w:rPr>
                    </w:pPr>
                    <w:r>
                      <w:rPr>
                        <w:sz w:val="20"/>
                      </w:rPr>
                      <w:t>15 (2033)</w:t>
                    </w:r>
                  </w:p>
                </w:tc>
              </w:tr>
              <w:tr>
                <w:trPr>
                  <w:trHeight w:val="52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noWrap/>
                    <w:vAlign w:val="center"/>
                    <w:hideMark/>
                  </w:tcPr>
                  <w:p>
                    <w:pPr>
                      <w:rPr>
                        <w:sz w:val="20"/>
                      </w:rPr>
                    </w:pPr>
                    <w:r>
                      <w:rPr>
                        <w:sz w:val="20"/>
                      </w:rPr>
                      <w:t>R-14-02-02</w:t>
                    </w:r>
                  </w:p>
                </w:tc>
                <w:tc>
                  <w:tcPr>
                    <w:tcW w:w="4111" w:type="dxa"/>
                    <w:shd w:val="clear" w:color="auto" w:fill="FCE4D6"/>
                    <w:vAlign w:val="center"/>
                    <w:hideMark/>
                  </w:tcPr>
                  <w:p>
                    <w:pPr>
                      <w:rPr>
                        <w:sz w:val="20"/>
                      </w:rPr>
                    </w:pPr>
                    <w:r>
                      <w:rPr>
                        <w:sz w:val="20"/>
                      </w:rPr>
                      <w:t>Atnaujintų pėsčiųjų takų dalis nuo bendro takų ilgio (proc.)</w:t>
                    </w:r>
                  </w:p>
                </w:tc>
                <w:tc>
                  <w:tcPr>
                    <w:tcW w:w="1134" w:type="dxa"/>
                    <w:shd w:val="clear" w:color="auto" w:fill="FCE4D6"/>
                    <w:vAlign w:val="center"/>
                    <w:hideMark/>
                  </w:tcPr>
                  <w:p>
                    <w:pPr>
                      <w:jc w:val="center"/>
                      <w:rPr>
                        <w:sz w:val="20"/>
                      </w:rPr>
                    </w:pPr>
                    <w:r>
                      <w:rPr>
                        <w:sz w:val="20"/>
                      </w:rPr>
                      <w:t>ŠMSA (MŪAS)</w:t>
                    </w:r>
                  </w:p>
                </w:tc>
                <w:tc>
                  <w:tcPr>
                    <w:tcW w:w="1134" w:type="dxa"/>
                    <w:shd w:val="clear" w:color="auto" w:fill="FCE4D6"/>
                    <w:noWrap/>
                    <w:vAlign w:val="center"/>
                    <w:hideMark/>
                  </w:tcPr>
                  <w:p>
                    <w:pPr>
                      <w:jc w:val="center"/>
                      <w:rPr>
                        <w:sz w:val="20"/>
                      </w:rPr>
                    </w:pPr>
                    <w:r>
                      <w:rPr>
                        <w:sz w:val="20"/>
                      </w:rPr>
                      <w:t>0 (2025)</w:t>
                    </w:r>
                  </w:p>
                </w:tc>
                <w:tc>
                  <w:tcPr>
                    <w:tcW w:w="1134" w:type="dxa"/>
                    <w:shd w:val="clear" w:color="auto" w:fill="FCE4D6"/>
                    <w:noWrap/>
                    <w:vAlign w:val="center"/>
                    <w:hideMark/>
                  </w:tcPr>
                  <w:p>
                    <w:pPr>
                      <w:jc w:val="center"/>
                      <w:rPr>
                        <w:sz w:val="20"/>
                      </w:rPr>
                    </w:pPr>
                    <w:r>
                      <w:rPr>
                        <w:sz w:val="20"/>
                      </w:rPr>
                      <w:t>20 (2033)</w:t>
                    </w:r>
                  </w:p>
                </w:tc>
              </w:tr>
              <w:tr>
                <w:trPr>
                  <w:trHeight w:val="503"/>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noWrap/>
                    <w:vAlign w:val="center"/>
                    <w:hideMark/>
                  </w:tcPr>
                  <w:p>
                    <w:pPr>
                      <w:rPr>
                        <w:sz w:val="20"/>
                      </w:rPr>
                    </w:pPr>
                    <w:r>
                      <w:rPr>
                        <w:sz w:val="20"/>
                      </w:rPr>
                      <w:t>R-14-02-03</w:t>
                    </w:r>
                  </w:p>
                </w:tc>
                <w:tc>
                  <w:tcPr>
                    <w:tcW w:w="4111" w:type="dxa"/>
                    <w:shd w:val="clear" w:color="auto" w:fill="FCE4D6"/>
                    <w:vAlign w:val="center"/>
                    <w:hideMark/>
                  </w:tcPr>
                  <w:p>
                    <w:pPr>
                      <w:rPr>
                        <w:sz w:val="20"/>
                      </w:rPr>
                    </w:pPr>
                    <w:r>
                      <w:rPr>
                        <w:sz w:val="20"/>
                      </w:rPr>
                      <w:t>Dviračių takų ilgis metų pabaigoje, tenkantis 1 tūkst. gyventojų (km)</w:t>
                    </w:r>
                  </w:p>
                </w:tc>
                <w:tc>
                  <w:tcPr>
                    <w:tcW w:w="1134" w:type="dxa"/>
                    <w:shd w:val="clear" w:color="auto" w:fill="FCE4D6"/>
                    <w:vAlign w:val="center"/>
                    <w:hideMark/>
                  </w:tcPr>
                  <w:p>
                    <w:pPr>
                      <w:jc w:val="center"/>
                      <w:rPr>
                        <w:sz w:val="20"/>
                      </w:rPr>
                    </w:pPr>
                    <w:r>
                      <w:rPr>
                        <w:sz w:val="20"/>
                      </w:rPr>
                      <w:t>ŠMSA (MŪAS)</w:t>
                    </w:r>
                  </w:p>
                </w:tc>
                <w:tc>
                  <w:tcPr>
                    <w:tcW w:w="1134" w:type="dxa"/>
                    <w:shd w:val="clear" w:color="auto" w:fill="FCE4D6"/>
                    <w:noWrap/>
                    <w:vAlign w:val="center"/>
                    <w:hideMark/>
                  </w:tcPr>
                  <w:p>
                    <w:pPr>
                      <w:jc w:val="center"/>
                      <w:rPr>
                        <w:sz w:val="20"/>
                      </w:rPr>
                    </w:pPr>
                    <w:r>
                      <w:rPr>
                        <w:sz w:val="20"/>
                      </w:rPr>
                      <w:t>n.d. (2023)</w:t>
                    </w:r>
                  </w:p>
                </w:tc>
                <w:tc>
                  <w:tcPr>
                    <w:tcW w:w="1134" w:type="dxa"/>
                    <w:shd w:val="clear" w:color="auto" w:fill="FCE4D6"/>
                    <w:noWrap/>
                    <w:vAlign w:val="center"/>
                    <w:hideMark/>
                  </w:tcPr>
                  <w:p>
                    <w:pPr>
                      <w:jc w:val="center"/>
                      <w:rPr>
                        <w:sz w:val="20"/>
                      </w:rPr>
                    </w:pPr>
                    <w:r>
                      <w:rPr>
                        <w:sz w:val="20"/>
                      </w:rPr>
                      <w:t xml:space="preserve">1  (2033)</w:t>
                    </w:r>
                  </w:p>
                </w:tc>
              </w:tr>
              <w:tr>
                <w:trPr>
                  <w:trHeight w:val="58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noWrap/>
                    <w:vAlign w:val="center"/>
                    <w:hideMark/>
                  </w:tcPr>
                  <w:p>
                    <w:pPr>
                      <w:rPr>
                        <w:sz w:val="20"/>
                      </w:rPr>
                    </w:pPr>
                    <w:r>
                      <w:rPr>
                        <w:sz w:val="20"/>
                      </w:rPr>
                      <w:t>R-14-02-04</w:t>
                    </w:r>
                  </w:p>
                </w:tc>
                <w:tc>
                  <w:tcPr>
                    <w:tcW w:w="4111" w:type="dxa"/>
                    <w:shd w:val="clear" w:color="auto" w:fill="FCE4D6"/>
                    <w:vAlign w:val="center"/>
                    <w:hideMark/>
                  </w:tcPr>
                  <w:p>
                    <w:pPr>
                      <w:rPr>
                        <w:sz w:val="20"/>
                      </w:rPr>
                    </w:pPr>
                    <w:r>
                      <w:rPr>
                        <w:sz w:val="20"/>
                      </w:rPr>
                      <w:t>Modalinis kelionių pasiskirstymas (automobiliu, viešuoju transportu, dviračiais, pėsčiomis, kita) (proc.)</w:t>
                    </w:r>
                  </w:p>
                </w:tc>
                <w:tc>
                  <w:tcPr>
                    <w:tcW w:w="1134" w:type="dxa"/>
                    <w:shd w:val="clear" w:color="auto" w:fill="FCE4D6"/>
                    <w:vAlign w:val="center"/>
                    <w:hideMark/>
                  </w:tcPr>
                  <w:p>
                    <w:pPr>
                      <w:jc w:val="center"/>
                      <w:rPr>
                        <w:sz w:val="20"/>
                      </w:rPr>
                    </w:pPr>
                    <w:r>
                      <w:rPr>
                        <w:sz w:val="20"/>
                      </w:rPr>
                      <w:t>ŠMSA (MŪAS)</w:t>
                    </w:r>
                  </w:p>
                </w:tc>
                <w:tc>
                  <w:tcPr>
                    <w:tcW w:w="1134" w:type="dxa"/>
                    <w:shd w:val="clear" w:color="auto" w:fill="FCE4D6"/>
                    <w:vAlign w:val="center"/>
                    <w:hideMark/>
                  </w:tcPr>
                  <w:p>
                    <w:pPr>
                      <w:jc w:val="center"/>
                      <w:rPr>
                        <w:sz w:val="20"/>
                      </w:rPr>
                    </w:pPr>
                    <w:r>
                      <w:rPr>
                        <w:sz w:val="20"/>
                      </w:rPr>
                      <w:t>39/30/2/27 (2019)</w:t>
                    </w:r>
                  </w:p>
                </w:tc>
                <w:tc>
                  <w:tcPr>
                    <w:tcW w:w="1134" w:type="dxa"/>
                    <w:shd w:val="clear" w:color="auto" w:fill="FCE4D6"/>
                    <w:vAlign w:val="center"/>
                    <w:hideMark/>
                  </w:tcPr>
                  <w:p>
                    <w:pPr>
                      <w:jc w:val="center"/>
                      <w:rPr>
                        <w:sz w:val="20"/>
                      </w:rPr>
                    </w:pPr>
                    <w:r>
                      <w:rPr>
                        <w:sz w:val="20"/>
                      </w:rPr>
                      <w:t>33/33/10/24 (2033)</w:t>
                    </w:r>
                  </w:p>
                </w:tc>
              </w:tr>
              <w:tr>
                <w:trPr>
                  <w:trHeight w:val="53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noWrap/>
                    <w:vAlign w:val="center"/>
                    <w:hideMark/>
                  </w:tcPr>
                  <w:p>
                    <w:pPr>
                      <w:rPr>
                        <w:sz w:val="20"/>
                      </w:rPr>
                    </w:pPr>
                    <w:r>
                      <w:rPr>
                        <w:sz w:val="20"/>
                      </w:rPr>
                      <w:t>R-14-02-05</w:t>
                    </w:r>
                  </w:p>
                </w:tc>
                <w:tc>
                  <w:tcPr>
                    <w:tcW w:w="4111" w:type="dxa"/>
                    <w:shd w:val="clear" w:color="auto" w:fill="FCE4D6"/>
                    <w:vAlign w:val="center"/>
                    <w:hideMark/>
                  </w:tcPr>
                  <w:p>
                    <w:pPr>
                      <w:rPr>
                        <w:sz w:val="20"/>
                      </w:rPr>
                    </w:pPr>
                    <w:r>
                      <w:rPr>
                        <w:sz w:val="20"/>
                      </w:rPr>
                      <w:t xml:space="preserve">Vidutiniškai vienam gyventojui tenkančių kelionių autobusais skaičius   (vnt. / 1 gyv.)</w:t>
                    </w:r>
                  </w:p>
                </w:tc>
                <w:tc>
                  <w:tcPr>
                    <w:tcW w:w="1134" w:type="dxa"/>
                    <w:shd w:val="clear" w:color="auto" w:fill="FCE4D6"/>
                    <w:vAlign w:val="center"/>
                    <w:hideMark/>
                  </w:tcPr>
                  <w:p>
                    <w:pPr>
                      <w:jc w:val="center"/>
                      <w:rPr>
                        <w:sz w:val="20"/>
                      </w:rPr>
                    </w:pPr>
                    <w:r>
                      <w:rPr>
                        <w:sz w:val="20"/>
                      </w:rPr>
                      <w:t>ŠMSA (MŪAS)</w:t>
                    </w:r>
                  </w:p>
                </w:tc>
                <w:tc>
                  <w:tcPr>
                    <w:tcW w:w="1134" w:type="dxa"/>
                    <w:shd w:val="clear" w:color="auto" w:fill="FCE4D6"/>
                    <w:noWrap/>
                    <w:vAlign w:val="center"/>
                    <w:hideMark/>
                  </w:tcPr>
                  <w:p>
                    <w:pPr>
                      <w:jc w:val="center"/>
                      <w:rPr>
                        <w:sz w:val="20"/>
                      </w:rPr>
                    </w:pPr>
                    <w:r>
                      <w:rPr>
                        <w:sz w:val="20"/>
                      </w:rPr>
                      <w:t>96 (2022)</w:t>
                    </w:r>
                  </w:p>
                </w:tc>
                <w:tc>
                  <w:tcPr>
                    <w:tcW w:w="1134" w:type="dxa"/>
                    <w:shd w:val="clear" w:color="auto" w:fill="FCE4D6"/>
                    <w:noWrap/>
                    <w:vAlign w:val="center"/>
                    <w:hideMark/>
                  </w:tcPr>
                  <w:p>
                    <w:pPr>
                      <w:jc w:val="center"/>
                      <w:rPr>
                        <w:sz w:val="20"/>
                      </w:rPr>
                    </w:pPr>
                    <w:r>
                      <w:rPr>
                        <w:sz w:val="20"/>
                      </w:rPr>
                      <w:t>105 (2033)</w:t>
                    </w:r>
                  </w:p>
                </w:tc>
              </w:tr>
              <w:tr>
                <w:trPr>
                  <w:trHeight w:val="260"/>
                  <w:jc w:val="center"/>
                </w:trPr>
                <w:tc>
                  <w:tcPr>
                    <w:tcW w:w="988" w:type="dxa"/>
                    <w:vMerge w:val="restart"/>
                    <w:noWrap/>
                    <w:vAlign w:val="center"/>
                    <w:hideMark/>
                  </w:tcPr>
                  <w:p>
                    <w:pPr>
                      <w:rPr>
                        <w:sz w:val="20"/>
                      </w:rPr>
                    </w:pPr>
                    <w:r>
                      <w:rPr>
                        <w:sz w:val="20"/>
                      </w:rPr>
                      <w:t>14-02-01</w:t>
                    </w:r>
                  </w:p>
                </w:tc>
                <w:tc>
                  <w:tcPr>
                    <w:tcW w:w="2126" w:type="dxa"/>
                    <w:vMerge w:val="restart"/>
                    <w:vAlign w:val="center"/>
                    <w:hideMark/>
                  </w:tcPr>
                  <w:p>
                    <w:pPr>
                      <w:rPr>
                        <w:sz w:val="20"/>
                      </w:rPr>
                    </w:pPr>
                    <w:r>
                      <w:rPr>
                        <w:sz w:val="20"/>
                      </w:rPr>
                      <w:t>Suformuoti nenutrūkstamą pagrindinį dviračių tinklą, jungiantį didžiuosius miesto rajonus, ir skatinti kasdienį, rekreacinį dviračių naudojimą</w:t>
                    </w:r>
                  </w:p>
                </w:tc>
                <w:tc>
                  <w:tcPr>
                    <w:tcW w:w="850" w:type="dxa"/>
                    <w:vMerge w:val="restart"/>
                    <w:noWrap/>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P-14-02-01-01</w:t>
                    </w:r>
                  </w:p>
                </w:tc>
                <w:tc>
                  <w:tcPr>
                    <w:tcW w:w="4111" w:type="dxa"/>
                    <w:vAlign w:val="center"/>
                    <w:hideMark/>
                  </w:tcPr>
                  <w:p>
                    <w:pPr>
                      <w:rPr>
                        <w:sz w:val="20"/>
                      </w:rPr>
                    </w:pPr>
                    <w:r>
                      <w:rPr>
                        <w:sz w:val="20"/>
                      </w:rPr>
                      <w:t>Įrengtų / rekonstruotų dviračių takų ilgis (km)</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0 (2025)</w:t>
                    </w:r>
                  </w:p>
                </w:tc>
                <w:tc>
                  <w:tcPr>
                    <w:tcW w:w="1134" w:type="dxa"/>
                    <w:noWrap/>
                    <w:vAlign w:val="center"/>
                    <w:hideMark/>
                  </w:tcPr>
                  <w:p>
                    <w:pPr>
                      <w:jc w:val="center"/>
                      <w:rPr>
                        <w:sz w:val="20"/>
                      </w:rPr>
                    </w:pPr>
                    <w:r>
                      <w:rPr>
                        <w:sz w:val="20"/>
                      </w:rPr>
                      <w:t>45 (2033)</w:t>
                    </w:r>
                  </w:p>
                </w:tc>
              </w:tr>
              <w:tr>
                <w:trPr>
                  <w:trHeight w:val="65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P-14-02-01-02</w:t>
                    </w:r>
                  </w:p>
                </w:tc>
                <w:tc>
                  <w:tcPr>
                    <w:tcW w:w="4111" w:type="dxa"/>
                    <w:vAlign w:val="center"/>
                    <w:hideMark/>
                  </w:tcPr>
                  <w:p>
                    <w:pPr>
                      <w:rPr>
                        <w:sz w:val="20"/>
                      </w:rPr>
                    </w:pPr>
                    <w:r>
                      <w:rPr>
                        <w:sz w:val="20"/>
                      </w:rPr>
                      <w:t>Pritaikytų dviračių eismui D, Ds kategorijos gatvių dalis nuo bendro ilgio nuo D, Ds kategorijos gatvių (proc.)</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0 (2025)</w:t>
                    </w:r>
                  </w:p>
                </w:tc>
                <w:tc>
                  <w:tcPr>
                    <w:tcW w:w="1134" w:type="dxa"/>
                    <w:noWrap/>
                    <w:vAlign w:val="center"/>
                    <w:hideMark/>
                  </w:tcPr>
                  <w:p>
                    <w:pPr>
                      <w:jc w:val="center"/>
                      <w:rPr>
                        <w:sz w:val="20"/>
                      </w:rPr>
                    </w:pPr>
                    <w:r>
                      <w:rPr>
                        <w:sz w:val="20"/>
                      </w:rPr>
                      <w:t>20 (2033)</w:t>
                    </w:r>
                  </w:p>
                </w:tc>
              </w:tr>
              <w:tr>
                <w:trPr>
                  <w:trHeight w:val="705"/>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P-14-02-01-03</w:t>
                    </w:r>
                  </w:p>
                </w:tc>
                <w:tc>
                  <w:tcPr>
                    <w:tcW w:w="4111" w:type="dxa"/>
                    <w:vAlign w:val="center"/>
                    <w:hideMark/>
                  </w:tcPr>
                  <w:p>
                    <w:pPr>
                      <w:rPr>
                        <w:sz w:val="20"/>
                      </w:rPr>
                    </w:pPr>
                    <w:r>
                      <w:rPr>
                        <w:sz w:val="20"/>
                      </w:rPr>
                      <w:t xml:space="preserve">Dviračių vietų skaičius saugyklose (vnt.) </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n.d. (2023)</w:t>
                    </w:r>
                  </w:p>
                </w:tc>
                <w:tc>
                  <w:tcPr>
                    <w:tcW w:w="1134" w:type="dxa"/>
                    <w:noWrap/>
                    <w:vAlign w:val="center"/>
                    <w:hideMark/>
                  </w:tcPr>
                  <w:p>
                    <w:pPr>
                      <w:jc w:val="center"/>
                      <w:rPr>
                        <w:sz w:val="20"/>
                      </w:rPr>
                    </w:pPr>
                    <w:r>
                      <w:rPr>
                        <w:sz w:val="20"/>
                      </w:rPr>
                      <w:t>200 (2033)</w:t>
                    </w:r>
                  </w:p>
                </w:tc>
              </w:tr>
              <w:tr>
                <w:trPr>
                  <w:trHeight w:val="260"/>
                  <w:jc w:val="center"/>
                </w:trPr>
                <w:tc>
                  <w:tcPr>
                    <w:tcW w:w="988" w:type="dxa"/>
                    <w:vMerge w:val="restart"/>
                    <w:noWrap/>
                    <w:vAlign w:val="center"/>
                    <w:hideMark/>
                  </w:tcPr>
                  <w:p>
                    <w:pPr>
                      <w:rPr>
                        <w:sz w:val="20"/>
                      </w:rPr>
                    </w:pPr>
                    <w:r>
                      <w:rPr>
                        <w:sz w:val="20"/>
                      </w:rPr>
                      <w:t>14-02-02</w:t>
                    </w:r>
                  </w:p>
                </w:tc>
                <w:tc>
                  <w:tcPr>
                    <w:tcW w:w="2126" w:type="dxa"/>
                    <w:vMerge w:val="restart"/>
                    <w:vAlign w:val="center"/>
                    <w:hideMark/>
                  </w:tcPr>
                  <w:p>
                    <w:pPr>
                      <w:rPr>
                        <w:sz w:val="20"/>
                      </w:rPr>
                    </w:pPr>
                    <w:r>
                      <w:rPr>
                        <w:sz w:val="20"/>
                      </w:rPr>
                      <w:t>Gerinti viešojo transporto kokybę</w:t>
                    </w:r>
                  </w:p>
                </w:tc>
                <w:tc>
                  <w:tcPr>
                    <w:tcW w:w="850" w:type="dxa"/>
                    <w:vMerge w:val="restart"/>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P-14-02-02-01</w:t>
                    </w:r>
                  </w:p>
                </w:tc>
                <w:tc>
                  <w:tcPr>
                    <w:tcW w:w="4111" w:type="dxa"/>
                    <w:vAlign w:val="center"/>
                    <w:hideMark/>
                  </w:tcPr>
                  <w:p>
                    <w:pPr>
                      <w:rPr>
                        <w:sz w:val="20"/>
                      </w:rPr>
                    </w:pPr>
                    <w:r>
                      <w:rPr>
                        <w:sz w:val="20"/>
                      </w:rPr>
                      <w:t>Vidutinis viešojo transporto amžius (m.)</w:t>
                    </w:r>
                  </w:p>
                </w:tc>
                <w:tc>
                  <w:tcPr>
                    <w:tcW w:w="1134" w:type="dxa"/>
                    <w:vAlign w:val="center"/>
                    <w:hideMark/>
                  </w:tcPr>
                  <w:p>
                    <w:pPr>
                      <w:jc w:val="center"/>
                      <w:rPr>
                        <w:sz w:val="20"/>
                      </w:rPr>
                    </w:pPr>
                    <w:r>
                      <w:rPr>
                        <w:sz w:val="20"/>
                      </w:rPr>
                      <w:t>Busturas</w:t>
                    </w:r>
                  </w:p>
                </w:tc>
                <w:tc>
                  <w:tcPr>
                    <w:tcW w:w="1134" w:type="dxa"/>
                    <w:noWrap/>
                    <w:vAlign w:val="center"/>
                    <w:hideMark/>
                  </w:tcPr>
                  <w:p>
                    <w:pPr>
                      <w:jc w:val="center"/>
                      <w:rPr>
                        <w:sz w:val="20"/>
                      </w:rPr>
                    </w:pPr>
                    <w:r>
                      <w:rPr>
                        <w:sz w:val="20"/>
                      </w:rPr>
                      <w:t>11,3 (2023)</w:t>
                    </w:r>
                  </w:p>
                </w:tc>
                <w:tc>
                  <w:tcPr>
                    <w:tcW w:w="1134" w:type="dxa"/>
                    <w:noWrap/>
                    <w:vAlign w:val="center"/>
                    <w:hideMark/>
                  </w:tcPr>
                  <w:p>
                    <w:pPr>
                      <w:jc w:val="center"/>
                      <w:rPr>
                        <w:sz w:val="20"/>
                      </w:rPr>
                    </w:pPr>
                    <w:r>
                      <w:rPr>
                        <w:sz w:val="20"/>
                      </w:rPr>
                      <w:t>10 (2033)</w:t>
                    </w:r>
                  </w:p>
                </w:tc>
              </w:tr>
              <w:tr>
                <w:trPr>
                  <w:trHeight w:val="78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P-14-02-02-02</w:t>
                    </w:r>
                  </w:p>
                </w:tc>
                <w:tc>
                  <w:tcPr>
                    <w:tcW w:w="4111" w:type="dxa"/>
                    <w:vAlign w:val="center"/>
                    <w:hideMark/>
                  </w:tcPr>
                  <w:p>
                    <w:pPr>
                      <w:rPr>
                        <w:sz w:val="20"/>
                      </w:rPr>
                    </w:pPr>
                    <w:r>
                      <w:rPr>
                        <w:sz w:val="20"/>
                      </w:rPr>
                      <w:t xml:space="preserve">Tvariu kuru (elektra, vandenilis) varomo viešojo transporto autobusų dalis nuo viso autoparko (proc.)  </w:t>
                    </w:r>
                  </w:p>
                </w:tc>
                <w:tc>
                  <w:tcPr>
                    <w:tcW w:w="1134" w:type="dxa"/>
                    <w:vAlign w:val="center"/>
                    <w:hideMark/>
                  </w:tcPr>
                  <w:p>
                    <w:pPr>
                      <w:jc w:val="center"/>
                      <w:rPr>
                        <w:sz w:val="20"/>
                      </w:rPr>
                    </w:pPr>
                    <w:r>
                      <w:rPr>
                        <w:sz w:val="20"/>
                      </w:rPr>
                      <w:t>Busturas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30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P-14-02-02-03</w:t>
                    </w:r>
                  </w:p>
                </w:tc>
                <w:tc>
                  <w:tcPr>
                    <w:tcW w:w="4111" w:type="dxa"/>
                    <w:vAlign w:val="center"/>
                    <w:hideMark/>
                  </w:tcPr>
                  <w:p>
                    <w:pPr>
                      <w:rPr>
                        <w:sz w:val="20"/>
                      </w:rPr>
                    </w:pPr>
                    <w:r>
                      <w:rPr>
                        <w:sz w:val="20"/>
                      </w:rPr>
                      <w:t xml:space="preserve">Stotelių su išmaniomis informacinėmis sistemomis skaičius (vnt.) </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20 (2033)</w:t>
                    </w:r>
                  </w:p>
                </w:tc>
              </w:tr>
              <w:tr>
                <w:trPr>
                  <w:trHeight w:val="26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P-14-02-02-04</w:t>
                    </w:r>
                  </w:p>
                </w:tc>
                <w:tc>
                  <w:tcPr>
                    <w:tcW w:w="4111" w:type="dxa"/>
                    <w:vAlign w:val="center"/>
                    <w:hideMark/>
                  </w:tcPr>
                  <w:p>
                    <w:pPr>
                      <w:rPr>
                        <w:sz w:val="20"/>
                      </w:rPr>
                    </w:pPr>
                    <w:r>
                      <w:rPr>
                        <w:sz w:val="20"/>
                      </w:rPr>
                      <w:t>Įdiegta E-bilieto sistema (vnt.)</w:t>
                    </w:r>
                  </w:p>
                </w:tc>
                <w:tc>
                  <w:tcPr>
                    <w:tcW w:w="1134" w:type="dxa"/>
                    <w:vAlign w:val="center"/>
                    <w:hideMark/>
                  </w:tcPr>
                  <w:p>
                    <w:pPr>
                      <w:jc w:val="center"/>
                      <w:rPr>
                        <w:sz w:val="20"/>
                      </w:rPr>
                    </w:pPr>
                    <w:r>
                      <w:rPr>
                        <w:sz w:val="20"/>
                      </w:rPr>
                      <w:t>Busturas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 (2026)</w:t>
                    </w:r>
                  </w:p>
                </w:tc>
              </w:tr>
              <w:tr>
                <w:trPr>
                  <w:trHeight w:val="27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P-14-02-02-05</w:t>
                    </w:r>
                  </w:p>
                </w:tc>
                <w:tc>
                  <w:tcPr>
                    <w:tcW w:w="4111" w:type="dxa"/>
                    <w:vAlign w:val="center"/>
                    <w:hideMark/>
                  </w:tcPr>
                  <w:p>
                    <w:pPr>
                      <w:rPr>
                        <w:sz w:val="20"/>
                      </w:rPr>
                    </w:pPr>
                    <w:r>
                      <w:rPr>
                        <w:sz w:val="20"/>
                      </w:rPr>
                      <w:t xml:space="preserve">Multimodalinių stotelių skaičius (vnt.) </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4 (2033)</w:t>
                    </w:r>
                  </w:p>
                </w:tc>
              </w:tr>
              <w:tr>
                <w:trPr>
                  <w:trHeight w:val="520"/>
                  <w:jc w:val="center"/>
                </w:trPr>
                <w:tc>
                  <w:tcPr>
                    <w:tcW w:w="988" w:type="dxa"/>
                    <w:vMerge w:val="restart"/>
                    <w:noWrap/>
                    <w:vAlign w:val="center"/>
                    <w:hideMark/>
                  </w:tcPr>
                  <w:p>
                    <w:pPr>
                      <w:rPr>
                        <w:sz w:val="20"/>
                      </w:rPr>
                    </w:pPr>
                    <w:r>
                      <w:rPr>
                        <w:sz w:val="20"/>
                      </w:rPr>
                      <w:t>14-02-03</w:t>
                    </w:r>
                  </w:p>
                </w:tc>
                <w:tc>
                  <w:tcPr>
                    <w:tcW w:w="2126" w:type="dxa"/>
                    <w:vMerge w:val="restart"/>
                    <w:vAlign w:val="center"/>
                    <w:hideMark/>
                  </w:tcPr>
                  <w:p>
                    <w:pPr>
                      <w:rPr>
                        <w:sz w:val="20"/>
                      </w:rPr>
                    </w:pPr>
                    <w:r>
                      <w:rPr>
                        <w:sz w:val="20"/>
                      </w:rPr>
                      <w:t>Atnaujinti pėsčiųjų takus</w:t>
                    </w:r>
                  </w:p>
                </w:tc>
                <w:tc>
                  <w:tcPr>
                    <w:tcW w:w="850" w:type="dxa"/>
                    <w:vMerge w:val="restart"/>
                    <w:noWrap/>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P-14-02-03-01</w:t>
                    </w:r>
                  </w:p>
                </w:tc>
                <w:tc>
                  <w:tcPr>
                    <w:tcW w:w="4111" w:type="dxa"/>
                    <w:vAlign w:val="center"/>
                    <w:hideMark/>
                  </w:tcPr>
                  <w:p>
                    <w:pPr>
                      <w:rPr>
                        <w:sz w:val="20"/>
                      </w:rPr>
                    </w:pPr>
                    <w:r>
                      <w:rPr>
                        <w:sz w:val="20"/>
                      </w:rPr>
                      <w:t>Atnaujintų / nutiestų pėsčiųjų takų ir šaligatvių ilgis (km)</w:t>
                    </w:r>
                  </w:p>
                </w:tc>
                <w:tc>
                  <w:tcPr>
                    <w:tcW w:w="1134" w:type="dxa"/>
                    <w:vAlign w:val="center"/>
                    <w:hideMark/>
                  </w:tcPr>
                  <w:p>
                    <w:pPr>
                      <w:rPr>
                        <w:sz w:val="20"/>
                      </w:rPr>
                    </w:pPr>
                    <w:r>
                      <w:rPr>
                        <w:sz w:val="20"/>
                      </w:rPr>
                      <w:t>MŪAS</w:t>
                    </w:r>
                  </w:p>
                </w:tc>
                <w:tc>
                  <w:tcPr>
                    <w:tcW w:w="1134" w:type="dxa"/>
                    <w:noWrap/>
                    <w:vAlign w:val="center"/>
                    <w:hideMark/>
                  </w:tcPr>
                  <w:p>
                    <w:pPr>
                      <w:rPr>
                        <w:sz w:val="20"/>
                      </w:rPr>
                    </w:pPr>
                    <w:r>
                      <w:rPr>
                        <w:sz w:val="20"/>
                      </w:rPr>
                      <w:t>66 (2023)</w:t>
                    </w:r>
                  </w:p>
                </w:tc>
                <w:tc>
                  <w:tcPr>
                    <w:tcW w:w="1134" w:type="dxa"/>
                    <w:noWrap/>
                    <w:vAlign w:val="center"/>
                    <w:hideMark/>
                  </w:tcPr>
                  <w:p>
                    <w:pPr>
                      <w:rPr>
                        <w:sz w:val="20"/>
                      </w:rPr>
                    </w:pPr>
                    <w:r>
                      <w:rPr>
                        <w:sz w:val="20"/>
                      </w:rPr>
                      <w:t>201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P-14-02-03-02</w:t>
                    </w:r>
                  </w:p>
                </w:tc>
                <w:tc>
                  <w:tcPr>
                    <w:tcW w:w="4111" w:type="dxa"/>
                    <w:vAlign w:val="center"/>
                    <w:hideMark/>
                  </w:tcPr>
                  <w:p>
                    <w:pPr>
                      <w:rPr>
                        <w:sz w:val="20"/>
                      </w:rPr>
                    </w:pPr>
                    <w:r>
                      <w:rPr>
                        <w:sz w:val="20"/>
                      </w:rPr>
                      <w:t>Atnaujintų / nutiestų pėsčiųjų takų ir šaligatvių ilgis D, Ds kategorijos gatvėse (km)</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n.d. (2023)</w:t>
                    </w:r>
                  </w:p>
                </w:tc>
                <w:tc>
                  <w:tcPr>
                    <w:tcW w:w="1134" w:type="dxa"/>
                    <w:noWrap/>
                    <w:vAlign w:val="center"/>
                    <w:hideMark/>
                  </w:tcPr>
                  <w:p>
                    <w:pPr>
                      <w:jc w:val="center"/>
                      <w:rPr>
                        <w:sz w:val="20"/>
                      </w:rPr>
                    </w:pPr>
                    <w:r>
                      <w:rPr>
                        <w:sz w:val="20"/>
                      </w:rPr>
                      <w:t>45 (2033)</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P-14-02-03-03</w:t>
                    </w:r>
                  </w:p>
                </w:tc>
                <w:tc>
                  <w:tcPr>
                    <w:tcW w:w="4111" w:type="dxa"/>
                    <w:vAlign w:val="center"/>
                    <w:hideMark/>
                  </w:tcPr>
                  <w:p>
                    <w:pPr>
                      <w:rPr>
                        <w:sz w:val="20"/>
                      </w:rPr>
                    </w:pPr>
                    <w:r>
                      <w:rPr>
                        <w:sz w:val="20"/>
                      </w:rPr>
                      <w:t>Įrengtų / atnaujintų pėsčiųjų takų bendras ilgis rekreacinėse teritorijose (km)</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0 (2025)</w:t>
                    </w:r>
                  </w:p>
                </w:tc>
                <w:tc>
                  <w:tcPr>
                    <w:tcW w:w="1134" w:type="dxa"/>
                    <w:noWrap/>
                    <w:vAlign w:val="center"/>
                    <w:hideMark/>
                  </w:tcPr>
                  <w:p>
                    <w:pPr>
                      <w:jc w:val="center"/>
                      <w:rPr>
                        <w:sz w:val="20"/>
                      </w:rPr>
                    </w:pPr>
                    <w:r>
                      <w:rPr>
                        <w:sz w:val="20"/>
                      </w:rPr>
                      <w:t>20 (2033)</w:t>
                    </w:r>
                  </w:p>
                </w:tc>
              </w:tr>
              <w:tr>
                <w:trPr>
                  <w:trHeight w:val="520"/>
                  <w:jc w:val="center"/>
                </w:trPr>
                <w:tc>
                  <w:tcPr>
                    <w:tcW w:w="988" w:type="dxa"/>
                    <w:vMerge w:val="restart"/>
                    <w:noWrap/>
                    <w:vAlign w:val="center"/>
                    <w:hideMark/>
                  </w:tcPr>
                  <w:p>
                    <w:pPr>
                      <w:rPr>
                        <w:sz w:val="20"/>
                      </w:rPr>
                    </w:pPr>
                    <w:r>
                      <w:rPr>
                        <w:sz w:val="20"/>
                      </w:rPr>
                      <w:t>14-02-04</w:t>
                    </w:r>
                  </w:p>
                </w:tc>
                <w:tc>
                  <w:tcPr>
                    <w:tcW w:w="2126" w:type="dxa"/>
                    <w:vMerge w:val="restart"/>
                    <w:vAlign w:val="center"/>
                    <w:hideMark/>
                  </w:tcPr>
                  <w:p>
                    <w:pPr>
                      <w:rPr>
                        <w:sz w:val="20"/>
                      </w:rPr>
                    </w:pPr>
                    <w:r>
                      <w:rPr>
                        <w:sz w:val="20"/>
                      </w:rPr>
                      <w:t>Atnaujinti esamas gatves ir mažinti transporto daromą neigiamą įtaką mieste</w:t>
                    </w:r>
                  </w:p>
                </w:tc>
                <w:tc>
                  <w:tcPr>
                    <w:tcW w:w="850" w:type="dxa"/>
                    <w:vMerge w:val="restart"/>
                    <w:noWrap/>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P-14-02-04-01</w:t>
                    </w:r>
                  </w:p>
                </w:tc>
                <w:tc>
                  <w:tcPr>
                    <w:tcW w:w="4111" w:type="dxa"/>
                    <w:shd w:val="clear" w:color="auto" w:fill="auto"/>
                    <w:vAlign w:val="center"/>
                    <w:hideMark/>
                  </w:tcPr>
                  <w:p>
                    <w:pPr>
                      <w:rPr>
                        <w:sz w:val="20"/>
                      </w:rPr>
                    </w:pPr>
                    <w:r>
                      <w:rPr>
                        <w:sz w:val="20"/>
                      </w:rPr>
                      <w:t>Atnaujintas asfalto važiuojamosios dalies dangos ilgis (km)</w:t>
                    </w:r>
                  </w:p>
                </w:tc>
                <w:tc>
                  <w:tcPr>
                    <w:tcW w:w="1134" w:type="dxa"/>
                    <w:vAlign w:val="center"/>
                    <w:hideMark/>
                  </w:tcPr>
                  <w:p>
                    <w:pPr>
                      <w:jc w:val="center"/>
                      <w:rPr>
                        <w:sz w:val="20"/>
                      </w:rPr>
                    </w:pPr>
                    <w:r>
                      <w:rPr>
                        <w:sz w:val="20"/>
                      </w:rPr>
                      <w:t>MŪAS</w:t>
                    </w:r>
                  </w:p>
                </w:tc>
                <w:tc>
                  <w:tcPr>
                    <w:tcW w:w="1134" w:type="dxa"/>
                    <w:vAlign w:val="center"/>
                    <w:hideMark/>
                  </w:tcPr>
                  <w:p>
                    <w:pPr>
                      <w:jc w:val="center"/>
                      <w:rPr>
                        <w:sz w:val="20"/>
                      </w:rPr>
                    </w:pPr>
                    <w:r>
                      <w:rPr>
                        <w:sz w:val="20"/>
                      </w:rPr>
                      <w:t xml:space="preserve">25,7 </w:t>
                      <w:br/>
                      <w:t>(2023)</w:t>
                    </w:r>
                  </w:p>
                </w:tc>
                <w:tc>
                  <w:tcPr>
                    <w:tcW w:w="1134" w:type="dxa"/>
                    <w:noWrap/>
                    <w:vAlign w:val="center"/>
                    <w:hideMark/>
                  </w:tcPr>
                  <w:p>
                    <w:pPr>
                      <w:jc w:val="center"/>
                      <w:rPr>
                        <w:sz w:val="20"/>
                      </w:rPr>
                    </w:pPr>
                    <w:r>
                      <w:rPr>
                        <w:sz w:val="20"/>
                      </w:rPr>
                      <w:t>50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P-14-02-04-02</w:t>
                    </w:r>
                  </w:p>
                </w:tc>
                <w:tc>
                  <w:tcPr>
                    <w:tcW w:w="4111" w:type="dxa"/>
                    <w:shd w:val="clear" w:color="auto" w:fill="auto"/>
                    <w:vAlign w:val="center"/>
                    <w:hideMark/>
                  </w:tcPr>
                  <w:p>
                    <w:pPr>
                      <w:rPr>
                        <w:sz w:val="20"/>
                      </w:rPr>
                    </w:pPr>
                    <w:r>
                      <w:rPr>
                        <w:sz w:val="20"/>
                      </w:rPr>
                      <w:t>Įrengtų dviejų lygių sankryžų su geležinkeliu ar aplinkkeliu skaičius (vnt.)</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2 (2033)</w:t>
                    </w:r>
                  </w:p>
                </w:tc>
              </w:tr>
              <w:tr>
                <w:trPr>
                  <w:trHeight w:val="386"/>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P-14-02-04-03</w:t>
                    </w:r>
                  </w:p>
                </w:tc>
                <w:tc>
                  <w:tcPr>
                    <w:tcW w:w="4111" w:type="dxa"/>
                    <w:shd w:val="clear" w:color="auto" w:fill="auto"/>
                    <w:vAlign w:val="center"/>
                    <w:hideMark/>
                  </w:tcPr>
                  <w:p>
                    <w:pPr>
                      <w:rPr>
                        <w:sz w:val="20"/>
                      </w:rPr>
                    </w:pPr>
                    <w:r>
                      <w:rPr>
                        <w:sz w:val="20"/>
                      </w:rPr>
                      <w:t>Įrengtų naujų gatvių su patobulinta danga ilgis (km)</w:t>
                    </w:r>
                  </w:p>
                </w:tc>
                <w:tc>
                  <w:tcPr>
                    <w:tcW w:w="1134" w:type="dxa"/>
                    <w:vAlign w:val="center"/>
                    <w:hideMark/>
                  </w:tcPr>
                  <w:p>
                    <w:pPr>
                      <w:jc w:val="center"/>
                      <w:rPr>
                        <w:sz w:val="20"/>
                      </w:rPr>
                    </w:pPr>
                    <w:r>
                      <w:rPr>
                        <w:sz w:val="20"/>
                      </w:rPr>
                      <w:t>MŪAS</w:t>
                    </w:r>
                  </w:p>
                </w:tc>
                <w:tc>
                  <w:tcPr>
                    <w:tcW w:w="1134" w:type="dxa"/>
                    <w:vAlign w:val="center"/>
                    <w:hideMark/>
                  </w:tcPr>
                  <w:p>
                    <w:pPr>
                      <w:jc w:val="center"/>
                      <w:rPr>
                        <w:sz w:val="20"/>
                      </w:rPr>
                    </w:pPr>
                    <w:r>
                      <w:rPr>
                        <w:sz w:val="20"/>
                      </w:rPr>
                      <w:t xml:space="preserve">5,5 </w:t>
                      <w:br/>
                      <w:t>(2023)</w:t>
                    </w:r>
                  </w:p>
                </w:tc>
                <w:tc>
                  <w:tcPr>
                    <w:tcW w:w="1134" w:type="dxa"/>
                    <w:noWrap/>
                    <w:vAlign w:val="center"/>
                    <w:hideMark/>
                  </w:tcPr>
                  <w:p>
                    <w:pPr>
                      <w:jc w:val="center"/>
                      <w:rPr>
                        <w:sz w:val="20"/>
                      </w:rPr>
                    </w:pPr>
                    <w:r>
                      <w:rPr>
                        <w:sz w:val="20"/>
                      </w:rPr>
                      <w:t>15,5 (2033)</w:t>
                    </w:r>
                  </w:p>
                </w:tc>
              </w:tr>
              <w:tr>
                <w:trPr>
                  <w:trHeight w:val="335"/>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P-14-02-04-04</w:t>
                    </w:r>
                  </w:p>
                </w:tc>
                <w:tc>
                  <w:tcPr>
                    <w:tcW w:w="4111" w:type="dxa"/>
                    <w:shd w:val="clear" w:color="auto" w:fill="auto"/>
                    <w:vAlign w:val="center"/>
                    <w:hideMark/>
                  </w:tcPr>
                  <w:p>
                    <w:pPr>
                      <w:rPr>
                        <w:sz w:val="20"/>
                      </w:rPr>
                    </w:pPr>
                    <w:r>
                      <w:rPr>
                        <w:sz w:val="20"/>
                      </w:rPr>
                      <w:t>Įrengtos dangos ilgis gatvėse, kurios neturėjo dangos (km)</w:t>
                    </w:r>
                  </w:p>
                </w:tc>
                <w:tc>
                  <w:tcPr>
                    <w:tcW w:w="1134" w:type="dxa"/>
                    <w:vAlign w:val="center"/>
                    <w:hideMark/>
                  </w:tcPr>
                  <w:p>
                    <w:pPr>
                      <w:jc w:val="center"/>
                      <w:rPr>
                        <w:sz w:val="20"/>
                      </w:rPr>
                    </w:pPr>
                    <w:r>
                      <w:rPr>
                        <w:sz w:val="20"/>
                      </w:rPr>
                      <w:t>MŪAS</w:t>
                    </w:r>
                  </w:p>
                </w:tc>
                <w:tc>
                  <w:tcPr>
                    <w:tcW w:w="1134" w:type="dxa"/>
                    <w:vAlign w:val="center"/>
                    <w:hideMark/>
                  </w:tcPr>
                  <w:p>
                    <w:pPr>
                      <w:jc w:val="center"/>
                      <w:rPr>
                        <w:sz w:val="20"/>
                      </w:rPr>
                    </w:pPr>
                    <w:r>
                      <w:rPr>
                        <w:sz w:val="20"/>
                      </w:rPr>
                      <w:t xml:space="preserve">15,3 </w:t>
                      <w:br/>
                      <w:t>(2019 - 2023)</w:t>
                    </w:r>
                  </w:p>
                </w:tc>
                <w:tc>
                  <w:tcPr>
                    <w:tcW w:w="1134" w:type="dxa"/>
                    <w:noWrap/>
                    <w:vAlign w:val="center"/>
                    <w:hideMark/>
                  </w:tcPr>
                  <w:p>
                    <w:pPr>
                      <w:jc w:val="center"/>
                      <w:rPr>
                        <w:sz w:val="20"/>
                      </w:rPr>
                    </w:pPr>
                    <w:r>
                      <w:rPr>
                        <w:sz w:val="20"/>
                      </w:rPr>
                      <w:t>70,3 (2033)</w:t>
                    </w:r>
                  </w:p>
                </w:tc>
              </w:tr>
              <w:tr>
                <w:trPr>
                  <w:trHeight w:val="629"/>
                  <w:jc w:val="center"/>
                </w:trPr>
                <w:tc>
                  <w:tcPr>
                    <w:tcW w:w="988" w:type="dxa"/>
                    <w:noWrap/>
                    <w:vAlign w:val="center"/>
                    <w:hideMark/>
                  </w:tcPr>
                  <w:p>
                    <w:pPr>
                      <w:rPr>
                        <w:sz w:val="20"/>
                      </w:rPr>
                    </w:pPr>
                    <w:r>
                      <w:rPr>
                        <w:sz w:val="20"/>
                      </w:rPr>
                      <w:t>14-02-05</w:t>
                    </w:r>
                  </w:p>
                </w:tc>
                <w:tc>
                  <w:tcPr>
                    <w:tcW w:w="2126" w:type="dxa"/>
                    <w:vAlign w:val="center"/>
                    <w:hideMark/>
                  </w:tcPr>
                  <w:p>
                    <w:pPr>
                      <w:rPr>
                        <w:sz w:val="20"/>
                      </w:rPr>
                    </w:pPr>
                    <w:r>
                      <w:rPr>
                        <w:sz w:val="20"/>
                      </w:rPr>
                      <w:t>Plėtoti elektromobilių pakrovimo stotelių tinklą</w:t>
                    </w:r>
                  </w:p>
                </w:tc>
                <w:tc>
                  <w:tcPr>
                    <w:tcW w:w="850" w:type="dxa"/>
                    <w:noWrap/>
                    <w:vAlign w:val="center"/>
                    <w:hideMark/>
                  </w:tcPr>
                  <w:p>
                    <w:pPr>
                      <w:jc w:val="center"/>
                      <w:rPr>
                        <w:sz w:val="20"/>
                      </w:rPr>
                    </w:pPr>
                    <w:r>
                      <w:rPr>
                        <w:sz w:val="20"/>
                      </w:rPr>
                      <w:t>MŪAS</w:t>
                    </w:r>
                  </w:p>
                </w:tc>
                <w:tc>
                  <w:tcPr>
                    <w:tcW w:w="709" w:type="dxa"/>
                    <w:noWrap/>
                    <w:vAlign w:val="center"/>
                    <w:hideMark/>
                  </w:tcPr>
                  <w:p>
                    <w:pPr>
                      <w:jc w:val="center"/>
                      <w:rPr>
                        <w:sz w:val="20"/>
                      </w:rPr>
                    </w:pPr>
                    <w:r>
                      <w:rPr>
                        <w:sz w:val="20"/>
                      </w:rPr>
                      <w:t>2025</w:t>
                    </w:r>
                  </w:p>
                </w:tc>
                <w:tc>
                  <w:tcPr>
                    <w:tcW w:w="709" w:type="dxa"/>
                    <w:noWrap/>
                    <w:vAlign w:val="center"/>
                    <w:hideMark/>
                  </w:tcPr>
                  <w:p>
                    <w:pPr>
                      <w:jc w:val="center"/>
                      <w:rPr>
                        <w:sz w:val="20"/>
                      </w:rPr>
                    </w:pPr>
                    <w:r>
                      <w:rPr>
                        <w:sz w:val="20"/>
                      </w:rPr>
                      <w:t>2033</w:t>
                    </w:r>
                  </w:p>
                </w:tc>
                <w:tc>
                  <w:tcPr>
                    <w:tcW w:w="1417" w:type="dxa"/>
                    <w:noWrap/>
                    <w:vAlign w:val="center"/>
                    <w:hideMark/>
                  </w:tcPr>
                  <w:p>
                    <w:pPr>
                      <w:rPr>
                        <w:sz w:val="20"/>
                      </w:rPr>
                    </w:pPr>
                    <w:r>
                      <w:rPr>
                        <w:sz w:val="20"/>
                      </w:rPr>
                      <w:t>P-14-02-05-01</w:t>
                    </w:r>
                  </w:p>
                </w:tc>
                <w:tc>
                  <w:tcPr>
                    <w:tcW w:w="4111" w:type="dxa"/>
                    <w:vAlign w:val="center"/>
                    <w:hideMark/>
                  </w:tcPr>
                  <w:p>
                    <w:pPr>
                      <w:rPr>
                        <w:sz w:val="20"/>
                      </w:rPr>
                    </w:pPr>
                    <w:r>
                      <w:rPr>
                        <w:sz w:val="20"/>
                      </w:rPr>
                      <w:t>Viešų elektromobilių pakrovimo stotelių skaičius (vnt.)</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7 (2022)</w:t>
                    </w:r>
                  </w:p>
                </w:tc>
                <w:tc>
                  <w:tcPr>
                    <w:tcW w:w="1134" w:type="dxa"/>
                    <w:noWrap/>
                    <w:vAlign w:val="center"/>
                    <w:hideMark/>
                  </w:tcPr>
                  <w:p>
                    <w:pPr>
                      <w:jc w:val="center"/>
                      <w:rPr>
                        <w:sz w:val="20"/>
                      </w:rPr>
                    </w:pPr>
                    <w:r>
                      <w:rPr>
                        <w:sz w:val="20"/>
                      </w:rPr>
                      <w:t>93 (2033)</w:t>
                    </w:r>
                  </w:p>
                </w:tc>
              </w:tr>
              <w:tr>
                <w:trPr>
                  <w:trHeight w:val="252"/>
                  <w:jc w:val="center"/>
                </w:trPr>
                <w:tc>
                  <w:tcPr>
                    <w:tcW w:w="988" w:type="dxa"/>
                    <w:vMerge w:val="restart"/>
                    <w:noWrap/>
                    <w:vAlign w:val="center"/>
                    <w:hideMark/>
                  </w:tcPr>
                  <w:p>
                    <w:pPr>
                      <w:rPr>
                        <w:sz w:val="20"/>
                      </w:rPr>
                    </w:pPr>
                    <w:r>
                      <w:rPr>
                        <w:sz w:val="20"/>
                      </w:rPr>
                      <w:t>14-02-06</w:t>
                    </w:r>
                  </w:p>
                </w:tc>
                <w:tc>
                  <w:tcPr>
                    <w:tcW w:w="2126" w:type="dxa"/>
                    <w:vMerge w:val="restart"/>
                    <w:hideMark/>
                  </w:tcPr>
                  <w:p>
                    <w:pPr>
                      <w:rPr>
                        <w:sz w:val="20"/>
                      </w:rPr>
                    </w:pPr>
                    <w:r>
                      <w:rPr>
                        <w:sz w:val="20"/>
                      </w:rPr>
                      <w:t>Plėsti saugumą didinančių priemonių kiekį mieste</w:t>
                    </w:r>
                  </w:p>
                </w:tc>
                <w:tc>
                  <w:tcPr>
                    <w:tcW w:w="850" w:type="dxa"/>
                    <w:vMerge w:val="restart"/>
                    <w:noWrap/>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P-14-02-06-01</w:t>
                    </w:r>
                  </w:p>
                </w:tc>
                <w:tc>
                  <w:tcPr>
                    <w:tcW w:w="4111" w:type="dxa"/>
                    <w:vAlign w:val="center"/>
                    <w:hideMark/>
                  </w:tcPr>
                  <w:p>
                    <w:pPr>
                      <w:rPr>
                        <w:sz w:val="20"/>
                      </w:rPr>
                    </w:pPr>
                    <w:r>
                      <w:rPr>
                        <w:sz w:val="20"/>
                      </w:rPr>
                      <w:t>Vaizdo stebėjimo kamerų skaičius mieste (vnt.)</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149 (2023)</w:t>
                    </w:r>
                  </w:p>
                </w:tc>
                <w:tc>
                  <w:tcPr>
                    <w:tcW w:w="1134" w:type="dxa"/>
                    <w:noWrap/>
                    <w:vAlign w:val="center"/>
                    <w:hideMark/>
                  </w:tcPr>
                  <w:p>
                    <w:pPr>
                      <w:jc w:val="center"/>
                      <w:rPr>
                        <w:sz w:val="20"/>
                      </w:rPr>
                    </w:pPr>
                    <w:r>
                      <w:rPr>
                        <w:sz w:val="20"/>
                      </w:rPr>
                      <w:t>200 (2033)</w:t>
                    </w:r>
                  </w:p>
                </w:tc>
              </w:tr>
              <w:tr>
                <w:trPr>
                  <w:trHeight w:val="33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P-14-02-06-02</w:t>
                    </w:r>
                  </w:p>
                </w:tc>
                <w:tc>
                  <w:tcPr>
                    <w:tcW w:w="4111" w:type="dxa"/>
                    <w:vAlign w:val="center"/>
                    <w:hideMark/>
                  </w:tcPr>
                  <w:p>
                    <w:pPr>
                      <w:rPr>
                        <w:sz w:val="20"/>
                      </w:rPr>
                    </w:pPr>
                    <w:r>
                      <w:rPr>
                        <w:sz w:val="20"/>
                      </w:rPr>
                      <w:t>Įrengtų saugių pėsčiųjų perėjų skaičius (vnt.)</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10 (2023)</w:t>
                    </w:r>
                  </w:p>
                </w:tc>
                <w:tc>
                  <w:tcPr>
                    <w:tcW w:w="1134" w:type="dxa"/>
                    <w:noWrap/>
                    <w:vAlign w:val="center"/>
                    <w:hideMark/>
                  </w:tcPr>
                  <w:p>
                    <w:pPr>
                      <w:jc w:val="center"/>
                      <w:rPr>
                        <w:sz w:val="20"/>
                      </w:rPr>
                    </w:pPr>
                    <w:r>
                      <w:rPr>
                        <w:sz w:val="20"/>
                      </w:rPr>
                      <w:t>100 (2033)</w:t>
                    </w:r>
                  </w:p>
                </w:tc>
              </w:tr>
              <w:tr>
                <w:trPr>
                  <w:trHeight w:val="35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P-14-02-06-03</w:t>
                    </w:r>
                  </w:p>
                </w:tc>
                <w:tc>
                  <w:tcPr>
                    <w:tcW w:w="4111" w:type="dxa"/>
                    <w:vAlign w:val="center"/>
                    <w:hideMark/>
                  </w:tcPr>
                  <w:p>
                    <w:pPr>
                      <w:rPr>
                        <w:sz w:val="20"/>
                      </w:rPr>
                    </w:pPr>
                    <w:r>
                      <w:rPr>
                        <w:sz w:val="20"/>
                      </w:rPr>
                      <w:t>Atnaujintų / įrengtų sankryžų, kuriose numatytos saugos priemonės, skaičius (vnt.)</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9 (2023)</w:t>
                    </w:r>
                  </w:p>
                </w:tc>
                <w:tc>
                  <w:tcPr>
                    <w:tcW w:w="1134" w:type="dxa"/>
                    <w:noWrap/>
                    <w:vAlign w:val="center"/>
                    <w:hideMark/>
                  </w:tcPr>
                  <w:p>
                    <w:pPr>
                      <w:jc w:val="center"/>
                      <w:rPr>
                        <w:sz w:val="20"/>
                      </w:rPr>
                    </w:pPr>
                    <w:r>
                      <w:rPr>
                        <w:sz w:val="20"/>
                      </w:rPr>
                      <w:t>18 (2033)</w:t>
                    </w:r>
                  </w:p>
                </w:tc>
              </w:tr>
              <w:tr>
                <w:trPr>
                  <w:trHeight w:val="452"/>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P-14-02-06-04</w:t>
                    </w:r>
                  </w:p>
                </w:tc>
                <w:tc>
                  <w:tcPr>
                    <w:tcW w:w="4111" w:type="dxa"/>
                    <w:vAlign w:val="center"/>
                    <w:hideMark/>
                  </w:tcPr>
                  <w:p>
                    <w:pPr>
                      <w:rPr>
                        <w:sz w:val="20"/>
                      </w:rPr>
                    </w:pPr>
                    <w:r>
                      <w:rPr>
                        <w:sz w:val="20"/>
                      </w:rPr>
                      <w:t>Įskaitinių eismo įvykių mieste skaičius 1 tūkst. gyventojų (vnt.)</w:t>
                    </w:r>
                  </w:p>
                </w:tc>
                <w:tc>
                  <w:tcPr>
                    <w:tcW w:w="1134" w:type="dxa"/>
                    <w:vAlign w:val="center"/>
                    <w:hideMark/>
                  </w:tcPr>
                  <w:p>
                    <w:pPr>
                      <w:jc w:val="center"/>
                      <w:rPr>
                        <w:sz w:val="20"/>
                      </w:rPr>
                    </w:pPr>
                    <w:r>
                      <w:rPr>
                        <w:sz w:val="20"/>
                      </w:rPr>
                      <w:t>MŪAS</w:t>
                    </w:r>
                  </w:p>
                </w:tc>
                <w:tc>
                  <w:tcPr>
                    <w:tcW w:w="1134" w:type="dxa"/>
                    <w:noWrap/>
                    <w:vAlign w:val="center"/>
                    <w:hideMark/>
                  </w:tcPr>
                  <w:p>
                    <w:pPr>
                      <w:jc w:val="center"/>
                      <w:rPr>
                        <w:sz w:val="20"/>
                      </w:rPr>
                    </w:pPr>
                    <w:r>
                      <w:rPr>
                        <w:sz w:val="20"/>
                      </w:rPr>
                      <w:t>1,1 (2022)</w:t>
                    </w:r>
                  </w:p>
                </w:tc>
                <w:tc>
                  <w:tcPr>
                    <w:tcW w:w="1134" w:type="dxa"/>
                    <w:noWrap/>
                    <w:vAlign w:val="center"/>
                    <w:hideMark/>
                  </w:tcPr>
                  <w:p>
                    <w:pPr>
                      <w:jc w:val="center"/>
                      <w:rPr>
                        <w:sz w:val="20"/>
                      </w:rPr>
                    </w:pPr>
                    <w:r>
                      <w:rPr>
                        <w:sz w:val="20"/>
                      </w:rPr>
                      <w:t xml:space="preserve">0  (2033)</w:t>
                    </w:r>
                  </w:p>
                </w:tc>
              </w:tr>
              <w:tr>
                <w:trPr>
                  <w:trHeight w:val="399"/>
                  <w:jc w:val="center"/>
                </w:trPr>
                <w:tc>
                  <w:tcPr>
                    <w:tcW w:w="988" w:type="dxa"/>
                    <w:vMerge w:val="restart"/>
                    <w:shd w:val="clear" w:color="auto" w:fill="FCE4D6"/>
                    <w:noWrap/>
                    <w:vAlign w:val="center"/>
                    <w:hideMark/>
                  </w:tcPr>
                  <w:p>
                    <w:pPr>
                      <w:rPr>
                        <w:b/>
                        <w:bCs/>
                        <w:sz w:val="20"/>
                      </w:rPr>
                    </w:pPr>
                    <w:r>
                      <w:rPr>
                        <w:b/>
                        <w:bCs/>
                        <w:sz w:val="20"/>
                      </w:rPr>
                      <w:t>14-03</w:t>
                    </w:r>
                  </w:p>
                </w:tc>
                <w:tc>
                  <w:tcPr>
                    <w:tcW w:w="2126" w:type="dxa"/>
                    <w:vMerge w:val="restart"/>
                    <w:shd w:val="clear" w:color="auto" w:fill="FCE4D6"/>
                    <w:vAlign w:val="center"/>
                    <w:hideMark/>
                  </w:tcPr>
                  <w:p>
                    <w:pPr>
                      <w:rPr>
                        <w:b/>
                        <w:bCs/>
                        <w:sz w:val="20"/>
                      </w:rPr>
                    </w:pPr>
                    <w:r>
                      <w:rPr>
                        <w:b/>
                        <w:bCs/>
                        <w:sz w:val="20"/>
                      </w:rPr>
                      <w:t>Užtikrinti tvarią, kokybišką miesto infrastruktūros plėtrą</w:t>
                    </w:r>
                  </w:p>
                </w:tc>
                <w:tc>
                  <w:tcPr>
                    <w:tcW w:w="850" w:type="dxa"/>
                    <w:vMerge w:val="restart"/>
                    <w:shd w:val="clear" w:color="auto" w:fill="FCE4D6"/>
                    <w:noWrap/>
                    <w:vAlign w:val="center"/>
                    <w:hideMark/>
                  </w:tcPr>
                  <w:p>
                    <w:pPr>
                      <w:jc w:val="center"/>
                      <w:rPr>
                        <w:sz w:val="20"/>
                      </w:rPr>
                    </w:pPr>
                    <w:r>
                      <w:rPr>
                        <w:sz w:val="20"/>
                      </w:rPr>
                      <w:t>MPPS</w:t>
                    </w:r>
                  </w:p>
                </w:tc>
                <w:tc>
                  <w:tcPr>
                    <w:tcW w:w="709" w:type="dxa"/>
                    <w:vMerge w:val="restart"/>
                    <w:shd w:val="clear" w:color="auto" w:fill="FCE4D6"/>
                    <w:noWrap/>
                    <w:vAlign w:val="center"/>
                    <w:hideMark/>
                  </w:tcPr>
                  <w:p>
                    <w:pPr>
                      <w:jc w:val="center"/>
                      <w:rPr>
                        <w:sz w:val="20"/>
                      </w:rPr>
                    </w:pPr>
                    <w:r>
                      <w:rPr>
                        <w:sz w:val="20"/>
                      </w:rPr>
                      <w:t>2025</w:t>
                    </w:r>
                  </w:p>
                </w:tc>
                <w:tc>
                  <w:tcPr>
                    <w:tcW w:w="709" w:type="dxa"/>
                    <w:vMerge w:val="restart"/>
                    <w:shd w:val="clear" w:color="auto" w:fill="FCE4D6"/>
                    <w:noWrap/>
                    <w:vAlign w:val="center"/>
                    <w:hideMark/>
                  </w:tcPr>
                  <w:p>
                    <w:pPr>
                      <w:jc w:val="center"/>
                      <w:rPr>
                        <w:sz w:val="20"/>
                      </w:rPr>
                    </w:pPr>
                    <w:r>
                      <w:rPr>
                        <w:sz w:val="20"/>
                      </w:rPr>
                      <w:t>2033</w:t>
                    </w:r>
                  </w:p>
                </w:tc>
                <w:tc>
                  <w:tcPr>
                    <w:tcW w:w="1417" w:type="dxa"/>
                    <w:tcBorders>
                      <w:bottom w:val="single" w:sz="4" w:space="0" w:color="auto"/>
                    </w:tcBorders>
                    <w:shd w:val="clear" w:color="auto" w:fill="FCE4D6"/>
                    <w:noWrap/>
                    <w:vAlign w:val="center"/>
                    <w:hideMark/>
                  </w:tcPr>
                  <w:p>
                    <w:pPr>
                      <w:rPr>
                        <w:sz w:val="20"/>
                      </w:rPr>
                    </w:pPr>
                    <w:r>
                      <w:rPr>
                        <w:sz w:val="20"/>
                      </w:rPr>
                      <w:t>R-14-03-01</w:t>
                    </w:r>
                  </w:p>
                </w:tc>
                <w:tc>
                  <w:tcPr>
                    <w:tcW w:w="4111" w:type="dxa"/>
                    <w:tcBorders>
                      <w:bottom w:val="single" w:sz="4" w:space="0" w:color="auto"/>
                    </w:tcBorders>
                    <w:shd w:val="clear" w:color="auto" w:fill="FCE4D6"/>
                    <w:vAlign w:val="center"/>
                    <w:hideMark/>
                  </w:tcPr>
                  <w:p>
                    <w:pPr>
                      <w:rPr>
                        <w:sz w:val="20"/>
                      </w:rPr>
                    </w:pPr>
                    <w:r>
                      <w:rPr>
                        <w:sz w:val="20"/>
                      </w:rPr>
                      <w:t>Renovuotų daugiabučių dalis nuo visų renovuotinų daugiabučių (proc.)</w:t>
                    </w:r>
                  </w:p>
                </w:tc>
                <w:tc>
                  <w:tcPr>
                    <w:tcW w:w="1134" w:type="dxa"/>
                    <w:tcBorders>
                      <w:bottom w:val="single" w:sz="4" w:space="0" w:color="auto"/>
                    </w:tcBorders>
                    <w:shd w:val="clear" w:color="auto" w:fill="FCE4D6"/>
                    <w:vAlign w:val="center"/>
                    <w:hideMark/>
                  </w:tcPr>
                  <w:p>
                    <w:pPr>
                      <w:jc w:val="center"/>
                      <w:rPr>
                        <w:sz w:val="20"/>
                      </w:rPr>
                    </w:pPr>
                    <w:r>
                      <w:rPr>
                        <w:sz w:val="20"/>
                      </w:rPr>
                      <w:t>ŠMSA (SRS)</w:t>
                    </w:r>
                  </w:p>
                </w:tc>
                <w:tc>
                  <w:tcPr>
                    <w:tcW w:w="1134" w:type="dxa"/>
                    <w:tcBorders>
                      <w:bottom w:val="single" w:sz="4" w:space="0" w:color="auto"/>
                    </w:tcBorders>
                    <w:shd w:val="clear" w:color="auto" w:fill="FCE4D6"/>
                    <w:noWrap/>
                    <w:vAlign w:val="center"/>
                    <w:hideMark/>
                  </w:tcPr>
                  <w:p>
                    <w:pPr>
                      <w:jc w:val="center"/>
                      <w:rPr>
                        <w:sz w:val="20"/>
                      </w:rPr>
                    </w:pPr>
                    <w:r>
                      <w:rPr>
                        <w:sz w:val="20"/>
                      </w:rPr>
                      <w:t>6 (2023)</w:t>
                    </w:r>
                  </w:p>
                </w:tc>
                <w:tc>
                  <w:tcPr>
                    <w:tcW w:w="1134" w:type="dxa"/>
                    <w:tcBorders>
                      <w:bottom w:val="single" w:sz="4" w:space="0" w:color="auto"/>
                    </w:tcBorders>
                    <w:shd w:val="clear" w:color="auto" w:fill="FCE4D6"/>
                    <w:noWrap/>
                    <w:vAlign w:val="center"/>
                    <w:hideMark/>
                  </w:tcPr>
                  <w:p>
                    <w:pPr>
                      <w:jc w:val="center"/>
                      <w:rPr>
                        <w:sz w:val="20"/>
                      </w:rPr>
                    </w:pPr>
                    <w:r>
                      <w:rPr>
                        <w:sz w:val="20"/>
                      </w:rPr>
                      <w:t>15 (2033)</w:t>
                    </w:r>
                  </w:p>
                </w:tc>
              </w:tr>
              <w:tr>
                <w:trPr>
                  <w:trHeight w:val="465"/>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tcBorders>
                      <w:top w:val="single" w:sz="4" w:space="0" w:color="auto"/>
                      <w:left w:val="single" w:sz="4" w:space="0" w:color="auto"/>
                      <w:bottom w:val="single" w:sz="4" w:space="0" w:color="auto"/>
                      <w:right w:val="single" w:sz="4" w:space="0" w:color="auto"/>
                    </w:tcBorders>
                    <w:shd w:val="clear" w:color="000000" w:fill="FCE4D6"/>
                    <w:noWrap/>
                    <w:vAlign w:val="center"/>
                  </w:tcPr>
                  <w:p>
                    <w:pPr>
                      <w:rPr>
                        <w:sz w:val="20"/>
                      </w:rPr>
                    </w:pPr>
                    <w:r>
                      <w:rPr>
                        <w:rFonts w:eastAsia="MS Mincho"/>
                        <w:color w:val="000000"/>
                        <w:kern w:val="2"/>
                        <w:sz w:val="20"/>
                      </w:rPr>
                      <w:t>R-14-03-02</w:t>
                    </w:r>
                  </w:p>
                </w:tc>
                <w:tc>
                  <w:tcPr>
                    <w:tcW w:w="4111" w:type="dxa"/>
                    <w:tcBorders>
                      <w:top w:val="single" w:sz="4" w:space="0" w:color="auto"/>
                      <w:left w:val="nil"/>
                      <w:bottom w:val="single" w:sz="4" w:space="0" w:color="auto"/>
                      <w:right w:val="single" w:sz="4" w:space="0" w:color="auto"/>
                    </w:tcBorders>
                    <w:shd w:val="clear" w:color="000000" w:fill="FCE4D6"/>
                    <w:vAlign w:val="center"/>
                  </w:tcPr>
                  <w:p>
                    <w:pPr>
                      <w:rPr>
                        <w:sz w:val="20"/>
                      </w:rPr>
                    </w:pPr>
                    <w:r>
                      <w:rPr>
                        <w:rFonts w:eastAsia="MS Mincho"/>
                        <w:kern w:val="2"/>
                        <w:sz w:val="20"/>
                      </w:rPr>
                      <w:t>Naujai suplanuotų / atnaujintų viešųjų erdvių plotas 1 gyventojui (m²)</w:t>
                    </w:r>
                  </w:p>
                </w:tc>
                <w:tc>
                  <w:tcPr>
                    <w:tcW w:w="1134" w:type="dxa"/>
                    <w:tcBorders>
                      <w:top w:val="single" w:sz="4" w:space="0" w:color="auto"/>
                      <w:left w:val="single" w:sz="4" w:space="0" w:color="auto"/>
                      <w:bottom w:val="single" w:sz="4" w:space="0" w:color="auto"/>
                      <w:right w:val="single" w:sz="4" w:space="0" w:color="auto"/>
                    </w:tcBorders>
                    <w:shd w:val="clear" w:color="000000" w:fill="FCE4D6"/>
                    <w:vAlign w:val="center"/>
                  </w:tcPr>
                  <w:p>
                    <w:pPr>
                      <w:jc w:val="center"/>
                      <w:rPr>
                        <w:sz w:val="20"/>
                      </w:rPr>
                    </w:pPr>
                    <w:r>
                      <w:rPr>
                        <w:rFonts w:ascii="Calibri" w:eastAsia="MS Mincho" w:hAnsi="Calibri" w:cs="Calibri"/>
                        <w:color w:val="000000"/>
                        <w:kern w:val="2"/>
                        <w:sz w:val="20"/>
                      </w:rPr>
                      <w:t>ŠMSA (MPPS)</w:t>
                    </w:r>
                  </w:p>
                </w:tc>
                <w:tc>
                  <w:tcPr>
                    <w:tcW w:w="1134" w:type="dxa"/>
                    <w:tcBorders>
                      <w:top w:val="single" w:sz="4" w:space="0" w:color="auto"/>
                      <w:left w:val="nil"/>
                      <w:bottom w:val="single" w:sz="4" w:space="0" w:color="auto"/>
                      <w:right w:val="single" w:sz="4" w:space="0" w:color="auto"/>
                    </w:tcBorders>
                    <w:shd w:val="clear" w:color="000000" w:fill="FCE4D6"/>
                    <w:noWrap/>
                    <w:vAlign w:val="center"/>
                  </w:tcPr>
                  <w:p>
                    <w:pPr>
                      <w:jc w:val="center"/>
                      <w:rPr>
                        <w:sz w:val="20"/>
                      </w:rPr>
                    </w:pPr>
                    <w:r>
                      <w:rPr>
                        <w:rFonts w:ascii="Calibri" w:eastAsia="MS Mincho" w:hAnsi="Calibri" w:cs="Calibri"/>
                        <w:color w:val="000000"/>
                        <w:kern w:val="2"/>
                        <w:sz w:val="20"/>
                      </w:rPr>
                      <w:t>n.d. (2023)</w:t>
                    </w:r>
                  </w:p>
                </w:tc>
                <w:tc>
                  <w:tcPr>
                    <w:tcW w:w="1134" w:type="dxa"/>
                    <w:tcBorders>
                      <w:top w:val="single" w:sz="4" w:space="0" w:color="auto"/>
                      <w:left w:val="nil"/>
                      <w:bottom w:val="single" w:sz="4" w:space="0" w:color="auto"/>
                      <w:right w:val="single" w:sz="4" w:space="0" w:color="auto"/>
                    </w:tcBorders>
                    <w:shd w:val="clear" w:color="000000" w:fill="FCE4D6"/>
                    <w:noWrap/>
                    <w:vAlign w:val="center"/>
                  </w:tcPr>
                  <w:p>
                    <w:pPr>
                      <w:jc w:val="center"/>
                      <w:rPr>
                        <w:sz w:val="20"/>
                      </w:rPr>
                    </w:pPr>
                    <w:r>
                      <w:rPr>
                        <w:rFonts w:ascii="Calibri" w:eastAsia="MS Mincho" w:hAnsi="Calibri" w:cs="Calibri"/>
                        <w:color w:val="000000"/>
                        <w:kern w:val="2"/>
                        <w:sz w:val="20"/>
                      </w:rPr>
                      <w:t>1,3 (2033)</w:t>
                    </w:r>
                  </w:p>
                </w:tc>
              </w:tr>
              <w:tr>
                <w:trPr>
                  <w:trHeight w:val="286"/>
                  <w:jc w:val="center"/>
                </w:trPr>
                <w:tc>
                  <w:tcPr>
                    <w:tcW w:w="988" w:type="dxa"/>
                    <w:vMerge w:val="restart"/>
                    <w:noWrap/>
                    <w:vAlign w:val="center"/>
                  </w:tcPr>
                  <w:p>
                    <w:pPr>
                      <w:rPr>
                        <w:sz w:val="20"/>
                      </w:rPr>
                    </w:pPr>
                    <w:r>
                      <w:rPr>
                        <w:sz w:val="20"/>
                      </w:rPr>
                      <w:t>14-03-01</w:t>
                    </w:r>
                  </w:p>
                </w:tc>
                <w:tc>
                  <w:tcPr>
                    <w:tcW w:w="2126" w:type="dxa"/>
                    <w:vMerge w:val="restart"/>
                    <w:vAlign w:val="center"/>
                  </w:tcPr>
                  <w:p>
                    <w:pPr>
                      <w:rPr>
                        <w:sz w:val="20"/>
                      </w:rPr>
                    </w:pPr>
                    <w:r>
                      <w:rPr>
                        <w:sz w:val="20"/>
                      </w:rPr>
                      <w:t>Atnaujinti esamas ir suplanuoti naujas viešąsias erdves</w:t>
                    </w:r>
                  </w:p>
                </w:tc>
                <w:tc>
                  <w:tcPr>
                    <w:tcW w:w="850" w:type="dxa"/>
                    <w:vMerge w:val="restart"/>
                    <w:noWrap/>
                    <w:vAlign w:val="center"/>
                  </w:tcPr>
                  <w:p>
                    <w:pPr>
                      <w:jc w:val="center"/>
                      <w:rPr>
                        <w:sz w:val="20"/>
                      </w:rPr>
                    </w:pPr>
                    <w:r>
                      <w:rPr>
                        <w:sz w:val="20"/>
                      </w:rPr>
                      <w:t>MPPS</w:t>
                    </w:r>
                  </w:p>
                </w:tc>
                <w:tc>
                  <w:tcPr>
                    <w:tcW w:w="709" w:type="dxa"/>
                    <w:vMerge w:val="restart"/>
                    <w:noWrap/>
                    <w:vAlign w:val="center"/>
                  </w:tcPr>
                  <w:p>
                    <w:pPr>
                      <w:jc w:val="center"/>
                      <w:rPr>
                        <w:sz w:val="20"/>
                      </w:rPr>
                    </w:pPr>
                    <w:r>
                      <w:rPr>
                        <w:sz w:val="20"/>
                      </w:rPr>
                      <w:t>2025</w:t>
                    </w:r>
                  </w:p>
                </w:tc>
                <w:tc>
                  <w:tcPr>
                    <w:tcW w:w="709" w:type="dxa"/>
                    <w:vMerge w:val="restart"/>
                    <w:noWrap/>
                    <w:vAlign w:val="center"/>
                  </w:tcPr>
                  <w:p>
                    <w:pPr>
                      <w:jc w:val="center"/>
                      <w:rPr>
                        <w:sz w:val="20"/>
                      </w:rPr>
                    </w:pPr>
                    <w:r>
                      <w:rPr>
                        <w:sz w:val="20"/>
                      </w:rPr>
                      <w:t>2033</w:t>
                    </w:r>
                  </w:p>
                </w:tc>
                <w:tc>
                  <w:tcPr>
                    <w:tcW w:w="1417" w:type="dxa"/>
                    <w:tcBorders>
                      <w:top w:val="single" w:sz="4" w:space="0" w:color="auto"/>
                    </w:tcBorders>
                    <w:noWrap/>
                    <w:vAlign w:val="center"/>
                  </w:tcPr>
                  <w:p>
                    <w:pPr>
                      <w:rPr>
                        <w:sz w:val="20"/>
                      </w:rPr>
                    </w:pPr>
                    <w:r>
                      <w:rPr>
                        <w:sz w:val="20"/>
                      </w:rPr>
                      <w:t>P-14-03-01-01</w:t>
                    </w:r>
                  </w:p>
                </w:tc>
                <w:tc>
                  <w:tcPr>
                    <w:tcW w:w="4111" w:type="dxa"/>
                    <w:tcBorders>
                      <w:top w:val="single" w:sz="4" w:space="0" w:color="auto"/>
                    </w:tcBorders>
                    <w:vAlign w:val="center"/>
                  </w:tcPr>
                  <w:p>
                    <w:pPr>
                      <w:rPr>
                        <w:sz w:val="20"/>
                      </w:rPr>
                    </w:pPr>
                    <w:r>
                      <w:rPr>
                        <w:sz w:val="20"/>
                      </w:rPr>
                      <w:t>Atnaujintų viešųjų erdvių plotas (ha)</w:t>
                    </w:r>
                  </w:p>
                </w:tc>
                <w:tc>
                  <w:tcPr>
                    <w:tcW w:w="1134" w:type="dxa"/>
                    <w:tcBorders>
                      <w:top w:val="single" w:sz="4" w:space="0" w:color="auto"/>
                    </w:tcBorders>
                    <w:vAlign w:val="center"/>
                  </w:tcPr>
                  <w:p>
                    <w:pPr>
                      <w:jc w:val="center"/>
                      <w:rPr>
                        <w:sz w:val="20"/>
                      </w:rPr>
                    </w:pPr>
                    <w:r>
                      <w:rPr>
                        <w:sz w:val="20"/>
                      </w:rPr>
                      <w:t>MPPS</w:t>
                    </w:r>
                  </w:p>
                </w:tc>
                <w:tc>
                  <w:tcPr>
                    <w:tcW w:w="1134" w:type="dxa"/>
                    <w:tcBorders>
                      <w:top w:val="single" w:sz="4" w:space="0" w:color="auto"/>
                    </w:tcBorders>
                    <w:noWrap/>
                    <w:vAlign w:val="center"/>
                  </w:tcPr>
                  <w:p>
                    <w:pPr>
                      <w:jc w:val="center"/>
                      <w:rPr>
                        <w:sz w:val="20"/>
                      </w:rPr>
                    </w:pPr>
                    <w:r>
                      <w:rPr>
                        <w:sz w:val="20"/>
                      </w:rPr>
                      <w:t>n.d. (2023)</w:t>
                    </w:r>
                  </w:p>
                </w:tc>
                <w:tc>
                  <w:tcPr>
                    <w:tcW w:w="1134" w:type="dxa"/>
                    <w:tcBorders>
                      <w:top w:val="single" w:sz="4" w:space="0" w:color="auto"/>
                    </w:tcBorders>
                    <w:noWrap/>
                    <w:vAlign w:val="center"/>
                  </w:tcPr>
                  <w:p>
                    <w:pPr>
                      <w:jc w:val="center"/>
                      <w:rPr>
                        <w:sz w:val="20"/>
                      </w:rPr>
                    </w:pPr>
                    <w:r>
                      <w:rPr>
                        <w:sz w:val="20"/>
                      </w:rPr>
                      <w:t>6 (2033)</w:t>
                    </w:r>
                  </w:p>
                </w:tc>
              </w:tr>
              <w:tr>
                <w:trPr>
                  <w:trHeight w:val="275"/>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noWrap/>
                    <w:vAlign w:val="center"/>
                  </w:tcPr>
                  <w:p>
                    <w:pPr>
                      <w:rPr>
                        <w:sz w:val="20"/>
                      </w:rPr>
                    </w:pPr>
                    <w:r>
                      <w:rPr>
                        <w:sz w:val="20"/>
                      </w:rPr>
                      <w:t>P-14-03-01-02</w:t>
                    </w:r>
                  </w:p>
                </w:tc>
                <w:tc>
                  <w:tcPr>
                    <w:tcW w:w="4111" w:type="dxa"/>
                    <w:vAlign w:val="center"/>
                  </w:tcPr>
                  <w:p>
                    <w:pPr>
                      <w:rPr>
                        <w:sz w:val="20"/>
                      </w:rPr>
                    </w:pPr>
                    <w:r>
                      <w:rPr>
                        <w:sz w:val="20"/>
                      </w:rPr>
                      <w:t>Naujai suplanuotų viešųjų erdvių plotas (ha)</w:t>
                    </w:r>
                  </w:p>
                </w:tc>
                <w:tc>
                  <w:tcPr>
                    <w:tcW w:w="1134" w:type="dxa"/>
                    <w:vAlign w:val="center"/>
                  </w:tcPr>
                  <w:p>
                    <w:pPr>
                      <w:jc w:val="center"/>
                      <w:rPr>
                        <w:sz w:val="20"/>
                      </w:rPr>
                    </w:pPr>
                    <w:r>
                      <w:rPr>
                        <w:sz w:val="20"/>
                      </w:rPr>
                      <w:t>MPPS</w:t>
                    </w:r>
                  </w:p>
                </w:tc>
                <w:tc>
                  <w:tcPr>
                    <w:tcW w:w="1134" w:type="dxa"/>
                    <w:noWrap/>
                    <w:vAlign w:val="center"/>
                  </w:tcPr>
                  <w:p>
                    <w:pPr>
                      <w:jc w:val="center"/>
                      <w:rPr>
                        <w:sz w:val="20"/>
                      </w:rPr>
                    </w:pPr>
                    <w:r>
                      <w:rPr>
                        <w:sz w:val="20"/>
                      </w:rPr>
                      <w:t>0 (2025)</w:t>
                    </w:r>
                  </w:p>
                </w:tc>
                <w:tc>
                  <w:tcPr>
                    <w:tcW w:w="1134" w:type="dxa"/>
                    <w:noWrap/>
                    <w:vAlign w:val="center"/>
                  </w:tcPr>
                  <w:p>
                    <w:pPr>
                      <w:jc w:val="center"/>
                      <w:rPr>
                        <w:sz w:val="20"/>
                      </w:rPr>
                    </w:pPr>
                    <w:r>
                      <w:rPr>
                        <w:sz w:val="20"/>
                      </w:rPr>
                      <w:t>10 (2033)</w:t>
                    </w:r>
                  </w:p>
                </w:tc>
              </w:tr>
              <w:tr>
                <w:trPr>
                  <w:trHeight w:val="520"/>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noWrap/>
                    <w:vAlign w:val="center"/>
                  </w:tcPr>
                  <w:p>
                    <w:pPr>
                      <w:rPr>
                        <w:sz w:val="20"/>
                      </w:rPr>
                    </w:pPr>
                    <w:r>
                      <w:rPr>
                        <w:sz w:val="20"/>
                      </w:rPr>
                      <w:t>P-14-03-01-03</w:t>
                    </w:r>
                  </w:p>
                </w:tc>
                <w:tc>
                  <w:tcPr>
                    <w:tcW w:w="4111" w:type="dxa"/>
                    <w:vAlign w:val="center"/>
                  </w:tcPr>
                  <w:p>
                    <w:pPr>
                      <w:rPr>
                        <w:sz w:val="20"/>
                      </w:rPr>
                    </w:pPr>
                    <w:r>
                      <w:rPr>
                        <w:sz w:val="20"/>
                      </w:rPr>
                      <w:t xml:space="preserve">Vaikų žaidimų ir sporto aikštelių, pritaikytų fizinę negalią turintiems asmenims, dalis (proc.) </w:t>
                    </w:r>
                  </w:p>
                </w:tc>
                <w:tc>
                  <w:tcPr>
                    <w:tcW w:w="1134" w:type="dxa"/>
                    <w:vAlign w:val="center"/>
                  </w:tcPr>
                  <w:p>
                    <w:pPr>
                      <w:jc w:val="center"/>
                      <w:rPr>
                        <w:sz w:val="20"/>
                      </w:rPr>
                    </w:pPr>
                    <w:r>
                      <w:rPr>
                        <w:sz w:val="20"/>
                      </w:rPr>
                      <w:t>MPPS</w:t>
                    </w:r>
                  </w:p>
                </w:tc>
                <w:tc>
                  <w:tcPr>
                    <w:tcW w:w="1134" w:type="dxa"/>
                    <w:noWrap/>
                    <w:vAlign w:val="center"/>
                  </w:tcPr>
                  <w:p>
                    <w:pPr>
                      <w:jc w:val="center"/>
                      <w:rPr>
                        <w:sz w:val="20"/>
                      </w:rPr>
                    </w:pPr>
                    <w:r>
                      <w:rPr>
                        <w:sz w:val="20"/>
                      </w:rPr>
                      <w:t>n.d. (2023)</w:t>
                    </w:r>
                  </w:p>
                </w:tc>
                <w:tc>
                  <w:tcPr>
                    <w:tcW w:w="1134" w:type="dxa"/>
                    <w:noWrap/>
                    <w:vAlign w:val="center"/>
                  </w:tcPr>
                  <w:p>
                    <w:pPr>
                      <w:jc w:val="center"/>
                      <w:rPr>
                        <w:sz w:val="20"/>
                      </w:rPr>
                    </w:pPr>
                    <w:r>
                      <w:rPr>
                        <w:sz w:val="20"/>
                      </w:rPr>
                      <w:t>100 (2033)</w:t>
                    </w:r>
                  </w:p>
                </w:tc>
              </w:tr>
              <w:tr>
                <w:trPr>
                  <w:trHeight w:val="520"/>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tcBorders>
                      <w:bottom w:val="single" w:sz="4" w:space="0" w:color="auto"/>
                    </w:tcBorders>
                    <w:noWrap/>
                    <w:vAlign w:val="center"/>
                  </w:tcPr>
                  <w:p>
                    <w:pPr>
                      <w:rPr>
                        <w:sz w:val="20"/>
                      </w:rPr>
                    </w:pPr>
                    <w:r>
                      <w:rPr>
                        <w:sz w:val="20"/>
                      </w:rPr>
                      <w:t>P-14-03-01-04</w:t>
                    </w:r>
                  </w:p>
                </w:tc>
                <w:tc>
                  <w:tcPr>
                    <w:tcW w:w="4111" w:type="dxa"/>
                    <w:tcBorders>
                      <w:bottom w:val="single" w:sz="4" w:space="0" w:color="auto"/>
                    </w:tcBorders>
                    <w:vAlign w:val="center"/>
                  </w:tcPr>
                  <w:p>
                    <w:pPr>
                      <w:rPr>
                        <w:sz w:val="20"/>
                      </w:rPr>
                    </w:pPr>
                    <w:r>
                      <w:rPr>
                        <w:sz w:val="20"/>
                      </w:rPr>
                      <w:t>Naujai įrengtų vaikų žaidimų aikštelių ir pritaikytų aktyviam poilsiui aikštelių plotas (m²)</w:t>
                    </w:r>
                  </w:p>
                </w:tc>
                <w:tc>
                  <w:tcPr>
                    <w:tcW w:w="1134" w:type="dxa"/>
                    <w:tcBorders>
                      <w:bottom w:val="single" w:sz="4" w:space="0" w:color="auto"/>
                    </w:tcBorders>
                    <w:vAlign w:val="center"/>
                  </w:tcPr>
                  <w:p>
                    <w:pPr>
                      <w:jc w:val="center"/>
                      <w:rPr>
                        <w:sz w:val="20"/>
                      </w:rPr>
                    </w:pPr>
                    <w:r>
                      <w:rPr>
                        <w:sz w:val="20"/>
                      </w:rPr>
                      <w:t>MPPS</w:t>
                    </w:r>
                  </w:p>
                </w:tc>
                <w:tc>
                  <w:tcPr>
                    <w:tcW w:w="1134" w:type="dxa"/>
                    <w:tcBorders>
                      <w:bottom w:val="single" w:sz="4" w:space="0" w:color="auto"/>
                    </w:tcBorders>
                    <w:noWrap/>
                    <w:vAlign w:val="center"/>
                  </w:tcPr>
                  <w:p>
                    <w:pPr>
                      <w:jc w:val="center"/>
                      <w:rPr>
                        <w:sz w:val="20"/>
                      </w:rPr>
                    </w:pPr>
                    <w:r>
                      <w:rPr>
                        <w:sz w:val="20"/>
                      </w:rPr>
                      <w:t>0 (2025)</w:t>
                    </w:r>
                  </w:p>
                </w:tc>
                <w:tc>
                  <w:tcPr>
                    <w:tcW w:w="1134" w:type="dxa"/>
                    <w:tcBorders>
                      <w:bottom w:val="single" w:sz="4" w:space="0" w:color="auto"/>
                    </w:tcBorders>
                    <w:noWrap/>
                    <w:vAlign w:val="center"/>
                  </w:tcPr>
                  <w:p>
                    <w:pPr>
                      <w:jc w:val="center"/>
                      <w:rPr>
                        <w:sz w:val="20"/>
                      </w:rPr>
                    </w:pPr>
                    <w:r>
                      <w:rPr>
                        <w:sz w:val="20"/>
                      </w:rPr>
                      <w:t>5000 (2033)</w:t>
                    </w:r>
                  </w:p>
                </w:tc>
              </w:tr>
              <w:tr>
                <w:trPr>
                  <w:trHeight w:val="520"/>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tcBorders>
                      <w:bottom w:val="single" w:sz="4" w:space="0" w:color="auto"/>
                    </w:tcBorders>
                    <w:noWrap/>
                    <w:vAlign w:val="center"/>
                  </w:tcPr>
                  <w:p>
                    <w:pPr>
                      <w:rPr>
                        <w:sz w:val="20"/>
                      </w:rPr>
                    </w:pPr>
                    <w:r>
                      <w:rPr>
                        <w:sz w:val="20"/>
                      </w:rPr>
                      <w:t>P-14-03-01-05</w:t>
                    </w:r>
                  </w:p>
                </w:tc>
                <w:tc>
                  <w:tcPr>
                    <w:tcW w:w="4111" w:type="dxa"/>
                    <w:tcBorders>
                      <w:bottom w:val="single" w:sz="4" w:space="0" w:color="auto"/>
                    </w:tcBorders>
                    <w:vAlign w:val="center"/>
                  </w:tcPr>
                  <w:p>
                    <w:pPr>
                      <w:rPr>
                        <w:sz w:val="20"/>
                      </w:rPr>
                    </w:pPr>
                    <w:r>
                      <w:rPr>
                        <w:sz w:val="20"/>
                      </w:rPr>
                      <w:t>Naujai įrengtų sporto aikštelių / aikštynų ir pritaikytų sportui aikštelių teritorijų plotas (m²)</w:t>
                    </w:r>
                  </w:p>
                </w:tc>
                <w:tc>
                  <w:tcPr>
                    <w:tcW w:w="1134" w:type="dxa"/>
                    <w:tcBorders>
                      <w:bottom w:val="single" w:sz="4" w:space="0" w:color="auto"/>
                    </w:tcBorders>
                    <w:vAlign w:val="center"/>
                  </w:tcPr>
                  <w:p>
                    <w:pPr>
                      <w:jc w:val="center"/>
                      <w:rPr>
                        <w:sz w:val="20"/>
                      </w:rPr>
                    </w:pPr>
                    <w:r>
                      <w:rPr>
                        <w:sz w:val="20"/>
                      </w:rPr>
                      <w:t>MPPS</w:t>
                    </w:r>
                  </w:p>
                </w:tc>
                <w:tc>
                  <w:tcPr>
                    <w:tcW w:w="1134" w:type="dxa"/>
                    <w:tcBorders>
                      <w:bottom w:val="single" w:sz="4" w:space="0" w:color="auto"/>
                    </w:tcBorders>
                    <w:noWrap/>
                    <w:vAlign w:val="center"/>
                  </w:tcPr>
                  <w:p>
                    <w:pPr>
                      <w:jc w:val="center"/>
                      <w:rPr>
                        <w:sz w:val="20"/>
                      </w:rPr>
                    </w:pPr>
                    <w:r>
                      <w:rPr>
                        <w:sz w:val="20"/>
                      </w:rPr>
                      <w:t>0 (2025)</w:t>
                    </w:r>
                  </w:p>
                </w:tc>
                <w:tc>
                  <w:tcPr>
                    <w:tcW w:w="1134" w:type="dxa"/>
                    <w:tcBorders>
                      <w:bottom w:val="single" w:sz="4" w:space="0" w:color="auto"/>
                    </w:tcBorders>
                    <w:noWrap/>
                    <w:vAlign w:val="center"/>
                  </w:tcPr>
                  <w:p>
                    <w:pPr>
                      <w:jc w:val="center"/>
                      <w:rPr>
                        <w:sz w:val="20"/>
                      </w:rPr>
                    </w:pPr>
                    <w:r>
                      <w:rPr>
                        <w:sz w:val="20"/>
                      </w:rPr>
                      <w:t>5000 (2033)</w:t>
                    </w:r>
                  </w:p>
                </w:tc>
              </w:tr>
              <w:tr>
                <w:trPr>
                  <w:trHeight w:val="520"/>
                  <w:jc w:val="center"/>
                </w:trPr>
                <w:tc>
                  <w:tcPr>
                    <w:tcW w:w="988" w:type="dxa"/>
                    <w:vMerge w:val="restart"/>
                    <w:noWrap/>
                    <w:vAlign w:val="center"/>
                  </w:tcPr>
                  <w:p>
                    <w:pPr>
                      <w:rPr>
                        <w:sz w:val="20"/>
                      </w:rPr>
                    </w:pPr>
                    <w:r>
                      <w:rPr>
                        <w:sz w:val="20"/>
                      </w:rPr>
                      <w:t>14-03-02</w:t>
                    </w:r>
                  </w:p>
                </w:tc>
                <w:tc>
                  <w:tcPr>
                    <w:tcW w:w="2126" w:type="dxa"/>
                    <w:vMerge w:val="restart"/>
                    <w:vAlign w:val="center"/>
                  </w:tcPr>
                  <w:p>
                    <w:pPr>
                      <w:rPr>
                        <w:sz w:val="20"/>
                      </w:rPr>
                    </w:pPr>
                    <w:r>
                      <w:rPr>
                        <w:sz w:val="20"/>
                      </w:rPr>
                      <w:t>Kompleksiškai atnaujinti mikrorajonų (laisvo planavimo daugiabučių teritorijos) teritorijas, suplanuojant nuoseklų žalių erdvių ir pėsčiųjų takų tinklą, užtikrinant tvarų judėjimą, monofunkciškumo mažinimą ir skatinti naujų būsto tipologijų atsiradimą</w:t>
                    </w:r>
                  </w:p>
                </w:tc>
                <w:tc>
                  <w:tcPr>
                    <w:tcW w:w="850" w:type="dxa"/>
                    <w:vMerge w:val="restart"/>
                    <w:noWrap/>
                    <w:vAlign w:val="center"/>
                  </w:tcPr>
                  <w:p>
                    <w:pPr>
                      <w:jc w:val="center"/>
                      <w:rPr>
                        <w:sz w:val="20"/>
                      </w:rPr>
                    </w:pPr>
                    <w:r>
                      <w:rPr>
                        <w:sz w:val="20"/>
                      </w:rPr>
                      <w:t>MŪAS</w:t>
                    </w:r>
                  </w:p>
                </w:tc>
                <w:tc>
                  <w:tcPr>
                    <w:tcW w:w="709" w:type="dxa"/>
                    <w:vMerge w:val="restart"/>
                    <w:noWrap/>
                    <w:vAlign w:val="center"/>
                  </w:tcPr>
                  <w:p>
                    <w:pPr>
                      <w:jc w:val="center"/>
                      <w:rPr>
                        <w:sz w:val="20"/>
                      </w:rPr>
                    </w:pPr>
                    <w:r>
                      <w:rPr>
                        <w:sz w:val="20"/>
                      </w:rPr>
                      <w:t>2025</w:t>
                    </w:r>
                  </w:p>
                </w:tc>
                <w:tc>
                  <w:tcPr>
                    <w:tcW w:w="709" w:type="dxa"/>
                    <w:vMerge w:val="restart"/>
                    <w:noWrap/>
                    <w:vAlign w:val="center"/>
                  </w:tcPr>
                  <w:p>
                    <w:pPr>
                      <w:jc w:val="center"/>
                      <w:rPr>
                        <w:sz w:val="20"/>
                      </w:rPr>
                    </w:pPr>
                    <w:r>
                      <w:rPr>
                        <w:sz w:val="20"/>
                      </w:rPr>
                      <w:t>2033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sz w:val="20"/>
                      </w:rPr>
                    </w:pPr>
                    <w:r>
                      <w:rPr>
                        <w:rFonts w:eastAsia="MS Mincho"/>
                        <w:color w:val="000000"/>
                        <w:kern w:val="2"/>
                        <w:sz w:val="20"/>
                      </w:rPr>
                      <w:t>P-14-03-02-01</w:t>
                    </w:r>
                  </w:p>
                </w:tc>
                <w:tc>
                  <w:tcPr>
                    <w:tcW w:w="4111" w:type="dxa"/>
                    <w:tcBorders>
                      <w:top w:val="single" w:sz="4" w:space="0" w:color="auto"/>
                      <w:left w:val="nil"/>
                      <w:bottom w:val="single" w:sz="4" w:space="0" w:color="auto"/>
                      <w:right w:val="single" w:sz="4" w:space="0" w:color="auto"/>
                    </w:tcBorders>
                    <w:shd w:val="clear" w:color="auto" w:fill="auto"/>
                    <w:vAlign w:val="center"/>
                  </w:tcPr>
                  <w:p>
                    <w:pPr>
                      <w:rPr>
                        <w:sz w:val="20"/>
                      </w:rPr>
                    </w:pPr>
                    <w:r>
                      <w:rPr>
                        <w:rFonts w:eastAsia="MS Mincho"/>
                        <w:kern w:val="2"/>
                        <w:sz w:val="20"/>
                      </w:rPr>
                      <w:t>Atnaujintų mikrorajonų bendrojo naudojimo erdvių ir kiemų plotas (ha)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MPPS</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25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50 (2033)</w:t>
                    </w:r>
                  </w:p>
                </w:tc>
              </w:tr>
              <w:tr>
                <w:trPr>
                  <w:trHeight w:val="520"/>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sz w:val="20"/>
                      </w:rPr>
                    </w:pPr>
                    <w:r>
                      <w:rPr>
                        <w:rFonts w:eastAsia="MS Mincho"/>
                        <w:color w:val="000000"/>
                        <w:kern w:val="2"/>
                        <w:sz w:val="20"/>
                      </w:rPr>
                      <w:t>P-14-03-02-02</w:t>
                    </w:r>
                  </w:p>
                </w:tc>
                <w:tc>
                  <w:tcPr>
                    <w:tcW w:w="4111" w:type="dxa"/>
                    <w:tcBorders>
                      <w:top w:val="single" w:sz="4" w:space="0" w:color="auto"/>
                      <w:left w:val="nil"/>
                      <w:bottom w:val="single" w:sz="4" w:space="0" w:color="auto"/>
                      <w:right w:val="single" w:sz="4" w:space="0" w:color="auto"/>
                    </w:tcBorders>
                    <w:shd w:val="clear" w:color="auto" w:fill="auto"/>
                    <w:vAlign w:val="center"/>
                  </w:tcPr>
                  <w:p>
                    <w:pPr>
                      <w:rPr>
                        <w:sz w:val="20"/>
                      </w:rPr>
                    </w:pPr>
                    <w:r>
                      <w:rPr>
                        <w:rFonts w:eastAsia="MS Mincho"/>
                        <w:color w:val="000000"/>
                        <w:kern w:val="2"/>
                        <w:sz w:val="20"/>
                      </w:rPr>
                      <w:t>Atnaujintų ar naujai įrengtų pėsčiųjų takų ilgis mikrorajonų teritorijoje (km)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MŪAS</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n.d.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30 (2033)</w:t>
                    </w:r>
                  </w:p>
                </w:tc>
              </w:tr>
              <w:tr>
                <w:trPr>
                  <w:trHeight w:val="520"/>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sz w:val="20"/>
                      </w:rPr>
                    </w:pPr>
                    <w:r>
                      <w:rPr>
                        <w:rFonts w:eastAsia="MS Mincho"/>
                        <w:color w:val="000000"/>
                        <w:kern w:val="2"/>
                        <w:sz w:val="20"/>
                      </w:rPr>
                      <w:t>P-14-03-02-03</w:t>
                    </w:r>
                  </w:p>
                </w:tc>
                <w:tc>
                  <w:tcPr>
                    <w:tcW w:w="4111" w:type="dxa"/>
                    <w:tcBorders>
                      <w:top w:val="single" w:sz="4" w:space="0" w:color="auto"/>
                      <w:left w:val="nil"/>
                      <w:bottom w:val="single" w:sz="4" w:space="0" w:color="auto"/>
                      <w:right w:val="single" w:sz="4" w:space="0" w:color="auto"/>
                    </w:tcBorders>
                    <w:shd w:val="clear" w:color="auto" w:fill="auto"/>
                    <w:vAlign w:val="center"/>
                  </w:tcPr>
                  <w:p>
                    <w:pPr>
                      <w:rPr>
                        <w:sz w:val="20"/>
                      </w:rPr>
                    </w:pPr>
                    <w:r>
                      <w:rPr>
                        <w:rFonts w:eastAsia="MS Mincho"/>
                        <w:color w:val="000000"/>
                        <w:kern w:val="2"/>
                        <w:sz w:val="20"/>
                      </w:rPr>
                      <w:t>Atnaujintų ar naujai įrengtų dviračių takų ilgis mikrorajonų teritorijoje (km)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MŪAS</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 xml:space="preserve">n.d.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10 (2033)</w:t>
                    </w:r>
                  </w:p>
                </w:tc>
              </w:tr>
              <w:tr>
                <w:trPr>
                  <w:trHeight w:val="520"/>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sz w:val="20"/>
                      </w:rPr>
                    </w:pPr>
                    <w:r>
                      <w:rPr>
                        <w:rFonts w:eastAsia="MS Mincho"/>
                        <w:color w:val="000000"/>
                        <w:kern w:val="2"/>
                        <w:sz w:val="20"/>
                      </w:rPr>
                      <w:t>P-14-03-02-04</w:t>
                    </w:r>
                  </w:p>
                </w:tc>
                <w:tc>
                  <w:tcPr>
                    <w:tcW w:w="4111" w:type="dxa"/>
                    <w:tcBorders>
                      <w:top w:val="single" w:sz="4" w:space="0" w:color="auto"/>
                      <w:left w:val="nil"/>
                      <w:bottom w:val="single" w:sz="4" w:space="0" w:color="auto"/>
                      <w:right w:val="single" w:sz="4" w:space="0" w:color="auto"/>
                    </w:tcBorders>
                    <w:shd w:val="clear" w:color="auto" w:fill="auto"/>
                    <w:vAlign w:val="center"/>
                  </w:tcPr>
                  <w:p>
                    <w:pPr>
                      <w:rPr>
                        <w:sz w:val="20"/>
                      </w:rPr>
                    </w:pPr>
                    <w:r>
                      <w:rPr>
                        <w:rFonts w:eastAsia="MS Mincho"/>
                        <w:kern w:val="2"/>
                        <w:sz w:val="20"/>
                      </w:rPr>
                      <w:t>Renovuotų daugiabučių skaičius (vnt.)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MŪAS, ŠE</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64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160 (2033)</w:t>
                    </w:r>
                  </w:p>
                </w:tc>
              </w:tr>
              <w:tr>
                <w:trPr>
                  <w:trHeight w:val="520"/>
                  <w:jc w:val="center"/>
                </w:trPr>
                <w:tc>
                  <w:tcPr>
                    <w:tcW w:w="988" w:type="dxa"/>
                    <w:vMerge/>
                    <w:noWrap/>
                    <w:vAlign w:val="center"/>
                  </w:tcPr>
                  <w:p>
                    <w:pPr>
                      <w:rPr>
                        <w:sz w:val="20"/>
                      </w:rPr>
                    </w:pPr>
                  </w:p>
                </w:tc>
                <w:tc>
                  <w:tcPr>
                    <w:tcW w:w="2126" w:type="dxa"/>
                    <w:vMerge/>
                    <w:vAlign w:val="center"/>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sz w:val="20"/>
                      </w:rPr>
                    </w:pPr>
                    <w:r>
                      <w:rPr>
                        <w:rFonts w:eastAsia="MS Mincho"/>
                        <w:color w:val="000000"/>
                        <w:kern w:val="2"/>
                        <w:sz w:val="20"/>
                      </w:rPr>
                      <w:t>P-14-03-02-05</w:t>
                    </w:r>
                  </w:p>
                </w:tc>
                <w:tc>
                  <w:tcPr>
                    <w:tcW w:w="4111" w:type="dxa"/>
                    <w:tcBorders>
                      <w:top w:val="single" w:sz="4" w:space="0" w:color="auto"/>
                      <w:left w:val="nil"/>
                      <w:bottom w:val="single" w:sz="4" w:space="0" w:color="auto"/>
                      <w:right w:val="single" w:sz="4" w:space="0" w:color="auto"/>
                    </w:tcBorders>
                    <w:shd w:val="clear" w:color="auto" w:fill="auto"/>
                    <w:vAlign w:val="center"/>
                  </w:tcPr>
                  <w:p>
                    <w:pPr>
                      <w:rPr>
                        <w:sz w:val="20"/>
                      </w:rPr>
                    </w:pPr>
                    <w:r>
                      <w:rPr>
                        <w:rFonts w:eastAsia="MS Mincho"/>
                        <w:color w:val="000000"/>
                        <w:kern w:val="2"/>
                        <w:sz w:val="20"/>
                      </w:rPr>
                      <w:t>Naujų statybos leidimų mikrorajonuose skaičius (vnt.)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MPPS</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n.d.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500 (2033)</w:t>
                    </w:r>
                  </w:p>
                </w:tc>
              </w:tr>
              <w:tr>
                <w:trPr>
                  <w:trHeight w:val="520"/>
                  <w:jc w:val="center"/>
                </w:trPr>
                <w:tc>
                  <w:tcPr>
                    <w:tcW w:w="988" w:type="dxa"/>
                    <w:noWrap/>
                    <w:vAlign w:val="center"/>
                  </w:tcPr>
                  <w:p>
                    <w:pPr>
                      <w:rPr>
                        <w:sz w:val="20"/>
                      </w:rPr>
                    </w:pPr>
                    <w:r>
                      <w:rPr>
                        <w:sz w:val="20"/>
                      </w:rPr>
                      <w:t>14-03-03</w:t>
                    </w:r>
                  </w:p>
                </w:tc>
                <w:tc>
                  <w:tcPr>
                    <w:tcW w:w="2126" w:type="dxa"/>
                    <w:vAlign w:val="center"/>
                  </w:tcPr>
                  <w:p>
                    <w:pPr>
                      <w:rPr>
                        <w:sz w:val="20"/>
                      </w:rPr>
                    </w:pPr>
                    <w:r>
                      <w:rPr>
                        <w:sz w:val="20"/>
                      </w:rPr>
                      <w:t>Sutvarkyti apleistas teritorijas ir pastatus, transformuoti garažų teritorijas</w:t>
                    </w:r>
                  </w:p>
                </w:tc>
                <w:tc>
                  <w:tcPr>
                    <w:tcW w:w="850" w:type="dxa"/>
                    <w:noWrap/>
                    <w:vAlign w:val="center"/>
                  </w:tcPr>
                  <w:p>
                    <w:pPr>
                      <w:jc w:val="center"/>
                      <w:rPr>
                        <w:sz w:val="20"/>
                      </w:rPr>
                    </w:pPr>
                    <w:r>
                      <w:rPr>
                        <w:sz w:val="20"/>
                      </w:rPr>
                      <w:t>MŪAS</w:t>
                    </w:r>
                  </w:p>
                </w:tc>
                <w:tc>
                  <w:tcPr>
                    <w:tcW w:w="709" w:type="dxa"/>
                    <w:noWrap/>
                    <w:vAlign w:val="center"/>
                  </w:tcPr>
                  <w:p>
                    <w:pPr>
                      <w:jc w:val="center"/>
                      <w:rPr>
                        <w:sz w:val="20"/>
                      </w:rPr>
                    </w:pPr>
                    <w:r>
                      <w:rPr>
                        <w:sz w:val="20"/>
                      </w:rPr>
                      <w:t>2025</w:t>
                    </w:r>
                  </w:p>
                </w:tc>
                <w:tc>
                  <w:tcPr>
                    <w:tcW w:w="709" w:type="dxa"/>
                    <w:noWrap/>
                    <w:vAlign w:val="center"/>
                  </w:tcPr>
                  <w:p>
                    <w:pPr>
                      <w:jc w:val="center"/>
                      <w:rPr>
                        <w:sz w:val="20"/>
                      </w:rPr>
                    </w:pPr>
                    <w:r>
                      <w:rPr>
                        <w:sz w:val="20"/>
                      </w:rPr>
                      <w:t>2033</w:t>
                    </w:r>
                  </w:p>
                </w:tc>
                <w:tc>
                  <w:tcPr>
                    <w:tcW w:w="1417" w:type="dxa"/>
                    <w:tcBorders>
                      <w:top w:val="single" w:sz="4" w:space="0" w:color="auto"/>
                    </w:tcBorders>
                    <w:noWrap/>
                    <w:vAlign w:val="center"/>
                  </w:tcPr>
                  <w:p>
                    <w:pPr>
                      <w:rPr>
                        <w:sz w:val="20"/>
                      </w:rPr>
                    </w:pPr>
                    <w:r>
                      <w:rPr>
                        <w:sz w:val="20"/>
                      </w:rPr>
                      <w:t>P-14-03-03-01</w:t>
                    </w:r>
                  </w:p>
                </w:tc>
                <w:tc>
                  <w:tcPr>
                    <w:tcW w:w="4111" w:type="dxa"/>
                    <w:tcBorders>
                      <w:top w:val="single" w:sz="4" w:space="0" w:color="auto"/>
                    </w:tcBorders>
                    <w:vAlign w:val="center"/>
                  </w:tcPr>
                  <w:p>
                    <w:pPr>
                      <w:rPr>
                        <w:sz w:val="20"/>
                      </w:rPr>
                    </w:pPr>
                    <w:r>
                      <w:rPr>
                        <w:sz w:val="20"/>
                      </w:rPr>
                      <w:t>Sutvarkytų apleistų teritorijų ir pastatų skaičius (vnt. / vnt.)</w:t>
                    </w:r>
                  </w:p>
                </w:tc>
                <w:tc>
                  <w:tcPr>
                    <w:tcW w:w="1134" w:type="dxa"/>
                    <w:tcBorders>
                      <w:top w:val="single" w:sz="4" w:space="0" w:color="auto"/>
                    </w:tcBorders>
                    <w:vAlign w:val="center"/>
                  </w:tcPr>
                  <w:p>
                    <w:pPr>
                      <w:jc w:val="center"/>
                      <w:rPr>
                        <w:sz w:val="20"/>
                      </w:rPr>
                    </w:pPr>
                    <w:r>
                      <w:rPr>
                        <w:sz w:val="20"/>
                      </w:rPr>
                      <w:t>MŪAS,</w:t>
                      <w:br/>
                      <w:t>SRS</w:t>
                    </w:r>
                  </w:p>
                </w:tc>
                <w:tc>
                  <w:tcPr>
                    <w:tcW w:w="1134" w:type="dxa"/>
                    <w:tcBorders>
                      <w:top w:val="single" w:sz="4" w:space="0" w:color="auto"/>
                    </w:tcBorders>
                    <w:noWrap/>
                    <w:vAlign w:val="center"/>
                  </w:tcPr>
                  <w:p>
                    <w:pPr>
                      <w:jc w:val="center"/>
                      <w:rPr>
                        <w:sz w:val="20"/>
                      </w:rPr>
                    </w:pPr>
                    <w:r>
                      <w:rPr>
                        <w:sz w:val="20"/>
                      </w:rPr>
                      <w:t>n.d. / n.d. (2023)</w:t>
                    </w:r>
                  </w:p>
                </w:tc>
                <w:tc>
                  <w:tcPr>
                    <w:tcW w:w="1134" w:type="dxa"/>
                    <w:tcBorders>
                      <w:top w:val="single" w:sz="4" w:space="0" w:color="auto"/>
                    </w:tcBorders>
                    <w:noWrap/>
                    <w:vAlign w:val="center"/>
                  </w:tcPr>
                  <w:p>
                    <w:pPr>
                      <w:jc w:val="center"/>
                      <w:rPr>
                        <w:sz w:val="20"/>
                      </w:rPr>
                    </w:pPr>
                    <w:r>
                      <w:rPr>
                        <w:sz w:val="20"/>
                      </w:rPr>
                      <w:t>10 / 50 (2033)</w:t>
                    </w:r>
                  </w:p>
                </w:tc>
              </w:tr>
              <w:tr>
                <w:trPr>
                  <w:trHeight w:val="520"/>
                  <w:jc w:val="center"/>
                </w:trPr>
                <w:tc>
                  <w:tcPr>
                    <w:tcW w:w="988" w:type="dxa"/>
                    <w:vMerge w:val="restart"/>
                    <w:noWrap/>
                    <w:vAlign w:val="center"/>
                    <w:hideMark/>
                  </w:tcPr>
                  <w:p>
                    <w:pPr>
                      <w:rPr>
                        <w:sz w:val="20"/>
                      </w:rPr>
                    </w:pPr>
                    <w:r>
                      <w:rPr>
                        <w:sz w:val="20"/>
                      </w:rPr>
                      <w:t>14-03-04</w:t>
                    </w:r>
                  </w:p>
                </w:tc>
                <w:tc>
                  <w:tcPr>
                    <w:tcW w:w="2126" w:type="dxa"/>
                    <w:vMerge w:val="restart"/>
                    <w:vAlign w:val="center"/>
                    <w:hideMark/>
                  </w:tcPr>
                  <w:p>
                    <w:pPr>
                      <w:rPr>
                        <w:sz w:val="20"/>
                      </w:rPr>
                    </w:pPr>
                    <w:r>
                      <w:rPr>
                        <w:sz w:val="20"/>
                      </w:rPr>
                      <w:t>Suplanuoti tvarią inžinerinę infrastruktūros plėtrą naujai vystomose teritorijose</w:t>
                    </w:r>
                  </w:p>
                </w:tc>
                <w:tc>
                  <w:tcPr>
                    <w:tcW w:w="850" w:type="dxa"/>
                    <w:vMerge w:val="restart"/>
                    <w:noWrap/>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P-14-03-04-01</w:t>
                    </w:r>
                  </w:p>
                </w:tc>
                <w:tc>
                  <w:tcPr>
                    <w:tcW w:w="4111" w:type="dxa"/>
                    <w:vAlign w:val="center"/>
                    <w:hideMark/>
                  </w:tcPr>
                  <w:p>
                    <w:pPr>
                      <w:rPr>
                        <w:sz w:val="20"/>
                      </w:rPr>
                    </w:pPr>
                    <w:r>
                      <w:rPr>
                        <w:sz w:val="20"/>
                      </w:rPr>
                      <w:t>Įrengtų vandens tiekimo ir nuotekų surinkimo tinklų ilgis (km)</w:t>
                    </w:r>
                  </w:p>
                </w:tc>
                <w:tc>
                  <w:tcPr>
                    <w:tcW w:w="1134" w:type="dxa"/>
                    <w:vAlign w:val="center"/>
                    <w:hideMark/>
                  </w:tcPr>
                  <w:p>
                    <w:pPr>
                      <w:jc w:val="center"/>
                      <w:rPr>
                        <w:sz w:val="20"/>
                      </w:rPr>
                    </w:pPr>
                    <w:r>
                      <w:rPr>
                        <w:sz w:val="20"/>
                      </w:rPr>
                      <w:t>ŠV</w:t>
                    </w:r>
                  </w:p>
                </w:tc>
                <w:tc>
                  <w:tcPr>
                    <w:tcW w:w="1134" w:type="dxa"/>
                    <w:noWrap/>
                    <w:vAlign w:val="center"/>
                    <w:hideMark/>
                  </w:tcPr>
                  <w:p>
                    <w:pPr>
                      <w:jc w:val="center"/>
                      <w:rPr>
                        <w:sz w:val="20"/>
                      </w:rPr>
                    </w:pPr>
                    <w:r>
                      <w:rPr>
                        <w:sz w:val="20"/>
                      </w:rPr>
                      <w:t>1220 (2023)</w:t>
                    </w:r>
                  </w:p>
                </w:tc>
                <w:tc>
                  <w:tcPr>
                    <w:tcW w:w="1134" w:type="dxa"/>
                    <w:noWrap/>
                    <w:vAlign w:val="center"/>
                    <w:hideMark/>
                  </w:tcPr>
                  <w:p>
                    <w:pPr>
                      <w:jc w:val="center"/>
                      <w:rPr>
                        <w:sz w:val="20"/>
                      </w:rPr>
                    </w:pPr>
                    <w:r>
                      <w:rPr>
                        <w:sz w:val="20"/>
                      </w:rPr>
                      <w:t>1280 (2033)</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P-14-03-04-02</w:t>
                    </w:r>
                  </w:p>
                </w:tc>
                <w:tc>
                  <w:tcPr>
                    <w:tcW w:w="4111" w:type="dxa"/>
                    <w:vAlign w:val="center"/>
                    <w:hideMark/>
                  </w:tcPr>
                  <w:p>
                    <w:pPr>
                      <w:rPr>
                        <w:sz w:val="20"/>
                      </w:rPr>
                    </w:pPr>
                    <w:r>
                      <w:rPr>
                        <w:sz w:val="20"/>
                      </w:rPr>
                      <w:t xml:space="preserve">Modernizuotos šildymo sistemos trasos (sąlyginio 100 mm diametro) ilgis (km) </w:t>
                    </w:r>
                  </w:p>
                </w:tc>
                <w:tc>
                  <w:tcPr>
                    <w:tcW w:w="1134" w:type="dxa"/>
                    <w:vAlign w:val="center"/>
                    <w:hideMark/>
                  </w:tcPr>
                  <w:p>
                    <w:pPr>
                      <w:jc w:val="center"/>
                      <w:rPr>
                        <w:sz w:val="20"/>
                      </w:rPr>
                    </w:pPr>
                    <w:r>
                      <w:rPr>
                        <w:sz w:val="20"/>
                      </w:rPr>
                      <w:t>ŠE</w:t>
                    </w:r>
                  </w:p>
                </w:tc>
                <w:tc>
                  <w:tcPr>
                    <w:tcW w:w="1134" w:type="dxa"/>
                    <w:noWrap/>
                    <w:vAlign w:val="center"/>
                    <w:hideMark/>
                  </w:tcPr>
                  <w:p>
                    <w:pPr>
                      <w:jc w:val="center"/>
                      <w:rPr>
                        <w:sz w:val="20"/>
                      </w:rPr>
                    </w:pPr>
                    <w:r>
                      <w:rPr>
                        <w:sz w:val="20"/>
                      </w:rPr>
                      <w:t>154,7 (2023)</w:t>
                    </w:r>
                  </w:p>
                </w:tc>
                <w:tc>
                  <w:tcPr>
                    <w:tcW w:w="1134" w:type="dxa"/>
                    <w:noWrap/>
                    <w:vAlign w:val="center"/>
                    <w:hideMark/>
                  </w:tcPr>
                  <w:p>
                    <w:pPr>
                      <w:jc w:val="center"/>
                      <w:rPr>
                        <w:sz w:val="20"/>
                      </w:rPr>
                    </w:pPr>
                    <w:r>
                      <w:rPr>
                        <w:sz w:val="20"/>
                      </w:rPr>
                      <w:t>164,7 (2033)</w:t>
                    </w:r>
                  </w:p>
                </w:tc>
              </w:tr>
              <w:tr>
                <w:trPr>
                  <w:trHeight w:val="520"/>
                  <w:jc w:val="center"/>
                </w:trPr>
                <w:tc>
                  <w:tcPr>
                    <w:tcW w:w="988" w:type="dxa"/>
                    <w:vMerge w:val="restart"/>
                    <w:noWrap/>
                    <w:vAlign w:val="center"/>
                    <w:hideMark/>
                  </w:tcPr>
                  <w:p>
                    <w:pPr>
                      <w:rPr>
                        <w:sz w:val="20"/>
                      </w:rPr>
                    </w:pPr>
                    <w:r>
                      <w:rPr>
                        <w:sz w:val="20"/>
                      </w:rPr>
                      <w:t>14-03-05</w:t>
                    </w:r>
                  </w:p>
                </w:tc>
                <w:tc>
                  <w:tcPr>
                    <w:tcW w:w="2126" w:type="dxa"/>
                    <w:vMerge w:val="restart"/>
                    <w:vAlign w:val="center"/>
                    <w:hideMark/>
                  </w:tcPr>
                  <w:p>
                    <w:pPr>
                      <w:rPr>
                        <w:sz w:val="20"/>
                      </w:rPr>
                    </w:pPr>
                    <w:r>
                      <w:rPr>
                        <w:sz w:val="20"/>
                      </w:rPr>
                      <w:t>Modernizuoti esamą apšvietimo tinklo infrastruktūrą ir numatyti naują gatvių, pėsčiųjų takų apšvietimą</w:t>
                    </w:r>
                  </w:p>
                </w:tc>
                <w:tc>
                  <w:tcPr>
                    <w:tcW w:w="850" w:type="dxa"/>
                    <w:vMerge w:val="restart"/>
                    <w:noWrap/>
                    <w:vAlign w:val="center"/>
                    <w:hideMark/>
                  </w:tcPr>
                  <w:p>
                    <w:pPr>
                      <w:jc w:val="center"/>
                      <w:rPr>
                        <w:sz w:val="20"/>
                      </w:rPr>
                    </w:pPr>
                    <w:r>
                      <w:rPr>
                        <w:sz w:val="20"/>
                      </w:rPr>
                      <w:t>MŪAS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P-14-03-05-01</w:t>
                    </w:r>
                  </w:p>
                </w:tc>
                <w:tc>
                  <w:tcPr>
                    <w:tcW w:w="4111" w:type="dxa"/>
                    <w:vAlign w:val="center"/>
                    <w:hideMark/>
                  </w:tcPr>
                  <w:p>
                    <w:pPr>
                      <w:rPr>
                        <w:sz w:val="20"/>
                      </w:rPr>
                    </w:pPr>
                    <w:r>
                      <w:rPr>
                        <w:sz w:val="20"/>
                      </w:rPr>
                      <w:t>Modernizuoto apšvietimo infrastruktūros tinklo ilgis (km)</w:t>
                    </w:r>
                  </w:p>
                </w:tc>
                <w:tc>
                  <w:tcPr>
                    <w:tcW w:w="1134" w:type="dxa"/>
                    <w:vAlign w:val="center"/>
                    <w:hideMark/>
                  </w:tcPr>
                  <w:p>
                    <w:pPr>
                      <w:jc w:val="center"/>
                      <w:rPr>
                        <w:sz w:val="20"/>
                      </w:rPr>
                    </w:pPr>
                    <w:r>
                      <w:rPr>
                        <w:sz w:val="20"/>
                      </w:rPr>
                      <w:t>MŪAS, ŠGA</w:t>
                    </w:r>
                  </w:p>
                </w:tc>
                <w:tc>
                  <w:tcPr>
                    <w:tcW w:w="1134" w:type="dxa"/>
                    <w:vAlign w:val="center"/>
                    <w:hideMark/>
                  </w:tcPr>
                  <w:p>
                    <w:pPr>
                      <w:jc w:val="center"/>
                      <w:rPr>
                        <w:sz w:val="20"/>
                      </w:rPr>
                    </w:pPr>
                    <w:r>
                      <w:rPr>
                        <w:sz w:val="20"/>
                      </w:rPr>
                      <w:t>125 (2023)</w:t>
                    </w:r>
                  </w:p>
                </w:tc>
                <w:tc>
                  <w:tcPr>
                    <w:tcW w:w="1134" w:type="dxa"/>
                    <w:noWrap/>
                    <w:vAlign w:val="center"/>
                    <w:hideMark/>
                  </w:tcPr>
                  <w:p>
                    <w:pPr>
                      <w:jc w:val="center"/>
                      <w:rPr>
                        <w:sz w:val="20"/>
                      </w:rPr>
                    </w:pPr>
                    <w:r>
                      <w:rPr>
                        <w:sz w:val="20"/>
                      </w:rPr>
                      <w:t>210 (2033)</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noWrap/>
                    <w:vAlign w:val="center"/>
                  </w:tcPr>
                  <w:p>
                    <w:pPr>
                      <w:jc w:val="center"/>
                      <w:rPr>
                        <w:sz w:val="20"/>
                      </w:rPr>
                    </w:pPr>
                  </w:p>
                </w:tc>
                <w:tc>
                  <w:tcPr>
                    <w:tcW w:w="709" w:type="dxa"/>
                    <w:vMerge/>
                    <w:noWrap/>
                    <w:vAlign w:val="center"/>
                  </w:tcPr>
                  <w:p>
                    <w:pPr>
                      <w:jc w:val="center"/>
                      <w:rPr>
                        <w:sz w:val="20"/>
                      </w:rPr>
                    </w:pPr>
                  </w:p>
                </w:tc>
                <w:tc>
                  <w:tcPr>
                    <w:tcW w:w="709" w:type="dxa"/>
                    <w:vMerge/>
                    <w:noWrap/>
                    <w:vAlign w:val="center"/>
                  </w:tcPr>
                  <w:p>
                    <w:pPr>
                      <w:jc w:val="center"/>
                      <w:rPr>
                        <w:sz w:val="20"/>
                      </w:rPr>
                    </w:pPr>
                  </w:p>
                </w:tc>
                <w:tc>
                  <w:tcPr>
                    <w:tcW w:w="1417" w:type="dxa"/>
                    <w:noWrap/>
                    <w:vAlign w:val="center"/>
                    <w:hideMark/>
                  </w:tcPr>
                  <w:p>
                    <w:pPr>
                      <w:rPr>
                        <w:sz w:val="20"/>
                      </w:rPr>
                    </w:pPr>
                    <w:r>
                      <w:rPr>
                        <w:sz w:val="20"/>
                      </w:rPr>
                      <w:t>P-14-03-05-02</w:t>
                    </w:r>
                  </w:p>
                </w:tc>
                <w:tc>
                  <w:tcPr>
                    <w:tcW w:w="4111" w:type="dxa"/>
                    <w:vAlign w:val="center"/>
                    <w:hideMark/>
                  </w:tcPr>
                  <w:p>
                    <w:pPr>
                      <w:rPr>
                        <w:sz w:val="20"/>
                      </w:rPr>
                    </w:pPr>
                    <w:r>
                      <w:rPr>
                        <w:sz w:val="20"/>
                      </w:rPr>
                      <w:t>Naujai įrengto apšvietimo infrastruktūros tinklo ilgis (km)</w:t>
                    </w:r>
                  </w:p>
                </w:tc>
                <w:tc>
                  <w:tcPr>
                    <w:tcW w:w="1134" w:type="dxa"/>
                    <w:vAlign w:val="center"/>
                    <w:hideMark/>
                  </w:tcPr>
                  <w:p>
                    <w:pPr>
                      <w:jc w:val="center"/>
                      <w:rPr>
                        <w:sz w:val="20"/>
                      </w:rPr>
                    </w:pPr>
                    <w:r>
                      <w:rPr>
                        <w:sz w:val="20"/>
                      </w:rPr>
                      <w:t>MŪAS, ŠGA</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9 (2033)</w:t>
                    </w:r>
                  </w:p>
                </w:tc>
              </w:tr>
              <w:tr>
                <w:trPr>
                  <w:trHeight w:val="534"/>
                  <w:jc w:val="center"/>
                </w:trPr>
                <w:tc>
                  <w:tcPr>
                    <w:tcW w:w="988" w:type="dxa"/>
                    <w:vMerge w:val="restart"/>
                    <w:shd w:val="clear" w:color="auto" w:fill="FFD966"/>
                    <w:noWrap/>
                    <w:vAlign w:val="center"/>
                    <w:hideMark/>
                  </w:tcPr>
                  <w:p>
                    <w:pPr>
                      <w:rPr>
                        <w:b/>
                        <w:bCs/>
                        <w:sz w:val="20"/>
                      </w:rPr>
                    </w:pPr>
                    <w:r>
                      <w:rPr>
                        <w:b/>
                        <w:bCs/>
                        <w:sz w:val="20"/>
                      </w:rPr>
                      <w:t>15</w:t>
                    </w:r>
                  </w:p>
                </w:tc>
                <w:tc>
                  <w:tcPr>
                    <w:tcW w:w="2126" w:type="dxa"/>
                    <w:vMerge w:val="restart"/>
                    <w:shd w:val="clear" w:color="auto" w:fill="FFD966"/>
                    <w:vAlign w:val="center"/>
                    <w:hideMark/>
                  </w:tcPr>
                  <w:p>
                    <w:pPr>
                      <w:rPr>
                        <w:b/>
                        <w:bCs/>
                        <w:sz w:val="20"/>
                      </w:rPr>
                    </w:pPr>
                    <w:r>
                      <w:rPr>
                        <w:b/>
                        <w:bCs/>
                        <w:sz w:val="20"/>
                      </w:rPr>
                      <w:t>Skatinti miesto ekonominę plėtrą, sudarant palankias sąlygas verslo, turizmo ir laisvalaikio vystymuisi</w:t>
                    </w:r>
                  </w:p>
                </w:tc>
                <w:tc>
                  <w:tcPr>
                    <w:tcW w:w="850" w:type="dxa"/>
                    <w:vMerge w:val="restart"/>
                    <w:shd w:val="clear" w:color="auto" w:fill="FFD966"/>
                    <w:vAlign w:val="center"/>
                    <w:hideMark/>
                  </w:tcPr>
                  <w:p>
                    <w:pPr>
                      <w:jc w:val="center"/>
                      <w:rPr>
                        <w:sz w:val="20"/>
                      </w:rPr>
                    </w:pPr>
                    <w:r>
                      <w:rPr>
                        <w:sz w:val="20"/>
                      </w:rPr>
                      <w:t>EIS</w:t>
                    </w:r>
                  </w:p>
                </w:tc>
                <w:tc>
                  <w:tcPr>
                    <w:tcW w:w="709" w:type="dxa"/>
                    <w:vMerge w:val="restart"/>
                    <w:shd w:val="clear" w:color="auto" w:fill="FFD966"/>
                    <w:vAlign w:val="center"/>
                    <w:hideMark/>
                  </w:tcPr>
                  <w:p>
                    <w:pPr>
                      <w:jc w:val="center"/>
                      <w:rPr>
                        <w:sz w:val="20"/>
                      </w:rPr>
                    </w:pPr>
                    <w:r>
                      <w:rPr>
                        <w:sz w:val="20"/>
                      </w:rPr>
                      <w:t>2025</w:t>
                    </w:r>
                  </w:p>
                </w:tc>
                <w:tc>
                  <w:tcPr>
                    <w:tcW w:w="709" w:type="dxa"/>
                    <w:vMerge w:val="restart"/>
                    <w:shd w:val="clear" w:color="auto" w:fill="FFD966"/>
                    <w:vAlign w:val="center"/>
                    <w:hideMark/>
                  </w:tcPr>
                  <w:p>
                    <w:pPr>
                      <w:jc w:val="center"/>
                      <w:rPr>
                        <w:sz w:val="20"/>
                      </w:rPr>
                    </w:pPr>
                    <w:r>
                      <w:rPr>
                        <w:sz w:val="20"/>
                      </w:rPr>
                      <w:t>2033</w:t>
                    </w:r>
                  </w:p>
                </w:tc>
                <w:tc>
                  <w:tcPr>
                    <w:tcW w:w="1417" w:type="dxa"/>
                    <w:shd w:val="clear" w:color="auto" w:fill="FFD966"/>
                    <w:vAlign w:val="center"/>
                    <w:hideMark/>
                  </w:tcPr>
                  <w:p>
                    <w:pPr>
                      <w:rPr>
                        <w:sz w:val="20"/>
                      </w:rPr>
                    </w:pPr>
                    <w:r>
                      <w:rPr>
                        <w:sz w:val="20"/>
                      </w:rPr>
                      <w:t>P-15-01</w:t>
                    </w:r>
                  </w:p>
                </w:tc>
                <w:tc>
                  <w:tcPr>
                    <w:tcW w:w="4111" w:type="dxa"/>
                    <w:shd w:val="clear" w:color="auto" w:fill="FFD966"/>
                    <w:vAlign w:val="center"/>
                    <w:hideMark/>
                  </w:tcPr>
                  <w:p>
                    <w:pPr>
                      <w:rPr>
                        <w:sz w:val="20"/>
                      </w:rPr>
                    </w:pPr>
                    <w:r>
                      <w:rPr>
                        <w:sz w:val="20"/>
                      </w:rPr>
                      <w:t>Vidutinis mėnesinis bruto darbo užmokestis (santykis su LT vidurkiu) (Eur per metus)</w:t>
                    </w:r>
                  </w:p>
                </w:tc>
                <w:tc>
                  <w:tcPr>
                    <w:tcW w:w="1134" w:type="dxa"/>
                    <w:shd w:val="clear" w:color="auto" w:fill="FFD966"/>
                    <w:vAlign w:val="center"/>
                    <w:hideMark/>
                  </w:tcPr>
                  <w:p>
                    <w:pPr>
                      <w:jc w:val="center"/>
                      <w:rPr>
                        <w:sz w:val="20"/>
                      </w:rPr>
                    </w:pPr>
                    <w:r>
                      <w:rPr>
                        <w:sz w:val="20"/>
                      </w:rPr>
                      <w:t>VDA (EIS)</w:t>
                    </w:r>
                  </w:p>
                </w:tc>
                <w:tc>
                  <w:tcPr>
                    <w:tcW w:w="1134" w:type="dxa"/>
                    <w:shd w:val="clear" w:color="auto" w:fill="FFD966"/>
                    <w:vAlign w:val="center"/>
                    <w:hideMark/>
                  </w:tcPr>
                  <w:p>
                    <w:pPr>
                      <w:jc w:val="center"/>
                      <w:rPr>
                        <w:sz w:val="20"/>
                      </w:rPr>
                    </w:pPr>
                    <w:r>
                      <w:rPr>
                        <w:sz w:val="20"/>
                      </w:rPr>
                      <w:t>1546 (0,86) (2022)</w:t>
                    </w:r>
                  </w:p>
                </w:tc>
                <w:tc>
                  <w:tcPr>
                    <w:tcW w:w="1134" w:type="dxa"/>
                    <w:shd w:val="clear" w:color="auto" w:fill="FFD966"/>
                    <w:vAlign w:val="center"/>
                    <w:hideMark/>
                  </w:tcPr>
                  <w:p>
                    <w:pPr>
                      <w:jc w:val="center"/>
                      <w:rPr>
                        <w:sz w:val="20"/>
                      </w:rPr>
                    </w:pPr>
                    <w:r>
                      <w:rPr>
                        <w:sz w:val="20"/>
                      </w:rPr>
                      <w:t>0,92 (2033)</w:t>
                    </w:r>
                  </w:p>
                </w:tc>
              </w:tr>
              <w:tr>
                <w:trPr>
                  <w:trHeight w:val="695"/>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1417" w:type="dxa"/>
                    <w:shd w:val="clear" w:color="auto" w:fill="FFD966"/>
                    <w:vAlign w:val="center"/>
                    <w:hideMark/>
                  </w:tcPr>
                  <w:p>
                    <w:pPr>
                      <w:rPr>
                        <w:sz w:val="20"/>
                      </w:rPr>
                    </w:pPr>
                    <w:r>
                      <w:rPr>
                        <w:sz w:val="20"/>
                      </w:rPr>
                      <w:t>P-15-02</w:t>
                    </w:r>
                  </w:p>
                </w:tc>
                <w:tc>
                  <w:tcPr>
                    <w:tcW w:w="4111" w:type="dxa"/>
                    <w:shd w:val="clear" w:color="auto" w:fill="FFD966"/>
                    <w:vAlign w:val="center"/>
                    <w:hideMark/>
                  </w:tcPr>
                  <w:p>
                    <w:pPr>
                      <w:rPr>
                        <w:sz w:val="20"/>
                      </w:rPr>
                    </w:pPr>
                    <w:r>
                      <w:rPr>
                        <w:sz w:val="20"/>
                      </w:rPr>
                      <w:t xml:space="preserve">Materialinės investicijos (MI), tenkančios 1 gyventojui (santykis su LT vidurkiu)  (Eur per metus)</w:t>
                    </w:r>
                  </w:p>
                </w:tc>
                <w:tc>
                  <w:tcPr>
                    <w:tcW w:w="1134" w:type="dxa"/>
                    <w:shd w:val="clear" w:color="auto" w:fill="FFD966"/>
                    <w:vAlign w:val="center"/>
                    <w:hideMark/>
                  </w:tcPr>
                  <w:p>
                    <w:pPr>
                      <w:jc w:val="center"/>
                      <w:rPr>
                        <w:sz w:val="20"/>
                      </w:rPr>
                    </w:pPr>
                    <w:r>
                      <w:rPr>
                        <w:sz w:val="20"/>
                      </w:rPr>
                      <w:t>VDA (EIS)</w:t>
                    </w:r>
                  </w:p>
                </w:tc>
                <w:tc>
                  <w:tcPr>
                    <w:tcW w:w="1134" w:type="dxa"/>
                    <w:shd w:val="clear" w:color="auto" w:fill="FFD966"/>
                    <w:vAlign w:val="center"/>
                    <w:hideMark/>
                  </w:tcPr>
                  <w:p>
                    <w:pPr>
                      <w:jc w:val="center"/>
                      <w:rPr>
                        <w:sz w:val="20"/>
                      </w:rPr>
                    </w:pPr>
                    <w:r>
                      <w:rPr>
                        <w:sz w:val="20"/>
                      </w:rPr>
                      <w:t>3044 (0,69) (2022)</w:t>
                    </w:r>
                  </w:p>
                </w:tc>
                <w:tc>
                  <w:tcPr>
                    <w:tcW w:w="1134" w:type="dxa"/>
                    <w:shd w:val="clear" w:color="auto" w:fill="FFD966"/>
                    <w:vAlign w:val="center"/>
                    <w:hideMark/>
                  </w:tcPr>
                  <w:p>
                    <w:pPr>
                      <w:jc w:val="center"/>
                      <w:rPr>
                        <w:sz w:val="20"/>
                      </w:rPr>
                    </w:pPr>
                    <w:r>
                      <w:rPr>
                        <w:sz w:val="20"/>
                      </w:rPr>
                      <w:t>0,9 (2033)</w:t>
                    </w:r>
                  </w:p>
                </w:tc>
              </w:tr>
              <w:tr>
                <w:trPr>
                  <w:trHeight w:val="563"/>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1417" w:type="dxa"/>
                    <w:shd w:val="clear" w:color="auto" w:fill="FFD966"/>
                    <w:vAlign w:val="center"/>
                    <w:hideMark/>
                  </w:tcPr>
                  <w:p>
                    <w:pPr>
                      <w:rPr>
                        <w:sz w:val="20"/>
                      </w:rPr>
                    </w:pPr>
                    <w:r>
                      <w:rPr>
                        <w:sz w:val="20"/>
                      </w:rPr>
                      <w:t>P-15-03</w:t>
                    </w:r>
                  </w:p>
                </w:tc>
                <w:tc>
                  <w:tcPr>
                    <w:tcW w:w="4111" w:type="dxa"/>
                    <w:shd w:val="clear" w:color="auto" w:fill="FFD966"/>
                    <w:vAlign w:val="center"/>
                    <w:hideMark/>
                  </w:tcPr>
                  <w:p>
                    <w:pPr>
                      <w:rPr>
                        <w:sz w:val="20"/>
                      </w:rPr>
                    </w:pPr>
                    <w:r>
                      <w:rPr>
                        <w:sz w:val="20"/>
                      </w:rPr>
                      <w:t>Nakvynių ir turistų skaičius apgyvendinimo įstaigose (tūkst. vnt. / asm. per metus)</w:t>
                    </w:r>
                  </w:p>
                </w:tc>
                <w:tc>
                  <w:tcPr>
                    <w:tcW w:w="1134" w:type="dxa"/>
                    <w:shd w:val="clear" w:color="auto" w:fill="FFD966"/>
                    <w:vAlign w:val="center"/>
                    <w:hideMark/>
                  </w:tcPr>
                  <w:p>
                    <w:pPr>
                      <w:jc w:val="center"/>
                      <w:rPr>
                        <w:sz w:val="20"/>
                      </w:rPr>
                    </w:pPr>
                    <w:r>
                      <w:rPr>
                        <w:sz w:val="20"/>
                      </w:rPr>
                      <w:t>VDA (TIC)</w:t>
                    </w:r>
                  </w:p>
                </w:tc>
                <w:tc>
                  <w:tcPr>
                    <w:tcW w:w="1134" w:type="dxa"/>
                    <w:shd w:val="clear" w:color="auto" w:fill="FFD966"/>
                    <w:vAlign w:val="center"/>
                    <w:hideMark/>
                  </w:tcPr>
                  <w:p>
                    <w:pPr>
                      <w:jc w:val="center"/>
                      <w:rPr>
                        <w:sz w:val="20"/>
                      </w:rPr>
                    </w:pPr>
                    <w:r>
                      <w:rPr>
                        <w:sz w:val="20"/>
                      </w:rPr>
                      <w:t>149,2 / 41,6 (2023)</w:t>
                    </w:r>
                  </w:p>
                </w:tc>
                <w:tc>
                  <w:tcPr>
                    <w:tcW w:w="1134" w:type="dxa"/>
                    <w:shd w:val="clear" w:color="auto" w:fill="FFD966"/>
                    <w:vAlign w:val="center"/>
                    <w:hideMark/>
                  </w:tcPr>
                  <w:p>
                    <w:pPr>
                      <w:jc w:val="center"/>
                      <w:rPr>
                        <w:sz w:val="20"/>
                      </w:rPr>
                    </w:pPr>
                    <w:r>
                      <w:rPr>
                        <w:sz w:val="20"/>
                      </w:rPr>
                      <w:t>181,9 / 70 (2033)</w:t>
                    </w:r>
                  </w:p>
                </w:tc>
              </w:tr>
              <w:tr>
                <w:trPr>
                  <w:trHeight w:val="530"/>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1417" w:type="dxa"/>
                    <w:shd w:val="clear" w:color="auto" w:fill="FFD966"/>
                    <w:vAlign w:val="center"/>
                    <w:hideMark/>
                  </w:tcPr>
                  <w:p>
                    <w:pPr>
                      <w:rPr>
                        <w:sz w:val="20"/>
                      </w:rPr>
                    </w:pPr>
                    <w:r>
                      <w:rPr>
                        <w:sz w:val="20"/>
                      </w:rPr>
                      <w:t>P-15-04</w:t>
                    </w:r>
                  </w:p>
                </w:tc>
                <w:tc>
                  <w:tcPr>
                    <w:tcW w:w="4111" w:type="dxa"/>
                    <w:shd w:val="clear" w:color="auto" w:fill="FFD966"/>
                    <w:vAlign w:val="center"/>
                    <w:hideMark/>
                  </w:tcPr>
                  <w:p>
                    <w:pPr>
                      <w:rPr>
                        <w:sz w:val="20"/>
                      </w:rPr>
                    </w:pPr>
                    <w:r>
                      <w:rPr>
                        <w:sz w:val="20"/>
                      </w:rPr>
                      <w:t>Vietos ir užsienio turistų pasitenkinimo lygis (proc.)</w:t>
                    </w:r>
                  </w:p>
                </w:tc>
                <w:tc>
                  <w:tcPr>
                    <w:tcW w:w="1134" w:type="dxa"/>
                    <w:shd w:val="clear" w:color="auto" w:fill="FFD966"/>
                    <w:vAlign w:val="center"/>
                    <w:hideMark/>
                  </w:tcPr>
                  <w:p>
                    <w:pPr>
                      <w:jc w:val="center"/>
                      <w:rPr>
                        <w:sz w:val="20"/>
                      </w:rPr>
                    </w:pPr>
                    <w:r>
                      <w:rPr>
                        <w:sz w:val="20"/>
                      </w:rPr>
                      <w:t>Tyrimas (TIC)</w:t>
                    </w:r>
                  </w:p>
                </w:tc>
                <w:tc>
                  <w:tcPr>
                    <w:tcW w:w="1134" w:type="dxa"/>
                    <w:shd w:val="clear" w:color="auto" w:fill="FFD966"/>
                    <w:vAlign w:val="center"/>
                    <w:hideMark/>
                  </w:tcPr>
                  <w:p>
                    <w:pPr>
                      <w:jc w:val="center"/>
                      <w:rPr>
                        <w:sz w:val="20"/>
                      </w:rPr>
                    </w:pPr>
                    <w:r>
                      <w:rPr>
                        <w:sz w:val="20"/>
                      </w:rPr>
                      <w:t>n.d. (2023)</w:t>
                    </w:r>
                  </w:p>
                </w:tc>
                <w:tc>
                  <w:tcPr>
                    <w:tcW w:w="1134" w:type="dxa"/>
                    <w:shd w:val="clear" w:color="auto" w:fill="FFD966"/>
                    <w:vAlign w:val="center"/>
                    <w:hideMark/>
                  </w:tcPr>
                  <w:p>
                    <w:pPr>
                      <w:jc w:val="center"/>
                      <w:rPr>
                        <w:sz w:val="20"/>
                      </w:rPr>
                    </w:pPr>
                    <w:r>
                      <w:rPr>
                        <w:sz w:val="20"/>
                      </w:rPr>
                      <w:t>70 (2033)</w:t>
                    </w:r>
                  </w:p>
                </w:tc>
              </w:tr>
              <w:tr>
                <w:trPr>
                  <w:trHeight w:val="736"/>
                  <w:jc w:val="center"/>
                </w:trPr>
                <w:tc>
                  <w:tcPr>
                    <w:tcW w:w="988" w:type="dxa"/>
                    <w:vMerge w:val="restart"/>
                    <w:shd w:val="clear" w:color="auto" w:fill="FCE4D6"/>
                    <w:noWrap/>
                    <w:vAlign w:val="center"/>
                    <w:hideMark/>
                  </w:tcPr>
                  <w:p>
                    <w:pPr>
                      <w:rPr>
                        <w:b/>
                        <w:bCs/>
                        <w:sz w:val="20"/>
                      </w:rPr>
                    </w:pPr>
                    <w:r>
                      <w:rPr>
                        <w:b/>
                        <w:bCs/>
                        <w:sz w:val="20"/>
                      </w:rPr>
                      <w:t>15-01</w:t>
                    </w:r>
                  </w:p>
                </w:tc>
                <w:tc>
                  <w:tcPr>
                    <w:tcW w:w="2126" w:type="dxa"/>
                    <w:vMerge w:val="restart"/>
                    <w:shd w:val="clear" w:color="auto" w:fill="FCE4D6"/>
                    <w:vAlign w:val="center"/>
                    <w:hideMark/>
                  </w:tcPr>
                  <w:p>
                    <w:pPr>
                      <w:rPr>
                        <w:b/>
                        <w:bCs/>
                        <w:sz w:val="20"/>
                      </w:rPr>
                    </w:pPr>
                    <w:r>
                      <w:rPr>
                        <w:b/>
                        <w:bCs/>
                        <w:sz w:val="20"/>
                      </w:rPr>
                      <w:t>Pagerinti investicijų pritraukimo ir verslo plėtros sąlygas</w:t>
                    </w:r>
                  </w:p>
                </w:tc>
                <w:tc>
                  <w:tcPr>
                    <w:tcW w:w="850" w:type="dxa"/>
                    <w:vMerge w:val="restart"/>
                    <w:shd w:val="clear" w:color="auto" w:fill="FCE4D6"/>
                    <w:vAlign w:val="center"/>
                    <w:hideMark/>
                  </w:tcPr>
                  <w:p>
                    <w:pPr>
                      <w:jc w:val="center"/>
                      <w:rPr>
                        <w:sz w:val="20"/>
                      </w:rPr>
                    </w:pPr>
                    <w:r>
                      <w:rPr>
                        <w:sz w:val="20"/>
                      </w:rPr>
                      <w:t>EIS</w:t>
                    </w:r>
                  </w:p>
                </w:tc>
                <w:tc>
                  <w:tcPr>
                    <w:tcW w:w="709" w:type="dxa"/>
                    <w:vMerge w:val="restart"/>
                    <w:shd w:val="clear" w:color="auto" w:fill="FCE4D6"/>
                    <w:vAlign w:val="center"/>
                    <w:hideMark/>
                  </w:tcPr>
                  <w:p>
                    <w:pPr>
                      <w:jc w:val="center"/>
                      <w:rPr>
                        <w:sz w:val="20"/>
                      </w:rPr>
                    </w:pPr>
                    <w:r>
                      <w:rPr>
                        <w:sz w:val="20"/>
                      </w:rPr>
                      <w:t>2025</w:t>
                    </w:r>
                  </w:p>
                </w:tc>
                <w:tc>
                  <w:tcPr>
                    <w:tcW w:w="709" w:type="dxa"/>
                    <w:vMerge w:val="restart"/>
                    <w:shd w:val="clear" w:color="auto" w:fill="FCE4D6"/>
                    <w:vAlign w:val="center"/>
                    <w:hideMark/>
                  </w:tcPr>
                  <w:p>
                    <w:pPr>
                      <w:jc w:val="center"/>
                      <w:rPr>
                        <w:sz w:val="20"/>
                      </w:rPr>
                    </w:pPr>
                    <w:r>
                      <w:rPr>
                        <w:sz w:val="20"/>
                      </w:rPr>
                      <w:t>2033</w:t>
                    </w:r>
                  </w:p>
                </w:tc>
                <w:tc>
                  <w:tcPr>
                    <w:tcW w:w="1417" w:type="dxa"/>
                    <w:shd w:val="clear" w:color="auto" w:fill="FCE4D6"/>
                    <w:vAlign w:val="center"/>
                    <w:hideMark/>
                  </w:tcPr>
                  <w:p>
                    <w:pPr>
                      <w:rPr>
                        <w:b/>
                        <w:bCs/>
                        <w:sz w:val="20"/>
                      </w:rPr>
                    </w:pPr>
                    <w:r>
                      <w:rPr>
                        <w:b/>
                        <w:bCs/>
                        <w:sz w:val="20"/>
                      </w:rPr>
                      <w:t>R-15-01-01</w:t>
                    </w:r>
                  </w:p>
                </w:tc>
                <w:tc>
                  <w:tcPr>
                    <w:tcW w:w="4111" w:type="dxa"/>
                    <w:shd w:val="clear" w:color="auto" w:fill="FCE4D6"/>
                    <w:vAlign w:val="center"/>
                    <w:hideMark/>
                  </w:tcPr>
                  <w:p>
                    <w:pPr>
                      <w:rPr>
                        <w:sz w:val="20"/>
                      </w:rPr>
                    </w:pPr>
                    <w:r>
                      <w:rPr>
                        <w:sz w:val="20"/>
                      </w:rPr>
                      <w:t>Tiesioginės užsienio investicijos (TUI), tenkančios 1 gyventojui (santykis su LT vidurkiu) (Eur per metus)</w:t>
                    </w:r>
                  </w:p>
                </w:tc>
                <w:tc>
                  <w:tcPr>
                    <w:tcW w:w="1134" w:type="dxa"/>
                    <w:shd w:val="clear" w:color="auto" w:fill="FCE4D6"/>
                    <w:vAlign w:val="center"/>
                    <w:hideMark/>
                  </w:tcPr>
                  <w:p>
                    <w:pPr>
                      <w:jc w:val="center"/>
                      <w:rPr>
                        <w:sz w:val="20"/>
                      </w:rPr>
                    </w:pPr>
                    <w:r>
                      <w:rPr>
                        <w:sz w:val="20"/>
                      </w:rPr>
                      <w:t>VDA (EIS)</w:t>
                    </w:r>
                  </w:p>
                </w:tc>
                <w:tc>
                  <w:tcPr>
                    <w:tcW w:w="1134" w:type="dxa"/>
                    <w:shd w:val="clear" w:color="auto" w:fill="FCE4D6"/>
                    <w:vAlign w:val="center"/>
                    <w:hideMark/>
                  </w:tcPr>
                  <w:p>
                    <w:pPr>
                      <w:jc w:val="center"/>
                      <w:rPr>
                        <w:sz w:val="20"/>
                      </w:rPr>
                    </w:pPr>
                    <w:r>
                      <w:rPr>
                        <w:sz w:val="20"/>
                      </w:rPr>
                      <w:t>3202 (0,31) (2022)</w:t>
                    </w:r>
                  </w:p>
                </w:tc>
                <w:tc>
                  <w:tcPr>
                    <w:tcW w:w="1134" w:type="dxa"/>
                    <w:shd w:val="clear" w:color="auto" w:fill="FCE4D6"/>
                    <w:vAlign w:val="center"/>
                    <w:hideMark/>
                  </w:tcPr>
                  <w:p>
                    <w:pPr>
                      <w:jc w:val="center"/>
                      <w:rPr>
                        <w:sz w:val="20"/>
                      </w:rPr>
                    </w:pPr>
                    <w:r>
                      <w:rPr>
                        <w:sz w:val="20"/>
                      </w:rPr>
                      <w:t>0,55 (2033)</w:t>
                    </w:r>
                  </w:p>
                </w:tc>
              </w:tr>
              <w:tr>
                <w:trPr>
                  <w:trHeight w:val="52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b/>
                        <w:bCs/>
                        <w:sz w:val="20"/>
                      </w:rPr>
                    </w:pPr>
                    <w:r>
                      <w:rPr>
                        <w:b/>
                        <w:bCs/>
                        <w:sz w:val="20"/>
                      </w:rPr>
                      <w:t>R-15-01-02</w:t>
                    </w:r>
                  </w:p>
                </w:tc>
                <w:tc>
                  <w:tcPr>
                    <w:tcW w:w="4111" w:type="dxa"/>
                    <w:shd w:val="clear" w:color="auto" w:fill="FCE4D6"/>
                    <w:vAlign w:val="center"/>
                    <w:hideMark/>
                  </w:tcPr>
                  <w:p>
                    <w:pPr>
                      <w:rPr>
                        <w:sz w:val="20"/>
                      </w:rPr>
                    </w:pPr>
                    <w:r>
                      <w:rPr>
                        <w:sz w:val="20"/>
                      </w:rPr>
                      <w:t>Registruotų bedarbių ir darbingo amžiaus gyventojų santykis (proc.)</w:t>
                    </w:r>
                  </w:p>
                </w:tc>
                <w:tc>
                  <w:tcPr>
                    <w:tcW w:w="1134" w:type="dxa"/>
                    <w:shd w:val="clear" w:color="auto" w:fill="FCE4D6"/>
                    <w:vAlign w:val="center"/>
                    <w:hideMark/>
                  </w:tcPr>
                  <w:p>
                    <w:pPr>
                      <w:jc w:val="center"/>
                      <w:rPr>
                        <w:sz w:val="20"/>
                      </w:rPr>
                    </w:pPr>
                    <w:r>
                      <w:rPr>
                        <w:sz w:val="20"/>
                      </w:rPr>
                      <w:t>VDA (EIS)</w:t>
                    </w:r>
                  </w:p>
                </w:tc>
                <w:tc>
                  <w:tcPr>
                    <w:tcW w:w="1134" w:type="dxa"/>
                    <w:shd w:val="clear" w:color="auto" w:fill="FCE4D6"/>
                    <w:vAlign w:val="center"/>
                    <w:hideMark/>
                  </w:tcPr>
                  <w:p>
                    <w:pPr>
                      <w:jc w:val="center"/>
                      <w:rPr>
                        <w:sz w:val="20"/>
                      </w:rPr>
                    </w:pPr>
                    <w:r>
                      <w:rPr>
                        <w:sz w:val="20"/>
                      </w:rPr>
                      <w:t>6,9 (2023)</w:t>
                    </w:r>
                  </w:p>
                </w:tc>
                <w:tc>
                  <w:tcPr>
                    <w:tcW w:w="1134" w:type="dxa"/>
                    <w:shd w:val="clear" w:color="auto" w:fill="FCE4D6"/>
                    <w:vAlign w:val="center"/>
                    <w:hideMark/>
                  </w:tcPr>
                  <w:p>
                    <w:pPr>
                      <w:jc w:val="center"/>
                      <w:rPr>
                        <w:sz w:val="20"/>
                      </w:rPr>
                    </w:pPr>
                    <w:r>
                      <w:rPr>
                        <w:sz w:val="20"/>
                      </w:rPr>
                      <w:t>6 (2033)</w:t>
                    </w:r>
                  </w:p>
                </w:tc>
              </w:tr>
              <w:tr>
                <w:trPr>
                  <w:trHeight w:val="63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b/>
                        <w:bCs/>
                        <w:sz w:val="20"/>
                      </w:rPr>
                    </w:pPr>
                    <w:r>
                      <w:rPr>
                        <w:b/>
                        <w:bCs/>
                        <w:sz w:val="20"/>
                      </w:rPr>
                      <w:t>R-15-01-03</w:t>
                    </w:r>
                  </w:p>
                </w:tc>
                <w:tc>
                  <w:tcPr>
                    <w:tcW w:w="4111" w:type="dxa"/>
                    <w:shd w:val="clear" w:color="auto" w:fill="FCE4D6"/>
                    <w:vAlign w:val="center"/>
                    <w:hideMark/>
                  </w:tcPr>
                  <w:p>
                    <w:pPr>
                      <w:rPr>
                        <w:sz w:val="20"/>
                      </w:rPr>
                    </w:pPr>
                    <w:r>
                      <w:rPr>
                        <w:sz w:val="20"/>
                      </w:rPr>
                      <w:t>Veikiančių įmonių metų pradžioje skaičius, tenkantis 1 tūkst. gyv. (santykis su LT vidurkiu) (vnt. per metus)</w:t>
                    </w:r>
                  </w:p>
                </w:tc>
                <w:tc>
                  <w:tcPr>
                    <w:tcW w:w="1134" w:type="dxa"/>
                    <w:shd w:val="clear" w:color="auto" w:fill="FCE4D6"/>
                    <w:vAlign w:val="center"/>
                    <w:hideMark/>
                  </w:tcPr>
                  <w:p>
                    <w:pPr>
                      <w:jc w:val="center"/>
                      <w:rPr>
                        <w:sz w:val="20"/>
                      </w:rPr>
                    </w:pPr>
                    <w:r>
                      <w:rPr>
                        <w:sz w:val="20"/>
                      </w:rPr>
                      <w:t>VDA (EIS)</w:t>
                    </w:r>
                  </w:p>
                </w:tc>
                <w:tc>
                  <w:tcPr>
                    <w:tcW w:w="1134" w:type="dxa"/>
                    <w:shd w:val="clear" w:color="auto" w:fill="FCE4D6"/>
                    <w:vAlign w:val="center"/>
                    <w:hideMark/>
                  </w:tcPr>
                  <w:p>
                    <w:pPr>
                      <w:jc w:val="center"/>
                      <w:rPr>
                        <w:sz w:val="20"/>
                      </w:rPr>
                    </w:pPr>
                    <w:r>
                      <w:rPr>
                        <w:sz w:val="20"/>
                      </w:rPr>
                      <w:t>30,7 (0,87) (2023)</w:t>
                    </w:r>
                  </w:p>
                </w:tc>
                <w:tc>
                  <w:tcPr>
                    <w:tcW w:w="1134" w:type="dxa"/>
                    <w:shd w:val="clear" w:color="auto" w:fill="FCE4D6"/>
                    <w:vAlign w:val="center"/>
                    <w:hideMark/>
                  </w:tcPr>
                  <w:p>
                    <w:pPr>
                      <w:jc w:val="center"/>
                      <w:rPr>
                        <w:sz w:val="20"/>
                      </w:rPr>
                    </w:pPr>
                    <w:r>
                      <w:rPr>
                        <w:sz w:val="20"/>
                      </w:rPr>
                      <w:t>1 (2033)</w:t>
                    </w:r>
                  </w:p>
                </w:tc>
              </w:tr>
              <w:tr>
                <w:trPr>
                  <w:trHeight w:val="965"/>
                  <w:jc w:val="center"/>
                </w:trPr>
                <w:tc>
                  <w:tcPr>
                    <w:tcW w:w="988" w:type="dxa"/>
                    <w:vMerge w:val="restart"/>
                    <w:noWrap/>
                    <w:vAlign w:val="center"/>
                    <w:hideMark/>
                  </w:tcPr>
                  <w:p>
                    <w:pPr>
                      <w:rPr>
                        <w:sz w:val="20"/>
                      </w:rPr>
                    </w:pPr>
                    <w:r>
                      <w:rPr>
                        <w:sz w:val="20"/>
                      </w:rPr>
                      <w:t>15-01-01</w:t>
                    </w:r>
                  </w:p>
                </w:tc>
                <w:tc>
                  <w:tcPr>
                    <w:tcW w:w="2126" w:type="dxa"/>
                    <w:vMerge w:val="restart"/>
                    <w:vAlign w:val="center"/>
                    <w:hideMark/>
                  </w:tcPr>
                  <w:p>
                    <w:pPr>
                      <w:rPr>
                        <w:sz w:val="20"/>
                      </w:rPr>
                    </w:pPr>
                    <w:r>
                      <w:rPr>
                        <w:sz w:val="20"/>
                      </w:rPr>
                      <w:t>Skatinti ir ugdyti verslumą</w:t>
                    </w:r>
                  </w:p>
                </w:tc>
                <w:tc>
                  <w:tcPr>
                    <w:tcW w:w="850" w:type="dxa"/>
                    <w:vMerge w:val="restart"/>
                    <w:vAlign w:val="center"/>
                    <w:hideMark/>
                  </w:tcPr>
                  <w:p>
                    <w:pPr>
                      <w:jc w:val="center"/>
                      <w:rPr>
                        <w:sz w:val="20"/>
                      </w:rPr>
                    </w:pPr>
                    <w:r>
                      <w:rPr>
                        <w:sz w:val="20"/>
                      </w:rPr>
                      <w:t>EIS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P-15-01-01-01</w:t>
                    </w:r>
                  </w:p>
                </w:tc>
                <w:tc>
                  <w:tcPr>
                    <w:tcW w:w="4111" w:type="dxa"/>
                    <w:vAlign w:val="center"/>
                    <w:hideMark/>
                  </w:tcPr>
                  <w:p>
                    <w:pPr>
                      <w:rPr>
                        <w:sz w:val="20"/>
                      </w:rPr>
                    </w:pPr>
                    <w:r>
                      <w:rPr>
                        <w:sz w:val="20"/>
                      </w:rPr>
                      <w:t>Mokslo įstaigų erdvių, pritaikytų ir naudojamų verslų kūrimui, vystymui, bendradarbiavimui, žinių mainams, inovacijų ir technologijų kūrimui, skaičius (vnt.)</w:t>
                    </w:r>
                  </w:p>
                </w:tc>
                <w:tc>
                  <w:tcPr>
                    <w:tcW w:w="1134" w:type="dxa"/>
                    <w:vAlign w:val="center"/>
                    <w:hideMark/>
                  </w:tcPr>
                  <w:p>
                    <w:pPr>
                      <w:jc w:val="center"/>
                      <w:rPr>
                        <w:sz w:val="20"/>
                      </w:rPr>
                    </w:pPr>
                    <w:r>
                      <w:rPr>
                        <w:sz w:val="20"/>
                      </w:rPr>
                      <w:t>EIS, ŠS</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2 (2030)</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P-15-01-01-02</w:t>
                    </w:r>
                  </w:p>
                </w:tc>
                <w:tc>
                  <w:tcPr>
                    <w:tcW w:w="4111" w:type="dxa"/>
                    <w:vAlign w:val="center"/>
                    <w:hideMark/>
                  </w:tcPr>
                  <w:p>
                    <w:pPr>
                      <w:rPr>
                        <w:sz w:val="20"/>
                      </w:rPr>
                    </w:pPr>
                    <w:r>
                      <w:rPr>
                        <w:sz w:val="20"/>
                      </w:rPr>
                      <w:t>Paramos teikimo smulkiajam ir vidutiniam verslui iniciatyvų skaičius (vnt. per metus)</w:t>
                    </w:r>
                  </w:p>
                </w:tc>
                <w:tc>
                  <w:tcPr>
                    <w:tcW w:w="1134" w:type="dxa"/>
                    <w:vAlign w:val="center"/>
                    <w:hideMark/>
                  </w:tcPr>
                  <w:p>
                    <w:pPr>
                      <w:jc w:val="center"/>
                      <w:rPr>
                        <w:sz w:val="20"/>
                      </w:rPr>
                    </w:pPr>
                    <w:r>
                      <w:rPr>
                        <w:sz w:val="20"/>
                      </w:rPr>
                      <w:t>EIS</w:t>
                    </w:r>
                  </w:p>
                </w:tc>
                <w:tc>
                  <w:tcPr>
                    <w:tcW w:w="1134" w:type="dxa"/>
                    <w:vAlign w:val="center"/>
                    <w:hideMark/>
                  </w:tcPr>
                  <w:p>
                    <w:pPr>
                      <w:jc w:val="center"/>
                      <w:rPr>
                        <w:sz w:val="20"/>
                      </w:rPr>
                    </w:pPr>
                    <w:r>
                      <w:rPr>
                        <w:sz w:val="20"/>
                      </w:rPr>
                      <w:t>3 (2023)</w:t>
                    </w:r>
                  </w:p>
                </w:tc>
                <w:tc>
                  <w:tcPr>
                    <w:tcW w:w="1134" w:type="dxa"/>
                    <w:vAlign w:val="center"/>
                    <w:hideMark/>
                  </w:tcPr>
                  <w:p>
                    <w:pPr>
                      <w:jc w:val="center"/>
                      <w:rPr>
                        <w:sz w:val="20"/>
                      </w:rPr>
                    </w:pPr>
                    <w:r>
                      <w:rPr>
                        <w:sz w:val="20"/>
                      </w:rPr>
                      <w:t>4 (2033)</w:t>
                    </w:r>
                  </w:p>
                </w:tc>
              </w:tr>
              <w:tr>
                <w:trPr>
                  <w:trHeight w:val="252"/>
                  <w:jc w:val="center"/>
                </w:trPr>
                <w:tc>
                  <w:tcPr>
                    <w:tcW w:w="988" w:type="dxa"/>
                    <w:vMerge w:val="restart"/>
                    <w:noWrap/>
                    <w:vAlign w:val="center"/>
                    <w:hideMark/>
                  </w:tcPr>
                  <w:p>
                    <w:pPr>
                      <w:rPr>
                        <w:sz w:val="20"/>
                      </w:rPr>
                    </w:pPr>
                    <w:r>
                      <w:rPr>
                        <w:sz w:val="20"/>
                      </w:rPr>
                      <w:t>15-01-02</w:t>
                    </w:r>
                  </w:p>
                </w:tc>
                <w:tc>
                  <w:tcPr>
                    <w:tcW w:w="2126" w:type="dxa"/>
                    <w:vMerge w:val="restart"/>
                    <w:vAlign w:val="center"/>
                    <w:hideMark/>
                  </w:tcPr>
                  <w:p>
                    <w:pPr>
                      <w:rPr>
                        <w:sz w:val="20"/>
                      </w:rPr>
                    </w:pPr>
                    <w:r>
                      <w:rPr>
                        <w:sz w:val="20"/>
                      </w:rPr>
                      <w:t>Vystyti Šiaulių pramoninio parko ir Šiaulių laisvosios ekonominės zonos infrastruktūrą</w:t>
                    </w:r>
                  </w:p>
                </w:tc>
                <w:tc>
                  <w:tcPr>
                    <w:tcW w:w="850" w:type="dxa"/>
                    <w:vMerge w:val="restart"/>
                    <w:vAlign w:val="center"/>
                    <w:hideMark/>
                  </w:tcPr>
                  <w:p>
                    <w:pPr>
                      <w:jc w:val="center"/>
                      <w:rPr>
                        <w:sz w:val="20"/>
                      </w:rPr>
                    </w:pPr>
                    <w:r>
                      <w:rPr>
                        <w:sz w:val="20"/>
                      </w:rPr>
                      <w:t>EIS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P-15-01-02-01</w:t>
                    </w:r>
                  </w:p>
                </w:tc>
                <w:tc>
                  <w:tcPr>
                    <w:tcW w:w="4111" w:type="dxa"/>
                    <w:vAlign w:val="center"/>
                    <w:hideMark/>
                  </w:tcPr>
                  <w:p>
                    <w:pPr>
                      <w:rPr>
                        <w:sz w:val="20"/>
                      </w:rPr>
                    </w:pPr>
                    <w:r>
                      <w:rPr>
                        <w:sz w:val="20"/>
                      </w:rPr>
                      <w:t>Įveiklintų LEZ sklypų dalis (proc.)</w:t>
                    </w:r>
                  </w:p>
                </w:tc>
                <w:tc>
                  <w:tcPr>
                    <w:tcW w:w="1134" w:type="dxa"/>
                    <w:vAlign w:val="center"/>
                    <w:hideMark/>
                  </w:tcPr>
                  <w:p>
                    <w:pPr>
                      <w:jc w:val="center"/>
                      <w:rPr>
                        <w:sz w:val="20"/>
                      </w:rPr>
                    </w:pPr>
                    <w:r>
                      <w:rPr>
                        <w:sz w:val="20"/>
                      </w:rPr>
                      <w:t>LEZ</w:t>
                    </w:r>
                  </w:p>
                </w:tc>
                <w:tc>
                  <w:tcPr>
                    <w:tcW w:w="1134" w:type="dxa"/>
                    <w:vAlign w:val="center"/>
                    <w:hideMark/>
                  </w:tcPr>
                  <w:p>
                    <w:pPr>
                      <w:jc w:val="center"/>
                      <w:rPr>
                        <w:sz w:val="20"/>
                      </w:rPr>
                    </w:pPr>
                    <w:r>
                      <w:rPr>
                        <w:sz w:val="20"/>
                      </w:rPr>
                      <w:t>42 (2023)</w:t>
                    </w:r>
                  </w:p>
                </w:tc>
                <w:tc>
                  <w:tcPr>
                    <w:tcW w:w="1134" w:type="dxa"/>
                    <w:vAlign w:val="center"/>
                    <w:hideMark/>
                  </w:tcPr>
                  <w:p>
                    <w:pPr>
                      <w:jc w:val="center"/>
                      <w:rPr>
                        <w:sz w:val="20"/>
                      </w:rPr>
                    </w:pPr>
                    <w:r>
                      <w:rPr>
                        <w:sz w:val="20"/>
                      </w:rPr>
                      <w:t>95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P-15-01-02-02</w:t>
                    </w:r>
                  </w:p>
                </w:tc>
                <w:tc>
                  <w:tcPr>
                    <w:tcW w:w="4111" w:type="dxa"/>
                    <w:vAlign w:val="center"/>
                    <w:hideMark/>
                  </w:tcPr>
                  <w:p>
                    <w:pPr>
                      <w:rPr>
                        <w:sz w:val="20"/>
                      </w:rPr>
                    </w:pPr>
                    <w:r>
                      <w:rPr>
                        <w:sz w:val="20"/>
                      </w:rPr>
                      <w:t>LEZ įgyvendintų „Built to suit“ principu parengtų projektų skaičius (vnt.)</w:t>
                    </w:r>
                  </w:p>
                </w:tc>
                <w:tc>
                  <w:tcPr>
                    <w:tcW w:w="1134" w:type="dxa"/>
                    <w:vAlign w:val="center"/>
                    <w:hideMark/>
                  </w:tcPr>
                  <w:p>
                    <w:pPr>
                      <w:jc w:val="center"/>
                      <w:rPr>
                        <w:sz w:val="20"/>
                      </w:rPr>
                    </w:pPr>
                    <w:r>
                      <w:rPr>
                        <w:sz w:val="20"/>
                      </w:rPr>
                      <w:t>LEZ</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 (2027)</w:t>
                    </w:r>
                  </w:p>
                </w:tc>
              </w:tr>
              <w:tr>
                <w:trPr>
                  <w:trHeight w:val="46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P-15-01-02-03</w:t>
                    </w:r>
                  </w:p>
                </w:tc>
                <w:tc>
                  <w:tcPr>
                    <w:tcW w:w="4111" w:type="dxa"/>
                    <w:vAlign w:val="center"/>
                    <w:hideMark/>
                  </w:tcPr>
                  <w:p>
                    <w:pPr>
                      <w:rPr>
                        <w:sz w:val="20"/>
                      </w:rPr>
                    </w:pPr>
                    <w:r>
                      <w:rPr>
                        <w:sz w:val="20"/>
                      </w:rPr>
                      <w:t>Įgyvendintas elektros galios padidinimo projektas verslo reikmėms (vnt.)</w:t>
                    </w:r>
                  </w:p>
                </w:tc>
                <w:tc>
                  <w:tcPr>
                    <w:tcW w:w="1134" w:type="dxa"/>
                    <w:vAlign w:val="center"/>
                    <w:hideMark/>
                  </w:tcPr>
                  <w:p>
                    <w:pPr>
                      <w:jc w:val="center"/>
                      <w:rPr>
                        <w:sz w:val="20"/>
                      </w:rPr>
                    </w:pPr>
                    <w:r>
                      <w:rPr>
                        <w:sz w:val="20"/>
                      </w:rPr>
                      <w:t>EIS</w:t>
                    </w:r>
                  </w:p>
                </w:tc>
                <w:tc>
                  <w:tcPr>
                    <w:tcW w:w="1134" w:type="dxa"/>
                    <w:vAlign w:val="center"/>
                    <w:hideMark/>
                  </w:tcPr>
                  <w:p>
                    <w:pPr>
                      <w:jc w:val="center"/>
                      <w:rPr>
                        <w:sz w:val="20"/>
                      </w:rPr>
                    </w:pPr>
                    <w:r>
                      <w:rPr>
                        <w:sz w:val="20"/>
                      </w:rPr>
                      <w:t>0 (2024)</w:t>
                    </w:r>
                  </w:p>
                </w:tc>
                <w:tc>
                  <w:tcPr>
                    <w:tcW w:w="1134" w:type="dxa"/>
                    <w:vAlign w:val="center"/>
                    <w:hideMark/>
                  </w:tcPr>
                  <w:p>
                    <w:pPr>
                      <w:jc w:val="center"/>
                      <w:rPr>
                        <w:sz w:val="20"/>
                      </w:rPr>
                    </w:pPr>
                    <w:r>
                      <w:rPr>
                        <w:sz w:val="20"/>
                      </w:rPr>
                      <w:t>1 (2026)</w:t>
                    </w:r>
                  </w:p>
                </w:tc>
              </w:tr>
              <w:tr>
                <w:trPr>
                  <w:trHeight w:val="411"/>
                  <w:jc w:val="center"/>
                </w:trPr>
                <w:tc>
                  <w:tcPr>
                    <w:tcW w:w="988" w:type="dxa"/>
                    <w:noWrap/>
                    <w:vAlign w:val="center"/>
                    <w:hideMark/>
                  </w:tcPr>
                  <w:p>
                    <w:pPr>
                      <w:rPr>
                        <w:sz w:val="20"/>
                      </w:rPr>
                    </w:pPr>
                    <w:r>
                      <w:rPr>
                        <w:sz w:val="20"/>
                      </w:rPr>
                      <w:t>15-01-03</w:t>
                    </w:r>
                  </w:p>
                </w:tc>
                <w:tc>
                  <w:tcPr>
                    <w:tcW w:w="2126" w:type="dxa"/>
                    <w:vAlign w:val="center"/>
                    <w:hideMark/>
                  </w:tcPr>
                  <w:p>
                    <w:pPr>
                      <w:rPr>
                        <w:sz w:val="20"/>
                      </w:rPr>
                    </w:pPr>
                    <w:r>
                      <w:rPr>
                        <w:sz w:val="20"/>
                      </w:rPr>
                      <w:t xml:space="preserve">Vykdyti Šiaulių Oro uosto plėtrą </w:t>
                    </w:r>
                  </w:p>
                </w:tc>
                <w:tc>
                  <w:tcPr>
                    <w:tcW w:w="850" w:type="dxa"/>
                    <w:vAlign w:val="center"/>
                    <w:hideMark/>
                  </w:tcPr>
                  <w:p>
                    <w:pPr>
                      <w:jc w:val="center"/>
                      <w:rPr>
                        <w:sz w:val="20"/>
                      </w:rPr>
                    </w:pPr>
                    <w:r>
                      <w:rPr>
                        <w:sz w:val="20"/>
                      </w:rPr>
                      <w:t>EIS</w:t>
                    </w:r>
                  </w:p>
                </w:tc>
                <w:tc>
                  <w:tcPr>
                    <w:tcW w:w="709" w:type="dxa"/>
                    <w:vAlign w:val="center"/>
                    <w:hideMark/>
                  </w:tcPr>
                  <w:p>
                    <w:pPr>
                      <w:jc w:val="center"/>
                      <w:rPr>
                        <w:sz w:val="20"/>
                      </w:rPr>
                    </w:pPr>
                    <w:r>
                      <w:rPr>
                        <w:sz w:val="20"/>
                      </w:rPr>
                      <w:t>2025</w:t>
                    </w:r>
                  </w:p>
                </w:tc>
                <w:tc>
                  <w:tcPr>
                    <w:tcW w:w="709" w:type="dxa"/>
                    <w:vAlign w:val="center"/>
                    <w:hideMark/>
                  </w:tcPr>
                  <w:p>
                    <w:pPr>
                      <w:jc w:val="center"/>
                      <w:rPr>
                        <w:sz w:val="20"/>
                      </w:rPr>
                    </w:pPr>
                    <w:r>
                      <w:rPr>
                        <w:sz w:val="20"/>
                      </w:rPr>
                      <w:t>2033</w:t>
                    </w:r>
                  </w:p>
                </w:tc>
                <w:tc>
                  <w:tcPr>
                    <w:tcW w:w="1417" w:type="dxa"/>
                    <w:vAlign w:val="center"/>
                    <w:hideMark/>
                  </w:tcPr>
                  <w:p>
                    <w:pPr>
                      <w:rPr>
                        <w:sz w:val="20"/>
                      </w:rPr>
                    </w:pPr>
                    <w:r>
                      <w:rPr>
                        <w:sz w:val="20"/>
                      </w:rPr>
                      <w:t>P-15-01-03-01</w:t>
                    </w:r>
                  </w:p>
                </w:tc>
                <w:tc>
                  <w:tcPr>
                    <w:tcW w:w="4111" w:type="dxa"/>
                    <w:vAlign w:val="center"/>
                    <w:hideMark/>
                  </w:tcPr>
                  <w:p>
                    <w:pPr>
                      <w:rPr>
                        <w:sz w:val="20"/>
                      </w:rPr>
                    </w:pPr>
                    <w:r>
                      <w:rPr>
                        <w:sz w:val="20"/>
                      </w:rPr>
                      <w:t>Pastatytas Oro uosto multifunkcinis terminalas (vnt.)</w:t>
                    </w:r>
                  </w:p>
                </w:tc>
                <w:tc>
                  <w:tcPr>
                    <w:tcW w:w="1134" w:type="dxa"/>
                    <w:vAlign w:val="center"/>
                    <w:hideMark/>
                  </w:tcPr>
                  <w:p>
                    <w:pPr>
                      <w:jc w:val="center"/>
                      <w:rPr>
                        <w:sz w:val="20"/>
                      </w:rPr>
                    </w:pPr>
                    <w:r>
                      <w:rPr>
                        <w:sz w:val="20"/>
                      </w:rPr>
                      <w:t>EIS</w:t>
                    </w:r>
                  </w:p>
                </w:tc>
                <w:tc>
                  <w:tcPr>
                    <w:tcW w:w="1134" w:type="dxa"/>
                    <w:vAlign w:val="center"/>
                    <w:hideMark/>
                  </w:tcPr>
                  <w:p>
                    <w:pPr>
                      <w:jc w:val="center"/>
                      <w:rPr>
                        <w:sz w:val="20"/>
                      </w:rPr>
                    </w:pPr>
                    <w:r>
                      <w:rPr>
                        <w:sz w:val="20"/>
                      </w:rPr>
                      <w:t>0 (2024)</w:t>
                    </w:r>
                  </w:p>
                </w:tc>
                <w:tc>
                  <w:tcPr>
                    <w:tcW w:w="1134" w:type="dxa"/>
                    <w:vAlign w:val="center"/>
                    <w:hideMark/>
                  </w:tcPr>
                  <w:p>
                    <w:pPr>
                      <w:jc w:val="center"/>
                      <w:rPr>
                        <w:sz w:val="20"/>
                      </w:rPr>
                    </w:pPr>
                    <w:r>
                      <w:rPr>
                        <w:sz w:val="20"/>
                      </w:rPr>
                      <w:t>1 (2026)</w:t>
                    </w:r>
                  </w:p>
                </w:tc>
              </w:tr>
              <w:tr>
                <w:trPr>
                  <w:trHeight w:val="659"/>
                  <w:jc w:val="center"/>
                </w:trPr>
                <w:tc>
                  <w:tcPr>
                    <w:tcW w:w="988" w:type="dxa"/>
                    <w:vMerge w:val="restart"/>
                    <w:noWrap/>
                    <w:vAlign w:val="center"/>
                    <w:hideMark/>
                  </w:tcPr>
                  <w:p>
                    <w:pPr>
                      <w:rPr>
                        <w:sz w:val="20"/>
                      </w:rPr>
                    </w:pPr>
                    <w:r>
                      <w:rPr>
                        <w:sz w:val="20"/>
                      </w:rPr>
                      <w:t>15-01-04</w:t>
                    </w:r>
                  </w:p>
                </w:tc>
                <w:tc>
                  <w:tcPr>
                    <w:tcW w:w="2126" w:type="dxa"/>
                    <w:vMerge w:val="restart"/>
                    <w:vAlign w:val="center"/>
                    <w:hideMark/>
                  </w:tcPr>
                  <w:p>
                    <w:pPr>
                      <w:rPr>
                        <w:sz w:val="20"/>
                      </w:rPr>
                    </w:pPr>
                    <w:r>
                      <w:rPr>
                        <w:sz w:val="20"/>
                      </w:rPr>
                      <w:t>Sukurti integruotą investuotojų pritraukimo ir aptarnavimo sistemą</w:t>
                    </w:r>
                  </w:p>
                </w:tc>
                <w:tc>
                  <w:tcPr>
                    <w:tcW w:w="850" w:type="dxa"/>
                    <w:vMerge w:val="restart"/>
                    <w:vAlign w:val="center"/>
                    <w:hideMark/>
                  </w:tcPr>
                  <w:p>
                    <w:pPr>
                      <w:jc w:val="center"/>
                      <w:rPr>
                        <w:sz w:val="20"/>
                      </w:rPr>
                    </w:pPr>
                    <w:r>
                      <w:rPr>
                        <w:sz w:val="20"/>
                      </w:rPr>
                      <w:t>EIS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P-15-01-04-01</w:t>
                    </w:r>
                  </w:p>
                </w:tc>
                <w:tc>
                  <w:tcPr>
                    <w:tcW w:w="4111" w:type="dxa"/>
                    <w:vAlign w:val="center"/>
                    <w:hideMark/>
                  </w:tcPr>
                  <w:p>
                    <w:pPr>
                      <w:rPr>
                        <w:sz w:val="20"/>
                      </w:rPr>
                    </w:pPr>
                    <w:r>
                      <w:rPr>
                        <w:sz w:val="20"/>
                      </w:rPr>
                      <w:t xml:space="preserve">Parengtas ir pristatytas praktinis Šiaulių miesto stiliaus knygos (angl. </w:t>
                    </w:r>
                    <w:r>
                      <w:rPr>
                        <w:i/>
                        <w:iCs/>
                        <w:sz w:val="20"/>
                      </w:rPr>
                      <w:t>brand book</w:t>
                    </w:r>
                    <w:r>
                      <w:rPr>
                        <w:sz w:val="20"/>
                      </w:rPr>
                      <w:t>) paketas verslo asocijuotoms struktūroms (vnt.)</w:t>
                    </w:r>
                  </w:p>
                </w:tc>
                <w:tc>
                  <w:tcPr>
                    <w:tcW w:w="1134" w:type="dxa"/>
                    <w:vAlign w:val="center"/>
                    <w:hideMark/>
                  </w:tcPr>
                  <w:p>
                    <w:pPr>
                      <w:jc w:val="center"/>
                      <w:rPr>
                        <w:sz w:val="20"/>
                      </w:rPr>
                    </w:pPr>
                    <w:r>
                      <w:rPr>
                        <w:sz w:val="20"/>
                      </w:rPr>
                      <w:t>EIS</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 (2025)</w:t>
                    </w:r>
                  </w:p>
                </w:tc>
              </w:tr>
              <w:tr>
                <w:trPr>
                  <w:trHeight w:val="478"/>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P-15-01-04-02</w:t>
                    </w:r>
                  </w:p>
                </w:tc>
                <w:tc>
                  <w:tcPr>
                    <w:tcW w:w="4111" w:type="dxa"/>
                    <w:vAlign w:val="center"/>
                    <w:hideMark/>
                  </w:tcPr>
                  <w:p>
                    <w:pPr>
                      <w:rPr>
                        <w:sz w:val="20"/>
                      </w:rPr>
                    </w:pPr>
                    <w:r>
                      <w:rPr>
                        <w:sz w:val="20"/>
                      </w:rPr>
                      <w:t>Suorganizuotų verslo misijų / vizitų Šiauliuose ir užsienyje, užsienio ir šalies tikslinėms auditorijoms, skaičius (vnt.)</w:t>
                    </w:r>
                  </w:p>
                </w:tc>
                <w:tc>
                  <w:tcPr>
                    <w:tcW w:w="1134" w:type="dxa"/>
                    <w:vAlign w:val="center"/>
                    <w:hideMark/>
                  </w:tcPr>
                  <w:p>
                    <w:pPr>
                      <w:jc w:val="center"/>
                      <w:rPr>
                        <w:sz w:val="20"/>
                      </w:rPr>
                    </w:pPr>
                    <w:r>
                      <w:rPr>
                        <w:sz w:val="20"/>
                      </w:rPr>
                      <w:t>EIS</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9 (2033)</w:t>
                    </w:r>
                  </w:p>
                </w:tc>
              </w:tr>
              <w:tr>
                <w:trPr>
                  <w:trHeight w:val="62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P-15-01-04-03</w:t>
                    </w:r>
                  </w:p>
                </w:tc>
                <w:tc>
                  <w:tcPr>
                    <w:tcW w:w="4111" w:type="dxa"/>
                    <w:vAlign w:val="center"/>
                    <w:hideMark/>
                  </w:tcPr>
                  <w:p>
                    <w:pPr>
                      <w:rPr>
                        <w:sz w:val="20"/>
                      </w:rPr>
                    </w:pPr>
                    <w:r>
                      <w:rPr>
                        <w:sz w:val="20"/>
                      </w:rPr>
                      <w:t>Ikimokyklinio ugdymo įstaigų ir bendrojo ugdymo įstaigų, kuriose ugdoma anglų kalba, skaičius (vnt. / vnt.)</w:t>
                    </w:r>
                  </w:p>
                </w:tc>
                <w:tc>
                  <w:tcPr>
                    <w:tcW w:w="1134" w:type="dxa"/>
                    <w:vAlign w:val="center"/>
                    <w:hideMark/>
                  </w:tcPr>
                  <w:p>
                    <w:pPr>
                      <w:jc w:val="center"/>
                      <w:rPr>
                        <w:sz w:val="20"/>
                      </w:rPr>
                    </w:pPr>
                    <w:r>
                      <w:rPr>
                        <w:sz w:val="20"/>
                      </w:rPr>
                      <w:t>ŠS</w:t>
                    </w:r>
                  </w:p>
                </w:tc>
                <w:tc>
                  <w:tcPr>
                    <w:tcW w:w="1134" w:type="dxa"/>
                    <w:vAlign w:val="center"/>
                    <w:hideMark/>
                  </w:tcPr>
                  <w:p>
                    <w:pPr>
                      <w:jc w:val="center"/>
                      <w:rPr>
                        <w:sz w:val="20"/>
                      </w:rPr>
                    </w:pPr>
                    <w:r>
                      <w:rPr>
                        <w:sz w:val="20"/>
                      </w:rPr>
                      <w:t>2/1 (2023)</w:t>
                    </w:r>
                  </w:p>
                </w:tc>
                <w:tc>
                  <w:tcPr>
                    <w:tcW w:w="1134" w:type="dxa"/>
                    <w:vAlign w:val="center"/>
                    <w:hideMark/>
                  </w:tcPr>
                  <w:p>
                    <w:pPr>
                      <w:jc w:val="center"/>
                      <w:rPr>
                        <w:sz w:val="20"/>
                      </w:rPr>
                    </w:pPr>
                    <w:r>
                      <w:rPr>
                        <w:sz w:val="20"/>
                      </w:rPr>
                      <w:t>4/2 (2033)</w:t>
                    </w:r>
                  </w:p>
                </w:tc>
              </w:tr>
              <w:tr>
                <w:trPr>
                  <w:trHeight w:val="625"/>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P-15-01-04-04</w:t>
                    </w:r>
                  </w:p>
                </w:tc>
                <w:tc>
                  <w:tcPr>
                    <w:tcW w:w="4111" w:type="dxa"/>
                    <w:vAlign w:val="center"/>
                    <w:hideMark/>
                  </w:tcPr>
                  <w:p>
                    <w:pPr>
                      <w:rPr>
                        <w:sz w:val="20"/>
                      </w:rPr>
                    </w:pPr>
                    <w:r>
                      <w:rPr>
                        <w:sz w:val="20"/>
                      </w:rPr>
                      <w:t>Potencialių, aukštą pridėtinę vertę kuriančių investuotojų, kuriems pritaikytos mokestinės lengvatos, skaičius (vnt.)</w:t>
                    </w:r>
                  </w:p>
                </w:tc>
                <w:tc>
                  <w:tcPr>
                    <w:tcW w:w="1134" w:type="dxa"/>
                    <w:vAlign w:val="center"/>
                    <w:hideMark/>
                  </w:tcPr>
                  <w:p>
                    <w:pPr>
                      <w:jc w:val="center"/>
                      <w:rPr>
                        <w:sz w:val="20"/>
                      </w:rPr>
                    </w:pPr>
                    <w:r>
                      <w:rPr>
                        <w:sz w:val="20"/>
                      </w:rPr>
                      <w:t>EIS</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2 (2033)</w:t>
                    </w:r>
                  </w:p>
                </w:tc>
              </w:tr>
              <w:tr>
                <w:trPr>
                  <w:trHeight w:val="520"/>
                  <w:jc w:val="center"/>
                </w:trPr>
                <w:tc>
                  <w:tcPr>
                    <w:tcW w:w="988" w:type="dxa"/>
                    <w:vMerge w:val="restart"/>
                    <w:noWrap/>
                    <w:vAlign w:val="center"/>
                    <w:hideMark/>
                  </w:tcPr>
                  <w:p>
                    <w:pPr>
                      <w:rPr>
                        <w:sz w:val="20"/>
                      </w:rPr>
                    </w:pPr>
                    <w:r>
                      <w:rPr>
                        <w:sz w:val="20"/>
                      </w:rPr>
                      <w:t>15-01-05</w:t>
                    </w:r>
                  </w:p>
                </w:tc>
                <w:tc>
                  <w:tcPr>
                    <w:tcW w:w="2126" w:type="dxa"/>
                    <w:vMerge w:val="restart"/>
                    <w:vAlign w:val="center"/>
                    <w:hideMark/>
                  </w:tcPr>
                  <w:p>
                    <w:pPr>
                      <w:rPr>
                        <w:sz w:val="20"/>
                      </w:rPr>
                    </w:pPr>
                    <w:r>
                      <w:rPr>
                        <w:sz w:val="20"/>
                      </w:rPr>
                      <w:t>Pritraukti ir išlaikyti specialistus, emigravusius šiauliečius į Šiaulių miestą</w:t>
                    </w:r>
                  </w:p>
                </w:tc>
                <w:tc>
                  <w:tcPr>
                    <w:tcW w:w="850" w:type="dxa"/>
                    <w:vMerge w:val="restart"/>
                    <w:vAlign w:val="center"/>
                    <w:hideMark/>
                  </w:tcPr>
                  <w:p>
                    <w:pPr>
                      <w:jc w:val="center"/>
                      <w:rPr>
                        <w:sz w:val="20"/>
                      </w:rPr>
                    </w:pPr>
                    <w:r>
                      <w:rPr>
                        <w:sz w:val="20"/>
                      </w:rPr>
                      <w:t>EIS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P-15-01-05-01</w:t>
                    </w:r>
                  </w:p>
                </w:tc>
                <w:tc>
                  <w:tcPr>
                    <w:tcW w:w="4111" w:type="dxa"/>
                    <w:vAlign w:val="center"/>
                    <w:hideMark/>
                  </w:tcPr>
                  <w:p>
                    <w:pPr>
                      <w:rPr>
                        <w:sz w:val="20"/>
                      </w:rPr>
                    </w:pPr>
                    <w:r>
                      <w:rPr>
                        <w:sz w:val="20"/>
                      </w:rPr>
                      <w:t xml:space="preserve">Pritrauktų ir išlaikytų aukštos kvalifikacijos specialistų skaičius (asm.) </w:t>
                    </w:r>
                  </w:p>
                </w:tc>
                <w:tc>
                  <w:tcPr>
                    <w:tcW w:w="1134" w:type="dxa"/>
                    <w:vAlign w:val="center"/>
                    <w:hideMark/>
                  </w:tcPr>
                  <w:p>
                    <w:pPr>
                      <w:jc w:val="center"/>
                      <w:rPr>
                        <w:sz w:val="20"/>
                      </w:rPr>
                    </w:pPr>
                    <w:r>
                      <w:rPr>
                        <w:sz w:val="20"/>
                      </w:rPr>
                      <w:t>EIS</w:t>
                    </w:r>
                  </w:p>
                </w:tc>
                <w:tc>
                  <w:tcPr>
                    <w:tcW w:w="1134" w:type="dxa"/>
                    <w:vAlign w:val="center"/>
                    <w:hideMark/>
                  </w:tcPr>
                  <w:p>
                    <w:pPr>
                      <w:jc w:val="center"/>
                      <w:rPr>
                        <w:sz w:val="20"/>
                      </w:rPr>
                    </w:pPr>
                    <w:r>
                      <w:rPr>
                        <w:sz w:val="20"/>
                      </w:rPr>
                      <w:t>8 (2023)</w:t>
                    </w:r>
                  </w:p>
                </w:tc>
                <w:tc>
                  <w:tcPr>
                    <w:tcW w:w="1134" w:type="dxa"/>
                    <w:vAlign w:val="center"/>
                    <w:hideMark/>
                  </w:tcPr>
                  <w:p>
                    <w:pPr>
                      <w:jc w:val="center"/>
                      <w:rPr>
                        <w:sz w:val="20"/>
                      </w:rPr>
                    </w:pPr>
                    <w:r>
                      <w:rPr>
                        <w:sz w:val="20"/>
                      </w:rPr>
                      <w:t>86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P-15-01-05-02</w:t>
                    </w:r>
                  </w:p>
                </w:tc>
                <w:tc>
                  <w:tcPr>
                    <w:tcW w:w="4111" w:type="dxa"/>
                    <w:vAlign w:val="center"/>
                    <w:hideMark/>
                  </w:tcPr>
                  <w:p>
                    <w:pPr>
                      <w:rPr>
                        <w:sz w:val="20"/>
                      </w:rPr>
                    </w:pPr>
                    <w:r>
                      <w:rPr>
                        <w:sz w:val="20"/>
                      </w:rPr>
                      <w:t>Šiaulių miesto ambasadorių užsienyje skaičius (vnt.)</w:t>
                    </w:r>
                  </w:p>
                </w:tc>
                <w:tc>
                  <w:tcPr>
                    <w:tcW w:w="1134" w:type="dxa"/>
                    <w:vAlign w:val="center"/>
                    <w:hideMark/>
                  </w:tcPr>
                  <w:p>
                    <w:pPr>
                      <w:jc w:val="center"/>
                      <w:rPr>
                        <w:sz w:val="20"/>
                      </w:rPr>
                    </w:pPr>
                    <w:r>
                      <w:rPr>
                        <w:sz w:val="20"/>
                      </w:rPr>
                      <w:t>Vicemeras (-ai)</w:t>
                    </w:r>
                  </w:p>
                </w:tc>
                <w:tc>
                  <w:tcPr>
                    <w:tcW w:w="1134" w:type="dxa"/>
                    <w:vAlign w:val="center"/>
                    <w:hideMark/>
                  </w:tcPr>
                  <w:p>
                    <w:pPr>
                      <w:jc w:val="center"/>
                      <w:rPr>
                        <w:sz w:val="20"/>
                      </w:rPr>
                    </w:pPr>
                    <w:r>
                      <w:rPr>
                        <w:sz w:val="20"/>
                      </w:rPr>
                      <w:t>8 (2023)</w:t>
                    </w:r>
                  </w:p>
                </w:tc>
                <w:tc>
                  <w:tcPr>
                    <w:tcW w:w="1134" w:type="dxa"/>
                    <w:vAlign w:val="center"/>
                    <w:hideMark/>
                  </w:tcPr>
                  <w:p>
                    <w:pPr>
                      <w:jc w:val="center"/>
                      <w:rPr>
                        <w:sz w:val="20"/>
                      </w:rPr>
                    </w:pPr>
                    <w:r>
                      <w:rPr>
                        <w:sz w:val="20"/>
                      </w:rPr>
                      <w:t>16 (2033)</w:t>
                    </w:r>
                  </w:p>
                </w:tc>
              </w:tr>
              <w:tr>
                <w:trPr>
                  <w:trHeight w:val="66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P-15-01-05-03</w:t>
                    </w:r>
                  </w:p>
                </w:tc>
                <w:tc>
                  <w:tcPr>
                    <w:tcW w:w="4111" w:type="dxa"/>
                    <w:vAlign w:val="center"/>
                    <w:hideMark/>
                  </w:tcPr>
                  <w:p>
                    <w:pPr>
                      <w:rPr>
                        <w:sz w:val="20"/>
                      </w:rPr>
                    </w:pPr>
                    <w:r>
                      <w:rPr>
                        <w:sz w:val="20"/>
                      </w:rPr>
                      <w:t xml:space="preserve">Suorganizuotų nuotolinių ir fizinių susitikimų su Šiaulių miesto diasporos atstovais skaičius (vnt.) </w:t>
                    </w:r>
                  </w:p>
                </w:tc>
                <w:tc>
                  <w:tcPr>
                    <w:tcW w:w="1134" w:type="dxa"/>
                    <w:vAlign w:val="center"/>
                    <w:hideMark/>
                  </w:tcPr>
                  <w:p>
                    <w:pPr>
                      <w:jc w:val="center"/>
                      <w:rPr>
                        <w:sz w:val="20"/>
                      </w:rPr>
                    </w:pPr>
                    <w:r>
                      <w:rPr>
                        <w:sz w:val="20"/>
                      </w:rPr>
                      <w:t>Vicemeras (-ai)</w:t>
                    </w:r>
                  </w:p>
                </w:tc>
                <w:tc>
                  <w:tcPr>
                    <w:tcW w:w="1134" w:type="dxa"/>
                    <w:vAlign w:val="center"/>
                    <w:hideMark/>
                  </w:tcPr>
                  <w:p>
                    <w:pPr>
                      <w:jc w:val="center"/>
                      <w:rPr>
                        <w:sz w:val="20"/>
                      </w:rPr>
                    </w:pPr>
                    <w:r>
                      <w:rPr>
                        <w:sz w:val="20"/>
                      </w:rPr>
                      <w:t>1 (2023)</w:t>
                    </w:r>
                  </w:p>
                </w:tc>
                <w:tc>
                  <w:tcPr>
                    <w:tcW w:w="1134" w:type="dxa"/>
                    <w:vAlign w:val="center"/>
                    <w:hideMark/>
                  </w:tcPr>
                  <w:p>
                    <w:pPr>
                      <w:jc w:val="center"/>
                      <w:rPr>
                        <w:sz w:val="20"/>
                      </w:rPr>
                    </w:pPr>
                    <w:r>
                      <w:rPr>
                        <w:sz w:val="20"/>
                      </w:rPr>
                      <w:t>18 (2033)</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P-15-01-05-04</w:t>
                    </w:r>
                  </w:p>
                </w:tc>
                <w:tc>
                  <w:tcPr>
                    <w:tcW w:w="4111" w:type="dxa"/>
                    <w:vAlign w:val="center"/>
                    <w:hideMark/>
                  </w:tcPr>
                  <w:p>
                    <w:pPr>
                      <w:rPr>
                        <w:sz w:val="20"/>
                      </w:rPr>
                    </w:pPr>
                    <w:r>
                      <w:rPr>
                        <w:sz w:val="20"/>
                      </w:rPr>
                      <w:t>Sukurtas pirmo būsto finansavimo mechanizmas jaunoms šeimoms Šiaulių mieste (vnt.)</w:t>
                    </w:r>
                  </w:p>
                </w:tc>
                <w:tc>
                  <w:tcPr>
                    <w:tcW w:w="1134" w:type="dxa"/>
                    <w:vAlign w:val="center"/>
                    <w:hideMark/>
                  </w:tcPr>
                  <w:p>
                    <w:pPr>
                      <w:jc w:val="center"/>
                      <w:rPr>
                        <w:sz w:val="20"/>
                      </w:rPr>
                    </w:pPr>
                    <w:r>
                      <w:rPr>
                        <w:sz w:val="20"/>
                      </w:rPr>
                      <w:t>Vicemeras (-ai)</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 (2027)</w:t>
                    </w:r>
                  </w:p>
                </w:tc>
              </w:tr>
              <w:tr>
                <w:trPr>
                  <w:trHeight w:val="780"/>
                  <w:jc w:val="center"/>
                </w:trPr>
                <w:tc>
                  <w:tcPr>
                    <w:tcW w:w="988" w:type="dxa"/>
                    <w:vMerge w:val="restart"/>
                    <w:shd w:val="clear" w:color="auto" w:fill="FCE4D6"/>
                    <w:noWrap/>
                    <w:vAlign w:val="center"/>
                    <w:hideMark/>
                  </w:tcPr>
                  <w:p>
                    <w:pPr>
                      <w:rPr>
                        <w:b/>
                        <w:bCs/>
                        <w:sz w:val="20"/>
                      </w:rPr>
                    </w:pPr>
                    <w:r>
                      <w:rPr>
                        <w:b/>
                        <w:bCs/>
                        <w:sz w:val="20"/>
                      </w:rPr>
                      <w:t>15-02</w:t>
                    </w:r>
                  </w:p>
                </w:tc>
                <w:tc>
                  <w:tcPr>
                    <w:tcW w:w="2126" w:type="dxa"/>
                    <w:vMerge w:val="restart"/>
                    <w:shd w:val="clear" w:color="auto" w:fill="FCE4D6"/>
                    <w:vAlign w:val="center"/>
                    <w:hideMark/>
                  </w:tcPr>
                  <w:p>
                    <w:pPr>
                      <w:rPr>
                        <w:b/>
                        <w:bCs/>
                        <w:sz w:val="20"/>
                      </w:rPr>
                    </w:pPr>
                    <w:r>
                      <w:rPr>
                        <w:b/>
                        <w:bCs/>
                        <w:sz w:val="20"/>
                      </w:rPr>
                      <w:t>Stiprinti miesto patrauklumą plėtojant turizmo sektorių</w:t>
                    </w:r>
                  </w:p>
                </w:tc>
                <w:tc>
                  <w:tcPr>
                    <w:tcW w:w="850" w:type="dxa"/>
                    <w:vMerge w:val="restart"/>
                    <w:shd w:val="clear" w:color="auto" w:fill="FCE4D6"/>
                    <w:vAlign w:val="center"/>
                    <w:hideMark/>
                  </w:tcPr>
                  <w:p>
                    <w:pPr>
                      <w:jc w:val="center"/>
                      <w:rPr>
                        <w:sz w:val="20"/>
                      </w:rPr>
                    </w:pPr>
                    <w:r>
                      <w:rPr>
                        <w:sz w:val="20"/>
                      </w:rPr>
                      <w:t>KS</w:t>
                    </w:r>
                  </w:p>
                </w:tc>
                <w:tc>
                  <w:tcPr>
                    <w:tcW w:w="709" w:type="dxa"/>
                    <w:vMerge w:val="restart"/>
                    <w:shd w:val="clear" w:color="auto" w:fill="FCE4D6"/>
                    <w:vAlign w:val="center"/>
                    <w:hideMark/>
                  </w:tcPr>
                  <w:p>
                    <w:pPr>
                      <w:jc w:val="center"/>
                      <w:rPr>
                        <w:sz w:val="20"/>
                      </w:rPr>
                    </w:pPr>
                    <w:r>
                      <w:rPr>
                        <w:sz w:val="20"/>
                      </w:rPr>
                      <w:t>2025</w:t>
                    </w:r>
                  </w:p>
                </w:tc>
                <w:tc>
                  <w:tcPr>
                    <w:tcW w:w="709" w:type="dxa"/>
                    <w:vMerge w:val="restart"/>
                    <w:shd w:val="clear" w:color="auto" w:fill="FCE4D6"/>
                    <w:vAlign w:val="center"/>
                    <w:hideMark/>
                  </w:tcPr>
                  <w:p>
                    <w:pPr>
                      <w:jc w:val="center"/>
                      <w:rPr>
                        <w:sz w:val="20"/>
                      </w:rPr>
                    </w:pPr>
                    <w:r>
                      <w:rPr>
                        <w:sz w:val="20"/>
                      </w:rPr>
                      <w:t>2033</w:t>
                    </w:r>
                  </w:p>
                </w:tc>
                <w:tc>
                  <w:tcPr>
                    <w:tcW w:w="1417" w:type="dxa"/>
                    <w:shd w:val="clear" w:color="auto" w:fill="FCE4D6"/>
                    <w:vAlign w:val="center"/>
                    <w:hideMark/>
                  </w:tcPr>
                  <w:p>
                    <w:pPr>
                      <w:rPr>
                        <w:b/>
                        <w:bCs/>
                        <w:sz w:val="20"/>
                      </w:rPr>
                    </w:pPr>
                    <w:r>
                      <w:rPr>
                        <w:b/>
                        <w:bCs/>
                        <w:sz w:val="20"/>
                      </w:rPr>
                      <w:t>R-15-02-01</w:t>
                    </w:r>
                  </w:p>
                </w:tc>
                <w:tc>
                  <w:tcPr>
                    <w:tcW w:w="4111" w:type="dxa"/>
                    <w:shd w:val="clear" w:color="auto" w:fill="FCE4D6"/>
                    <w:vAlign w:val="center"/>
                    <w:hideMark/>
                  </w:tcPr>
                  <w:p>
                    <w:pPr>
                      <w:rPr>
                        <w:sz w:val="20"/>
                      </w:rPr>
                    </w:pPr>
                    <w:r>
                      <w:rPr>
                        <w:sz w:val="20"/>
                      </w:rPr>
                      <w:t>Turistų informacijos centro lankytojų ir interneto svetainių, socialinių tinklų vartotojų skaičius (tūkst. asm. per metus)</w:t>
                    </w:r>
                  </w:p>
                </w:tc>
                <w:tc>
                  <w:tcPr>
                    <w:tcW w:w="1134" w:type="dxa"/>
                    <w:shd w:val="clear" w:color="auto" w:fill="FCE4D6"/>
                    <w:vAlign w:val="center"/>
                    <w:hideMark/>
                  </w:tcPr>
                  <w:p>
                    <w:pPr>
                      <w:jc w:val="center"/>
                      <w:rPr>
                        <w:sz w:val="20"/>
                      </w:rPr>
                    </w:pPr>
                    <w:r>
                      <w:rPr>
                        <w:sz w:val="20"/>
                      </w:rPr>
                      <w:t>TIC</w:t>
                    </w:r>
                  </w:p>
                </w:tc>
                <w:tc>
                  <w:tcPr>
                    <w:tcW w:w="1134" w:type="dxa"/>
                    <w:shd w:val="clear" w:color="auto" w:fill="FCE4D6"/>
                    <w:vAlign w:val="center"/>
                    <w:hideMark/>
                  </w:tcPr>
                  <w:p>
                    <w:pPr>
                      <w:jc w:val="center"/>
                      <w:rPr>
                        <w:sz w:val="20"/>
                      </w:rPr>
                    </w:pPr>
                    <w:r>
                      <w:rPr>
                        <w:sz w:val="20"/>
                      </w:rPr>
                      <w:t>37,5 / 244,4 (2023)</w:t>
                    </w:r>
                  </w:p>
                </w:tc>
                <w:tc>
                  <w:tcPr>
                    <w:tcW w:w="1134" w:type="dxa"/>
                    <w:shd w:val="clear" w:color="auto" w:fill="FCE4D6"/>
                    <w:vAlign w:val="center"/>
                    <w:hideMark/>
                  </w:tcPr>
                  <w:p>
                    <w:pPr>
                      <w:jc w:val="center"/>
                      <w:rPr>
                        <w:sz w:val="20"/>
                      </w:rPr>
                    </w:pPr>
                    <w:r>
                      <w:rPr>
                        <w:sz w:val="20"/>
                      </w:rPr>
                      <w:t>50,4 / 361 (2033)</w:t>
                    </w:r>
                  </w:p>
                </w:tc>
              </w:tr>
              <w:tr>
                <w:trPr>
                  <w:trHeight w:val="26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b/>
                        <w:bCs/>
                        <w:sz w:val="20"/>
                      </w:rPr>
                    </w:pPr>
                    <w:r>
                      <w:rPr>
                        <w:b/>
                        <w:bCs/>
                        <w:sz w:val="20"/>
                      </w:rPr>
                      <w:t>R-15-02-02</w:t>
                    </w:r>
                  </w:p>
                </w:tc>
                <w:tc>
                  <w:tcPr>
                    <w:tcW w:w="4111" w:type="dxa"/>
                    <w:shd w:val="clear" w:color="auto" w:fill="FCE4D6"/>
                    <w:vAlign w:val="center"/>
                    <w:hideMark/>
                  </w:tcPr>
                  <w:p>
                    <w:pPr>
                      <w:rPr>
                        <w:sz w:val="20"/>
                      </w:rPr>
                    </w:pPr>
                    <w:r>
                      <w:rPr>
                        <w:sz w:val="20"/>
                      </w:rPr>
                      <w:t>Vietų skaičius apgyvendinimo įstaigose (vnt.)</w:t>
                    </w:r>
                  </w:p>
                </w:tc>
                <w:tc>
                  <w:tcPr>
                    <w:tcW w:w="1134" w:type="dxa"/>
                    <w:shd w:val="clear" w:color="auto" w:fill="FCE4D6"/>
                    <w:vAlign w:val="center"/>
                    <w:hideMark/>
                  </w:tcPr>
                  <w:p>
                    <w:pPr>
                      <w:jc w:val="center"/>
                      <w:rPr>
                        <w:sz w:val="20"/>
                      </w:rPr>
                    </w:pPr>
                    <w:r>
                      <w:rPr>
                        <w:sz w:val="20"/>
                      </w:rPr>
                      <w:t>VDA (TIC)</w:t>
                    </w:r>
                  </w:p>
                </w:tc>
                <w:tc>
                  <w:tcPr>
                    <w:tcW w:w="1134" w:type="dxa"/>
                    <w:shd w:val="clear" w:color="auto" w:fill="FCE4D6"/>
                    <w:vAlign w:val="center"/>
                    <w:hideMark/>
                  </w:tcPr>
                  <w:p>
                    <w:pPr>
                      <w:jc w:val="center"/>
                      <w:rPr>
                        <w:sz w:val="20"/>
                      </w:rPr>
                    </w:pPr>
                    <w:r>
                      <w:rPr>
                        <w:sz w:val="20"/>
                      </w:rPr>
                      <w:t>1776 (2022)</w:t>
                    </w:r>
                  </w:p>
                </w:tc>
                <w:tc>
                  <w:tcPr>
                    <w:tcW w:w="1134" w:type="dxa"/>
                    <w:shd w:val="clear" w:color="auto" w:fill="FCE4D6"/>
                    <w:vAlign w:val="center"/>
                    <w:hideMark/>
                  </w:tcPr>
                  <w:p>
                    <w:pPr>
                      <w:jc w:val="center"/>
                      <w:rPr>
                        <w:sz w:val="20"/>
                      </w:rPr>
                    </w:pPr>
                    <w:r>
                      <w:rPr>
                        <w:sz w:val="20"/>
                      </w:rPr>
                      <w:t>2400 (2033)</w:t>
                    </w:r>
                  </w:p>
                </w:tc>
              </w:tr>
              <w:tr>
                <w:trPr>
                  <w:trHeight w:val="444"/>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b/>
                        <w:bCs/>
                        <w:sz w:val="20"/>
                      </w:rPr>
                    </w:pPr>
                    <w:r>
                      <w:rPr>
                        <w:b/>
                        <w:bCs/>
                        <w:sz w:val="20"/>
                      </w:rPr>
                      <w:t>R-15-02-03</w:t>
                    </w:r>
                  </w:p>
                </w:tc>
                <w:tc>
                  <w:tcPr>
                    <w:tcW w:w="4111" w:type="dxa"/>
                    <w:shd w:val="clear" w:color="auto" w:fill="FCE4D6"/>
                    <w:vAlign w:val="center"/>
                    <w:hideMark/>
                  </w:tcPr>
                  <w:p>
                    <w:pPr>
                      <w:rPr>
                        <w:sz w:val="20"/>
                      </w:rPr>
                    </w:pPr>
                    <w:r>
                      <w:rPr>
                        <w:sz w:val="20"/>
                      </w:rPr>
                      <w:t>Teigiamai Šiaulių miesto įvaizdį vertinančių miesto svečių dalis (proc.)</w:t>
                    </w:r>
                  </w:p>
                </w:tc>
                <w:tc>
                  <w:tcPr>
                    <w:tcW w:w="1134" w:type="dxa"/>
                    <w:shd w:val="clear" w:color="auto" w:fill="FCE4D6"/>
                    <w:vAlign w:val="center"/>
                    <w:hideMark/>
                  </w:tcPr>
                  <w:p>
                    <w:pPr>
                      <w:jc w:val="center"/>
                      <w:rPr>
                        <w:sz w:val="20"/>
                      </w:rPr>
                    </w:pPr>
                    <w:r>
                      <w:rPr>
                        <w:sz w:val="20"/>
                      </w:rPr>
                      <w:t>Tyrimas (EIS)</w:t>
                    </w:r>
                  </w:p>
                </w:tc>
                <w:tc>
                  <w:tcPr>
                    <w:tcW w:w="1134" w:type="dxa"/>
                    <w:shd w:val="clear" w:color="auto" w:fill="FCE4D6"/>
                    <w:vAlign w:val="center"/>
                    <w:hideMark/>
                  </w:tcPr>
                  <w:p>
                    <w:pPr>
                      <w:jc w:val="center"/>
                      <w:rPr>
                        <w:sz w:val="20"/>
                      </w:rPr>
                    </w:pPr>
                    <w:r>
                      <w:rPr>
                        <w:sz w:val="20"/>
                      </w:rPr>
                      <w:t>44,7 (2023)</w:t>
                    </w:r>
                  </w:p>
                </w:tc>
                <w:tc>
                  <w:tcPr>
                    <w:tcW w:w="1134" w:type="dxa"/>
                    <w:shd w:val="clear" w:color="auto" w:fill="FCE4D6"/>
                    <w:vAlign w:val="center"/>
                    <w:hideMark/>
                  </w:tcPr>
                  <w:p>
                    <w:pPr>
                      <w:jc w:val="center"/>
                      <w:rPr>
                        <w:sz w:val="20"/>
                      </w:rPr>
                    </w:pPr>
                    <w:r>
                      <w:rPr>
                        <w:sz w:val="20"/>
                      </w:rPr>
                      <w:t>55 (2033)</w:t>
                    </w:r>
                  </w:p>
                </w:tc>
              </w:tr>
              <w:tr>
                <w:trPr>
                  <w:trHeight w:val="642"/>
                  <w:jc w:val="center"/>
                </w:trPr>
                <w:tc>
                  <w:tcPr>
                    <w:tcW w:w="988" w:type="dxa"/>
                    <w:vMerge w:val="restart"/>
                    <w:noWrap/>
                    <w:vAlign w:val="center"/>
                    <w:hideMark/>
                  </w:tcPr>
                  <w:p>
                    <w:pPr>
                      <w:rPr>
                        <w:sz w:val="20"/>
                      </w:rPr>
                    </w:pPr>
                    <w:r>
                      <w:rPr>
                        <w:sz w:val="20"/>
                      </w:rPr>
                      <w:t>15-02-01</w:t>
                    </w:r>
                  </w:p>
                </w:tc>
                <w:tc>
                  <w:tcPr>
                    <w:tcW w:w="2126" w:type="dxa"/>
                    <w:vMerge w:val="restart"/>
                    <w:vAlign w:val="center"/>
                    <w:hideMark/>
                  </w:tcPr>
                  <w:p>
                    <w:pPr>
                      <w:rPr>
                        <w:sz w:val="20"/>
                      </w:rPr>
                    </w:pPr>
                    <w:r>
                      <w:rPr>
                        <w:sz w:val="20"/>
                      </w:rPr>
                      <w:t>Atnaujinti esamus ir sukurti naujus, unikalius turistų lankomus objektus, traukos vietas</w:t>
                    </w:r>
                  </w:p>
                </w:tc>
                <w:tc>
                  <w:tcPr>
                    <w:tcW w:w="850" w:type="dxa"/>
                    <w:vMerge w:val="restart"/>
                    <w:vAlign w:val="center"/>
                    <w:hideMark/>
                  </w:tcPr>
                  <w:p>
                    <w:pPr>
                      <w:jc w:val="center"/>
                      <w:rPr>
                        <w:sz w:val="20"/>
                      </w:rPr>
                    </w:pPr>
                    <w:r>
                      <w:rPr>
                        <w:sz w:val="20"/>
                      </w:rPr>
                      <w:t>KS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P-15-02-01-01</w:t>
                    </w:r>
                  </w:p>
                </w:tc>
                <w:tc>
                  <w:tcPr>
                    <w:tcW w:w="4111" w:type="dxa"/>
                    <w:vAlign w:val="center"/>
                    <w:hideMark/>
                  </w:tcPr>
                  <w:p>
                    <w:pPr>
                      <w:rPr>
                        <w:sz w:val="20"/>
                      </w:rPr>
                    </w:pPr>
                    <w:r>
                      <w:rPr>
                        <w:sz w:val="20"/>
                      </w:rPr>
                      <w:t>Įrengtų naujų turizmui ir rekreacijai pritaikytų reikšmingų traukos objektų skaičius (vnt.)</w:t>
                    </w:r>
                  </w:p>
                </w:tc>
                <w:tc>
                  <w:tcPr>
                    <w:tcW w:w="1134" w:type="dxa"/>
                    <w:vAlign w:val="center"/>
                    <w:hideMark/>
                  </w:tcPr>
                  <w:p>
                    <w:pPr>
                      <w:jc w:val="center"/>
                      <w:rPr>
                        <w:sz w:val="20"/>
                      </w:rPr>
                    </w:pPr>
                    <w:r>
                      <w:rPr>
                        <w:sz w:val="20"/>
                      </w:rPr>
                      <w:t>KS, TIC</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3 (2033)</w:t>
                    </w:r>
                  </w:p>
                </w:tc>
              </w:tr>
              <w:tr>
                <w:trPr>
                  <w:trHeight w:val="55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P-15-02-01-02</w:t>
                    </w:r>
                  </w:p>
                </w:tc>
                <w:tc>
                  <w:tcPr>
                    <w:tcW w:w="4111" w:type="dxa"/>
                    <w:vAlign w:val="center"/>
                    <w:hideMark/>
                  </w:tcPr>
                  <w:p>
                    <w:pPr>
                      <w:rPr>
                        <w:sz w:val="20"/>
                      </w:rPr>
                    </w:pPr>
                    <w:r>
                      <w:rPr>
                        <w:sz w:val="20"/>
                      </w:rPr>
                      <w:t>Turizmui ir rekreacijai pritaikyti Talkšos ir Salduvės parkai (vnt.)</w:t>
                    </w:r>
                  </w:p>
                </w:tc>
                <w:tc>
                  <w:tcPr>
                    <w:tcW w:w="1134" w:type="dxa"/>
                    <w:vAlign w:val="center"/>
                    <w:hideMark/>
                  </w:tcPr>
                  <w:p>
                    <w:pPr>
                      <w:jc w:val="center"/>
                      <w:rPr>
                        <w:sz w:val="20"/>
                      </w:rPr>
                    </w:pPr>
                    <w:r>
                      <w:rPr>
                        <w:sz w:val="20"/>
                      </w:rPr>
                      <w:t>KS, TIC</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 (2028)</w:t>
                    </w:r>
                  </w:p>
                </w:tc>
              </w:tr>
              <w:tr>
                <w:trPr>
                  <w:trHeight w:val="98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P-15-02-01-03</w:t>
                    </w:r>
                  </w:p>
                </w:tc>
                <w:tc>
                  <w:tcPr>
                    <w:tcW w:w="4111" w:type="dxa"/>
                    <w:vAlign w:val="center"/>
                    <w:hideMark/>
                  </w:tcPr>
                  <w:p>
                    <w:pPr>
                      <w:rPr>
                        <w:sz w:val="20"/>
                      </w:rPr>
                    </w:pPr>
                    <w:r>
                      <w:rPr>
                        <w:sz w:val="20"/>
                      </w:rPr>
                      <w:t>Talkšos ir Rėkyvos ežerų prieigose partnerystės, bendradarbiavimo su verslu pagrindu sukurtų naujų aktyvaus laisvalaikio paslaugų skaičius (vnt.)</w:t>
                    </w:r>
                  </w:p>
                </w:tc>
                <w:tc>
                  <w:tcPr>
                    <w:tcW w:w="1134" w:type="dxa"/>
                    <w:vAlign w:val="center"/>
                    <w:hideMark/>
                  </w:tcPr>
                  <w:p>
                    <w:pPr>
                      <w:jc w:val="center"/>
                      <w:rPr>
                        <w:sz w:val="20"/>
                      </w:rPr>
                    </w:pPr>
                    <w:r>
                      <w:rPr>
                        <w:sz w:val="20"/>
                      </w:rPr>
                      <w:t>EIS, KS, TIC</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4 (2033)</w:t>
                    </w:r>
                  </w:p>
                </w:tc>
              </w:tr>
              <w:tr>
                <w:trPr>
                  <w:trHeight w:val="571"/>
                  <w:jc w:val="center"/>
                </w:trPr>
                <w:tc>
                  <w:tcPr>
                    <w:tcW w:w="988" w:type="dxa"/>
                    <w:vMerge w:val="restart"/>
                    <w:noWrap/>
                    <w:vAlign w:val="center"/>
                    <w:hideMark/>
                  </w:tcPr>
                  <w:p>
                    <w:pPr>
                      <w:rPr>
                        <w:sz w:val="20"/>
                      </w:rPr>
                    </w:pPr>
                    <w:r>
                      <w:rPr>
                        <w:sz w:val="20"/>
                      </w:rPr>
                      <w:t>15-02-02</w:t>
                    </w:r>
                  </w:p>
                </w:tc>
                <w:tc>
                  <w:tcPr>
                    <w:tcW w:w="2126" w:type="dxa"/>
                    <w:vMerge w:val="restart"/>
                    <w:vAlign w:val="center"/>
                    <w:hideMark/>
                  </w:tcPr>
                  <w:p>
                    <w:pPr>
                      <w:rPr>
                        <w:sz w:val="20"/>
                      </w:rPr>
                    </w:pPr>
                    <w:r>
                      <w:rPr>
                        <w:sz w:val="20"/>
                      </w:rPr>
                      <w:t>Plėtoti ir stiprinti prioritetines Šiaulių miesto ir regiono turizmo rūšis</w:t>
                    </w:r>
                  </w:p>
                </w:tc>
                <w:tc>
                  <w:tcPr>
                    <w:tcW w:w="850" w:type="dxa"/>
                    <w:vMerge w:val="restart"/>
                    <w:vAlign w:val="center"/>
                    <w:hideMark/>
                  </w:tcPr>
                  <w:p>
                    <w:pPr>
                      <w:jc w:val="center"/>
                      <w:rPr>
                        <w:sz w:val="20"/>
                      </w:rPr>
                    </w:pPr>
                    <w:r>
                      <w:rPr>
                        <w:sz w:val="20"/>
                      </w:rPr>
                      <w:t>KS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P-15-02-02-01</w:t>
                    </w:r>
                  </w:p>
                </w:tc>
                <w:tc>
                  <w:tcPr>
                    <w:tcW w:w="4111" w:type="dxa"/>
                    <w:vAlign w:val="center"/>
                    <w:hideMark/>
                  </w:tcPr>
                  <w:p>
                    <w:pPr>
                      <w:rPr>
                        <w:sz w:val="20"/>
                      </w:rPr>
                    </w:pPr>
                    <w:r>
                      <w:rPr>
                        <w:sz w:val="20"/>
                      </w:rPr>
                      <w:t>Naujų produktų, išvystytų bendradarbiaujant su kitomis savivaldybėmis, skaičius (vnt.)</w:t>
                    </w:r>
                  </w:p>
                </w:tc>
                <w:tc>
                  <w:tcPr>
                    <w:tcW w:w="1134" w:type="dxa"/>
                    <w:vAlign w:val="center"/>
                    <w:hideMark/>
                  </w:tcPr>
                  <w:p>
                    <w:pPr>
                      <w:jc w:val="center"/>
                      <w:rPr>
                        <w:sz w:val="20"/>
                      </w:rPr>
                    </w:pPr>
                    <w:r>
                      <w:rPr>
                        <w:sz w:val="20"/>
                      </w:rPr>
                      <w:t>TIC</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5 (2033)</w:t>
                    </w:r>
                  </w:p>
                </w:tc>
              </w:tr>
              <w:tr>
                <w:trPr>
                  <w:trHeight w:val="55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P-15-02-02-02</w:t>
                    </w:r>
                  </w:p>
                </w:tc>
                <w:tc>
                  <w:tcPr>
                    <w:tcW w:w="4111" w:type="dxa"/>
                    <w:vAlign w:val="center"/>
                    <w:hideMark/>
                  </w:tcPr>
                  <w:p>
                    <w:pPr>
                      <w:rPr>
                        <w:sz w:val="20"/>
                      </w:rPr>
                    </w:pPr>
                    <w:r>
                      <w:rPr>
                        <w:sz w:val="20"/>
                      </w:rPr>
                      <w:t>Įvykdytų vietos ir užsienio turistų pasitenkinimo tyrimų skaičius (vnt.)</w:t>
                    </w:r>
                  </w:p>
                </w:tc>
                <w:tc>
                  <w:tcPr>
                    <w:tcW w:w="1134" w:type="dxa"/>
                    <w:vAlign w:val="center"/>
                    <w:hideMark/>
                  </w:tcPr>
                  <w:p>
                    <w:pPr>
                      <w:jc w:val="center"/>
                      <w:rPr>
                        <w:sz w:val="20"/>
                      </w:rPr>
                    </w:pPr>
                    <w:r>
                      <w:rPr>
                        <w:sz w:val="20"/>
                      </w:rPr>
                      <w:t>TIC</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4 (2033)</w:t>
                    </w:r>
                  </w:p>
                </w:tc>
              </w:tr>
              <w:tr>
                <w:trPr>
                  <w:trHeight w:val="55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P-15-02-02-03</w:t>
                    </w:r>
                  </w:p>
                </w:tc>
                <w:tc>
                  <w:tcPr>
                    <w:tcW w:w="4111" w:type="dxa"/>
                    <w:vAlign w:val="center"/>
                    <w:hideMark/>
                  </w:tcPr>
                  <w:p>
                    <w:pPr>
                      <w:rPr>
                        <w:sz w:val="20"/>
                      </w:rPr>
                    </w:pPr>
                    <w:r>
                      <w:rPr>
                        <w:sz w:val="20"/>
                      </w:rPr>
                      <w:t>Vystomų prioritetinių turizmo rūšių skaičius (vnt.)</w:t>
                    </w:r>
                  </w:p>
                </w:tc>
                <w:tc>
                  <w:tcPr>
                    <w:tcW w:w="1134" w:type="dxa"/>
                    <w:vAlign w:val="center"/>
                    <w:hideMark/>
                  </w:tcPr>
                  <w:p>
                    <w:pPr>
                      <w:jc w:val="center"/>
                      <w:rPr>
                        <w:sz w:val="20"/>
                      </w:rPr>
                    </w:pPr>
                    <w:r>
                      <w:rPr>
                        <w:sz w:val="20"/>
                      </w:rPr>
                      <w:t>TIC</w:t>
                    </w:r>
                  </w:p>
                </w:tc>
                <w:tc>
                  <w:tcPr>
                    <w:tcW w:w="1134" w:type="dxa"/>
                    <w:vAlign w:val="center"/>
                    <w:hideMark/>
                  </w:tcPr>
                  <w:p>
                    <w:pPr>
                      <w:jc w:val="center"/>
                      <w:rPr>
                        <w:sz w:val="20"/>
                      </w:rPr>
                    </w:pPr>
                    <w:r>
                      <w:rPr>
                        <w:sz w:val="20"/>
                      </w:rPr>
                      <w:t>4 (2023)</w:t>
                    </w:r>
                  </w:p>
                </w:tc>
                <w:tc>
                  <w:tcPr>
                    <w:tcW w:w="1134" w:type="dxa"/>
                    <w:vAlign w:val="center"/>
                    <w:hideMark/>
                  </w:tcPr>
                  <w:p>
                    <w:pPr>
                      <w:jc w:val="center"/>
                      <w:rPr>
                        <w:sz w:val="20"/>
                      </w:rPr>
                    </w:pPr>
                    <w:r>
                      <w:rPr>
                        <w:sz w:val="20"/>
                      </w:rPr>
                      <w:t>5 (2026)</w:t>
                    </w:r>
                  </w:p>
                </w:tc>
              </w:tr>
              <w:tr>
                <w:trPr>
                  <w:trHeight w:val="520"/>
                  <w:jc w:val="center"/>
                </w:trPr>
                <w:tc>
                  <w:tcPr>
                    <w:tcW w:w="988" w:type="dxa"/>
                    <w:vMerge w:val="restart"/>
                    <w:noWrap/>
                    <w:vAlign w:val="center"/>
                    <w:hideMark/>
                  </w:tcPr>
                  <w:p>
                    <w:pPr>
                      <w:rPr>
                        <w:sz w:val="20"/>
                      </w:rPr>
                    </w:pPr>
                    <w:r>
                      <w:rPr>
                        <w:sz w:val="20"/>
                      </w:rPr>
                      <w:t>15-02-03</w:t>
                    </w:r>
                  </w:p>
                </w:tc>
                <w:tc>
                  <w:tcPr>
                    <w:tcW w:w="2126" w:type="dxa"/>
                    <w:vMerge w:val="restart"/>
                    <w:vAlign w:val="center"/>
                    <w:hideMark/>
                  </w:tcPr>
                  <w:p>
                    <w:pPr>
                      <w:rPr>
                        <w:sz w:val="20"/>
                      </w:rPr>
                    </w:pPr>
                    <w:r>
                      <w:rPr>
                        <w:sz w:val="20"/>
                      </w:rPr>
                      <w:t xml:space="preserve">Vykdyti turizmo ir laisvalaikio  sezoniškumą mažinančias priemones</w:t>
                    </w:r>
                  </w:p>
                </w:tc>
                <w:tc>
                  <w:tcPr>
                    <w:tcW w:w="850" w:type="dxa"/>
                    <w:vMerge w:val="restart"/>
                    <w:vAlign w:val="center"/>
                    <w:hideMark/>
                  </w:tcPr>
                  <w:p>
                    <w:pPr>
                      <w:jc w:val="center"/>
                      <w:rPr>
                        <w:sz w:val="20"/>
                      </w:rPr>
                    </w:pPr>
                    <w:r>
                      <w:rPr>
                        <w:sz w:val="20"/>
                      </w:rPr>
                      <w:t>Vicemeras (-ai)</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P-15-02-03-01</w:t>
                    </w:r>
                  </w:p>
                </w:tc>
                <w:tc>
                  <w:tcPr>
                    <w:tcW w:w="4111" w:type="dxa"/>
                    <w:vAlign w:val="center"/>
                    <w:hideMark/>
                  </w:tcPr>
                  <w:p>
                    <w:pPr>
                      <w:rPr>
                        <w:sz w:val="20"/>
                      </w:rPr>
                    </w:pPr>
                    <w:r>
                      <w:rPr>
                        <w:sz w:val="20"/>
                      </w:rPr>
                      <w:t>Šaltuoju sezono metu veikiančių lauko pramogų skaičius (vnt. per metus)</w:t>
                    </w:r>
                  </w:p>
                </w:tc>
                <w:tc>
                  <w:tcPr>
                    <w:tcW w:w="1134" w:type="dxa"/>
                    <w:vAlign w:val="center"/>
                    <w:hideMark/>
                  </w:tcPr>
                  <w:p>
                    <w:pPr>
                      <w:jc w:val="center"/>
                      <w:rPr>
                        <w:sz w:val="20"/>
                      </w:rPr>
                    </w:pPr>
                    <w:r>
                      <w:rPr>
                        <w:sz w:val="20"/>
                      </w:rPr>
                      <w:t>Vicemeras (-ai)</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2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P-15-02-03-02</w:t>
                    </w:r>
                  </w:p>
                </w:tc>
                <w:tc>
                  <w:tcPr>
                    <w:tcW w:w="4111" w:type="dxa"/>
                    <w:vAlign w:val="center"/>
                    <w:hideMark/>
                  </w:tcPr>
                  <w:p>
                    <w:pPr>
                      <w:rPr>
                        <w:sz w:val="20"/>
                      </w:rPr>
                    </w:pPr>
                    <w:r>
                      <w:rPr>
                        <w:sz w:val="20"/>
                      </w:rPr>
                      <w:t xml:space="preserve">Atliktas pilotinis tyrimas dėl Savivaldybės kultūros įstaigų darbo sekmadieniais (vnt.) </w:t>
                    </w:r>
                  </w:p>
                </w:tc>
                <w:tc>
                  <w:tcPr>
                    <w:tcW w:w="1134" w:type="dxa"/>
                    <w:vAlign w:val="center"/>
                    <w:hideMark/>
                  </w:tcPr>
                  <w:p>
                    <w:pPr>
                      <w:jc w:val="center"/>
                      <w:rPr>
                        <w:sz w:val="20"/>
                      </w:rPr>
                    </w:pPr>
                    <w:r>
                      <w:rPr>
                        <w:sz w:val="20"/>
                      </w:rPr>
                      <w:t>KS</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 (2026)</w:t>
                    </w:r>
                  </w:p>
                </w:tc>
              </w:tr>
              <w:tr>
                <w:trPr>
                  <w:trHeight w:val="98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P-15-02-03-03</w:t>
                    </w:r>
                  </w:p>
                </w:tc>
                <w:tc>
                  <w:tcPr>
                    <w:tcW w:w="4111" w:type="dxa"/>
                    <w:vAlign w:val="center"/>
                    <w:hideMark/>
                  </w:tcPr>
                  <w:p>
                    <w:pPr>
                      <w:rPr>
                        <w:sz w:val="20"/>
                      </w:rPr>
                    </w:pPr>
                    <w:r>
                      <w:rPr>
                        <w:sz w:val="20"/>
                      </w:rPr>
                      <w:t>Mieste veikiančių kultūros įstaigų organizuojamų nemokamų renginių pasiskirstymas šiltuoju / šaltuoju sezonu dalis (proc.)</w:t>
                    </w:r>
                  </w:p>
                </w:tc>
                <w:tc>
                  <w:tcPr>
                    <w:tcW w:w="1134" w:type="dxa"/>
                    <w:vAlign w:val="center"/>
                    <w:hideMark/>
                  </w:tcPr>
                  <w:p>
                    <w:pPr>
                      <w:jc w:val="center"/>
                      <w:rPr>
                        <w:sz w:val="20"/>
                      </w:rPr>
                    </w:pPr>
                    <w:r>
                      <w:rPr>
                        <w:sz w:val="20"/>
                      </w:rPr>
                      <w:t>KS</w:t>
                    </w:r>
                  </w:p>
                </w:tc>
                <w:tc>
                  <w:tcPr>
                    <w:tcW w:w="1134" w:type="dxa"/>
                    <w:vAlign w:val="center"/>
                    <w:hideMark/>
                  </w:tcPr>
                  <w:p>
                    <w:pPr>
                      <w:jc w:val="center"/>
                      <w:rPr>
                        <w:sz w:val="20"/>
                      </w:rPr>
                    </w:pPr>
                    <w:r>
                      <w:rPr>
                        <w:sz w:val="20"/>
                      </w:rPr>
                      <w:t>n.d. (2023)</w:t>
                    </w:r>
                  </w:p>
                </w:tc>
                <w:tc>
                  <w:tcPr>
                    <w:tcW w:w="1134" w:type="dxa"/>
                    <w:vAlign w:val="center"/>
                    <w:hideMark/>
                  </w:tcPr>
                  <w:p>
                    <w:pPr>
                      <w:jc w:val="center"/>
                      <w:rPr>
                        <w:sz w:val="20"/>
                      </w:rPr>
                    </w:pPr>
                    <w:r>
                      <w:rPr>
                        <w:sz w:val="20"/>
                      </w:rPr>
                      <w:t>65 / 35 (2033)</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P-15-02-03-04</w:t>
                    </w:r>
                  </w:p>
                </w:tc>
                <w:tc>
                  <w:tcPr>
                    <w:tcW w:w="4111" w:type="dxa"/>
                    <w:vAlign w:val="center"/>
                    <w:hideMark/>
                  </w:tcPr>
                  <w:p>
                    <w:pPr>
                      <w:rPr>
                        <w:sz w:val="20"/>
                      </w:rPr>
                    </w:pPr>
                    <w:r>
                      <w:rPr>
                        <w:sz w:val="20"/>
                      </w:rPr>
                      <w:t>Sukurti vandens pramogų komplekso pritraukimo į Šiaulius modelį (vnt.)</w:t>
                    </w:r>
                  </w:p>
                </w:tc>
                <w:tc>
                  <w:tcPr>
                    <w:tcW w:w="1134" w:type="dxa"/>
                    <w:vAlign w:val="center"/>
                    <w:hideMark/>
                  </w:tcPr>
                  <w:p>
                    <w:pPr>
                      <w:jc w:val="center"/>
                      <w:rPr>
                        <w:sz w:val="20"/>
                      </w:rPr>
                    </w:pPr>
                    <w:r>
                      <w:rPr>
                        <w:sz w:val="20"/>
                      </w:rPr>
                      <w:t>Vicemeras (-ai)</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 (2025)</w:t>
                    </w:r>
                  </w:p>
                </w:tc>
              </w:tr>
              <w:tr>
                <w:trPr>
                  <w:trHeight w:val="701"/>
                  <w:jc w:val="center"/>
                </w:trPr>
                <w:tc>
                  <w:tcPr>
                    <w:tcW w:w="988" w:type="dxa"/>
                    <w:vMerge w:val="restart"/>
                    <w:noWrap/>
                    <w:vAlign w:val="center"/>
                    <w:hideMark/>
                  </w:tcPr>
                  <w:p>
                    <w:pPr>
                      <w:rPr>
                        <w:sz w:val="20"/>
                      </w:rPr>
                    </w:pPr>
                    <w:r>
                      <w:rPr>
                        <w:sz w:val="20"/>
                      </w:rPr>
                      <w:t>15-02-04</w:t>
                    </w:r>
                  </w:p>
                </w:tc>
                <w:tc>
                  <w:tcPr>
                    <w:tcW w:w="2126" w:type="dxa"/>
                    <w:vMerge w:val="restart"/>
                    <w:vAlign w:val="center"/>
                    <w:hideMark/>
                  </w:tcPr>
                  <w:p>
                    <w:pPr>
                      <w:rPr>
                        <w:sz w:val="20"/>
                      </w:rPr>
                    </w:pPr>
                    <w:r>
                      <w:rPr>
                        <w:sz w:val="20"/>
                      </w:rPr>
                      <w:t>Didinti apgyvendinimo sektoriaus mieste apimtis</w:t>
                    </w:r>
                  </w:p>
                </w:tc>
                <w:tc>
                  <w:tcPr>
                    <w:tcW w:w="850" w:type="dxa"/>
                    <w:vMerge w:val="restart"/>
                    <w:vAlign w:val="center"/>
                    <w:hideMark/>
                  </w:tcPr>
                  <w:p>
                    <w:pPr>
                      <w:jc w:val="center"/>
                      <w:rPr>
                        <w:sz w:val="20"/>
                      </w:rPr>
                    </w:pPr>
                    <w:r>
                      <w:rPr>
                        <w:sz w:val="20"/>
                      </w:rPr>
                      <w:t>Vicemeras (-ai)</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2030</w:t>
                    </w:r>
                  </w:p>
                </w:tc>
                <w:tc>
                  <w:tcPr>
                    <w:tcW w:w="1417" w:type="dxa"/>
                    <w:vAlign w:val="center"/>
                    <w:hideMark/>
                  </w:tcPr>
                  <w:p>
                    <w:pPr>
                      <w:rPr>
                        <w:sz w:val="20"/>
                      </w:rPr>
                    </w:pPr>
                    <w:r>
                      <w:rPr>
                        <w:sz w:val="20"/>
                      </w:rPr>
                      <w:t>P-15-02-04-01</w:t>
                    </w:r>
                  </w:p>
                </w:tc>
                <w:tc>
                  <w:tcPr>
                    <w:tcW w:w="4111" w:type="dxa"/>
                    <w:vAlign w:val="center"/>
                    <w:hideMark/>
                  </w:tcPr>
                  <w:p>
                    <w:pPr>
                      <w:rPr>
                        <w:sz w:val="20"/>
                      </w:rPr>
                    </w:pPr>
                    <w:r>
                      <w:rPr>
                        <w:sz w:val="20"/>
                      </w:rPr>
                      <w:t>Parengtų apgyvendinimo įstaigos pritraukimo į miestą iniciatyvų skaičius (vnt.)</w:t>
                    </w:r>
                  </w:p>
                </w:tc>
                <w:tc>
                  <w:tcPr>
                    <w:tcW w:w="1134" w:type="dxa"/>
                    <w:vAlign w:val="center"/>
                    <w:hideMark/>
                  </w:tcPr>
                  <w:p>
                    <w:pPr>
                      <w:jc w:val="center"/>
                      <w:rPr>
                        <w:sz w:val="20"/>
                      </w:rPr>
                    </w:pPr>
                    <w:r>
                      <w:rPr>
                        <w:sz w:val="20"/>
                      </w:rPr>
                      <w:t>Vicemeras (-ai)</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3 (2030)</w:t>
                    </w:r>
                  </w:p>
                </w:tc>
              </w:tr>
              <w:tr>
                <w:trPr>
                  <w:trHeight w:val="878"/>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P-15-02-04-02</w:t>
                    </w:r>
                  </w:p>
                </w:tc>
                <w:tc>
                  <w:tcPr>
                    <w:tcW w:w="4111" w:type="dxa"/>
                    <w:vAlign w:val="center"/>
                    <w:hideMark/>
                  </w:tcPr>
                  <w:p>
                    <w:pPr>
                      <w:rPr>
                        <w:sz w:val="20"/>
                      </w:rPr>
                    </w:pPr>
                    <w:r>
                      <w:rPr>
                        <w:sz w:val="20"/>
                      </w:rPr>
                      <w:t>Parengta galimybių studija dėl tarptautinius standartus atitinkančio kempingo atsiradimo mieste (vnt.)</w:t>
                    </w:r>
                  </w:p>
                </w:tc>
                <w:tc>
                  <w:tcPr>
                    <w:tcW w:w="1134" w:type="dxa"/>
                    <w:vAlign w:val="center"/>
                    <w:hideMark/>
                  </w:tcPr>
                  <w:p>
                    <w:pPr>
                      <w:jc w:val="center"/>
                      <w:rPr>
                        <w:sz w:val="20"/>
                      </w:rPr>
                    </w:pPr>
                    <w:r>
                      <w:rPr>
                        <w:sz w:val="20"/>
                      </w:rPr>
                      <w:t>Vicemeras (-ai)</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 (2026)</w:t>
                    </w:r>
                  </w:p>
                </w:tc>
              </w:tr>
              <w:tr>
                <w:trPr>
                  <w:trHeight w:val="520"/>
                  <w:jc w:val="center"/>
                </w:trPr>
                <w:tc>
                  <w:tcPr>
                    <w:tcW w:w="988" w:type="dxa"/>
                    <w:vMerge w:val="restart"/>
                    <w:shd w:val="clear" w:color="auto" w:fill="FCE4D6"/>
                    <w:noWrap/>
                    <w:vAlign w:val="center"/>
                    <w:hideMark/>
                  </w:tcPr>
                  <w:p>
                    <w:pPr>
                      <w:rPr>
                        <w:b/>
                        <w:bCs/>
                        <w:sz w:val="20"/>
                      </w:rPr>
                    </w:pPr>
                    <w:r>
                      <w:rPr>
                        <w:b/>
                        <w:bCs/>
                        <w:sz w:val="20"/>
                      </w:rPr>
                      <w:t>15-03</w:t>
                    </w:r>
                  </w:p>
                </w:tc>
                <w:tc>
                  <w:tcPr>
                    <w:tcW w:w="2126" w:type="dxa"/>
                    <w:vMerge w:val="restart"/>
                    <w:shd w:val="clear" w:color="auto" w:fill="FCE4D6"/>
                    <w:vAlign w:val="center"/>
                    <w:hideMark/>
                  </w:tcPr>
                  <w:p>
                    <w:pPr>
                      <w:rPr>
                        <w:b/>
                        <w:bCs/>
                        <w:sz w:val="20"/>
                      </w:rPr>
                    </w:pPr>
                    <w:r>
                      <w:rPr>
                        <w:b/>
                        <w:bCs/>
                        <w:sz w:val="20"/>
                      </w:rPr>
                      <w:t>Didinti Šiaulių miesto žinomumą ir teigiamą įvaizdį, stiprinant miesto identitetą ir rinkodarą</w:t>
                    </w:r>
                  </w:p>
                </w:tc>
                <w:tc>
                  <w:tcPr>
                    <w:tcW w:w="850" w:type="dxa"/>
                    <w:vMerge w:val="restart"/>
                    <w:shd w:val="clear" w:color="auto" w:fill="FCE4D6"/>
                    <w:vAlign w:val="center"/>
                    <w:hideMark/>
                  </w:tcPr>
                  <w:p>
                    <w:pPr>
                      <w:jc w:val="center"/>
                      <w:rPr>
                        <w:sz w:val="20"/>
                      </w:rPr>
                    </w:pPr>
                    <w:r>
                      <w:rPr>
                        <w:sz w:val="20"/>
                      </w:rPr>
                      <w:t>VRK</w:t>
                    </w:r>
                  </w:p>
                </w:tc>
                <w:tc>
                  <w:tcPr>
                    <w:tcW w:w="709" w:type="dxa"/>
                    <w:vMerge w:val="restart"/>
                    <w:shd w:val="clear" w:color="auto" w:fill="FCE4D6"/>
                    <w:vAlign w:val="center"/>
                    <w:hideMark/>
                  </w:tcPr>
                  <w:p>
                    <w:pPr>
                      <w:jc w:val="center"/>
                      <w:rPr>
                        <w:sz w:val="20"/>
                      </w:rPr>
                    </w:pPr>
                    <w:r>
                      <w:rPr>
                        <w:sz w:val="20"/>
                      </w:rPr>
                      <w:t>2025</w:t>
                    </w:r>
                  </w:p>
                </w:tc>
                <w:tc>
                  <w:tcPr>
                    <w:tcW w:w="709" w:type="dxa"/>
                    <w:vMerge w:val="restart"/>
                    <w:shd w:val="clear" w:color="auto" w:fill="FCE4D6"/>
                    <w:vAlign w:val="center"/>
                    <w:hideMark/>
                  </w:tcPr>
                  <w:p>
                    <w:pPr>
                      <w:jc w:val="center"/>
                      <w:rPr>
                        <w:sz w:val="20"/>
                      </w:rPr>
                    </w:pPr>
                    <w:r>
                      <w:rPr>
                        <w:sz w:val="20"/>
                      </w:rPr>
                      <w:t>2033</w:t>
                    </w:r>
                  </w:p>
                </w:tc>
                <w:tc>
                  <w:tcPr>
                    <w:tcW w:w="1417" w:type="dxa"/>
                    <w:shd w:val="clear" w:color="auto" w:fill="FCE4D6"/>
                    <w:vAlign w:val="center"/>
                    <w:hideMark/>
                  </w:tcPr>
                  <w:p>
                    <w:pPr>
                      <w:rPr>
                        <w:b/>
                        <w:bCs/>
                        <w:sz w:val="20"/>
                      </w:rPr>
                    </w:pPr>
                    <w:r>
                      <w:rPr>
                        <w:b/>
                        <w:bCs/>
                        <w:sz w:val="20"/>
                      </w:rPr>
                      <w:t>R-15-03-01</w:t>
                    </w:r>
                  </w:p>
                </w:tc>
                <w:tc>
                  <w:tcPr>
                    <w:tcW w:w="4111" w:type="dxa"/>
                    <w:shd w:val="clear" w:color="auto" w:fill="FCE4D6"/>
                    <w:vAlign w:val="center"/>
                    <w:hideMark/>
                  </w:tcPr>
                  <w:p>
                    <w:pPr>
                      <w:rPr>
                        <w:sz w:val="20"/>
                      </w:rPr>
                    </w:pPr>
                    <w:r>
                      <w:rPr>
                        <w:sz w:val="20"/>
                      </w:rPr>
                      <w:t>Bendras svetainės „www.siauliai.lt“ aktyvių vartotojų skaičius (tūkst. vnt. per metus)</w:t>
                    </w:r>
                  </w:p>
                </w:tc>
                <w:tc>
                  <w:tcPr>
                    <w:tcW w:w="1134" w:type="dxa"/>
                    <w:shd w:val="clear" w:color="auto" w:fill="FCE4D6"/>
                    <w:vAlign w:val="center"/>
                    <w:hideMark/>
                  </w:tcPr>
                  <w:p>
                    <w:pPr>
                      <w:jc w:val="center"/>
                      <w:rPr>
                        <w:sz w:val="20"/>
                      </w:rPr>
                    </w:pPr>
                    <w:r>
                      <w:rPr>
                        <w:sz w:val="20"/>
                      </w:rPr>
                      <w:t>ŠMSA (VRK)</w:t>
                    </w:r>
                  </w:p>
                </w:tc>
                <w:tc>
                  <w:tcPr>
                    <w:tcW w:w="1134" w:type="dxa"/>
                    <w:shd w:val="clear" w:color="auto" w:fill="FCE4D6"/>
                    <w:vAlign w:val="center"/>
                    <w:hideMark/>
                  </w:tcPr>
                  <w:p>
                    <w:pPr>
                      <w:jc w:val="center"/>
                      <w:rPr>
                        <w:sz w:val="20"/>
                      </w:rPr>
                    </w:pPr>
                    <w:r>
                      <w:rPr>
                        <w:sz w:val="20"/>
                      </w:rPr>
                      <w:t>351,2 (2023)</w:t>
                    </w:r>
                  </w:p>
                </w:tc>
                <w:tc>
                  <w:tcPr>
                    <w:tcW w:w="1134" w:type="dxa"/>
                    <w:shd w:val="clear" w:color="auto" w:fill="FCE4D6"/>
                    <w:vAlign w:val="center"/>
                    <w:hideMark/>
                  </w:tcPr>
                  <w:p>
                    <w:pPr>
                      <w:jc w:val="center"/>
                      <w:rPr>
                        <w:sz w:val="20"/>
                      </w:rPr>
                    </w:pPr>
                    <w:r>
                      <w:rPr>
                        <w:sz w:val="20"/>
                      </w:rPr>
                      <w:t>450 (2033)</w:t>
                    </w:r>
                  </w:p>
                </w:tc>
              </w:tr>
              <w:tr>
                <w:trPr>
                  <w:trHeight w:val="92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b/>
                        <w:bCs/>
                        <w:sz w:val="20"/>
                      </w:rPr>
                    </w:pPr>
                    <w:r>
                      <w:rPr>
                        <w:b/>
                        <w:bCs/>
                        <w:sz w:val="20"/>
                      </w:rPr>
                      <w:t>R-15-03-02</w:t>
                    </w:r>
                  </w:p>
                </w:tc>
                <w:tc>
                  <w:tcPr>
                    <w:tcW w:w="4111" w:type="dxa"/>
                    <w:shd w:val="clear" w:color="auto" w:fill="FCE4D6"/>
                    <w:vAlign w:val="center"/>
                    <w:hideMark/>
                  </w:tcPr>
                  <w:p>
                    <w:pPr>
                      <w:rPr>
                        <w:sz w:val="20"/>
                      </w:rPr>
                    </w:pPr>
                    <w:r>
                      <w:rPr>
                        <w:sz w:val="20"/>
                      </w:rPr>
                      <w:t xml:space="preserve">Savivaldybės administracijos paskyrų  „Facebook“ / „Instagram“ socialiniuose tinkluose stebėtojų skaičius (tūkst. vnt. per metus)</w:t>
                    </w:r>
                  </w:p>
                </w:tc>
                <w:tc>
                  <w:tcPr>
                    <w:tcW w:w="1134" w:type="dxa"/>
                    <w:shd w:val="clear" w:color="auto" w:fill="FCE4D6"/>
                    <w:vAlign w:val="center"/>
                    <w:hideMark/>
                  </w:tcPr>
                  <w:p>
                    <w:pPr>
                      <w:jc w:val="center"/>
                      <w:rPr>
                        <w:sz w:val="20"/>
                      </w:rPr>
                    </w:pPr>
                    <w:r>
                      <w:rPr>
                        <w:sz w:val="20"/>
                      </w:rPr>
                      <w:t>ŠMSA (VRK)</w:t>
                    </w:r>
                  </w:p>
                </w:tc>
                <w:tc>
                  <w:tcPr>
                    <w:tcW w:w="1134" w:type="dxa"/>
                    <w:shd w:val="clear" w:color="auto" w:fill="FCE4D6"/>
                    <w:vAlign w:val="center"/>
                    <w:hideMark/>
                  </w:tcPr>
                  <w:p>
                    <w:pPr>
                      <w:jc w:val="center"/>
                      <w:rPr>
                        <w:sz w:val="20"/>
                      </w:rPr>
                    </w:pPr>
                    <w:r>
                      <w:rPr>
                        <w:sz w:val="20"/>
                      </w:rPr>
                      <w:t xml:space="preserve">21,4 / 1,7  (2023)</w:t>
                    </w:r>
                  </w:p>
                </w:tc>
                <w:tc>
                  <w:tcPr>
                    <w:tcW w:w="1134" w:type="dxa"/>
                    <w:shd w:val="clear" w:color="auto" w:fill="FCE4D6"/>
                    <w:vAlign w:val="center"/>
                    <w:hideMark/>
                  </w:tcPr>
                  <w:p>
                    <w:pPr>
                      <w:jc w:val="center"/>
                      <w:rPr>
                        <w:sz w:val="20"/>
                      </w:rPr>
                    </w:pPr>
                    <w:r>
                      <w:rPr>
                        <w:sz w:val="20"/>
                      </w:rPr>
                      <w:t>30 / 6 (2033)</w:t>
                    </w:r>
                  </w:p>
                </w:tc>
              </w:tr>
              <w:tr>
                <w:trPr>
                  <w:trHeight w:val="52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b/>
                        <w:bCs/>
                        <w:sz w:val="20"/>
                      </w:rPr>
                    </w:pPr>
                    <w:r>
                      <w:rPr>
                        <w:b/>
                        <w:bCs/>
                        <w:sz w:val="20"/>
                      </w:rPr>
                      <w:t>R-15-03-03</w:t>
                    </w:r>
                  </w:p>
                </w:tc>
                <w:tc>
                  <w:tcPr>
                    <w:tcW w:w="4111" w:type="dxa"/>
                    <w:shd w:val="clear" w:color="auto" w:fill="FCE4D6"/>
                    <w:vAlign w:val="center"/>
                    <w:hideMark/>
                  </w:tcPr>
                  <w:p>
                    <w:pPr>
                      <w:rPr>
                        <w:sz w:val="20"/>
                      </w:rPr>
                    </w:pPr>
                    <w:r>
                      <w:rPr>
                        <w:sz w:val="20"/>
                      </w:rPr>
                      <w:t>Savivaldybės administracijos „YouTube“ kanalo prenumeratorių skaičius (vnt.)</w:t>
                    </w:r>
                  </w:p>
                </w:tc>
                <w:tc>
                  <w:tcPr>
                    <w:tcW w:w="1134" w:type="dxa"/>
                    <w:shd w:val="clear" w:color="auto" w:fill="FCE4D6"/>
                    <w:vAlign w:val="center"/>
                    <w:hideMark/>
                  </w:tcPr>
                  <w:p>
                    <w:pPr>
                      <w:jc w:val="center"/>
                      <w:rPr>
                        <w:sz w:val="20"/>
                      </w:rPr>
                    </w:pPr>
                    <w:r>
                      <w:rPr>
                        <w:sz w:val="20"/>
                      </w:rPr>
                      <w:t>ŠMSA (VRK)</w:t>
                    </w:r>
                  </w:p>
                </w:tc>
                <w:tc>
                  <w:tcPr>
                    <w:tcW w:w="1134" w:type="dxa"/>
                    <w:shd w:val="clear" w:color="auto" w:fill="FCE4D6"/>
                    <w:vAlign w:val="center"/>
                    <w:hideMark/>
                  </w:tcPr>
                  <w:p>
                    <w:pPr>
                      <w:jc w:val="center"/>
                      <w:rPr>
                        <w:sz w:val="20"/>
                      </w:rPr>
                    </w:pPr>
                    <w:r>
                      <w:rPr>
                        <w:sz w:val="20"/>
                      </w:rPr>
                      <w:t>560 (2023)</w:t>
                    </w:r>
                  </w:p>
                </w:tc>
                <w:tc>
                  <w:tcPr>
                    <w:tcW w:w="1134" w:type="dxa"/>
                    <w:shd w:val="clear" w:color="auto" w:fill="FCE4D6"/>
                    <w:vAlign w:val="center"/>
                    <w:hideMark/>
                  </w:tcPr>
                  <w:p>
                    <w:pPr>
                      <w:jc w:val="center"/>
                      <w:rPr>
                        <w:sz w:val="20"/>
                      </w:rPr>
                    </w:pPr>
                    <w:r>
                      <w:rPr>
                        <w:sz w:val="20"/>
                      </w:rPr>
                      <w:t>1120 (2033)</w:t>
                    </w:r>
                  </w:p>
                </w:tc>
              </w:tr>
              <w:tr>
                <w:trPr>
                  <w:trHeight w:val="79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b/>
                        <w:bCs/>
                        <w:sz w:val="20"/>
                      </w:rPr>
                    </w:pPr>
                    <w:r>
                      <w:rPr>
                        <w:b/>
                        <w:bCs/>
                        <w:sz w:val="20"/>
                      </w:rPr>
                      <w:t>R-15-03-04</w:t>
                    </w:r>
                  </w:p>
                </w:tc>
                <w:tc>
                  <w:tcPr>
                    <w:tcW w:w="4111" w:type="dxa"/>
                    <w:shd w:val="clear" w:color="auto" w:fill="FCE4D6"/>
                    <w:vAlign w:val="center"/>
                    <w:hideMark/>
                  </w:tcPr>
                  <w:p>
                    <w:pPr>
                      <w:rPr>
                        <w:sz w:val="20"/>
                      </w:rPr>
                    </w:pPr>
                    <w:r>
                      <w:rPr>
                        <w:sz w:val="20"/>
                      </w:rPr>
                      <w:t>Teigiamai Šiaulių miesto įvaizdį vertinančių studentų, verslo atstovų, miesto svečių ir gyventojų dalis (proc.)</w:t>
                    </w:r>
                  </w:p>
                </w:tc>
                <w:tc>
                  <w:tcPr>
                    <w:tcW w:w="1134" w:type="dxa"/>
                    <w:shd w:val="clear" w:color="auto" w:fill="FCE4D6"/>
                    <w:vAlign w:val="center"/>
                    <w:hideMark/>
                  </w:tcPr>
                  <w:p>
                    <w:pPr>
                      <w:jc w:val="center"/>
                      <w:rPr>
                        <w:sz w:val="20"/>
                      </w:rPr>
                    </w:pPr>
                    <w:r>
                      <w:rPr>
                        <w:sz w:val="20"/>
                      </w:rPr>
                      <w:t>ŠMSA (EIS)</w:t>
                    </w:r>
                  </w:p>
                </w:tc>
                <w:tc>
                  <w:tcPr>
                    <w:tcW w:w="1134" w:type="dxa"/>
                    <w:shd w:val="clear" w:color="auto" w:fill="FCE4D6"/>
                    <w:vAlign w:val="center"/>
                    <w:hideMark/>
                  </w:tcPr>
                  <w:p>
                    <w:pPr>
                      <w:jc w:val="center"/>
                      <w:rPr>
                        <w:sz w:val="20"/>
                      </w:rPr>
                    </w:pPr>
                    <w:r>
                      <w:rPr>
                        <w:sz w:val="20"/>
                      </w:rPr>
                      <w:t>44,6 (2023)</w:t>
                    </w:r>
                  </w:p>
                </w:tc>
                <w:tc>
                  <w:tcPr>
                    <w:tcW w:w="1134" w:type="dxa"/>
                    <w:shd w:val="clear" w:color="auto" w:fill="FCE4D6"/>
                    <w:vAlign w:val="center"/>
                    <w:hideMark/>
                  </w:tcPr>
                  <w:p>
                    <w:pPr>
                      <w:jc w:val="center"/>
                      <w:rPr>
                        <w:sz w:val="20"/>
                      </w:rPr>
                    </w:pPr>
                    <w:r>
                      <w:rPr>
                        <w:sz w:val="20"/>
                      </w:rPr>
                      <w:t>55 (2033)</w:t>
                    </w:r>
                  </w:p>
                </w:tc>
              </w:tr>
              <w:tr>
                <w:trPr>
                  <w:trHeight w:val="607"/>
                  <w:jc w:val="center"/>
                </w:trPr>
                <w:tc>
                  <w:tcPr>
                    <w:tcW w:w="988" w:type="dxa"/>
                    <w:vMerge w:val="restart"/>
                    <w:noWrap/>
                    <w:vAlign w:val="center"/>
                    <w:hideMark/>
                  </w:tcPr>
                  <w:p>
                    <w:pPr>
                      <w:rPr>
                        <w:sz w:val="20"/>
                      </w:rPr>
                    </w:pPr>
                    <w:r>
                      <w:rPr>
                        <w:sz w:val="20"/>
                      </w:rPr>
                      <w:t>15-03-01</w:t>
                    </w:r>
                  </w:p>
                </w:tc>
                <w:tc>
                  <w:tcPr>
                    <w:tcW w:w="2126" w:type="dxa"/>
                    <w:vMerge w:val="restart"/>
                    <w:vAlign w:val="center"/>
                    <w:hideMark/>
                  </w:tcPr>
                  <w:p>
                    <w:pPr>
                      <w:rPr>
                        <w:sz w:val="20"/>
                      </w:rPr>
                    </w:pPr>
                    <w:r>
                      <w:rPr>
                        <w:sz w:val="20"/>
                      </w:rPr>
                      <w:t>Padidinti Šiaulių matomumą tarptautiniuose informacijos sklaidos kanaluose</w:t>
                    </w:r>
                  </w:p>
                </w:tc>
                <w:tc>
                  <w:tcPr>
                    <w:tcW w:w="850" w:type="dxa"/>
                    <w:vMerge w:val="restart"/>
                    <w:vAlign w:val="center"/>
                    <w:hideMark/>
                  </w:tcPr>
                  <w:p>
                    <w:pPr>
                      <w:jc w:val="center"/>
                      <w:rPr>
                        <w:sz w:val="20"/>
                      </w:rPr>
                    </w:pPr>
                    <w:r>
                      <w:rPr>
                        <w:sz w:val="20"/>
                      </w:rPr>
                      <w:t>Vicemeras (-ai)</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jc w:val="center"/>
                      <w:rPr>
                        <w:sz w:val="20"/>
                      </w:rPr>
                    </w:pPr>
                    <w:r>
                      <w:rPr>
                        <w:sz w:val="20"/>
                      </w:rPr>
                      <w:t>P-15-03-01-01</w:t>
                    </w:r>
                  </w:p>
                </w:tc>
                <w:tc>
                  <w:tcPr>
                    <w:tcW w:w="4111" w:type="dxa"/>
                    <w:vAlign w:val="center"/>
                    <w:hideMark/>
                  </w:tcPr>
                  <w:p>
                    <w:pPr>
                      <w:rPr>
                        <w:sz w:val="20"/>
                      </w:rPr>
                    </w:pPr>
                    <w:r>
                      <w:rPr>
                        <w:sz w:val="20"/>
                      </w:rPr>
                      <w:t>Tarptautinių tinklų, asocijuotų struktūrų, į kurių veiklą įsitraukusi Šiaulių miesto savivaldybė, skaičius (vnt. per metus)</w:t>
                    </w:r>
                  </w:p>
                </w:tc>
                <w:tc>
                  <w:tcPr>
                    <w:tcW w:w="1134" w:type="dxa"/>
                    <w:vAlign w:val="center"/>
                    <w:hideMark/>
                  </w:tcPr>
                  <w:p>
                    <w:pPr>
                      <w:jc w:val="center"/>
                      <w:rPr>
                        <w:sz w:val="20"/>
                      </w:rPr>
                    </w:pPr>
                    <w:r>
                      <w:rPr>
                        <w:sz w:val="20"/>
                      </w:rPr>
                      <w:t>Vicemeras (-ai)</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2 (2033)</w:t>
                    </w:r>
                  </w:p>
                </w:tc>
              </w:tr>
              <w:tr>
                <w:trPr>
                  <w:trHeight w:val="51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jc w:val="center"/>
                      <w:rPr>
                        <w:sz w:val="20"/>
                      </w:rPr>
                    </w:pPr>
                    <w:r>
                      <w:rPr>
                        <w:sz w:val="20"/>
                      </w:rPr>
                      <w:t>P-15-03-01-02</w:t>
                    </w:r>
                  </w:p>
                </w:tc>
                <w:tc>
                  <w:tcPr>
                    <w:tcW w:w="4111" w:type="dxa"/>
                    <w:vAlign w:val="center"/>
                    <w:hideMark/>
                  </w:tcPr>
                  <w:p>
                    <w:pPr>
                      <w:rPr>
                        <w:sz w:val="20"/>
                      </w:rPr>
                    </w:pPr>
                    <w:r>
                      <w:rPr>
                        <w:sz w:val="20"/>
                      </w:rPr>
                      <w:t>Tarptautinių standartų, indeksų, pagal kuriuos vertinama Šiaulių miesto savivaldybė, skaičius (vnt. per metus)</w:t>
                    </w:r>
                  </w:p>
                </w:tc>
                <w:tc>
                  <w:tcPr>
                    <w:tcW w:w="1134" w:type="dxa"/>
                    <w:vAlign w:val="center"/>
                    <w:hideMark/>
                  </w:tcPr>
                  <w:p>
                    <w:pPr>
                      <w:jc w:val="center"/>
                      <w:rPr>
                        <w:sz w:val="20"/>
                      </w:rPr>
                    </w:pPr>
                    <w:r>
                      <w:rPr>
                        <w:sz w:val="20"/>
                      </w:rPr>
                      <w:t>Vicemeras (-ai)</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2 (2033)</w:t>
                    </w:r>
                  </w:p>
                </w:tc>
              </w:tr>
              <w:tr>
                <w:trPr>
                  <w:trHeight w:val="57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jc w:val="center"/>
                      <w:rPr>
                        <w:sz w:val="20"/>
                      </w:rPr>
                    </w:pPr>
                    <w:r>
                      <w:rPr>
                        <w:sz w:val="20"/>
                      </w:rPr>
                      <w:t>P-15-03-01-03</w:t>
                    </w:r>
                  </w:p>
                </w:tc>
                <w:tc>
                  <w:tcPr>
                    <w:tcW w:w="4111" w:type="dxa"/>
                    <w:vAlign w:val="center"/>
                    <w:hideMark/>
                  </w:tcPr>
                  <w:p>
                    <w:pPr>
                      <w:rPr>
                        <w:sz w:val="20"/>
                      </w:rPr>
                    </w:pPr>
                    <w:r>
                      <w:rPr>
                        <w:sz w:val="20"/>
                      </w:rPr>
                      <w:t>Mokamų</w:t>
                    </w:r>
                    <w:r>
                      <w:rPr>
                        <w:b/>
                        <w:bCs/>
                        <w:sz w:val="20"/>
                      </w:rPr>
                      <w:t xml:space="preserve"> </w:t>
                    </w:r>
                    <w:r>
                      <w:rPr>
                        <w:sz w:val="20"/>
                      </w:rPr>
                      <w:t>užsienio informacijos kanaluose paviešintų turinio vienetų (straipsnių, reklamų maketų, TV laidų, reportažų ir kt.) skaičius (vnt.)</w:t>
                    </w:r>
                  </w:p>
                </w:tc>
                <w:tc>
                  <w:tcPr>
                    <w:tcW w:w="1134" w:type="dxa"/>
                    <w:vAlign w:val="center"/>
                    <w:hideMark/>
                  </w:tcPr>
                  <w:p>
                    <w:pPr>
                      <w:jc w:val="center"/>
                      <w:rPr>
                        <w:sz w:val="20"/>
                      </w:rPr>
                    </w:pPr>
                    <w:r>
                      <w:rPr>
                        <w:sz w:val="20"/>
                      </w:rPr>
                      <w:t>EIS, TIC, VRK</w:t>
                    </w:r>
                  </w:p>
                </w:tc>
                <w:tc>
                  <w:tcPr>
                    <w:tcW w:w="1134" w:type="dxa"/>
                    <w:vAlign w:val="center"/>
                    <w:hideMark/>
                  </w:tcPr>
                  <w:p>
                    <w:pPr>
                      <w:jc w:val="center"/>
                      <w:rPr>
                        <w:sz w:val="20"/>
                      </w:rPr>
                    </w:pPr>
                    <w:r>
                      <w:rPr>
                        <w:sz w:val="20"/>
                      </w:rPr>
                      <w:t>27 (2023)</w:t>
                    </w:r>
                  </w:p>
                </w:tc>
                <w:tc>
                  <w:tcPr>
                    <w:tcW w:w="1134" w:type="dxa"/>
                    <w:vAlign w:val="center"/>
                    <w:hideMark/>
                  </w:tcPr>
                  <w:p>
                    <w:pPr>
                      <w:jc w:val="center"/>
                      <w:rPr>
                        <w:sz w:val="20"/>
                      </w:rPr>
                    </w:pPr>
                    <w:r>
                      <w:rPr>
                        <w:sz w:val="20"/>
                      </w:rPr>
                      <w:t>225 (2033)</w:t>
                    </w:r>
                  </w:p>
                </w:tc>
              </w:tr>
              <w:tr>
                <w:trPr>
                  <w:trHeight w:val="625"/>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jc w:val="center"/>
                      <w:rPr>
                        <w:sz w:val="20"/>
                      </w:rPr>
                    </w:pPr>
                    <w:r>
                      <w:rPr>
                        <w:sz w:val="20"/>
                      </w:rPr>
                      <w:t>P-15-03-01-04</w:t>
                    </w:r>
                  </w:p>
                </w:tc>
                <w:tc>
                  <w:tcPr>
                    <w:tcW w:w="4111" w:type="dxa"/>
                    <w:vAlign w:val="center"/>
                    <w:hideMark/>
                  </w:tcPr>
                  <w:p>
                    <w:pPr>
                      <w:rPr>
                        <w:sz w:val="20"/>
                      </w:rPr>
                    </w:pPr>
                    <w:r>
                      <w:rPr>
                        <w:sz w:val="20"/>
                      </w:rPr>
                      <w:t>Tarptautinių turizmo, mokslo ir pan. reprezentacinių renginių, kuriuose pristatytos Šiaulių miesto galimybės, skaičius (vnt.)</w:t>
                    </w:r>
                  </w:p>
                </w:tc>
                <w:tc>
                  <w:tcPr>
                    <w:tcW w:w="1134" w:type="dxa"/>
                    <w:vAlign w:val="center"/>
                    <w:hideMark/>
                  </w:tcPr>
                  <w:p>
                    <w:pPr>
                      <w:jc w:val="center"/>
                      <w:rPr>
                        <w:sz w:val="20"/>
                      </w:rPr>
                    </w:pPr>
                    <w:r>
                      <w:rPr>
                        <w:sz w:val="20"/>
                      </w:rPr>
                      <w:t>TIC</w:t>
                    </w:r>
                  </w:p>
                </w:tc>
                <w:tc>
                  <w:tcPr>
                    <w:tcW w:w="1134" w:type="dxa"/>
                    <w:vAlign w:val="center"/>
                    <w:hideMark/>
                  </w:tcPr>
                  <w:p>
                    <w:pPr>
                      <w:jc w:val="center"/>
                      <w:rPr>
                        <w:sz w:val="20"/>
                      </w:rPr>
                    </w:pPr>
                    <w:r>
                      <w:rPr>
                        <w:sz w:val="20"/>
                      </w:rPr>
                      <w:t>5 (2023)</w:t>
                    </w:r>
                  </w:p>
                </w:tc>
                <w:tc>
                  <w:tcPr>
                    <w:tcW w:w="1134" w:type="dxa"/>
                    <w:vAlign w:val="center"/>
                    <w:hideMark/>
                  </w:tcPr>
                  <w:p>
                    <w:pPr>
                      <w:jc w:val="center"/>
                      <w:rPr>
                        <w:sz w:val="20"/>
                      </w:rPr>
                    </w:pPr>
                    <w:r>
                      <w:rPr>
                        <w:sz w:val="20"/>
                      </w:rPr>
                      <w:t>45 (2033)</w:t>
                    </w:r>
                  </w:p>
                </w:tc>
              </w:tr>
              <w:tr>
                <w:trPr>
                  <w:trHeight w:val="633"/>
                  <w:jc w:val="center"/>
                </w:trPr>
                <w:tc>
                  <w:tcPr>
                    <w:tcW w:w="988" w:type="dxa"/>
                    <w:vMerge w:val="restart"/>
                    <w:noWrap/>
                    <w:hideMark/>
                  </w:tcPr>
                  <w:p>
                    <w:pPr>
                      <w:rPr>
                        <w:sz w:val="20"/>
                      </w:rPr>
                    </w:pPr>
                    <w:r>
                      <w:rPr>
                        <w:sz w:val="20"/>
                      </w:rPr>
                      <w:t>15-03-02</w:t>
                    </w:r>
                  </w:p>
                </w:tc>
                <w:tc>
                  <w:tcPr>
                    <w:tcW w:w="2126" w:type="dxa"/>
                    <w:vMerge w:val="restart"/>
                    <w:hideMark/>
                  </w:tcPr>
                  <w:p>
                    <w:pPr>
                      <w:rPr>
                        <w:sz w:val="20"/>
                      </w:rPr>
                    </w:pPr>
                    <w:r>
                      <w:rPr>
                        <w:sz w:val="20"/>
                      </w:rPr>
                      <w:t>Stiprinti Šiaulių miesto lyderystę regiono ir šalies mastu</w:t>
                    </w:r>
                  </w:p>
                </w:tc>
                <w:tc>
                  <w:tcPr>
                    <w:tcW w:w="850" w:type="dxa"/>
                    <w:vMerge w:val="restart"/>
                    <w:hideMark/>
                  </w:tcPr>
                  <w:p>
                    <w:pPr>
                      <w:jc w:val="center"/>
                      <w:rPr>
                        <w:sz w:val="20"/>
                      </w:rPr>
                    </w:pPr>
                    <w:r>
                      <w:rPr>
                        <w:sz w:val="20"/>
                      </w:rPr>
                      <w:t>Vicemeras (-ai)</w:t>
                    </w:r>
                  </w:p>
                </w:tc>
                <w:tc>
                  <w:tcPr>
                    <w:tcW w:w="709" w:type="dxa"/>
                    <w:vMerge w:val="restart"/>
                    <w:hideMark/>
                  </w:tcPr>
                  <w:p>
                    <w:pPr>
                      <w:jc w:val="center"/>
                      <w:rPr>
                        <w:sz w:val="20"/>
                      </w:rPr>
                    </w:pPr>
                    <w:r>
                      <w:rPr>
                        <w:sz w:val="20"/>
                      </w:rPr>
                      <w:t>2025</w:t>
                    </w:r>
                  </w:p>
                </w:tc>
                <w:tc>
                  <w:tcPr>
                    <w:tcW w:w="709" w:type="dxa"/>
                    <w:vMerge w:val="restart"/>
                    <w:hideMark/>
                  </w:tcPr>
                  <w:p>
                    <w:pPr>
                      <w:jc w:val="center"/>
                      <w:rPr>
                        <w:sz w:val="20"/>
                      </w:rPr>
                    </w:pPr>
                    <w:r>
                      <w:rPr>
                        <w:sz w:val="20"/>
                      </w:rPr>
                      <w:t>2033</w:t>
                    </w:r>
                  </w:p>
                </w:tc>
                <w:tc>
                  <w:tcPr>
                    <w:tcW w:w="1417" w:type="dxa"/>
                    <w:hideMark/>
                  </w:tcPr>
                  <w:p>
                    <w:pPr>
                      <w:rPr>
                        <w:sz w:val="20"/>
                      </w:rPr>
                    </w:pPr>
                    <w:r>
                      <w:rPr>
                        <w:sz w:val="20"/>
                      </w:rPr>
                      <w:t>P-15-03-02-01</w:t>
                    </w:r>
                  </w:p>
                </w:tc>
                <w:tc>
                  <w:tcPr>
                    <w:tcW w:w="4111" w:type="dxa"/>
                    <w:hideMark/>
                  </w:tcPr>
                  <w:p>
                    <w:pPr>
                      <w:rPr>
                        <w:sz w:val="20"/>
                      </w:rPr>
                    </w:pPr>
                    <w:r>
                      <w:rPr>
                        <w:sz w:val="20"/>
                      </w:rPr>
                      <w:t>Įkurtas už miesto komunikaciją ir rinkodarą atsakingas padalinys / institucija ar kitas alternatyvus organas (vnt.)</w:t>
                    </w:r>
                  </w:p>
                </w:tc>
                <w:tc>
                  <w:tcPr>
                    <w:tcW w:w="1134" w:type="dxa"/>
                    <w:hideMark/>
                  </w:tcPr>
                  <w:p>
                    <w:pPr>
                      <w:jc w:val="center"/>
                      <w:rPr>
                        <w:sz w:val="20"/>
                      </w:rPr>
                    </w:pPr>
                    <w:r>
                      <w:rPr>
                        <w:sz w:val="20"/>
                      </w:rPr>
                      <w:t>Vicemeras (-ai)</w:t>
                    </w:r>
                  </w:p>
                </w:tc>
                <w:tc>
                  <w:tcPr>
                    <w:tcW w:w="1134" w:type="dxa"/>
                    <w:hideMark/>
                  </w:tcPr>
                  <w:p>
                    <w:pPr>
                      <w:jc w:val="center"/>
                      <w:rPr>
                        <w:sz w:val="20"/>
                      </w:rPr>
                    </w:pPr>
                    <w:r>
                      <w:rPr>
                        <w:sz w:val="20"/>
                      </w:rPr>
                      <w:t>0 (2023)</w:t>
                    </w:r>
                  </w:p>
                </w:tc>
                <w:tc>
                  <w:tcPr>
                    <w:tcW w:w="1134" w:type="dxa"/>
                    <w:hideMark/>
                  </w:tcPr>
                  <w:p>
                    <w:pPr>
                      <w:jc w:val="center"/>
                      <w:rPr>
                        <w:sz w:val="20"/>
                      </w:rPr>
                    </w:pPr>
                    <w:r>
                      <w:rPr>
                        <w:sz w:val="20"/>
                      </w:rPr>
                      <w:t>1 (2026)</w:t>
                    </w:r>
                  </w:p>
                </w:tc>
              </w:tr>
              <w:tr>
                <w:trPr>
                  <w:trHeight w:val="520"/>
                  <w:jc w:val="center"/>
                </w:trPr>
                <w:tc>
                  <w:tcPr>
                    <w:tcW w:w="988" w:type="dxa"/>
                    <w:vMerge/>
                    <w:hideMark/>
                  </w:tcPr>
                  <w:p>
                    <w:pPr>
                      <w:rPr>
                        <w:sz w:val="20"/>
                      </w:rPr>
                    </w:pPr>
                  </w:p>
                </w:tc>
                <w:tc>
                  <w:tcPr>
                    <w:tcW w:w="2126" w:type="dxa"/>
                    <w:vMerge/>
                    <w:hideMark/>
                  </w:tcPr>
                  <w:p>
                    <w:pPr>
                      <w:rPr>
                        <w:sz w:val="20"/>
                      </w:rPr>
                    </w:pPr>
                  </w:p>
                </w:tc>
                <w:tc>
                  <w:tcPr>
                    <w:tcW w:w="850" w:type="dxa"/>
                    <w:vMerge/>
                    <w:hideMark/>
                  </w:tcPr>
                  <w:p>
                    <w:pPr>
                      <w:rPr>
                        <w:sz w:val="20"/>
                      </w:rPr>
                    </w:pPr>
                  </w:p>
                </w:tc>
                <w:tc>
                  <w:tcPr>
                    <w:tcW w:w="709" w:type="dxa"/>
                    <w:vMerge/>
                    <w:hideMark/>
                  </w:tcPr>
                  <w:p>
                    <w:pPr>
                      <w:rPr>
                        <w:sz w:val="20"/>
                      </w:rPr>
                    </w:pPr>
                  </w:p>
                </w:tc>
                <w:tc>
                  <w:tcPr>
                    <w:tcW w:w="709" w:type="dxa"/>
                    <w:vMerge/>
                    <w:hideMark/>
                  </w:tcPr>
                  <w:p>
                    <w:pPr>
                      <w:rPr>
                        <w:sz w:val="20"/>
                      </w:rPr>
                    </w:pPr>
                  </w:p>
                </w:tc>
                <w:tc>
                  <w:tcPr>
                    <w:tcW w:w="1417" w:type="dxa"/>
                    <w:hideMark/>
                  </w:tcPr>
                  <w:p>
                    <w:pPr>
                      <w:rPr>
                        <w:sz w:val="20"/>
                      </w:rPr>
                    </w:pPr>
                    <w:r>
                      <w:rPr>
                        <w:sz w:val="20"/>
                      </w:rPr>
                      <w:t>P-15-03-02-02</w:t>
                    </w:r>
                  </w:p>
                </w:tc>
                <w:tc>
                  <w:tcPr>
                    <w:tcW w:w="4111" w:type="dxa"/>
                    <w:hideMark/>
                  </w:tcPr>
                  <w:p>
                    <w:pPr>
                      <w:rPr>
                        <w:sz w:val="20"/>
                      </w:rPr>
                    </w:pPr>
                    <w:r>
                      <w:rPr>
                        <w:sz w:val="20"/>
                      </w:rPr>
                      <w:t>Parengta miesto identiteto, rinkodaros ir turizmo strategija (vnt.)</w:t>
                    </w:r>
                  </w:p>
                </w:tc>
                <w:tc>
                  <w:tcPr>
                    <w:tcW w:w="1134" w:type="dxa"/>
                    <w:hideMark/>
                  </w:tcPr>
                  <w:p>
                    <w:pPr>
                      <w:jc w:val="center"/>
                      <w:rPr>
                        <w:sz w:val="20"/>
                      </w:rPr>
                    </w:pPr>
                    <w:r>
                      <w:rPr>
                        <w:sz w:val="20"/>
                      </w:rPr>
                      <w:t>Vicemeras (-ai)</w:t>
                    </w:r>
                  </w:p>
                </w:tc>
                <w:tc>
                  <w:tcPr>
                    <w:tcW w:w="1134" w:type="dxa"/>
                    <w:hideMark/>
                  </w:tcPr>
                  <w:p>
                    <w:pPr>
                      <w:jc w:val="center"/>
                      <w:rPr>
                        <w:sz w:val="20"/>
                      </w:rPr>
                    </w:pPr>
                    <w:r>
                      <w:rPr>
                        <w:sz w:val="20"/>
                      </w:rPr>
                      <w:t>0 (2023)</w:t>
                    </w:r>
                  </w:p>
                </w:tc>
                <w:tc>
                  <w:tcPr>
                    <w:tcW w:w="1134" w:type="dxa"/>
                    <w:hideMark/>
                  </w:tcPr>
                  <w:p>
                    <w:pPr>
                      <w:jc w:val="center"/>
                      <w:rPr>
                        <w:sz w:val="20"/>
                      </w:rPr>
                    </w:pPr>
                    <w:r>
                      <w:rPr>
                        <w:sz w:val="20"/>
                      </w:rPr>
                      <w:t>1 (2026)</w:t>
                    </w:r>
                  </w:p>
                </w:tc>
              </w:tr>
              <w:tr>
                <w:trPr>
                  <w:trHeight w:val="693"/>
                  <w:jc w:val="center"/>
                </w:trPr>
                <w:tc>
                  <w:tcPr>
                    <w:tcW w:w="988" w:type="dxa"/>
                    <w:vMerge/>
                    <w:hideMark/>
                  </w:tcPr>
                  <w:p>
                    <w:pPr>
                      <w:rPr>
                        <w:sz w:val="20"/>
                      </w:rPr>
                    </w:pPr>
                  </w:p>
                </w:tc>
                <w:tc>
                  <w:tcPr>
                    <w:tcW w:w="2126" w:type="dxa"/>
                    <w:vMerge/>
                    <w:hideMark/>
                  </w:tcPr>
                  <w:p>
                    <w:pPr>
                      <w:rPr>
                        <w:sz w:val="20"/>
                      </w:rPr>
                    </w:pPr>
                  </w:p>
                </w:tc>
                <w:tc>
                  <w:tcPr>
                    <w:tcW w:w="850" w:type="dxa"/>
                    <w:vMerge/>
                    <w:hideMark/>
                  </w:tcPr>
                  <w:p>
                    <w:pPr>
                      <w:rPr>
                        <w:sz w:val="20"/>
                      </w:rPr>
                    </w:pPr>
                  </w:p>
                </w:tc>
                <w:tc>
                  <w:tcPr>
                    <w:tcW w:w="709" w:type="dxa"/>
                    <w:vMerge/>
                    <w:hideMark/>
                  </w:tcPr>
                  <w:p>
                    <w:pPr>
                      <w:rPr>
                        <w:sz w:val="20"/>
                      </w:rPr>
                    </w:pPr>
                  </w:p>
                </w:tc>
                <w:tc>
                  <w:tcPr>
                    <w:tcW w:w="709" w:type="dxa"/>
                    <w:vMerge/>
                    <w:hideMark/>
                  </w:tcPr>
                  <w:p>
                    <w:pPr>
                      <w:rPr>
                        <w:sz w:val="20"/>
                      </w:rPr>
                    </w:pPr>
                  </w:p>
                </w:tc>
                <w:tc>
                  <w:tcPr>
                    <w:tcW w:w="1417" w:type="dxa"/>
                    <w:hideMark/>
                  </w:tcPr>
                  <w:p>
                    <w:pPr>
                      <w:rPr>
                        <w:sz w:val="20"/>
                      </w:rPr>
                    </w:pPr>
                    <w:r>
                      <w:rPr>
                        <w:sz w:val="20"/>
                      </w:rPr>
                      <w:t>P-15-03-02-03</w:t>
                    </w:r>
                  </w:p>
                </w:tc>
                <w:tc>
                  <w:tcPr>
                    <w:tcW w:w="4111" w:type="dxa"/>
                    <w:hideMark/>
                  </w:tcPr>
                  <w:p>
                    <w:pPr>
                      <w:rPr>
                        <w:sz w:val="20"/>
                      </w:rPr>
                    </w:pPr>
                    <w:r>
                      <w:rPr>
                        <w:sz w:val="20"/>
                      </w:rPr>
                      <w:t>Nacionalinių tinklų, asocijuotų struktūrų, į kurių veiklą įsitraukusi Šiaulių miesto savivaldybė, skaičius (vnt. per metus)</w:t>
                    </w:r>
                  </w:p>
                </w:tc>
                <w:tc>
                  <w:tcPr>
                    <w:tcW w:w="1134" w:type="dxa"/>
                    <w:hideMark/>
                  </w:tcPr>
                  <w:p>
                    <w:pPr>
                      <w:jc w:val="center"/>
                      <w:rPr>
                        <w:sz w:val="20"/>
                      </w:rPr>
                    </w:pPr>
                    <w:r>
                      <w:rPr>
                        <w:sz w:val="20"/>
                      </w:rPr>
                      <w:t>Vicemeras (-ai)</w:t>
                    </w:r>
                  </w:p>
                </w:tc>
                <w:tc>
                  <w:tcPr>
                    <w:tcW w:w="1134" w:type="dxa"/>
                    <w:hideMark/>
                  </w:tcPr>
                  <w:p>
                    <w:pPr>
                      <w:jc w:val="center"/>
                      <w:rPr>
                        <w:sz w:val="20"/>
                      </w:rPr>
                    </w:pPr>
                    <w:r>
                      <w:rPr>
                        <w:sz w:val="20"/>
                      </w:rPr>
                      <w:t>4 (2023)</w:t>
                    </w:r>
                  </w:p>
                </w:tc>
                <w:tc>
                  <w:tcPr>
                    <w:tcW w:w="1134" w:type="dxa"/>
                    <w:hideMark/>
                  </w:tcPr>
                  <w:p>
                    <w:pPr>
                      <w:jc w:val="center"/>
                      <w:rPr>
                        <w:sz w:val="20"/>
                      </w:rPr>
                    </w:pPr>
                    <w:r>
                      <w:rPr>
                        <w:sz w:val="20"/>
                      </w:rPr>
                      <w:t>6 (2033)</w:t>
                    </w:r>
                  </w:p>
                </w:tc>
              </w:tr>
              <w:tr>
                <w:trPr>
                  <w:trHeight w:val="600"/>
                  <w:jc w:val="center"/>
                </w:trPr>
                <w:tc>
                  <w:tcPr>
                    <w:tcW w:w="988" w:type="dxa"/>
                    <w:vMerge/>
                    <w:hideMark/>
                  </w:tcPr>
                  <w:p>
                    <w:pPr>
                      <w:rPr>
                        <w:sz w:val="20"/>
                      </w:rPr>
                    </w:pPr>
                  </w:p>
                </w:tc>
                <w:tc>
                  <w:tcPr>
                    <w:tcW w:w="2126" w:type="dxa"/>
                    <w:vMerge/>
                    <w:hideMark/>
                  </w:tcPr>
                  <w:p>
                    <w:pPr>
                      <w:rPr>
                        <w:sz w:val="20"/>
                      </w:rPr>
                    </w:pPr>
                  </w:p>
                </w:tc>
                <w:tc>
                  <w:tcPr>
                    <w:tcW w:w="850" w:type="dxa"/>
                    <w:vMerge/>
                    <w:hideMark/>
                  </w:tcPr>
                  <w:p>
                    <w:pPr>
                      <w:rPr>
                        <w:sz w:val="20"/>
                      </w:rPr>
                    </w:pPr>
                  </w:p>
                </w:tc>
                <w:tc>
                  <w:tcPr>
                    <w:tcW w:w="709" w:type="dxa"/>
                    <w:vMerge/>
                    <w:hideMark/>
                  </w:tcPr>
                  <w:p>
                    <w:pPr>
                      <w:rPr>
                        <w:sz w:val="20"/>
                      </w:rPr>
                    </w:pPr>
                  </w:p>
                </w:tc>
                <w:tc>
                  <w:tcPr>
                    <w:tcW w:w="709" w:type="dxa"/>
                    <w:vMerge/>
                    <w:hideMark/>
                  </w:tcPr>
                  <w:p>
                    <w:pPr>
                      <w:rPr>
                        <w:sz w:val="20"/>
                      </w:rPr>
                    </w:pPr>
                  </w:p>
                </w:tc>
                <w:tc>
                  <w:tcPr>
                    <w:tcW w:w="1417" w:type="dxa"/>
                    <w:hideMark/>
                  </w:tcPr>
                  <w:p>
                    <w:pPr>
                      <w:rPr>
                        <w:sz w:val="20"/>
                      </w:rPr>
                    </w:pPr>
                    <w:r>
                      <w:rPr>
                        <w:sz w:val="20"/>
                      </w:rPr>
                      <w:t>P-15-03-02-04</w:t>
                    </w:r>
                  </w:p>
                </w:tc>
                <w:tc>
                  <w:tcPr>
                    <w:tcW w:w="4111" w:type="dxa"/>
                    <w:hideMark/>
                  </w:tcPr>
                  <w:p>
                    <w:pPr>
                      <w:rPr>
                        <w:sz w:val="20"/>
                      </w:rPr>
                    </w:pPr>
                    <w:r>
                      <w:rPr>
                        <w:sz w:val="20"/>
                      </w:rPr>
                      <w:t xml:space="preserve">Tarptautinių ir nacionalinių pripažinimų, apdovanojimų už miesto vykdomas veiklas, iniciatyvas, skaičius (vnt.) </w:t>
                    </w:r>
                  </w:p>
                </w:tc>
                <w:tc>
                  <w:tcPr>
                    <w:tcW w:w="1134" w:type="dxa"/>
                    <w:hideMark/>
                  </w:tcPr>
                  <w:p>
                    <w:pPr>
                      <w:jc w:val="center"/>
                      <w:rPr>
                        <w:sz w:val="20"/>
                      </w:rPr>
                    </w:pPr>
                    <w:r>
                      <w:rPr>
                        <w:sz w:val="20"/>
                      </w:rPr>
                      <w:t>Vicemeras (-ai)</w:t>
                    </w:r>
                  </w:p>
                </w:tc>
                <w:tc>
                  <w:tcPr>
                    <w:tcW w:w="1134" w:type="dxa"/>
                    <w:hideMark/>
                  </w:tcPr>
                  <w:p>
                    <w:pPr>
                      <w:jc w:val="center"/>
                      <w:rPr>
                        <w:sz w:val="20"/>
                      </w:rPr>
                    </w:pPr>
                    <w:r>
                      <w:rPr>
                        <w:sz w:val="20"/>
                      </w:rPr>
                      <w:t>2 (2023)</w:t>
                    </w:r>
                  </w:p>
                </w:tc>
                <w:tc>
                  <w:tcPr>
                    <w:tcW w:w="1134" w:type="dxa"/>
                    <w:hideMark/>
                  </w:tcPr>
                  <w:p>
                    <w:pPr>
                      <w:jc w:val="center"/>
                      <w:rPr>
                        <w:sz w:val="20"/>
                      </w:rPr>
                    </w:pPr>
                    <w:r>
                      <w:rPr>
                        <w:sz w:val="20"/>
                      </w:rPr>
                      <w:t>15(2033)</w:t>
                    </w:r>
                  </w:p>
                </w:tc>
              </w:tr>
              <w:tr>
                <w:trPr>
                  <w:trHeight w:val="650"/>
                  <w:jc w:val="center"/>
                </w:trPr>
                <w:tc>
                  <w:tcPr>
                    <w:tcW w:w="988" w:type="dxa"/>
                    <w:vMerge/>
                    <w:hideMark/>
                  </w:tcPr>
                  <w:p>
                    <w:pPr>
                      <w:rPr>
                        <w:sz w:val="20"/>
                      </w:rPr>
                    </w:pPr>
                  </w:p>
                </w:tc>
                <w:tc>
                  <w:tcPr>
                    <w:tcW w:w="2126" w:type="dxa"/>
                    <w:vMerge/>
                    <w:hideMark/>
                  </w:tcPr>
                  <w:p>
                    <w:pPr>
                      <w:rPr>
                        <w:sz w:val="20"/>
                      </w:rPr>
                    </w:pPr>
                  </w:p>
                </w:tc>
                <w:tc>
                  <w:tcPr>
                    <w:tcW w:w="850" w:type="dxa"/>
                    <w:vMerge/>
                    <w:hideMark/>
                  </w:tcPr>
                  <w:p>
                    <w:pPr>
                      <w:rPr>
                        <w:sz w:val="20"/>
                      </w:rPr>
                    </w:pPr>
                  </w:p>
                </w:tc>
                <w:tc>
                  <w:tcPr>
                    <w:tcW w:w="709" w:type="dxa"/>
                    <w:vMerge/>
                    <w:hideMark/>
                  </w:tcPr>
                  <w:p>
                    <w:pPr>
                      <w:rPr>
                        <w:sz w:val="20"/>
                      </w:rPr>
                    </w:pPr>
                  </w:p>
                </w:tc>
                <w:tc>
                  <w:tcPr>
                    <w:tcW w:w="709" w:type="dxa"/>
                    <w:vMerge/>
                    <w:hideMark/>
                  </w:tcPr>
                  <w:p>
                    <w:pPr>
                      <w:rPr>
                        <w:sz w:val="20"/>
                      </w:rPr>
                    </w:pPr>
                  </w:p>
                </w:tc>
                <w:tc>
                  <w:tcPr>
                    <w:tcW w:w="1417" w:type="dxa"/>
                    <w:hideMark/>
                  </w:tcPr>
                  <w:p>
                    <w:pPr>
                      <w:rPr>
                        <w:sz w:val="20"/>
                      </w:rPr>
                    </w:pPr>
                    <w:r>
                      <w:rPr>
                        <w:sz w:val="20"/>
                      </w:rPr>
                      <w:t>P-15-03-02-05</w:t>
                    </w:r>
                  </w:p>
                </w:tc>
                <w:tc>
                  <w:tcPr>
                    <w:tcW w:w="4111" w:type="dxa"/>
                    <w:hideMark/>
                  </w:tcPr>
                  <w:p>
                    <w:pPr>
                      <w:rPr>
                        <w:sz w:val="20"/>
                      </w:rPr>
                    </w:pPr>
                    <w:r>
                      <w:rPr>
                        <w:sz w:val="20"/>
                      </w:rPr>
                      <w:t>Konkuravimo teise savivaldybės administracijos pateiktų ir laimėtų ambasadavimo renginių, rinkimų skaičius (vnt. / vnt.)</w:t>
                    </w:r>
                  </w:p>
                </w:tc>
                <w:tc>
                  <w:tcPr>
                    <w:tcW w:w="1134" w:type="dxa"/>
                    <w:hideMark/>
                  </w:tcPr>
                  <w:p>
                    <w:pPr>
                      <w:jc w:val="center"/>
                      <w:rPr>
                        <w:sz w:val="20"/>
                      </w:rPr>
                    </w:pPr>
                    <w:r>
                      <w:rPr>
                        <w:sz w:val="20"/>
                      </w:rPr>
                      <w:t>Vicemeras (-ai)</w:t>
                    </w:r>
                  </w:p>
                </w:tc>
                <w:tc>
                  <w:tcPr>
                    <w:tcW w:w="1134" w:type="dxa"/>
                    <w:hideMark/>
                  </w:tcPr>
                  <w:p>
                    <w:pPr>
                      <w:jc w:val="center"/>
                      <w:rPr>
                        <w:sz w:val="20"/>
                      </w:rPr>
                    </w:pPr>
                    <w:r>
                      <w:rPr>
                        <w:sz w:val="20"/>
                      </w:rPr>
                      <w:t>2/0(2024)</w:t>
                    </w:r>
                  </w:p>
                </w:tc>
                <w:tc>
                  <w:tcPr>
                    <w:tcW w:w="1134" w:type="dxa"/>
                    <w:hideMark/>
                  </w:tcPr>
                  <w:p>
                    <w:pPr>
                      <w:jc w:val="center"/>
                      <w:rPr>
                        <w:sz w:val="20"/>
                      </w:rPr>
                    </w:pPr>
                    <w:r>
                      <w:rPr>
                        <w:sz w:val="20"/>
                      </w:rPr>
                      <w:t>6/3 (2033)</w:t>
                    </w:r>
                  </w:p>
                </w:tc>
              </w:tr>
              <w:tr>
                <w:trPr>
                  <w:trHeight w:val="560"/>
                  <w:jc w:val="center"/>
                </w:trPr>
                <w:tc>
                  <w:tcPr>
                    <w:tcW w:w="988" w:type="dxa"/>
                    <w:vMerge w:val="restart"/>
                    <w:shd w:val="clear" w:color="auto" w:fill="FFD966"/>
                    <w:noWrap/>
                    <w:vAlign w:val="center"/>
                    <w:hideMark/>
                  </w:tcPr>
                  <w:p>
                    <w:pPr>
                      <w:rPr>
                        <w:b/>
                        <w:bCs/>
                        <w:sz w:val="20"/>
                      </w:rPr>
                    </w:pPr>
                    <w:r>
                      <w:rPr>
                        <w:b/>
                        <w:bCs/>
                        <w:sz w:val="20"/>
                      </w:rPr>
                      <w:t>16</w:t>
                    </w:r>
                  </w:p>
                </w:tc>
                <w:tc>
                  <w:tcPr>
                    <w:tcW w:w="2126" w:type="dxa"/>
                    <w:vMerge w:val="restart"/>
                    <w:shd w:val="clear" w:color="auto" w:fill="FFD966"/>
                    <w:vAlign w:val="center"/>
                    <w:hideMark/>
                  </w:tcPr>
                  <w:p>
                    <w:pPr>
                      <w:rPr>
                        <w:b/>
                        <w:bCs/>
                        <w:sz w:val="20"/>
                      </w:rPr>
                    </w:pPr>
                    <w:r>
                      <w:rPr>
                        <w:b/>
                        <w:bCs/>
                        <w:sz w:val="20"/>
                      </w:rPr>
                      <w:t>Užtikrinti socialinės apsaugos sistemą, mažinančią socialinę atskirtį ir didinančią socialinę integraciją</w:t>
                    </w:r>
                  </w:p>
                </w:tc>
                <w:tc>
                  <w:tcPr>
                    <w:tcW w:w="850" w:type="dxa"/>
                    <w:vMerge w:val="restart"/>
                    <w:shd w:val="clear" w:color="auto" w:fill="FFD966"/>
                    <w:noWrap/>
                    <w:vAlign w:val="center"/>
                    <w:hideMark/>
                  </w:tcPr>
                  <w:p>
                    <w:pPr>
                      <w:jc w:val="center"/>
                      <w:rPr>
                        <w:sz w:val="20"/>
                      </w:rPr>
                    </w:pPr>
                    <w:r>
                      <w:rPr>
                        <w:sz w:val="20"/>
                      </w:rPr>
                      <w:t>SPS</w:t>
                    </w:r>
                  </w:p>
                </w:tc>
                <w:tc>
                  <w:tcPr>
                    <w:tcW w:w="709" w:type="dxa"/>
                    <w:vMerge w:val="restart"/>
                    <w:shd w:val="clear" w:color="auto" w:fill="FFD966"/>
                    <w:noWrap/>
                    <w:vAlign w:val="center"/>
                    <w:hideMark/>
                  </w:tcPr>
                  <w:p>
                    <w:pPr>
                      <w:jc w:val="center"/>
                      <w:rPr>
                        <w:sz w:val="20"/>
                      </w:rPr>
                    </w:pPr>
                    <w:r>
                      <w:rPr>
                        <w:sz w:val="20"/>
                      </w:rPr>
                      <w:t>2025</w:t>
                    </w:r>
                  </w:p>
                </w:tc>
                <w:tc>
                  <w:tcPr>
                    <w:tcW w:w="709" w:type="dxa"/>
                    <w:vMerge w:val="restart"/>
                    <w:shd w:val="clear" w:color="auto" w:fill="FFD966"/>
                    <w:noWrap/>
                    <w:vAlign w:val="center"/>
                    <w:hideMark/>
                  </w:tcPr>
                  <w:p>
                    <w:pPr>
                      <w:jc w:val="center"/>
                      <w:rPr>
                        <w:sz w:val="20"/>
                      </w:rPr>
                    </w:pPr>
                    <w:r>
                      <w:rPr>
                        <w:sz w:val="20"/>
                      </w:rPr>
                      <w:t>2033</w:t>
                    </w:r>
                  </w:p>
                </w:tc>
                <w:tc>
                  <w:tcPr>
                    <w:tcW w:w="1417" w:type="dxa"/>
                    <w:shd w:val="clear" w:color="auto" w:fill="FFD966"/>
                    <w:noWrap/>
                    <w:vAlign w:val="center"/>
                    <w:hideMark/>
                  </w:tcPr>
                  <w:p>
                    <w:pPr>
                      <w:rPr>
                        <w:sz w:val="20"/>
                      </w:rPr>
                    </w:pPr>
                    <w:r>
                      <w:rPr>
                        <w:sz w:val="20"/>
                      </w:rPr>
                      <w:t>P-16-01</w:t>
                    </w:r>
                  </w:p>
                </w:tc>
                <w:tc>
                  <w:tcPr>
                    <w:tcW w:w="4111" w:type="dxa"/>
                    <w:shd w:val="clear" w:color="auto" w:fill="FFD966"/>
                    <w:vAlign w:val="center"/>
                    <w:hideMark/>
                  </w:tcPr>
                  <w:p>
                    <w:pPr>
                      <w:rPr>
                        <w:sz w:val="20"/>
                      </w:rPr>
                    </w:pPr>
                    <w:r>
                      <w:rPr>
                        <w:sz w:val="20"/>
                      </w:rPr>
                      <w:t>Socialinių paslaugų gavėjų dalis (proc.)</w:t>
                    </w:r>
                  </w:p>
                </w:tc>
                <w:tc>
                  <w:tcPr>
                    <w:tcW w:w="1134" w:type="dxa"/>
                    <w:shd w:val="clear" w:color="auto" w:fill="FFD966"/>
                    <w:noWrap/>
                    <w:vAlign w:val="center"/>
                    <w:hideMark/>
                  </w:tcPr>
                  <w:p>
                    <w:pPr>
                      <w:jc w:val="center"/>
                      <w:rPr>
                        <w:sz w:val="20"/>
                      </w:rPr>
                    </w:pPr>
                    <w:r>
                      <w:rPr>
                        <w:sz w:val="20"/>
                      </w:rPr>
                      <w:t>VDA (SPS)</w:t>
                    </w:r>
                  </w:p>
                </w:tc>
                <w:tc>
                  <w:tcPr>
                    <w:tcW w:w="1134" w:type="dxa"/>
                    <w:shd w:val="clear" w:color="auto" w:fill="FFD966"/>
                    <w:noWrap/>
                    <w:vAlign w:val="center"/>
                    <w:hideMark/>
                  </w:tcPr>
                  <w:p>
                    <w:pPr>
                      <w:jc w:val="center"/>
                      <w:rPr>
                        <w:sz w:val="20"/>
                      </w:rPr>
                    </w:pPr>
                    <w:r>
                      <w:rPr>
                        <w:sz w:val="20"/>
                      </w:rPr>
                      <w:t>25 (2023)</w:t>
                    </w:r>
                  </w:p>
                </w:tc>
                <w:tc>
                  <w:tcPr>
                    <w:tcW w:w="1134" w:type="dxa"/>
                    <w:shd w:val="clear" w:color="auto" w:fill="FFD966"/>
                    <w:vAlign w:val="center"/>
                    <w:hideMark/>
                  </w:tcPr>
                  <w:p>
                    <w:pPr>
                      <w:jc w:val="center"/>
                      <w:rPr>
                        <w:sz w:val="20"/>
                      </w:rPr>
                    </w:pPr>
                    <w:r>
                      <w:rPr>
                        <w:sz w:val="20"/>
                      </w:rPr>
                      <w:t>30 (2033)</w:t>
                    </w:r>
                  </w:p>
                </w:tc>
              </w:tr>
              <w:tr>
                <w:trPr>
                  <w:trHeight w:val="362"/>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1417" w:type="dxa"/>
                    <w:tcBorders>
                      <w:bottom w:val="single" w:sz="4" w:space="0" w:color="auto"/>
                    </w:tcBorders>
                    <w:shd w:val="clear" w:color="auto" w:fill="FFD966"/>
                    <w:noWrap/>
                    <w:vAlign w:val="center"/>
                    <w:hideMark/>
                  </w:tcPr>
                  <w:p>
                    <w:pPr>
                      <w:rPr>
                        <w:sz w:val="20"/>
                      </w:rPr>
                    </w:pPr>
                    <w:r>
                      <w:rPr>
                        <w:sz w:val="20"/>
                      </w:rPr>
                      <w:t>P-16-02</w:t>
                    </w:r>
                  </w:p>
                </w:tc>
                <w:tc>
                  <w:tcPr>
                    <w:tcW w:w="4111" w:type="dxa"/>
                    <w:shd w:val="clear" w:color="auto" w:fill="FFD966"/>
                    <w:vAlign w:val="center"/>
                    <w:hideMark/>
                  </w:tcPr>
                  <w:p>
                    <w:pPr>
                      <w:rPr>
                        <w:sz w:val="20"/>
                      </w:rPr>
                    </w:pPr>
                    <w:r>
                      <w:rPr>
                        <w:sz w:val="20"/>
                      </w:rPr>
                      <w:t>Socialinio saugumo indeksas (balas)</w:t>
                    </w:r>
                  </w:p>
                </w:tc>
                <w:tc>
                  <w:tcPr>
                    <w:tcW w:w="1134" w:type="dxa"/>
                    <w:shd w:val="clear" w:color="auto" w:fill="FFD966"/>
                    <w:noWrap/>
                    <w:vAlign w:val="center"/>
                    <w:hideMark/>
                  </w:tcPr>
                  <w:p>
                    <w:pPr>
                      <w:jc w:val="center"/>
                      <w:rPr>
                        <w:sz w:val="20"/>
                      </w:rPr>
                    </w:pPr>
                    <w:r>
                      <w:rPr>
                        <w:sz w:val="20"/>
                      </w:rPr>
                      <w:t>SGI (SPS)</w:t>
                    </w:r>
                  </w:p>
                </w:tc>
                <w:tc>
                  <w:tcPr>
                    <w:tcW w:w="1134" w:type="dxa"/>
                    <w:shd w:val="clear" w:color="auto" w:fill="FFD966"/>
                    <w:noWrap/>
                    <w:vAlign w:val="center"/>
                    <w:hideMark/>
                  </w:tcPr>
                  <w:p>
                    <w:pPr>
                      <w:jc w:val="center"/>
                      <w:rPr>
                        <w:sz w:val="20"/>
                      </w:rPr>
                    </w:pPr>
                    <w:r>
                      <w:rPr>
                        <w:sz w:val="20"/>
                      </w:rPr>
                      <w:t>5 (2022)</w:t>
                    </w:r>
                  </w:p>
                </w:tc>
                <w:tc>
                  <w:tcPr>
                    <w:tcW w:w="1134" w:type="dxa"/>
                    <w:shd w:val="clear" w:color="auto" w:fill="FFD966"/>
                    <w:vAlign w:val="center"/>
                    <w:hideMark/>
                  </w:tcPr>
                  <w:p>
                    <w:pPr>
                      <w:jc w:val="center"/>
                      <w:rPr>
                        <w:sz w:val="20"/>
                      </w:rPr>
                    </w:pPr>
                    <w:r>
                      <w:rPr>
                        <w:sz w:val="20"/>
                      </w:rPr>
                      <w:t>6,2 (2033)</w:t>
                    </w:r>
                  </w:p>
                </w:tc>
              </w:tr>
              <w:tr>
                <w:trPr>
                  <w:trHeight w:val="551"/>
                  <w:jc w:val="center"/>
                </w:trPr>
                <w:tc>
                  <w:tcPr>
                    <w:tcW w:w="988" w:type="dxa"/>
                    <w:vMerge/>
                    <w:shd w:val="clear" w:color="auto" w:fill="FCE4D6"/>
                    <w:noWrap/>
                    <w:vAlign w:val="center"/>
                  </w:tcPr>
                  <w:p>
                    <w:pPr>
                      <w:rPr>
                        <w:b/>
                        <w:bCs/>
                        <w:sz w:val="20"/>
                      </w:rPr>
                    </w:pPr>
                  </w:p>
                </w:tc>
                <w:tc>
                  <w:tcPr>
                    <w:tcW w:w="2126" w:type="dxa"/>
                    <w:vMerge/>
                    <w:shd w:val="clear" w:color="auto" w:fill="FCE4D6"/>
                    <w:vAlign w:val="center"/>
                  </w:tcPr>
                  <w:p>
                    <w:pPr>
                      <w:rPr>
                        <w:b/>
                        <w:bCs/>
                        <w:sz w:val="20"/>
                      </w:rPr>
                    </w:pPr>
                  </w:p>
                </w:tc>
                <w:tc>
                  <w:tcPr>
                    <w:tcW w:w="850" w:type="dxa"/>
                    <w:vMerge/>
                    <w:shd w:val="clear" w:color="auto" w:fill="FCE4D6"/>
                    <w:noWrap/>
                    <w:vAlign w:val="center"/>
                  </w:tcPr>
                  <w:p>
                    <w:pPr>
                      <w:jc w:val="center"/>
                      <w:rPr>
                        <w:sz w:val="20"/>
                      </w:rPr>
                    </w:pPr>
                  </w:p>
                </w:tc>
                <w:tc>
                  <w:tcPr>
                    <w:tcW w:w="709" w:type="dxa"/>
                    <w:vMerge/>
                    <w:shd w:val="clear" w:color="auto" w:fill="FCE4D6"/>
                    <w:noWrap/>
                    <w:vAlign w:val="center"/>
                  </w:tcPr>
                  <w:p>
                    <w:pPr>
                      <w:jc w:val="center"/>
                      <w:rPr>
                        <w:sz w:val="20"/>
                      </w:rPr>
                    </w:pPr>
                  </w:p>
                </w:tc>
                <w:tc>
                  <w:tcPr>
                    <w:tcW w:w="709" w:type="dxa"/>
                    <w:vMerge/>
                    <w:shd w:val="clear" w:color="auto" w:fill="FCE4D6"/>
                    <w:noWrap/>
                    <w:vAlign w:val="center"/>
                  </w:tcPr>
                  <w:p>
                    <w:pPr>
                      <w:jc w:val="center"/>
                      <w:rPr>
                        <w:sz w:val="20"/>
                      </w:rPr>
                    </w:pPr>
                  </w:p>
                </w:tc>
                <w:tc>
                  <w:tcPr>
                    <w:tcW w:w="1417" w:type="dxa"/>
                    <w:tcBorders>
                      <w:top w:val="single" w:sz="4" w:space="0" w:color="auto"/>
                      <w:left w:val="single" w:sz="4" w:space="0" w:color="auto"/>
                      <w:bottom w:val="single" w:sz="4" w:space="0" w:color="auto"/>
                      <w:right w:val="single" w:sz="4" w:space="0" w:color="auto"/>
                    </w:tcBorders>
                    <w:shd w:val="clear" w:color="000000" w:fill="FFD966"/>
                    <w:noWrap/>
                    <w:vAlign w:val="center"/>
                  </w:tcPr>
                  <w:p>
                    <w:pPr>
                      <w:rPr>
                        <w:sz w:val="20"/>
                      </w:rPr>
                    </w:pPr>
                    <w:r>
                      <w:rPr>
                        <w:rFonts w:eastAsia="MS Mincho"/>
                        <w:color w:val="000000"/>
                        <w:kern w:val="2"/>
                        <w:sz w:val="20"/>
                      </w:rPr>
                      <w:t>P-16-03</w:t>
                    </w:r>
                  </w:p>
                </w:tc>
                <w:tc>
                  <w:tcPr>
                    <w:tcW w:w="4111" w:type="dxa"/>
                    <w:tcBorders>
                      <w:top w:val="nil"/>
                      <w:left w:val="nil"/>
                      <w:bottom w:val="nil"/>
                      <w:right w:val="single" w:sz="4" w:space="0" w:color="auto"/>
                    </w:tcBorders>
                    <w:shd w:val="clear" w:color="000000" w:fill="FFD966"/>
                    <w:vAlign w:val="center"/>
                  </w:tcPr>
                  <w:p>
                    <w:pPr>
                      <w:rPr>
                        <w:sz w:val="20"/>
                      </w:rPr>
                    </w:pPr>
                    <w:r>
                      <w:rPr>
                        <w:rFonts w:eastAsia="MS Mincho"/>
                        <w:color w:val="000000"/>
                        <w:kern w:val="2"/>
                        <w:sz w:val="20"/>
                      </w:rPr>
                      <w:t>Demografinės senatvės koeficientas (asm.)</w:t>
                    </w:r>
                  </w:p>
                </w:tc>
                <w:tc>
                  <w:tcPr>
                    <w:tcW w:w="1134" w:type="dxa"/>
                    <w:tcBorders>
                      <w:top w:val="nil"/>
                      <w:left w:val="single" w:sz="4" w:space="0" w:color="auto"/>
                      <w:bottom w:val="nil"/>
                      <w:right w:val="single" w:sz="4" w:space="0" w:color="auto"/>
                    </w:tcBorders>
                    <w:shd w:val="clear" w:color="000000" w:fill="FFD966"/>
                    <w:noWrap/>
                    <w:vAlign w:val="center"/>
                  </w:tcPr>
                  <w:p>
                    <w:pPr>
                      <w:jc w:val="center"/>
                      <w:rPr>
                        <w:sz w:val="20"/>
                      </w:rPr>
                    </w:pPr>
                    <w:r>
                      <w:rPr>
                        <w:rFonts w:eastAsia="MS Mincho"/>
                        <w:color w:val="000000"/>
                        <w:kern w:val="2"/>
                        <w:sz w:val="20"/>
                      </w:rPr>
                      <w:t>VDA (SPS)</w:t>
                    </w:r>
                  </w:p>
                </w:tc>
                <w:tc>
                  <w:tcPr>
                    <w:tcW w:w="1134" w:type="dxa"/>
                    <w:tcBorders>
                      <w:top w:val="nil"/>
                      <w:left w:val="nil"/>
                      <w:bottom w:val="nil"/>
                      <w:right w:val="single" w:sz="4" w:space="0" w:color="auto"/>
                    </w:tcBorders>
                    <w:shd w:val="clear" w:color="000000" w:fill="FFD966"/>
                    <w:noWrap/>
                    <w:vAlign w:val="center"/>
                  </w:tcPr>
                  <w:p>
                    <w:pPr>
                      <w:jc w:val="center"/>
                      <w:rPr>
                        <w:sz w:val="20"/>
                      </w:rPr>
                    </w:pPr>
                    <w:r>
                      <w:rPr>
                        <w:rFonts w:eastAsia="MS Mincho"/>
                        <w:color w:val="000000"/>
                        <w:kern w:val="2"/>
                        <w:sz w:val="20"/>
                      </w:rPr>
                      <w:t>138 (2023)</w:t>
                    </w:r>
                  </w:p>
                </w:tc>
                <w:tc>
                  <w:tcPr>
                    <w:tcW w:w="1134" w:type="dxa"/>
                    <w:tcBorders>
                      <w:top w:val="nil"/>
                      <w:left w:val="nil"/>
                      <w:bottom w:val="nil"/>
                      <w:right w:val="single" w:sz="8" w:space="0" w:color="auto"/>
                    </w:tcBorders>
                    <w:shd w:val="clear" w:color="000000" w:fill="FFD966"/>
                    <w:noWrap/>
                    <w:vAlign w:val="center"/>
                  </w:tcPr>
                  <w:p>
                    <w:pPr>
                      <w:jc w:val="center"/>
                      <w:rPr>
                        <w:sz w:val="20"/>
                      </w:rPr>
                    </w:pPr>
                    <w:r>
                      <w:rPr>
                        <w:rFonts w:eastAsia="MS Mincho"/>
                        <w:kern w:val="2"/>
                        <w:sz w:val="20"/>
                      </w:rPr>
                      <w:t>141 (2033)</w:t>
                    </w:r>
                  </w:p>
                </w:tc>
              </w:tr>
              <w:tr>
                <w:trPr>
                  <w:trHeight w:val="700"/>
                  <w:jc w:val="center"/>
                </w:trPr>
                <w:tc>
                  <w:tcPr>
                    <w:tcW w:w="988" w:type="dxa"/>
                    <w:shd w:val="clear" w:color="auto" w:fill="FCE4D6"/>
                    <w:noWrap/>
                    <w:vAlign w:val="center"/>
                    <w:hideMark/>
                  </w:tcPr>
                  <w:p>
                    <w:pPr>
                      <w:rPr>
                        <w:b/>
                        <w:bCs/>
                        <w:sz w:val="20"/>
                      </w:rPr>
                    </w:pPr>
                    <w:r>
                      <w:rPr>
                        <w:b/>
                        <w:bCs/>
                        <w:sz w:val="20"/>
                      </w:rPr>
                      <w:t>16-01</w:t>
                    </w:r>
                  </w:p>
                </w:tc>
                <w:tc>
                  <w:tcPr>
                    <w:tcW w:w="2126" w:type="dxa"/>
                    <w:shd w:val="clear" w:color="auto" w:fill="FCE4D6"/>
                    <w:vAlign w:val="center"/>
                    <w:hideMark/>
                  </w:tcPr>
                  <w:p>
                    <w:pPr>
                      <w:rPr>
                        <w:b/>
                        <w:bCs/>
                        <w:sz w:val="20"/>
                      </w:rPr>
                    </w:pPr>
                    <w:r>
                      <w:rPr>
                        <w:b/>
                        <w:bCs/>
                        <w:sz w:val="20"/>
                      </w:rPr>
                      <w:t>Užtikrinti nuoseklų ir efektyvų socialinių paslaugų teikimą</w:t>
                    </w:r>
                  </w:p>
                </w:tc>
                <w:tc>
                  <w:tcPr>
                    <w:tcW w:w="850" w:type="dxa"/>
                    <w:shd w:val="clear" w:color="auto" w:fill="FCE4D6"/>
                    <w:noWrap/>
                    <w:vAlign w:val="center"/>
                    <w:hideMark/>
                  </w:tcPr>
                  <w:p>
                    <w:pPr>
                      <w:jc w:val="center"/>
                      <w:rPr>
                        <w:sz w:val="20"/>
                      </w:rPr>
                    </w:pPr>
                    <w:r>
                      <w:rPr>
                        <w:sz w:val="20"/>
                      </w:rPr>
                      <w:t>SPS</w:t>
                    </w:r>
                  </w:p>
                </w:tc>
                <w:tc>
                  <w:tcPr>
                    <w:tcW w:w="709" w:type="dxa"/>
                    <w:shd w:val="clear" w:color="auto" w:fill="FCE4D6"/>
                    <w:noWrap/>
                    <w:vAlign w:val="center"/>
                    <w:hideMark/>
                  </w:tcPr>
                  <w:p>
                    <w:pPr>
                      <w:jc w:val="center"/>
                      <w:rPr>
                        <w:sz w:val="20"/>
                      </w:rPr>
                    </w:pPr>
                    <w:r>
                      <w:rPr>
                        <w:sz w:val="20"/>
                      </w:rPr>
                      <w:t>2025</w:t>
                    </w:r>
                  </w:p>
                </w:tc>
                <w:tc>
                  <w:tcPr>
                    <w:tcW w:w="709" w:type="dxa"/>
                    <w:shd w:val="clear" w:color="auto" w:fill="FCE4D6"/>
                    <w:noWrap/>
                    <w:vAlign w:val="center"/>
                    <w:hideMark/>
                  </w:tcPr>
                  <w:p>
                    <w:pPr>
                      <w:jc w:val="center"/>
                      <w:rPr>
                        <w:sz w:val="20"/>
                      </w:rPr>
                    </w:pPr>
                    <w:r>
                      <w:rPr>
                        <w:sz w:val="20"/>
                      </w:rPr>
                      <w:t>2033</w:t>
                    </w:r>
                  </w:p>
                </w:tc>
                <w:tc>
                  <w:tcPr>
                    <w:tcW w:w="1417" w:type="dxa"/>
                    <w:tcBorders>
                      <w:top w:val="single" w:sz="4" w:space="0" w:color="auto"/>
                    </w:tcBorders>
                    <w:shd w:val="clear" w:color="auto" w:fill="FCE4D6"/>
                    <w:noWrap/>
                    <w:vAlign w:val="center"/>
                    <w:hideMark/>
                  </w:tcPr>
                  <w:p>
                    <w:pPr>
                      <w:rPr>
                        <w:sz w:val="20"/>
                      </w:rPr>
                    </w:pPr>
                    <w:r>
                      <w:rPr>
                        <w:sz w:val="20"/>
                      </w:rPr>
                      <w:t>R-16-01-01</w:t>
                    </w:r>
                  </w:p>
                </w:tc>
                <w:tc>
                  <w:tcPr>
                    <w:tcW w:w="4111" w:type="dxa"/>
                    <w:shd w:val="clear" w:color="auto" w:fill="FCE4D6"/>
                    <w:vAlign w:val="center"/>
                    <w:hideMark/>
                  </w:tcPr>
                  <w:p>
                    <w:pPr>
                      <w:rPr>
                        <w:sz w:val="20"/>
                      </w:rPr>
                    </w:pPr>
                    <w:r>
                      <w:rPr>
                        <w:sz w:val="20"/>
                      </w:rPr>
                      <w:t>Teikiamų socialinių paslaugų rūšių (bendrųjų socialinių paslaugų, socialinės priežiūros paslaugų, socialinės globos paslaugų) skaičius (vnt. per metus)</w:t>
                    </w:r>
                  </w:p>
                </w:tc>
                <w:tc>
                  <w:tcPr>
                    <w:tcW w:w="1134" w:type="dxa"/>
                    <w:shd w:val="clear" w:color="auto" w:fill="FCE4D6"/>
                    <w:noWrap/>
                    <w:vAlign w:val="center"/>
                    <w:hideMark/>
                  </w:tcPr>
                  <w:p>
                    <w:pPr>
                      <w:jc w:val="center"/>
                      <w:rPr>
                        <w:sz w:val="20"/>
                      </w:rPr>
                    </w:pPr>
                    <w:r>
                      <w:rPr>
                        <w:sz w:val="20"/>
                      </w:rPr>
                      <w:t>ŠMSA (SPS)</w:t>
                    </w:r>
                  </w:p>
                </w:tc>
                <w:tc>
                  <w:tcPr>
                    <w:tcW w:w="1134" w:type="dxa"/>
                    <w:shd w:val="clear" w:color="auto" w:fill="FCE4D6"/>
                    <w:noWrap/>
                    <w:vAlign w:val="center"/>
                    <w:hideMark/>
                  </w:tcPr>
                  <w:p>
                    <w:pPr>
                      <w:jc w:val="center"/>
                      <w:rPr>
                        <w:sz w:val="20"/>
                      </w:rPr>
                    </w:pPr>
                    <w:r>
                      <w:rPr>
                        <w:sz w:val="20"/>
                      </w:rPr>
                      <w:t>20 (2023)</w:t>
                    </w:r>
                  </w:p>
                </w:tc>
                <w:tc>
                  <w:tcPr>
                    <w:tcW w:w="1134" w:type="dxa"/>
                    <w:shd w:val="clear" w:color="auto" w:fill="FCE4D6"/>
                    <w:noWrap/>
                    <w:vAlign w:val="center"/>
                    <w:hideMark/>
                  </w:tcPr>
                  <w:p>
                    <w:pPr>
                      <w:jc w:val="center"/>
                      <w:rPr>
                        <w:sz w:val="20"/>
                      </w:rPr>
                    </w:pPr>
                    <w:r>
                      <w:rPr>
                        <w:sz w:val="20"/>
                      </w:rPr>
                      <w:t>25 (2033)</w:t>
                    </w:r>
                  </w:p>
                </w:tc>
              </w:tr>
              <w:tr>
                <w:trPr>
                  <w:trHeight w:val="693"/>
                  <w:jc w:val="center"/>
                </w:trPr>
                <w:tc>
                  <w:tcPr>
                    <w:tcW w:w="988" w:type="dxa"/>
                    <w:vMerge w:val="restart"/>
                    <w:noWrap/>
                    <w:vAlign w:val="center"/>
                    <w:hideMark/>
                  </w:tcPr>
                  <w:p>
                    <w:pPr>
                      <w:rPr>
                        <w:sz w:val="20"/>
                      </w:rPr>
                    </w:pPr>
                    <w:r>
                      <w:rPr>
                        <w:sz w:val="20"/>
                      </w:rPr>
                      <w:t>16-01-01</w:t>
                    </w:r>
                  </w:p>
                </w:tc>
                <w:tc>
                  <w:tcPr>
                    <w:tcW w:w="2126" w:type="dxa"/>
                    <w:vMerge w:val="restart"/>
                    <w:vAlign w:val="center"/>
                    <w:hideMark/>
                  </w:tcPr>
                  <w:p>
                    <w:pPr>
                      <w:rPr>
                        <w:sz w:val="20"/>
                      </w:rPr>
                    </w:pPr>
                    <w:r>
                      <w:rPr>
                        <w:sz w:val="20"/>
                      </w:rPr>
                      <w:t>Skatinti NVO ir privačių tiekėjų įsitraukimą į socialinių paslaugų teikimą ir stiprinti jų kompetencijas</w:t>
                    </w:r>
                  </w:p>
                </w:tc>
                <w:tc>
                  <w:tcPr>
                    <w:tcW w:w="850" w:type="dxa"/>
                    <w:vMerge w:val="restart"/>
                    <w:noWrap/>
                    <w:vAlign w:val="center"/>
                    <w:hideMark/>
                  </w:tcPr>
                  <w:p>
                    <w:pPr>
                      <w:jc w:val="center"/>
                      <w:rPr>
                        <w:sz w:val="20"/>
                      </w:rPr>
                    </w:pPr>
                    <w:r>
                      <w:rPr>
                        <w:sz w:val="20"/>
                      </w:rPr>
                      <w:t>SPS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P-16-01-01-01</w:t>
                    </w:r>
                  </w:p>
                </w:tc>
                <w:tc>
                  <w:tcPr>
                    <w:tcW w:w="4111" w:type="dxa"/>
                    <w:vAlign w:val="center"/>
                    <w:hideMark/>
                  </w:tcPr>
                  <w:p>
                    <w:pPr>
                      <w:rPr>
                        <w:sz w:val="20"/>
                      </w:rPr>
                    </w:pPr>
                    <w:r>
                      <w:rPr>
                        <w:sz w:val="20"/>
                      </w:rPr>
                      <w:t>Asmenų, gavusių socialines paslaugas ne valstybiniame / savivaldybiniame sektoriuje, dalis nuo visų gavusių šias paslaugas (proc.)</w:t>
                    </w:r>
                  </w:p>
                </w:tc>
                <w:tc>
                  <w:tcPr>
                    <w:tcW w:w="1134" w:type="dxa"/>
                    <w:noWrap/>
                    <w:vAlign w:val="center"/>
                    <w:hideMark/>
                  </w:tcPr>
                  <w:p>
                    <w:pPr>
                      <w:jc w:val="center"/>
                      <w:rPr>
                        <w:sz w:val="20"/>
                      </w:rPr>
                    </w:pPr>
                    <w:r>
                      <w:rPr>
                        <w:sz w:val="20"/>
                      </w:rPr>
                      <w:t>SPS</w:t>
                    </w:r>
                  </w:p>
                </w:tc>
                <w:tc>
                  <w:tcPr>
                    <w:tcW w:w="1134" w:type="dxa"/>
                    <w:noWrap/>
                    <w:vAlign w:val="center"/>
                    <w:hideMark/>
                  </w:tcPr>
                  <w:p>
                    <w:pPr>
                      <w:jc w:val="center"/>
                      <w:rPr>
                        <w:sz w:val="20"/>
                      </w:rPr>
                    </w:pPr>
                    <w:r>
                      <w:rPr>
                        <w:sz w:val="20"/>
                      </w:rPr>
                      <w:t>71 (2023)</w:t>
                    </w:r>
                  </w:p>
                </w:tc>
                <w:tc>
                  <w:tcPr>
                    <w:tcW w:w="1134" w:type="dxa"/>
                    <w:noWrap/>
                    <w:vAlign w:val="center"/>
                    <w:hideMark/>
                  </w:tcPr>
                  <w:p>
                    <w:pPr>
                      <w:jc w:val="center"/>
                      <w:rPr>
                        <w:sz w:val="20"/>
                      </w:rPr>
                    </w:pPr>
                    <w:r>
                      <w:rPr>
                        <w:sz w:val="20"/>
                      </w:rPr>
                      <w:t>80 (2033)</w:t>
                    </w:r>
                  </w:p>
                </w:tc>
              </w:tr>
              <w:tr>
                <w:trPr>
                  <w:trHeight w:val="1108"/>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P-16-01-01-02</w:t>
                    </w:r>
                  </w:p>
                </w:tc>
                <w:tc>
                  <w:tcPr>
                    <w:tcW w:w="4111" w:type="dxa"/>
                    <w:vAlign w:val="center"/>
                    <w:hideMark/>
                  </w:tcPr>
                  <w:p>
                    <w:pPr>
                      <w:rPr>
                        <w:sz w:val="20"/>
                      </w:rPr>
                    </w:pPr>
                    <w:r>
                      <w:rPr>
                        <w:sz w:val="20"/>
                      </w:rPr>
                      <w:t>Finansavimo sutarčių, dėl socialinių paslaugų teikimo su akredituotas socialines paslaugas teikiančiomis ar socialinės globos licencijas turinčiomis NVO ir privačiais teikėjais, dalis nuo visų sudarytų finansavimo sutarčių (proc.)</w:t>
                    </w:r>
                  </w:p>
                </w:tc>
                <w:tc>
                  <w:tcPr>
                    <w:tcW w:w="1134" w:type="dxa"/>
                    <w:noWrap/>
                    <w:vAlign w:val="center"/>
                    <w:hideMark/>
                  </w:tcPr>
                  <w:p>
                    <w:pPr>
                      <w:jc w:val="center"/>
                      <w:rPr>
                        <w:sz w:val="20"/>
                      </w:rPr>
                    </w:pPr>
                    <w:r>
                      <w:rPr>
                        <w:sz w:val="20"/>
                      </w:rPr>
                      <w:t>SPS</w:t>
                    </w:r>
                  </w:p>
                </w:tc>
                <w:tc>
                  <w:tcPr>
                    <w:tcW w:w="1134" w:type="dxa"/>
                    <w:noWrap/>
                    <w:vAlign w:val="center"/>
                    <w:hideMark/>
                  </w:tcPr>
                  <w:p>
                    <w:pPr>
                      <w:jc w:val="center"/>
                      <w:rPr>
                        <w:sz w:val="20"/>
                      </w:rPr>
                    </w:pPr>
                    <w:r>
                      <w:rPr>
                        <w:sz w:val="20"/>
                      </w:rPr>
                      <w:t>74 (2023)</w:t>
                    </w:r>
                  </w:p>
                </w:tc>
                <w:tc>
                  <w:tcPr>
                    <w:tcW w:w="1134" w:type="dxa"/>
                    <w:noWrap/>
                    <w:vAlign w:val="center"/>
                    <w:hideMark/>
                  </w:tcPr>
                  <w:p>
                    <w:pPr>
                      <w:jc w:val="center"/>
                      <w:rPr>
                        <w:sz w:val="20"/>
                      </w:rPr>
                    </w:pPr>
                    <w:r>
                      <w:rPr>
                        <w:sz w:val="20"/>
                      </w:rPr>
                      <w:t>82 (2033)</w:t>
                    </w:r>
                  </w:p>
                </w:tc>
              </w:tr>
              <w:tr>
                <w:trPr>
                  <w:trHeight w:val="520"/>
                  <w:jc w:val="center"/>
                </w:trPr>
                <w:tc>
                  <w:tcPr>
                    <w:tcW w:w="988" w:type="dxa"/>
                    <w:vMerge w:val="restart"/>
                    <w:noWrap/>
                    <w:vAlign w:val="center"/>
                    <w:hideMark/>
                  </w:tcPr>
                  <w:p>
                    <w:pPr>
                      <w:rPr>
                        <w:sz w:val="20"/>
                      </w:rPr>
                    </w:pPr>
                    <w:r>
                      <w:rPr>
                        <w:sz w:val="20"/>
                      </w:rPr>
                      <w:t>16-01-02</w:t>
                    </w:r>
                  </w:p>
                </w:tc>
                <w:tc>
                  <w:tcPr>
                    <w:tcW w:w="2126" w:type="dxa"/>
                    <w:vMerge w:val="restart"/>
                    <w:vAlign w:val="center"/>
                    <w:hideMark/>
                  </w:tcPr>
                  <w:p>
                    <w:pPr>
                      <w:rPr>
                        <w:sz w:val="20"/>
                      </w:rPr>
                    </w:pPr>
                    <w:r>
                      <w:rPr>
                        <w:sz w:val="20"/>
                      </w:rPr>
                      <w:t>Didinti socialinės srities specialistų teikiamų paslaugų prieinamumą</w:t>
                    </w:r>
                  </w:p>
                </w:tc>
                <w:tc>
                  <w:tcPr>
                    <w:tcW w:w="850" w:type="dxa"/>
                    <w:vMerge w:val="restart"/>
                    <w:noWrap/>
                    <w:vAlign w:val="center"/>
                    <w:hideMark/>
                  </w:tcPr>
                  <w:p>
                    <w:pPr>
                      <w:jc w:val="center"/>
                      <w:rPr>
                        <w:sz w:val="20"/>
                      </w:rPr>
                    </w:pPr>
                    <w:r>
                      <w:rPr>
                        <w:sz w:val="20"/>
                      </w:rPr>
                      <w:t>SPS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P-16-01-02-01</w:t>
                    </w:r>
                  </w:p>
                </w:tc>
                <w:tc>
                  <w:tcPr>
                    <w:tcW w:w="4111" w:type="dxa"/>
                    <w:vAlign w:val="center"/>
                    <w:hideMark/>
                  </w:tcPr>
                  <w:p>
                    <w:pPr>
                      <w:rPr>
                        <w:sz w:val="20"/>
                      </w:rPr>
                    </w:pPr>
                    <w:r>
                      <w:rPr>
                        <w:sz w:val="20"/>
                      </w:rPr>
                      <w:t>Pritrauktų reikiamos kvalifikacijos socialinės srities specialistų skaičius (asm.)</w:t>
                    </w:r>
                  </w:p>
                </w:tc>
                <w:tc>
                  <w:tcPr>
                    <w:tcW w:w="1134" w:type="dxa"/>
                    <w:noWrap/>
                    <w:vAlign w:val="center"/>
                    <w:hideMark/>
                  </w:tcPr>
                  <w:p>
                    <w:pPr>
                      <w:jc w:val="center"/>
                      <w:rPr>
                        <w:sz w:val="20"/>
                      </w:rPr>
                    </w:pPr>
                    <w:r>
                      <w:rPr>
                        <w:sz w:val="20"/>
                      </w:rPr>
                      <w:t>SPS</w:t>
                    </w:r>
                  </w:p>
                </w:tc>
                <w:tc>
                  <w:tcPr>
                    <w:tcW w:w="1134" w:type="dxa"/>
                    <w:noWrap/>
                    <w:vAlign w:val="center"/>
                    <w:hideMark/>
                  </w:tcPr>
                  <w:p>
                    <w:pPr>
                      <w:jc w:val="center"/>
                      <w:rPr>
                        <w:sz w:val="20"/>
                      </w:rPr>
                    </w:pPr>
                    <w:r>
                      <w:rPr>
                        <w:sz w:val="20"/>
                      </w:rPr>
                      <w:t>3 (2023)</w:t>
                    </w:r>
                  </w:p>
                </w:tc>
                <w:tc>
                  <w:tcPr>
                    <w:tcW w:w="1134" w:type="dxa"/>
                    <w:noWrap/>
                    <w:vAlign w:val="center"/>
                    <w:hideMark/>
                  </w:tcPr>
                  <w:p>
                    <w:pPr>
                      <w:jc w:val="center"/>
                      <w:rPr>
                        <w:sz w:val="20"/>
                      </w:rPr>
                    </w:pPr>
                    <w:r>
                      <w:rPr>
                        <w:sz w:val="20"/>
                      </w:rPr>
                      <w:t>15 (2033)</w:t>
                    </w:r>
                  </w:p>
                </w:tc>
              </w:tr>
              <w:tr>
                <w:trPr>
                  <w:trHeight w:val="743"/>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P-16-01-02-02</w:t>
                    </w:r>
                  </w:p>
                </w:tc>
                <w:tc>
                  <w:tcPr>
                    <w:tcW w:w="4111" w:type="dxa"/>
                    <w:vAlign w:val="center"/>
                    <w:hideMark/>
                  </w:tcPr>
                  <w:p>
                    <w:pPr>
                      <w:rPr>
                        <w:sz w:val="20"/>
                      </w:rPr>
                    </w:pPr>
                    <w:r>
                      <w:rPr>
                        <w:sz w:val="20"/>
                      </w:rPr>
                      <w:t>Partnerysčių ir (ar) bendradarbiavimo sutarčių su socialinės srities specialistus rengiančiomis mokymo įstaigomis skaičius (vnt.)</w:t>
                    </w:r>
                  </w:p>
                </w:tc>
                <w:tc>
                  <w:tcPr>
                    <w:tcW w:w="1134" w:type="dxa"/>
                    <w:noWrap/>
                    <w:vAlign w:val="center"/>
                    <w:hideMark/>
                  </w:tcPr>
                  <w:p>
                    <w:pPr>
                      <w:jc w:val="center"/>
                      <w:rPr>
                        <w:sz w:val="20"/>
                      </w:rPr>
                    </w:pPr>
                    <w:r>
                      <w:rPr>
                        <w:sz w:val="20"/>
                      </w:rPr>
                      <w:t>SPS</w:t>
                    </w:r>
                  </w:p>
                </w:tc>
                <w:tc>
                  <w:tcPr>
                    <w:tcW w:w="1134" w:type="dxa"/>
                    <w:noWrap/>
                    <w:vAlign w:val="center"/>
                    <w:hideMark/>
                  </w:tcPr>
                  <w:p>
                    <w:pPr>
                      <w:jc w:val="center"/>
                      <w:rPr>
                        <w:sz w:val="20"/>
                      </w:rPr>
                    </w:pPr>
                    <w:r>
                      <w:rPr>
                        <w:sz w:val="20"/>
                      </w:rPr>
                      <w:t>2 (2023)</w:t>
                    </w:r>
                  </w:p>
                </w:tc>
                <w:tc>
                  <w:tcPr>
                    <w:tcW w:w="1134" w:type="dxa"/>
                    <w:noWrap/>
                    <w:vAlign w:val="center"/>
                    <w:hideMark/>
                  </w:tcPr>
                  <w:p>
                    <w:pPr>
                      <w:jc w:val="center"/>
                      <w:rPr>
                        <w:sz w:val="20"/>
                      </w:rPr>
                    </w:pPr>
                    <w:r>
                      <w:rPr>
                        <w:sz w:val="20"/>
                      </w:rPr>
                      <w:t>5 (2033)</w:t>
                    </w:r>
                  </w:p>
                </w:tc>
              </w:tr>
              <w:tr>
                <w:trPr>
                  <w:trHeight w:val="500"/>
                  <w:jc w:val="center"/>
                </w:trPr>
                <w:tc>
                  <w:tcPr>
                    <w:tcW w:w="988" w:type="dxa"/>
                    <w:vMerge w:val="restart"/>
                    <w:noWrap/>
                    <w:vAlign w:val="center"/>
                    <w:hideMark/>
                  </w:tcPr>
                  <w:p>
                    <w:pPr>
                      <w:rPr>
                        <w:sz w:val="20"/>
                      </w:rPr>
                    </w:pPr>
                    <w:r>
                      <w:rPr>
                        <w:sz w:val="20"/>
                      </w:rPr>
                      <w:t>16-01-03</w:t>
                    </w:r>
                  </w:p>
                </w:tc>
                <w:tc>
                  <w:tcPr>
                    <w:tcW w:w="2126" w:type="dxa"/>
                    <w:vMerge w:val="restart"/>
                    <w:vAlign w:val="center"/>
                    <w:hideMark/>
                  </w:tcPr>
                  <w:p>
                    <w:pPr>
                      <w:rPr>
                        <w:sz w:val="20"/>
                      </w:rPr>
                    </w:pPr>
                    <w:r>
                      <w:rPr>
                        <w:sz w:val="20"/>
                      </w:rPr>
                      <w:t>Didinti socialinės priežiūros, globos paslaugų plėtrą ir prieinamumą asmenims, turintiems negalią</w:t>
                    </w:r>
                  </w:p>
                </w:tc>
                <w:tc>
                  <w:tcPr>
                    <w:tcW w:w="850" w:type="dxa"/>
                    <w:vMerge w:val="restart"/>
                    <w:noWrap/>
                    <w:vAlign w:val="center"/>
                    <w:hideMark/>
                  </w:tcPr>
                  <w:p>
                    <w:pPr>
                      <w:jc w:val="center"/>
                      <w:rPr>
                        <w:sz w:val="20"/>
                      </w:rPr>
                    </w:pPr>
                    <w:r>
                      <w:rPr>
                        <w:sz w:val="20"/>
                      </w:rPr>
                      <w:t>SPS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P-16-01-03-01</w:t>
                    </w:r>
                  </w:p>
                </w:tc>
                <w:tc>
                  <w:tcPr>
                    <w:tcW w:w="4111" w:type="dxa"/>
                    <w:vAlign w:val="center"/>
                    <w:hideMark/>
                  </w:tcPr>
                  <w:p>
                    <w:pPr>
                      <w:rPr>
                        <w:sz w:val="20"/>
                      </w:rPr>
                    </w:pPr>
                    <w:r>
                      <w:rPr>
                        <w:sz w:val="20"/>
                      </w:rPr>
                      <w:t xml:space="preserve">Socialines paslaugas pradėję gauti asmenys (grupinio gyvenimo  namuose / apgyvendinimo apsaugotame būste / socialinėse dirbtuvėse)  (asm.)</w:t>
                    </w:r>
                  </w:p>
                </w:tc>
                <w:tc>
                  <w:tcPr>
                    <w:tcW w:w="1134" w:type="dxa"/>
                    <w:vAlign w:val="center"/>
                    <w:hideMark/>
                  </w:tcPr>
                  <w:p>
                    <w:pPr>
                      <w:jc w:val="center"/>
                      <w:rPr>
                        <w:sz w:val="20"/>
                      </w:rPr>
                    </w:pPr>
                    <w:r>
                      <w:rPr>
                        <w:sz w:val="20"/>
                      </w:rPr>
                      <w:t>SPS</w:t>
                    </w:r>
                  </w:p>
                </w:tc>
                <w:tc>
                  <w:tcPr>
                    <w:tcW w:w="1134" w:type="dxa"/>
                    <w:vAlign w:val="center"/>
                    <w:hideMark/>
                  </w:tcPr>
                  <w:p>
                    <w:pPr>
                      <w:jc w:val="center"/>
                      <w:rPr>
                        <w:sz w:val="20"/>
                      </w:rPr>
                    </w:pPr>
                    <w:r>
                      <w:rPr>
                        <w:sz w:val="20"/>
                      </w:rPr>
                      <w:t>40 (2024)</w:t>
                    </w:r>
                  </w:p>
                </w:tc>
                <w:tc>
                  <w:tcPr>
                    <w:tcW w:w="1134" w:type="dxa"/>
                    <w:noWrap/>
                    <w:vAlign w:val="center"/>
                    <w:hideMark/>
                  </w:tcPr>
                  <w:p>
                    <w:pPr>
                      <w:jc w:val="center"/>
                      <w:rPr>
                        <w:sz w:val="20"/>
                      </w:rPr>
                    </w:pPr>
                    <w:r>
                      <w:rPr>
                        <w:sz w:val="20"/>
                      </w:rPr>
                      <w:t>105 (2033)</w:t>
                    </w:r>
                  </w:p>
                </w:tc>
              </w:tr>
              <w:tr>
                <w:trPr>
                  <w:trHeight w:val="78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P-16-01-03-02</w:t>
                    </w:r>
                  </w:p>
                </w:tc>
                <w:tc>
                  <w:tcPr>
                    <w:tcW w:w="4111" w:type="dxa"/>
                    <w:vAlign w:val="center"/>
                    <w:hideMark/>
                  </w:tcPr>
                  <w:p>
                    <w:pPr>
                      <w:rPr>
                        <w:sz w:val="20"/>
                      </w:rPr>
                    </w:pPr>
                    <w:r>
                      <w:rPr>
                        <w:sz w:val="20"/>
                      </w:rPr>
                      <w:t>Vidutinė laukimo eilėje trukmė nuo apgyvendinimo apsaugotame būste paslaugų paskyrimo iki jos gavimo dienos (d.)</w:t>
                    </w:r>
                  </w:p>
                </w:tc>
                <w:tc>
                  <w:tcPr>
                    <w:tcW w:w="1134" w:type="dxa"/>
                    <w:vAlign w:val="center"/>
                    <w:hideMark/>
                  </w:tcPr>
                  <w:p>
                    <w:pPr>
                      <w:jc w:val="center"/>
                      <w:rPr>
                        <w:sz w:val="20"/>
                      </w:rPr>
                    </w:pPr>
                    <w:r>
                      <w:rPr>
                        <w:sz w:val="20"/>
                      </w:rPr>
                      <w:t>SPS</w:t>
                    </w:r>
                  </w:p>
                </w:tc>
                <w:tc>
                  <w:tcPr>
                    <w:tcW w:w="1134" w:type="dxa"/>
                    <w:vAlign w:val="center"/>
                    <w:hideMark/>
                  </w:tcPr>
                  <w:p>
                    <w:pPr>
                      <w:jc w:val="center"/>
                      <w:rPr>
                        <w:sz w:val="20"/>
                      </w:rPr>
                    </w:pPr>
                    <w:r>
                      <w:rPr>
                        <w:sz w:val="20"/>
                      </w:rPr>
                      <w:t>30 (2023)</w:t>
                    </w:r>
                  </w:p>
                </w:tc>
                <w:tc>
                  <w:tcPr>
                    <w:tcW w:w="1134" w:type="dxa"/>
                    <w:noWrap/>
                    <w:vAlign w:val="center"/>
                    <w:hideMark/>
                  </w:tcPr>
                  <w:p>
                    <w:pPr>
                      <w:jc w:val="center"/>
                      <w:rPr>
                        <w:sz w:val="20"/>
                      </w:rPr>
                    </w:pPr>
                    <w:r>
                      <w:rPr>
                        <w:sz w:val="20"/>
                      </w:rPr>
                      <w:t>5 (2033)</w:t>
                    </w:r>
                  </w:p>
                </w:tc>
              </w:tr>
              <w:tr>
                <w:trPr>
                  <w:trHeight w:val="603"/>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P-16-01-03-03</w:t>
                    </w:r>
                  </w:p>
                </w:tc>
                <w:tc>
                  <w:tcPr>
                    <w:tcW w:w="4111" w:type="dxa"/>
                    <w:vAlign w:val="center"/>
                    <w:hideMark/>
                  </w:tcPr>
                  <w:p>
                    <w:pPr>
                      <w:rPr>
                        <w:sz w:val="20"/>
                      </w:rPr>
                    </w:pPr>
                    <w:r>
                      <w:rPr>
                        <w:sz w:val="20"/>
                      </w:rPr>
                      <w:t>Vidutinė laukimo eilėje trukmė nuo dienos socialinės globos grupinio gyvenimo namuose paskyrimo iki jos gavimo dienos (d.)</w:t>
                    </w:r>
                  </w:p>
                </w:tc>
                <w:tc>
                  <w:tcPr>
                    <w:tcW w:w="1134" w:type="dxa"/>
                    <w:vAlign w:val="center"/>
                    <w:hideMark/>
                  </w:tcPr>
                  <w:p>
                    <w:pPr>
                      <w:jc w:val="center"/>
                      <w:rPr>
                        <w:sz w:val="20"/>
                      </w:rPr>
                    </w:pPr>
                    <w:r>
                      <w:rPr>
                        <w:sz w:val="20"/>
                      </w:rPr>
                      <w:t>SPS</w:t>
                    </w:r>
                  </w:p>
                </w:tc>
                <w:tc>
                  <w:tcPr>
                    <w:tcW w:w="1134" w:type="dxa"/>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10 (2033)</w:t>
                    </w:r>
                  </w:p>
                </w:tc>
              </w:tr>
              <w:tr>
                <w:trPr>
                  <w:trHeight w:val="605"/>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P-16-01-03-04</w:t>
                    </w:r>
                  </w:p>
                </w:tc>
                <w:tc>
                  <w:tcPr>
                    <w:tcW w:w="4111" w:type="dxa"/>
                    <w:vAlign w:val="center"/>
                    <w:hideMark/>
                  </w:tcPr>
                  <w:p>
                    <w:pPr>
                      <w:rPr>
                        <w:sz w:val="20"/>
                      </w:rPr>
                    </w:pPr>
                    <w:r>
                      <w:rPr>
                        <w:sz w:val="20"/>
                      </w:rPr>
                      <w:t>Vidutinė laukimo eilėje trukmė nuo socialinių dirbtuvių paslaugos paskyrimo dienos iki jos gavimo dienos (d.)</w:t>
                    </w:r>
                  </w:p>
                </w:tc>
                <w:tc>
                  <w:tcPr>
                    <w:tcW w:w="1134" w:type="dxa"/>
                    <w:vAlign w:val="center"/>
                    <w:hideMark/>
                  </w:tcPr>
                  <w:p>
                    <w:pPr>
                      <w:jc w:val="center"/>
                      <w:rPr>
                        <w:sz w:val="20"/>
                      </w:rPr>
                    </w:pPr>
                    <w:r>
                      <w:rPr>
                        <w:sz w:val="20"/>
                      </w:rPr>
                      <w:t>SPS</w:t>
                    </w:r>
                  </w:p>
                </w:tc>
                <w:tc>
                  <w:tcPr>
                    <w:tcW w:w="1134" w:type="dxa"/>
                    <w:vAlign w:val="center"/>
                    <w:hideMark/>
                  </w:tcPr>
                  <w:p>
                    <w:pPr>
                      <w:jc w:val="center"/>
                      <w:rPr>
                        <w:sz w:val="20"/>
                      </w:rPr>
                    </w:pPr>
                    <w:r>
                      <w:rPr>
                        <w:sz w:val="20"/>
                      </w:rPr>
                      <w:t>30 (2023)</w:t>
                    </w:r>
                  </w:p>
                </w:tc>
                <w:tc>
                  <w:tcPr>
                    <w:tcW w:w="1134" w:type="dxa"/>
                    <w:noWrap/>
                    <w:vAlign w:val="center"/>
                    <w:hideMark/>
                  </w:tcPr>
                  <w:p>
                    <w:pPr>
                      <w:jc w:val="center"/>
                      <w:rPr>
                        <w:sz w:val="20"/>
                      </w:rPr>
                    </w:pPr>
                    <w:r>
                      <w:rPr>
                        <w:sz w:val="20"/>
                      </w:rPr>
                      <w:t>10 (2033)</w:t>
                    </w:r>
                  </w:p>
                </w:tc>
              </w:tr>
              <w:tr>
                <w:trPr>
                  <w:trHeight w:val="822"/>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P-16-01-03-05</w:t>
                    </w:r>
                  </w:p>
                </w:tc>
                <w:tc>
                  <w:tcPr>
                    <w:tcW w:w="4111" w:type="dxa"/>
                    <w:vAlign w:val="center"/>
                    <w:hideMark/>
                  </w:tcPr>
                  <w:p>
                    <w:pPr>
                      <w:rPr>
                        <w:sz w:val="20"/>
                      </w:rPr>
                    </w:pPr>
                    <w:r>
                      <w:rPr>
                        <w:sz w:val="20"/>
                      </w:rPr>
                      <w:t>Patenkintų prašymų apsaugoto būsto, socialinės globos paslaugoms grupinio gyvenimo namuose ir socialinėse dirbtuvėse gauti dalis nuo visų pateiktų prašymų (proc.)</w:t>
                    </w:r>
                  </w:p>
                </w:tc>
                <w:tc>
                  <w:tcPr>
                    <w:tcW w:w="1134" w:type="dxa"/>
                    <w:vAlign w:val="center"/>
                    <w:hideMark/>
                  </w:tcPr>
                  <w:p>
                    <w:pPr>
                      <w:jc w:val="center"/>
                      <w:rPr>
                        <w:sz w:val="20"/>
                      </w:rPr>
                    </w:pPr>
                    <w:r>
                      <w:rPr>
                        <w:sz w:val="20"/>
                      </w:rPr>
                      <w:t>SPS</w:t>
                    </w:r>
                  </w:p>
                </w:tc>
                <w:tc>
                  <w:tcPr>
                    <w:tcW w:w="1134" w:type="dxa"/>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100 (2033)</w:t>
                    </w:r>
                  </w:p>
                </w:tc>
              </w:tr>
              <w:tr>
                <w:trPr>
                  <w:trHeight w:val="941"/>
                  <w:jc w:val="center"/>
                </w:trPr>
                <w:tc>
                  <w:tcPr>
                    <w:tcW w:w="988" w:type="dxa"/>
                    <w:vMerge w:val="restart"/>
                    <w:noWrap/>
                    <w:vAlign w:val="center"/>
                    <w:hideMark/>
                  </w:tcPr>
                  <w:p>
                    <w:pPr>
                      <w:rPr>
                        <w:sz w:val="20"/>
                      </w:rPr>
                    </w:pPr>
                    <w:r>
                      <w:rPr>
                        <w:sz w:val="20"/>
                      </w:rPr>
                      <w:t>16-01-04</w:t>
                    </w:r>
                  </w:p>
                </w:tc>
                <w:tc>
                  <w:tcPr>
                    <w:tcW w:w="2126" w:type="dxa"/>
                    <w:vMerge w:val="restart"/>
                    <w:vAlign w:val="center"/>
                    <w:hideMark/>
                  </w:tcPr>
                  <w:p>
                    <w:pPr>
                      <w:rPr>
                        <w:sz w:val="20"/>
                      </w:rPr>
                    </w:pPr>
                    <w:r>
                      <w:rPr>
                        <w:sz w:val="20"/>
                      </w:rPr>
                      <w:t>Plėtoti prevencines socialines paslaugas, siekiant padėti asmenims (šeimoms) išvengti galimų socialinių problemų ir / ar socialinės rizikos atsiradimo ir sudaryti sąlygas asmeniui (šeimai) stiprinti gebėjimus savarankiškai spręsti socialines problemas</w:t>
                    </w:r>
                  </w:p>
                </w:tc>
                <w:tc>
                  <w:tcPr>
                    <w:tcW w:w="850" w:type="dxa"/>
                    <w:vMerge w:val="restart"/>
                    <w:noWrap/>
                    <w:vAlign w:val="center"/>
                    <w:hideMark/>
                  </w:tcPr>
                  <w:p>
                    <w:pPr>
                      <w:jc w:val="center"/>
                      <w:rPr>
                        <w:sz w:val="20"/>
                      </w:rPr>
                    </w:pPr>
                    <w:r>
                      <w:rPr>
                        <w:sz w:val="20"/>
                      </w:rPr>
                      <w:t>SPS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P-16-01-04-01</w:t>
                    </w:r>
                  </w:p>
                </w:tc>
                <w:tc>
                  <w:tcPr>
                    <w:tcW w:w="4111" w:type="dxa"/>
                    <w:vAlign w:val="center"/>
                    <w:hideMark/>
                  </w:tcPr>
                  <w:p>
                    <w:pPr>
                      <w:rPr>
                        <w:sz w:val="20"/>
                      </w:rPr>
                    </w:pPr>
                    <w:r>
                      <w:rPr>
                        <w:sz w:val="20"/>
                      </w:rPr>
                      <w:t>Į darbo rinką integruotų darbo rinkai besirengiančio asmens statusą turinčių asmenų (ilgalaikių bedarbių) dalis nuo visų darbo rinkai besirengiančių ilgalaikių bedarbių (proc.)</w:t>
                    </w:r>
                  </w:p>
                </w:tc>
                <w:tc>
                  <w:tcPr>
                    <w:tcW w:w="1134" w:type="dxa"/>
                    <w:vAlign w:val="center"/>
                    <w:hideMark/>
                  </w:tcPr>
                  <w:p>
                    <w:pPr>
                      <w:jc w:val="center"/>
                      <w:rPr>
                        <w:sz w:val="20"/>
                      </w:rPr>
                    </w:pPr>
                    <w:r>
                      <w:rPr>
                        <w:sz w:val="20"/>
                      </w:rPr>
                      <w:t>SPS</w:t>
                    </w:r>
                  </w:p>
                </w:tc>
                <w:tc>
                  <w:tcPr>
                    <w:tcW w:w="1134" w:type="dxa"/>
                    <w:vAlign w:val="center"/>
                    <w:hideMark/>
                  </w:tcPr>
                  <w:p>
                    <w:pPr>
                      <w:jc w:val="center"/>
                      <w:rPr>
                        <w:sz w:val="20"/>
                      </w:rPr>
                    </w:pPr>
                    <w:r>
                      <w:rPr>
                        <w:sz w:val="20"/>
                      </w:rPr>
                      <w:t>4 (2023)</w:t>
                    </w:r>
                  </w:p>
                </w:tc>
                <w:tc>
                  <w:tcPr>
                    <w:tcW w:w="1134" w:type="dxa"/>
                    <w:noWrap/>
                    <w:vAlign w:val="center"/>
                    <w:hideMark/>
                  </w:tcPr>
                  <w:p>
                    <w:pPr>
                      <w:jc w:val="center"/>
                      <w:rPr>
                        <w:sz w:val="20"/>
                      </w:rPr>
                    </w:pPr>
                    <w:r>
                      <w:rPr>
                        <w:sz w:val="20"/>
                      </w:rPr>
                      <w:t>15 (2033)</w:t>
                    </w:r>
                  </w:p>
                </w:tc>
              </w:tr>
              <w:tr>
                <w:trPr>
                  <w:trHeight w:val="876"/>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P-16-01-04-02</w:t>
                    </w:r>
                  </w:p>
                </w:tc>
                <w:tc>
                  <w:tcPr>
                    <w:tcW w:w="4111" w:type="dxa"/>
                    <w:vAlign w:val="center"/>
                    <w:hideMark/>
                  </w:tcPr>
                  <w:p>
                    <w:pPr>
                      <w:rPr>
                        <w:sz w:val="20"/>
                      </w:rPr>
                    </w:pPr>
                    <w:r>
                      <w:rPr>
                        <w:sz w:val="20"/>
                      </w:rPr>
                      <w:t>Nukentėjusiems asmenims, kurie patyrė smurtą artimoje aplinkoje, patyčias, išgyvena krizę ir moterims ir mergaitėms, patyrusioms prievartą, suteiktų socialinių paslaugų skaičius (vnt.)</w:t>
                    </w:r>
                  </w:p>
                </w:tc>
                <w:tc>
                  <w:tcPr>
                    <w:tcW w:w="1134" w:type="dxa"/>
                    <w:vAlign w:val="center"/>
                    <w:hideMark/>
                  </w:tcPr>
                  <w:p>
                    <w:pPr>
                      <w:jc w:val="center"/>
                      <w:rPr>
                        <w:sz w:val="20"/>
                      </w:rPr>
                    </w:pPr>
                    <w:r>
                      <w:rPr>
                        <w:sz w:val="20"/>
                      </w:rPr>
                      <w:t>SPS</w:t>
                    </w:r>
                  </w:p>
                </w:tc>
                <w:tc>
                  <w:tcPr>
                    <w:tcW w:w="1134" w:type="dxa"/>
                    <w:vAlign w:val="center"/>
                    <w:hideMark/>
                  </w:tcPr>
                  <w:p>
                    <w:pPr>
                      <w:jc w:val="center"/>
                      <w:rPr>
                        <w:sz w:val="20"/>
                      </w:rPr>
                    </w:pPr>
                    <w:r>
                      <w:rPr>
                        <w:sz w:val="20"/>
                      </w:rPr>
                      <w:t>180 (2023)</w:t>
                    </w:r>
                  </w:p>
                </w:tc>
                <w:tc>
                  <w:tcPr>
                    <w:tcW w:w="1134" w:type="dxa"/>
                    <w:noWrap/>
                    <w:vAlign w:val="center"/>
                    <w:hideMark/>
                  </w:tcPr>
                  <w:p>
                    <w:pPr>
                      <w:jc w:val="center"/>
                      <w:rPr>
                        <w:sz w:val="20"/>
                      </w:rPr>
                    </w:pPr>
                    <w:r>
                      <w:rPr>
                        <w:sz w:val="20"/>
                      </w:rPr>
                      <w:t>250 (2033)</w:t>
                    </w:r>
                  </w:p>
                </w:tc>
              </w:tr>
              <w:tr>
                <w:trPr>
                  <w:trHeight w:val="968"/>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P-16-01-04-03</w:t>
                    </w:r>
                  </w:p>
                </w:tc>
                <w:tc>
                  <w:tcPr>
                    <w:tcW w:w="4111" w:type="dxa"/>
                    <w:vAlign w:val="center"/>
                    <w:hideMark/>
                  </w:tcPr>
                  <w:p>
                    <w:pPr>
                      <w:rPr>
                        <w:sz w:val="20"/>
                      </w:rPr>
                    </w:pPr>
                    <w:r>
                      <w:rPr>
                        <w:sz w:val="20"/>
                      </w:rPr>
                      <w:t>Smurto artimoje aplinkoje pavojų keliančių asmenų, savanoriškai dalyvaujančių Smurtinio elgesio artimoje aplinkoje keitimo programoje, skaičius (asm.)</w:t>
                    </w:r>
                  </w:p>
                </w:tc>
                <w:tc>
                  <w:tcPr>
                    <w:tcW w:w="1134" w:type="dxa"/>
                    <w:vAlign w:val="center"/>
                    <w:hideMark/>
                  </w:tcPr>
                  <w:p>
                    <w:pPr>
                      <w:jc w:val="center"/>
                      <w:rPr>
                        <w:sz w:val="20"/>
                      </w:rPr>
                    </w:pPr>
                    <w:r>
                      <w:rPr>
                        <w:sz w:val="20"/>
                      </w:rPr>
                      <w:t>SPS</w:t>
                    </w:r>
                  </w:p>
                </w:tc>
                <w:tc>
                  <w:tcPr>
                    <w:tcW w:w="1134" w:type="dxa"/>
                    <w:vAlign w:val="center"/>
                    <w:hideMark/>
                  </w:tcPr>
                  <w:p>
                    <w:pPr>
                      <w:jc w:val="center"/>
                      <w:rPr>
                        <w:sz w:val="20"/>
                      </w:rPr>
                    </w:pPr>
                    <w:r>
                      <w:rPr>
                        <w:sz w:val="20"/>
                      </w:rPr>
                      <w:t>0 (2023)</w:t>
                    </w:r>
                  </w:p>
                </w:tc>
                <w:tc>
                  <w:tcPr>
                    <w:tcW w:w="1134" w:type="dxa"/>
                    <w:noWrap/>
                    <w:vAlign w:val="center"/>
                    <w:hideMark/>
                  </w:tcPr>
                  <w:p>
                    <w:pPr>
                      <w:jc w:val="center"/>
                      <w:rPr>
                        <w:sz w:val="20"/>
                      </w:rPr>
                    </w:pPr>
                    <w:r>
                      <w:rPr>
                        <w:sz w:val="20"/>
                      </w:rPr>
                      <w:t>20 (2033)</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P-16-01-04-04</w:t>
                    </w:r>
                  </w:p>
                </w:tc>
                <w:tc>
                  <w:tcPr>
                    <w:tcW w:w="4111" w:type="dxa"/>
                    <w:vAlign w:val="center"/>
                    <w:hideMark/>
                  </w:tcPr>
                  <w:p>
                    <w:pPr>
                      <w:rPr>
                        <w:sz w:val="20"/>
                      </w:rPr>
                    </w:pPr>
                    <w:r>
                      <w:rPr>
                        <w:sz w:val="20"/>
                      </w:rPr>
                      <w:t>Jaunuolių, gaunančių paslaugas atvirame jaunimo centre ar atviroje jaunimo erdvėje, skaičius (asm.)</w:t>
                    </w:r>
                  </w:p>
                </w:tc>
                <w:tc>
                  <w:tcPr>
                    <w:tcW w:w="1134" w:type="dxa"/>
                    <w:vAlign w:val="center"/>
                    <w:hideMark/>
                  </w:tcPr>
                  <w:p>
                    <w:pPr>
                      <w:jc w:val="center"/>
                      <w:rPr>
                        <w:sz w:val="20"/>
                      </w:rPr>
                    </w:pPr>
                    <w:r>
                      <w:rPr>
                        <w:sz w:val="20"/>
                      </w:rPr>
                      <w:t>SPS</w:t>
                    </w:r>
                  </w:p>
                </w:tc>
                <w:tc>
                  <w:tcPr>
                    <w:tcW w:w="1134" w:type="dxa"/>
                    <w:vAlign w:val="center"/>
                    <w:hideMark/>
                  </w:tcPr>
                  <w:p>
                    <w:pPr>
                      <w:jc w:val="center"/>
                      <w:rPr>
                        <w:sz w:val="20"/>
                      </w:rPr>
                    </w:pPr>
                    <w:r>
                      <w:rPr>
                        <w:sz w:val="20"/>
                      </w:rPr>
                      <w:t>5 (2023)</w:t>
                    </w:r>
                  </w:p>
                </w:tc>
                <w:tc>
                  <w:tcPr>
                    <w:tcW w:w="1134" w:type="dxa"/>
                    <w:noWrap/>
                    <w:vAlign w:val="center"/>
                    <w:hideMark/>
                  </w:tcPr>
                  <w:p>
                    <w:pPr>
                      <w:jc w:val="center"/>
                      <w:rPr>
                        <w:sz w:val="20"/>
                      </w:rPr>
                    </w:pPr>
                    <w:r>
                      <w:rPr>
                        <w:sz w:val="20"/>
                      </w:rPr>
                      <w:t>30 (2033)</w:t>
                    </w:r>
                  </w:p>
                </w:tc>
              </w:tr>
              <w:tr>
                <w:trPr>
                  <w:trHeight w:val="520"/>
                  <w:jc w:val="center"/>
                </w:trPr>
                <w:tc>
                  <w:tcPr>
                    <w:tcW w:w="988" w:type="dxa"/>
                    <w:vMerge w:val="restart"/>
                    <w:noWrap/>
                    <w:vAlign w:val="center"/>
                    <w:hideMark/>
                  </w:tcPr>
                  <w:p>
                    <w:pPr>
                      <w:rPr>
                        <w:sz w:val="20"/>
                      </w:rPr>
                    </w:pPr>
                    <w:r>
                      <w:rPr>
                        <w:sz w:val="20"/>
                      </w:rPr>
                      <w:t>16-01-05</w:t>
                    </w:r>
                  </w:p>
                </w:tc>
                <w:tc>
                  <w:tcPr>
                    <w:tcW w:w="2126" w:type="dxa"/>
                    <w:vMerge w:val="restart"/>
                    <w:vAlign w:val="center"/>
                    <w:hideMark/>
                  </w:tcPr>
                  <w:p>
                    <w:pPr>
                      <w:rPr>
                        <w:sz w:val="20"/>
                      </w:rPr>
                    </w:pPr>
                    <w:r>
                      <w:rPr>
                        <w:sz w:val="20"/>
                      </w:rPr>
                      <w:t>Plėtoti neinstitucinės globos paslaugas vaikams</w:t>
                    </w:r>
                  </w:p>
                </w:tc>
                <w:tc>
                  <w:tcPr>
                    <w:tcW w:w="850" w:type="dxa"/>
                    <w:vMerge w:val="restart"/>
                    <w:noWrap/>
                    <w:vAlign w:val="center"/>
                    <w:hideMark/>
                  </w:tcPr>
                  <w:p>
                    <w:pPr>
                      <w:jc w:val="center"/>
                      <w:rPr>
                        <w:sz w:val="20"/>
                      </w:rPr>
                    </w:pPr>
                    <w:r>
                      <w:rPr>
                        <w:sz w:val="20"/>
                      </w:rPr>
                      <w:t>SPS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P-16-01-05-01</w:t>
                    </w:r>
                  </w:p>
                </w:tc>
                <w:tc>
                  <w:tcPr>
                    <w:tcW w:w="4111" w:type="dxa"/>
                    <w:vAlign w:val="center"/>
                    <w:hideMark/>
                  </w:tcPr>
                  <w:p>
                    <w:pPr>
                      <w:rPr>
                        <w:sz w:val="20"/>
                      </w:rPr>
                    </w:pPr>
                    <w:r>
                      <w:rPr>
                        <w:sz w:val="20"/>
                      </w:rPr>
                      <w:t>Šeimų, globojančių vaikus, ir globojamų vaikų skaičius (vnt. / vnt. per metus)</w:t>
                    </w:r>
                  </w:p>
                </w:tc>
                <w:tc>
                  <w:tcPr>
                    <w:tcW w:w="1134" w:type="dxa"/>
                    <w:noWrap/>
                    <w:vAlign w:val="center"/>
                    <w:hideMark/>
                  </w:tcPr>
                  <w:p>
                    <w:pPr>
                      <w:jc w:val="center"/>
                      <w:rPr>
                        <w:sz w:val="20"/>
                      </w:rPr>
                    </w:pPr>
                    <w:r>
                      <w:rPr>
                        <w:sz w:val="20"/>
                      </w:rPr>
                      <w:t>SPS</w:t>
                    </w:r>
                  </w:p>
                </w:tc>
                <w:tc>
                  <w:tcPr>
                    <w:tcW w:w="1134" w:type="dxa"/>
                    <w:vAlign w:val="center"/>
                    <w:hideMark/>
                  </w:tcPr>
                  <w:p>
                    <w:pPr>
                      <w:jc w:val="center"/>
                      <w:rPr>
                        <w:sz w:val="20"/>
                      </w:rPr>
                    </w:pPr>
                    <w:r>
                      <w:rPr>
                        <w:sz w:val="20"/>
                      </w:rPr>
                      <w:t xml:space="preserve">213/274 </w:t>
                      <w:br/>
                      <w:t>(2023)</w:t>
                    </w:r>
                  </w:p>
                </w:tc>
                <w:tc>
                  <w:tcPr>
                    <w:tcW w:w="1134" w:type="dxa"/>
                    <w:vAlign w:val="center"/>
                    <w:hideMark/>
                  </w:tcPr>
                  <w:p>
                    <w:pPr>
                      <w:jc w:val="center"/>
                      <w:rPr>
                        <w:sz w:val="20"/>
                      </w:rPr>
                    </w:pPr>
                    <w:r>
                      <w:rPr>
                        <w:sz w:val="20"/>
                      </w:rPr>
                      <w:t>200/220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P-16-01-05-02</w:t>
                    </w:r>
                  </w:p>
                </w:tc>
                <w:tc>
                  <w:tcPr>
                    <w:tcW w:w="4111" w:type="dxa"/>
                    <w:vAlign w:val="center"/>
                    <w:hideMark/>
                  </w:tcPr>
                  <w:p>
                    <w:pPr>
                      <w:rPr>
                        <w:sz w:val="20"/>
                      </w:rPr>
                    </w:pPr>
                    <w:r>
                      <w:rPr>
                        <w:sz w:val="20"/>
                      </w:rPr>
                      <w:t>Šeimynų, globojančių vaikus, ir globojamų vaikų skaičius (vnt. / vnt. per metus)</w:t>
                    </w:r>
                  </w:p>
                </w:tc>
                <w:tc>
                  <w:tcPr>
                    <w:tcW w:w="1134" w:type="dxa"/>
                    <w:noWrap/>
                    <w:vAlign w:val="center"/>
                    <w:hideMark/>
                  </w:tcPr>
                  <w:p>
                    <w:pPr>
                      <w:jc w:val="center"/>
                      <w:rPr>
                        <w:sz w:val="20"/>
                      </w:rPr>
                    </w:pPr>
                    <w:r>
                      <w:rPr>
                        <w:sz w:val="20"/>
                      </w:rPr>
                      <w:t>SPS</w:t>
                    </w:r>
                  </w:p>
                </w:tc>
                <w:tc>
                  <w:tcPr>
                    <w:tcW w:w="1134" w:type="dxa"/>
                    <w:noWrap/>
                    <w:vAlign w:val="center"/>
                    <w:hideMark/>
                  </w:tcPr>
                  <w:p>
                    <w:pPr>
                      <w:jc w:val="center"/>
                      <w:rPr>
                        <w:sz w:val="20"/>
                      </w:rPr>
                    </w:pPr>
                    <w:r>
                      <w:rPr>
                        <w:sz w:val="20"/>
                      </w:rPr>
                      <w:t>3/15 (2023)</w:t>
                    </w:r>
                  </w:p>
                </w:tc>
                <w:tc>
                  <w:tcPr>
                    <w:tcW w:w="1134" w:type="dxa"/>
                    <w:vAlign w:val="center"/>
                    <w:hideMark/>
                  </w:tcPr>
                  <w:p>
                    <w:pPr>
                      <w:jc w:val="center"/>
                      <w:rPr>
                        <w:sz w:val="20"/>
                      </w:rPr>
                    </w:pPr>
                    <w:r>
                      <w:rPr>
                        <w:sz w:val="20"/>
                      </w:rPr>
                      <w:t>5/25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P-16-01-05-03</w:t>
                    </w:r>
                  </w:p>
                </w:tc>
                <w:tc>
                  <w:tcPr>
                    <w:tcW w:w="4111" w:type="dxa"/>
                    <w:vAlign w:val="center"/>
                    <w:hideMark/>
                  </w:tcPr>
                  <w:p>
                    <w:pPr>
                      <w:rPr>
                        <w:sz w:val="20"/>
                      </w:rPr>
                    </w:pPr>
                    <w:r>
                      <w:rPr>
                        <w:sz w:val="20"/>
                      </w:rPr>
                      <w:t>Budinčių globotojų globojamų vaikų, likusių be tėvų globos šeimoje, skaičius (asm. per metus)</w:t>
                    </w:r>
                  </w:p>
                </w:tc>
                <w:tc>
                  <w:tcPr>
                    <w:tcW w:w="1134" w:type="dxa"/>
                    <w:noWrap/>
                    <w:vAlign w:val="center"/>
                    <w:hideMark/>
                  </w:tcPr>
                  <w:p>
                    <w:pPr>
                      <w:jc w:val="center"/>
                      <w:rPr>
                        <w:sz w:val="20"/>
                      </w:rPr>
                    </w:pPr>
                    <w:r>
                      <w:rPr>
                        <w:sz w:val="20"/>
                      </w:rPr>
                      <w:t>SPS</w:t>
                    </w:r>
                  </w:p>
                </w:tc>
                <w:tc>
                  <w:tcPr>
                    <w:tcW w:w="1134" w:type="dxa"/>
                    <w:noWrap/>
                    <w:vAlign w:val="center"/>
                    <w:hideMark/>
                  </w:tcPr>
                  <w:p>
                    <w:pPr>
                      <w:jc w:val="center"/>
                      <w:rPr>
                        <w:sz w:val="20"/>
                      </w:rPr>
                    </w:pPr>
                    <w:r>
                      <w:rPr>
                        <w:sz w:val="20"/>
                      </w:rPr>
                      <w:t>28 (2023)</w:t>
                    </w:r>
                  </w:p>
                </w:tc>
                <w:tc>
                  <w:tcPr>
                    <w:tcW w:w="1134" w:type="dxa"/>
                    <w:noWrap/>
                    <w:vAlign w:val="center"/>
                    <w:hideMark/>
                  </w:tcPr>
                  <w:p>
                    <w:pPr>
                      <w:jc w:val="center"/>
                      <w:rPr>
                        <w:sz w:val="20"/>
                      </w:rPr>
                    </w:pPr>
                    <w:r>
                      <w:rPr>
                        <w:sz w:val="20"/>
                      </w:rPr>
                      <w:t>25 (2033)</w:t>
                    </w:r>
                  </w:p>
                </w:tc>
              </w:tr>
              <w:tr>
                <w:trPr>
                  <w:trHeight w:val="1187"/>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P-16-01-05-04</w:t>
                    </w:r>
                  </w:p>
                </w:tc>
                <w:tc>
                  <w:tcPr>
                    <w:tcW w:w="4111" w:type="dxa"/>
                    <w:vAlign w:val="center"/>
                    <w:hideMark/>
                  </w:tcPr>
                  <w:p>
                    <w:pPr>
                      <w:rPr>
                        <w:sz w:val="20"/>
                      </w:rPr>
                    </w:pPr>
                    <w:r>
                      <w:rPr>
                        <w:sz w:val="20"/>
                      </w:rPr>
                      <w:t>Nuolatinių globotojų, globojančių vaikus, likusius be tėvų globos šeimoje, kuriems užtikrintas emocinis ir fizinis saugumas bei visavertis, poreikius atitinkantis ugdymas ir priežiūra, skaičius (asm. per metus)</w:t>
                    </w:r>
                  </w:p>
                </w:tc>
                <w:tc>
                  <w:tcPr>
                    <w:tcW w:w="1134" w:type="dxa"/>
                    <w:noWrap/>
                    <w:vAlign w:val="center"/>
                    <w:hideMark/>
                  </w:tcPr>
                  <w:p>
                    <w:pPr>
                      <w:jc w:val="center"/>
                      <w:rPr>
                        <w:sz w:val="20"/>
                      </w:rPr>
                    </w:pPr>
                    <w:r>
                      <w:rPr>
                        <w:sz w:val="20"/>
                      </w:rPr>
                      <w:t>SPS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8 (2033)</w:t>
                    </w:r>
                  </w:p>
                </w:tc>
              </w:tr>
              <w:tr>
                <w:trPr>
                  <w:trHeight w:val="553"/>
                  <w:jc w:val="center"/>
                </w:trPr>
                <w:tc>
                  <w:tcPr>
                    <w:tcW w:w="988" w:type="dxa"/>
                    <w:vMerge w:val="restart"/>
                    <w:noWrap/>
                    <w:vAlign w:val="center"/>
                    <w:hideMark/>
                  </w:tcPr>
                  <w:p>
                    <w:pPr>
                      <w:rPr>
                        <w:sz w:val="20"/>
                      </w:rPr>
                    </w:pPr>
                    <w:r>
                      <w:rPr>
                        <w:sz w:val="20"/>
                      </w:rPr>
                      <w:t>16-01-06</w:t>
                    </w:r>
                  </w:p>
                </w:tc>
                <w:tc>
                  <w:tcPr>
                    <w:tcW w:w="2126" w:type="dxa"/>
                    <w:vMerge w:val="restart"/>
                    <w:vAlign w:val="center"/>
                    <w:hideMark/>
                  </w:tcPr>
                  <w:p>
                    <w:pPr>
                      <w:rPr>
                        <w:sz w:val="20"/>
                      </w:rPr>
                    </w:pPr>
                    <w:r>
                      <w:rPr>
                        <w:sz w:val="20"/>
                      </w:rPr>
                      <w:t>Plėtoti socialinės globos paslaugas asmens namuose ir institucijoje</w:t>
                    </w:r>
                  </w:p>
                </w:tc>
                <w:tc>
                  <w:tcPr>
                    <w:tcW w:w="850" w:type="dxa"/>
                    <w:vMerge w:val="restart"/>
                    <w:noWrap/>
                    <w:vAlign w:val="center"/>
                    <w:hideMark/>
                  </w:tcPr>
                  <w:p>
                    <w:pPr>
                      <w:jc w:val="center"/>
                      <w:rPr>
                        <w:sz w:val="20"/>
                      </w:rPr>
                    </w:pPr>
                    <w:r>
                      <w:rPr>
                        <w:sz w:val="20"/>
                      </w:rPr>
                      <w:t>SPS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P-16-01-06-01</w:t>
                    </w:r>
                  </w:p>
                </w:tc>
                <w:tc>
                  <w:tcPr>
                    <w:tcW w:w="4111" w:type="dxa"/>
                    <w:vAlign w:val="center"/>
                    <w:hideMark/>
                  </w:tcPr>
                  <w:p>
                    <w:pPr>
                      <w:rPr>
                        <w:sz w:val="20"/>
                      </w:rPr>
                    </w:pPr>
                    <w:r>
                      <w:rPr>
                        <w:sz w:val="20"/>
                      </w:rPr>
                      <w:t>Naujai pradėjusių gauti dienos socialinės globos paslaugas institucijoje asmenų skaičius (asm. per metus)</w:t>
                    </w:r>
                  </w:p>
                </w:tc>
                <w:tc>
                  <w:tcPr>
                    <w:tcW w:w="1134" w:type="dxa"/>
                    <w:noWrap/>
                    <w:vAlign w:val="center"/>
                    <w:hideMark/>
                  </w:tcPr>
                  <w:p>
                    <w:pPr>
                      <w:jc w:val="center"/>
                      <w:rPr>
                        <w:sz w:val="20"/>
                      </w:rPr>
                    </w:pPr>
                    <w:r>
                      <w:rPr>
                        <w:sz w:val="20"/>
                      </w:rPr>
                      <w:t>SPS</w:t>
                    </w:r>
                  </w:p>
                </w:tc>
                <w:tc>
                  <w:tcPr>
                    <w:tcW w:w="1134" w:type="dxa"/>
                    <w:noWrap/>
                    <w:vAlign w:val="center"/>
                    <w:hideMark/>
                  </w:tcPr>
                  <w:p>
                    <w:pPr>
                      <w:jc w:val="center"/>
                      <w:rPr>
                        <w:sz w:val="20"/>
                      </w:rPr>
                    </w:pPr>
                    <w:r>
                      <w:rPr>
                        <w:sz w:val="20"/>
                      </w:rPr>
                      <w:t>6 (2024)</w:t>
                    </w:r>
                  </w:p>
                </w:tc>
                <w:tc>
                  <w:tcPr>
                    <w:tcW w:w="1134" w:type="dxa"/>
                    <w:noWrap/>
                    <w:vAlign w:val="center"/>
                    <w:hideMark/>
                  </w:tcPr>
                  <w:p>
                    <w:pPr>
                      <w:jc w:val="center"/>
                      <w:rPr>
                        <w:sz w:val="20"/>
                      </w:rPr>
                    </w:pPr>
                    <w:r>
                      <w:rPr>
                        <w:sz w:val="20"/>
                      </w:rPr>
                      <w:t>20 (2033)</w:t>
                    </w:r>
                  </w:p>
                </w:tc>
              </w:tr>
              <w:tr>
                <w:trPr>
                  <w:trHeight w:val="68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P-16-01-06-02</w:t>
                    </w:r>
                  </w:p>
                </w:tc>
                <w:tc>
                  <w:tcPr>
                    <w:tcW w:w="4111" w:type="dxa"/>
                    <w:vAlign w:val="center"/>
                    <w:hideMark/>
                  </w:tcPr>
                  <w:p>
                    <w:pPr>
                      <w:rPr>
                        <w:sz w:val="20"/>
                      </w:rPr>
                    </w:pPr>
                    <w:r>
                      <w:rPr>
                        <w:sz w:val="20"/>
                      </w:rPr>
                      <w:t>Naujai pradėjusių gauti dienos socialinės globos paslaugas asmenų namuose skaičius (asm. per metus)</w:t>
                    </w:r>
                  </w:p>
                </w:tc>
                <w:tc>
                  <w:tcPr>
                    <w:tcW w:w="1134" w:type="dxa"/>
                    <w:noWrap/>
                    <w:vAlign w:val="center"/>
                    <w:hideMark/>
                  </w:tcPr>
                  <w:p>
                    <w:pPr>
                      <w:jc w:val="center"/>
                      <w:rPr>
                        <w:sz w:val="20"/>
                      </w:rPr>
                    </w:pPr>
                    <w:r>
                      <w:rPr>
                        <w:sz w:val="20"/>
                      </w:rPr>
                      <w:t>SPS</w:t>
                    </w:r>
                  </w:p>
                </w:tc>
                <w:tc>
                  <w:tcPr>
                    <w:tcW w:w="1134" w:type="dxa"/>
                    <w:noWrap/>
                    <w:vAlign w:val="center"/>
                    <w:hideMark/>
                  </w:tcPr>
                  <w:p>
                    <w:pPr>
                      <w:jc w:val="center"/>
                      <w:rPr>
                        <w:sz w:val="20"/>
                      </w:rPr>
                    </w:pPr>
                    <w:r>
                      <w:rPr>
                        <w:sz w:val="20"/>
                      </w:rPr>
                      <w:t>10 (2024)</w:t>
                    </w:r>
                  </w:p>
                </w:tc>
                <w:tc>
                  <w:tcPr>
                    <w:tcW w:w="1134" w:type="dxa"/>
                    <w:noWrap/>
                    <w:vAlign w:val="center"/>
                    <w:hideMark/>
                  </w:tcPr>
                  <w:p>
                    <w:pPr>
                      <w:jc w:val="center"/>
                      <w:rPr>
                        <w:sz w:val="20"/>
                      </w:rPr>
                    </w:pPr>
                    <w:r>
                      <w:rPr>
                        <w:sz w:val="20"/>
                      </w:rPr>
                      <w:t>30 (2033)</w:t>
                    </w:r>
                  </w:p>
                </w:tc>
              </w:tr>
              <w:tr>
                <w:trPr>
                  <w:trHeight w:val="45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P-16-01-06-03</w:t>
                    </w:r>
                  </w:p>
                </w:tc>
                <w:tc>
                  <w:tcPr>
                    <w:tcW w:w="4111" w:type="dxa"/>
                    <w:vAlign w:val="center"/>
                    <w:hideMark/>
                  </w:tcPr>
                  <w:p>
                    <w:pPr>
                      <w:rPr>
                        <w:sz w:val="20"/>
                      </w:rPr>
                    </w:pPr>
                    <w:r>
                      <w:rPr>
                        <w:sz w:val="20"/>
                      </w:rPr>
                      <w:t xml:space="preserve">Asmenų, gaunančių laikino atokvėpio paslaugas, skaičius (asm. per metus) </w:t>
                    </w:r>
                  </w:p>
                </w:tc>
                <w:tc>
                  <w:tcPr>
                    <w:tcW w:w="1134" w:type="dxa"/>
                    <w:noWrap/>
                    <w:vAlign w:val="center"/>
                    <w:hideMark/>
                  </w:tcPr>
                  <w:p>
                    <w:pPr>
                      <w:jc w:val="center"/>
                      <w:rPr>
                        <w:sz w:val="20"/>
                      </w:rPr>
                    </w:pPr>
                    <w:r>
                      <w:rPr>
                        <w:sz w:val="20"/>
                      </w:rPr>
                      <w:t>SPS</w:t>
                    </w:r>
                  </w:p>
                </w:tc>
                <w:tc>
                  <w:tcPr>
                    <w:tcW w:w="1134" w:type="dxa"/>
                    <w:noWrap/>
                    <w:vAlign w:val="center"/>
                    <w:hideMark/>
                  </w:tcPr>
                  <w:p>
                    <w:pPr>
                      <w:jc w:val="center"/>
                      <w:rPr>
                        <w:sz w:val="20"/>
                      </w:rPr>
                    </w:pPr>
                    <w:r>
                      <w:rPr>
                        <w:sz w:val="20"/>
                      </w:rPr>
                      <w:t>25 (2023)</w:t>
                    </w:r>
                  </w:p>
                </w:tc>
                <w:tc>
                  <w:tcPr>
                    <w:tcW w:w="1134" w:type="dxa"/>
                    <w:noWrap/>
                    <w:vAlign w:val="center"/>
                    <w:hideMark/>
                  </w:tcPr>
                  <w:p>
                    <w:pPr>
                      <w:jc w:val="center"/>
                      <w:rPr>
                        <w:sz w:val="20"/>
                      </w:rPr>
                    </w:pPr>
                    <w:r>
                      <w:rPr>
                        <w:sz w:val="20"/>
                      </w:rPr>
                      <w:t>40 (2033)</w:t>
                    </w:r>
                  </w:p>
                </w:tc>
              </w:tr>
              <w:tr>
                <w:trPr>
                  <w:trHeight w:val="520"/>
                  <w:jc w:val="center"/>
                </w:trPr>
                <w:tc>
                  <w:tcPr>
                    <w:tcW w:w="988" w:type="dxa"/>
                    <w:vMerge w:val="restart"/>
                    <w:noWrap/>
                    <w:vAlign w:val="center"/>
                    <w:hideMark/>
                  </w:tcPr>
                  <w:p>
                    <w:pPr>
                      <w:rPr>
                        <w:sz w:val="20"/>
                      </w:rPr>
                    </w:pPr>
                    <w:r>
                      <w:rPr>
                        <w:sz w:val="20"/>
                      </w:rPr>
                      <w:t>16-01-07</w:t>
                    </w:r>
                  </w:p>
                </w:tc>
                <w:tc>
                  <w:tcPr>
                    <w:tcW w:w="2126" w:type="dxa"/>
                    <w:vMerge w:val="restart"/>
                    <w:vAlign w:val="center"/>
                    <w:hideMark/>
                  </w:tcPr>
                  <w:p>
                    <w:pPr>
                      <w:rPr>
                        <w:sz w:val="20"/>
                      </w:rPr>
                    </w:pPr>
                    <w:r>
                      <w:rPr>
                        <w:sz w:val="20"/>
                      </w:rPr>
                      <w:t>Didinti socialinio būsto prieinamumą</w:t>
                    </w:r>
                  </w:p>
                </w:tc>
                <w:tc>
                  <w:tcPr>
                    <w:tcW w:w="850" w:type="dxa"/>
                    <w:vMerge w:val="restart"/>
                    <w:noWrap/>
                    <w:vAlign w:val="center"/>
                    <w:hideMark/>
                  </w:tcPr>
                  <w:p>
                    <w:pPr>
                      <w:jc w:val="center"/>
                      <w:rPr>
                        <w:sz w:val="20"/>
                      </w:rPr>
                    </w:pPr>
                    <w:r>
                      <w:rPr>
                        <w:sz w:val="20"/>
                      </w:rPr>
                      <w:t>TVS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P-16-01-07-01</w:t>
                    </w:r>
                  </w:p>
                </w:tc>
                <w:tc>
                  <w:tcPr>
                    <w:tcW w:w="4111" w:type="dxa"/>
                    <w:vAlign w:val="center"/>
                    <w:hideMark/>
                  </w:tcPr>
                  <w:p>
                    <w:pPr>
                      <w:rPr>
                        <w:sz w:val="20"/>
                      </w:rPr>
                    </w:pPr>
                    <w:r>
                      <w:rPr>
                        <w:sz w:val="20"/>
                      </w:rPr>
                      <w:t>Suremontuotų savivaldybės administracijos butų skaičius (vnt.)</w:t>
                    </w:r>
                  </w:p>
                </w:tc>
                <w:tc>
                  <w:tcPr>
                    <w:tcW w:w="1134" w:type="dxa"/>
                    <w:vAlign w:val="center"/>
                    <w:hideMark/>
                  </w:tcPr>
                  <w:p>
                    <w:pPr>
                      <w:jc w:val="center"/>
                      <w:rPr>
                        <w:sz w:val="20"/>
                      </w:rPr>
                    </w:pPr>
                    <w:r>
                      <w:rPr>
                        <w:sz w:val="20"/>
                      </w:rPr>
                      <w:t>TVS</w:t>
                    </w:r>
                  </w:p>
                </w:tc>
                <w:tc>
                  <w:tcPr>
                    <w:tcW w:w="1134" w:type="dxa"/>
                    <w:vAlign w:val="center"/>
                    <w:hideMark/>
                  </w:tcPr>
                  <w:p>
                    <w:pPr>
                      <w:jc w:val="center"/>
                      <w:rPr>
                        <w:sz w:val="20"/>
                      </w:rPr>
                    </w:pPr>
                    <w:r>
                      <w:rPr>
                        <w:sz w:val="20"/>
                      </w:rPr>
                      <w:t>57 (2023)</w:t>
                    </w:r>
                  </w:p>
                </w:tc>
                <w:tc>
                  <w:tcPr>
                    <w:tcW w:w="1134" w:type="dxa"/>
                    <w:noWrap/>
                    <w:vAlign w:val="center"/>
                    <w:hideMark/>
                  </w:tcPr>
                  <w:p>
                    <w:pPr>
                      <w:jc w:val="center"/>
                      <w:rPr>
                        <w:sz w:val="20"/>
                      </w:rPr>
                    </w:pPr>
                    <w:r>
                      <w:rPr>
                        <w:sz w:val="20"/>
                      </w:rPr>
                      <w:t>597(2033)</w:t>
                    </w:r>
                  </w:p>
                </w:tc>
              </w:tr>
              <w:tr>
                <w:trPr>
                  <w:trHeight w:val="26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P-16-01-07-02</w:t>
                    </w:r>
                  </w:p>
                </w:tc>
                <w:tc>
                  <w:tcPr>
                    <w:tcW w:w="4111" w:type="dxa"/>
                    <w:vAlign w:val="center"/>
                    <w:hideMark/>
                  </w:tcPr>
                  <w:p>
                    <w:pPr>
                      <w:rPr>
                        <w:sz w:val="20"/>
                      </w:rPr>
                    </w:pPr>
                    <w:r>
                      <w:rPr>
                        <w:sz w:val="20"/>
                      </w:rPr>
                      <w:t>Naujai įsigyto socialinio būsto apimtys (vnt.)</w:t>
                    </w:r>
                  </w:p>
                </w:tc>
                <w:tc>
                  <w:tcPr>
                    <w:tcW w:w="1134" w:type="dxa"/>
                    <w:vAlign w:val="center"/>
                    <w:hideMark/>
                  </w:tcPr>
                  <w:p>
                    <w:pPr>
                      <w:jc w:val="center"/>
                      <w:rPr>
                        <w:sz w:val="20"/>
                      </w:rPr>
                    </w:pPr>
                    <w:r>
                      <w:rPr>
                        <w:sz w:val="20"/>
                      </w:rPr>
                      <w:t>TVS</w:t>
                    </w:r>
                  </w:p>
                </w:tc>
                <w:tc>
                  <w:tcPr>
                    <w:tcW w:w="1134" w:type="dxa"/>
                    <w:vAlign w:val="center"/>
                    <w:hideMark/>
                  </w:tcPr>
                  <w:p>
                    <w:pPr>
                      <w:jc w:val="center"/>
                      <w:rPr>
                        <w:sz w:val="20"/>
                      </w:rPr>
                    </w:pPr>
                    <w:r>
                      <w:rPr>
                        <w:sz w:val="20"/>
                      </w:rPr>
                      <w:t>7 (2023)</w:t>
                    </w:r>
                  </w:p>
                </w:tc>
                <w:tc>
                  <w:tcPr>
                    <w:tcW w:w="1134" w:type="dxa"/>
                    <w:noWrap/>
                    <w:vAlign w:val="center"/>
                    <w:hideMark/>
                  </w:tcPr>
                  <w:p>
                    <w:pPr>
                      <w:jc w:val="center"/>
                      <w:rPr>
                        <w:sz w:val="20"/>
                      </w:rPr>
                    </w:pPr>
                    <w:r>
                      <w:rPr>
                        <w:sz w:val="20"/>
                      </w:rPr>
                      <w:t>60 (2033)</w:t>
                    </w:r>
                  </w:p>
                </w:tc>
              </w:tr>
              <w:tr>
                <w:trPr>
                  <w:trHeight w:val="455"/>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P-16-01-07-03</w:t>
                    </w:r>
                  </w:p>
                </w:tc>
                <w:tc>
                  <w:tcPr>
                    <w:tcW w:w="4111" w:type="dxa"/>
                    <w:vAlign w:val="center"/>
                    <w:hideMark/>
                  </w:tcPr>
                  <w:p>
                    <w:pPr>
                      <w:rPr>
                        <w:sz w:val="20"/>
                      </w:rPr>
                    </w:pPr>
                    <w:r>
                      <w:rPr>
                        <w:sz w:val="20"/>
                      </w:rPr>
                      <w:t xml:space="preserve">Į privatizuojamų objektų sąrašą įtrauktų socialinių būstų skaičius (vnt.) </w:t>
                    </w:r>
                  </w:p>
                </w:tc>
                <w:tc>
                  <w:tcPr>
                    <w:tcW w:w="1134" w:type="dxa"/>
                    <w:vAlign w:val="center"/>
                    <w:hideMark/>
                  </w:tcPr>
                  <w:p>
                    <w:pPr>
                      <w:jc w:val="center"/>
                      <w:rPr>
                        <w:sz w:val="20"/>
                      </w:rPr>
                    </w:pPr>
                    <w:r>
                      <w:rPr>
                        <w:sz w:val="20"/>
                      </w:rPr>
                      <w:t>TVS</w:t>
                    </w:r>
                  </w:p>
                </w:tc>
                <w:tc>
                  <w:tcPr>
                    <w:tcW w:w="1134" w:type="dxa"/>
                    <w:vAlign w:val="center"/>
                    <w:hideMark/>
                  </w:tcPr>
                  <w:p>
                    <w:pPr>
                      <w:jc w:val="center"/>
                      <w:rPr>
                        <w:sz w:val="20"/>
                      </w:rPr>
                    </w:pPr>
                    <w:r>
                      <w:rPr>
                        <w:sz w:val="20"/>
                      </w:rPr>
                      <w:t>23 (2023)</w:t>
                    </w:r>
                  </w:p>
                </w:tc>
                <w:tc>
                  <w:tcPr>
                    <w:tcW w:w="1134" w:type="dxa"/>
                    <w:noWrap/>
                    <w:vAlign w:val="center"/>
                    <w:hideMark/>
                  </w:tcPr>
                  <w:p>
                    <w:pPr>
                      <w:jc w:val="center"/>
                      <w:rPr>
                        <w:sz w:val="20"/>
                      </w:rPr>
                    </w:pPr>
                    <w:r>
                      <w:rPr>
                        <w:sz w:val="20"/>
                      </w:rPr>
                      <w:t>15 (2033)</w:t>
                    </w:r>
                  </w:p>
                </w:tc>
              </w:tr>
              <w:tr>
                <w:trPr>
                  <w:trHeight w:val="34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P-16-01-07-04</w:t>
                    </w:r>
                  </w:p>
                </w:tc>
                <w:tc>
                  <w:tcPr>
                    <w:tcW w:w="4111" w:type="dxa"/>
                    <w:vAlign w:val="center"/>
                    <w:hideMark/>
                  </w:tcPr>
                  <w:p>
                    <w:pPr>
                      <w:rPr>
                        <w:sz w:val="20"/>
                      </w:rPr>
                    </w:pPr>
                    <w:r>
                      <w:rPr>
                        <w:sz w:val="20"/>
                      </w:rPr>
                      <w:t>Asmenų (šeimų), laukiančių socialinio būsto, skaičius metų pabaigoje (vnt.)</w:t>
                    </w:r>
                  </w:p>
                </w:tc>
                <w:tc>
                  <w:tcPr>
                    <w:tcW w:w="1134" w:type="dxa"/>
                    <w:noWrap/>
                    <w:vAlign w:val="center"/>
                    <w:hideMark/>
                  </w:tcPr>
                  <w:p>
                    <w:pPr>
                      <w:jc w:val="center"/>
                      <w:rPr>
                        <w:sz w:val="20"/>
                      </w:rPr>
                    </w:pPr>
                    <w:r>
                      <w:rPr>
                        <w:sz w:val="20"/>
                      </w:rPr>
                      <w:t>TVS</w:t>
                    </w:r>
                  </w:p>
                </w:tc>
                <w:tc>
                  <w:tcPr>
                    <w:tcW w:w="1134" w:type="dxa"/>
                    <w:noWrap/>
                    <w:vAlign w:val="center"/>
                    <w:hideMark/>
                  </w:tcPr>
                  <w:p>
                    <w:pPr>
                      <w:jc w:val="center"/>
                      <w:rPr>
                        <w:sz w:val="20"/>
                      </w:rPr>
                    </w:pPr>
                    <w:r>
                      <w:rPr>
                        <w:sz w:val="20"/>
                      </w:rPr>
                      <w:t>459 (2023)</w:t>
                    </w:r>
                  </w:p>
                </w:tc>
                <w:tc>
                  <w:tcPr>
                    <w:tcW w:w="1134" w:type="dxa"/>
                    <w:noWrap/>
                    <w:vAlign w:val="center"/>
                    <w:hideMark/>
                  </w:tcPr>
                  <w:p>
                    <w:pPr>
                      <w:jc w:val="center"/>
                      <w:rPr>
                        <w:sz w:val="20"/>
                      </w:rPr>
                    </w:pPr>
                    <w:r>
                      <w:rPr>
                        <w:sz w:val="20"/>
                      </w:rPr>
                      <w:t>300 (2033)</w:t>
                    </w:r>
                  </w:p>
                </w:tc>
              </w:tr>
              <w:tr>
                <w:trPr>
                  <w:trHeight w:val="925"/>
                  <w:jc w:val="center"/>
                </w:trPr>
                <w:tc>
                  <w:tcPr>
                    <w:tcW w:w="988" w:type="dxa"/>
                    <w:vMerge w:val="restart"/>
                    <w:shd w:val="clear" w:color="auto" w:fill="FCE4D6"/>
                    <w:noWrap/>
                    <w:vAlign w:val="center"/>
                    <w:hideMark/>
                  </w:tcPr>
                  <w:p>
                    <w:pPr>
                      <w:rPr>
                        <w:b/>
                        <w:bCs/>
                        <w:sz w:val="20"/>
                      </w:rPr>
                    </w:pPr>
                    <w:r>
                      <w:rPr>
                        <w:b/>
                        <w:bCs/>
                        <w:sz w:val="20"/>
                      </w:rPr>
                      <w:t>16-02</w:t>
                    </w:r>
                  </w:p>
                </w:tc>
                <w:tc>
                  <w:tcPr>
                    <w:tcW w:w="2126" w:type="dxa"/>
                    <w:vMerge w:val="restart"/>
                    <w:shd w:val="clear" w:color="auto" w:fill="FCE4D6"/>
                    <w:vAlign w:val="center"/>
                    <w:hideMark/>
                  </w:tcPr>
                  <w:p>
                    <w:pPr>
                      <w:rPr>
                        <w:b/>
                        <w:bCs/>
                        <w:sz w:val="20"/>
                      </w:rPr>
                    </w:pPr>
                    <w:r>
                      <w:rPr>
                        <w:b/>
                        <w:bCs/>
                        <w:sz w:val="20"/>
                      </w:rPr>
                      <w:t>Užtikrinti socialinių paslaugų prieinamumą ir kokybę, plečiant, atnaujinant ir modernizuojant socialinių paslaugų infrastruktūrą</w:t>
                    </w:r>
                  </w:p>
                </w:tc>
                <w:tc>
                  <w:tcPr>
                    <w:tcW w:w="850" w:type="dxa"/>
                    <w:vMerge w:val="restart"/>
                    <w:shd w:val="clear" w:color="auto" w:fill="FCE4D6"/>
                    <w:noWrap/>
                    <w:vAlign w:val="center"/>
                    <w:hideMark/>
                  </w:tcPr>
                  <w:p>
                    <w:pPr>
                      <w:jc w:val="center"/>
                      <w:rPr>
                        <w:sz w:val="20"/>
                      </w:rPr>
                    </w:pPr>
                    <w:r>
                      <w:rPr>
                        <w:sz w:val="20"/>
                      </w:rPr>
                      <w:t>SPS</w:t>
                    </w:r>
                  </w:p>
                </w:tc>
                <w:tc>
                  <w:tcPr>
                    <w:tcW w:w="709" w:type="dxa"/>
                    <w:vMerge w:val="restart"/>
                    <w:shd w:val="clear" w:color="auto" w:fill="FCE4D6"/>
                    <w:noWrap/>
                    <w:vAlign w:val="center"/>
                    <w:hideMark/>
                  </w:tcPr>
                  <w:p>
                    <w:pPr>
                      <w:jc w:val="center"/>
                      <w:rPr>
                        <w:sz w:val="20"/>
                      </w:rPr>
                    </w:pPr>
                    <w:r>
                      <w:rPr>
                        <w:sz w:val="20"/>
                      </w:rPr>
                      <w:t>2025</w:t>
                    </w:r>
                  </w:p>
                </w:tc>
                <w:tc>
                  <w:tcPr>
                    <w:tcW w:w="709" w:type="dxa"/>
                    <w:vMerge w:val="restart"/>
                    <w:shd w:val="clear" w:color="auto" w:fill="FCE4D6"/>
                    <w:noWrap/>
                    <w:vAlign w:val="center"/>
                    <w:hideMark/>
                  </w:tcPr>
                  <w:p>
                    <w:pPr>
                      <w:jc w:val="center"/>
                      <w:rPr>
                        <w:sz w:val="20"/>
                      </w:rPr>
                    </w:pPr>
                    <w:r>
                      <w:rPr>
                        <w:sz w:val="20"/>
                      </w:rPr>
                      <w:t>2033</w:t>
                    </w:r>
                  </w:p>
                </w:tc>
                <w:tc>
                  <w:tcPr>
                    <w:tcW w:w="1417" w:type="dxa"/>
                    <w:tcBorders>
                      <w:bottom w:val="single" w:sz="4" w:space="0" w:color="auto"/>
                    </w:tcBorders>
                    <w:shd w:val="clear" w:color="auto" w:fill="FCE4D6"/>
                    <w:noWrap/>
                    <w:vAlign w:val="center"/>
                    <w:hideMark/>
                  </w:tcPr>
                  <w:p>
                    <w:pPr>
                      <w:rPr>
                        <w:sz w:val="20"/>
                      </w:rPr>
                    </w:pPr>
                    <w:r>
                      <w:rPr>
                        <w:sz w:val="20"/>
                      </w:rPr>
                      <w:t>R-16-02-01</w:t>
                    </w:r>
                  </w:p>
                </w:tc>
                <w:tc>
                  <w:tcPr>
                    <w:tcW w:w="4111" w:type="dxa"/>
                    <w:tcBorders>
                      <w:bottom w:val="single" w:sz="4" w:space="0" w:color="auto"/>
                    </w:tcBorders>
                    <w:shd w:val="clear" w:color="auto" w:fill="FCE4D6"/>
                    <w:vAlign w:val="center"/>
                    <w:hideMark/>
                  </w:tcPr>
                  <w:p>
                    <w:pPr>
                      <w:rPr>
                        <w:sz w:val="20"/>
                      </w:rPr>
                    </w:pPr>
                    <w:r>
                      <w:rPr>
                        <w:sz w:val="20"/>
                      </w:rPr>
                      <w:t>Socialinių įstaigų pastatų, kurie yra geros būklės, skaičius nuo visų socialinių įstaigų pastatų (vnt. / vnt.)</w:t>
                    </w:r>
                  </w:p>
                </w:tc>
                <w:tc>
                  <w:tcPr>
                    <w:tcW w:w="1134" w:type="dxa"/>
                    <w:tcBorders>
                      <w:bottom w:val="single" w:sz="4" w:space="0" w:color="auto"/>
                    </w:tcBorders>
                    <w:shd w:val="clear" w:color="auto" w:fill="FCE4D6"/>
                    <w:vAlign w:val="center"/>
                    <w:hideMark/>
                  </w:tcPr>
                  <w:p>
                    <w:pPr>
                      <w:jc w:val="center"/>
                      <w:rPr>
                        <w:sz w:val="20"/>
                      </w:rPr>
                    </w:pPr>
                    <w:r>
                      <w:rPr>
                        <w:sz w:val="20"/>
                      </w:rPr>
                      <w:t>ŠMSA (SPS)</w:t>
                    </w:r>
                  </w:p>
                </w:tc>
                <w:tc>
                  <w:tcPr>
                    <w:tcW w:w="1134" w:type="dxa"/>
                    <w:tcBorders>
                      <w:bottom w:val="single" w:sz="4" w:space="0" w:color="auto"/>
                    </w:tcBorders>
                    <w:shd w:val="clear" w:color="auto" w:fill="FCE4D6"/>
                    <w:vAlign w:val="center"/>
                    <w:hideMark/>
                  </w:tcPr>
                  <w:p>
                    <w:pPr>
                      <w:jc w:val="center"/>
                      <w:rPr>
                        <w:sz w:val="20"/>
                      </w:rPr>
                    </w:pPr>
                    <w:r>
                      <w:rPr>
                        <w:sz w:val="20"/>
                      </w:rPr>
                      <w:t>11 / 13 (2023)</w:t>
                    </w:r>
                  </w:p>
                </w:tc>
                <w:tc>
                  <w:tcPr>
                    <w:tcW w:w="1134" w:type="dxa"/>
                    <w:tcBorders>
                      <w:bottom w:val="single" w:sz="4" w:space="0" w:color="auto"/>
                    </w:tcBorders>
                    <w:shd w:val="clear" w:color="auto" w:fill="FCE4D6"/>
                    <w:noWrap/>
                    <w:vAlign w:val="center"/>
                    <w:hideMark/>
                  </w:tcPr>
                  <w:p>
                    <w:pPr>
                      <w:jc w:val="center"/>
                      <w:rPr>
                        <w:sz w:val="20"/>
                      </w:rPr>
                    </w:pPr>
                    <w:r>
                      <w:rPr>
                        <w:sz w:val="20"/>
                      </w:rPr>
                      <w:t>19 / 19 (2033)</w:t>
                    </w:r>
                  </w:p>
                </w:tc>
              </w:tr>
              <w:tr>
                <w:trPr>
                  <w:trHeight w:val="824"/>
                  <w:jc w:val="center"/>
                </w:trPr>
                <w:tc>
                  <w:tcPr>
                    <w:tcW w:w="988" w:type="dxa"/>
                    <w:vMerge/>
                    <w:shd w:val="clear" w:color="auto" w:fill="FCE4D6"/>
                    <w:noWrap/>
                    <w:vAlign w:val="center"/>
                  </w:tcPr>
                  <w:p>
                    <w:pPr>
                      <w:rPr>
                        <w:b/>
                        <w:bCs/>
                        <w:sz w:val="20"/>
                      </w:rPr>
                    </w:pPr>
                  </w:p>
                </w:tc>
                <w:tc>
                  <w:tcPr>
                    <w:tcW w:w="2126" w:type="dxa"/>
                    <w:vMerge/>
                    <w:shd w:val="clear" w:color="auto" w:fill="FCE4D6"/>
                    <w:vAlign w:val="center"/>
                  </w:tcPr>
                  <w:p>
                    <w:pPr>
                      <w:rPr>
                        <w:b/>
                        <w:bCs/>
                        <w:sz w:val="20"/>
                      </w:rPr>
                    </w:pPr>
                  </w:p>
                </w:tc>
                <w:tc>
                  <w:tcPr>
                    <w:tcW w:w="850" w:type="dxa"/>
                    <w:vMerge/>
                    <w:shd w:val="clear" w:color="auto" w:fill="FCE4D6"/>
                    <w:noWrap/>
                    <w:vAlign w:val="center"/>
                  </w:tcPr>
                  <w:p>
                    <w:pPr>
                      <w:jc w:val="center"/>
                      <w:rPr>
                        <w:sz w:val="20"/>
                      </w:rPr>
                    </w:pPr>
                  </w:p>
                </w:tc>
                <w:tc>
                  <w:tcPr>
                    <w:tcW w:w="709" w:type="dxa"/>
                    <w:vMerge/>
                    <w:shd w:val="clear" w:color="auto" w:fill="FCE4D6"/>
                    <w:noWrap/>
                    <w:vAlign w:val="center"/>
                  </w:tcPr>
                  <w:p>
                    <w:pPr>
                      <w:jc w:val="center"/>
                      <w:rPr>
                        <w:sz w:val="20"/>
                      </w:rPr>
                    </w:pPr>
                  </w:p>
                </w:tc>
                <w:tc>
                  <w:tcPr>
                    <w:tcW w:w="709" w:type="dxa"/>
                    <w:vMerge/>
                    <w:shd w:val="clear" w:color="auto" w:fill="FCE4D6"/>
                    <w:noWrap/>
                    <w:vAlign w:val="center"/>
                  </w:tcPr>
                  <w:p>
                    <w:pPr>
                      <w:jc w:val="center"/>
                      <w:rPr>
                        <w:sz w:val="20"/>
                      </w:rPr>
                    </w:pPr>
                  </w:p>
                </w:tc>
                <w:tc>
                  <w:tcPr>
                    <w:tcW w:w="1417" w:type="dxa"/>
                    <w:tcBorders>
                      <w:top w:val="single" w:sz="4" w:space="0" w:color="auto"/>
                      <w:left w:val="single" w:sz="4" w:space="0" w:color="auto"/>
                      <w:bottom w:val="single" w:sz="4" w:space="0" w:color="auto"/>
                      <w:right w:val="single" w:sz="4" w:space="0" w:color="auto"/>
                    </w:tcBorders>
                    <w:shd w:val="clear" w:color="000000" w:fill="FCE4D6"/>
                    <w:noWrap/>
                    <w:vAlign w:val="center"/>
                  </w:tcPr>
                  <w:p>
                    <w:pPr>
                      <w:rPr>
                        <w:sz w:val="20"/>
                      </w:rPr>
                    </w:pPr>
                    <w:r>
                      <w:rPr>
                        <w:rFonts w:eastAsia="MS Mincho"/>
                        <w:color w:val="000000"/>
                        <w:kern w:val="2"/>
                        <w:sz w:val="20"/>
                      </w:rPr>
                      <w:t>R-16-02-02</w:t>
                    </w:r>
                  </w:p>
                </w:tc>
                <w:tc>
                  <w:tcPr>
                    <w:tcW w:w="4111" w:type="dxa"/>
                    <w:tcBorders>
                      <w:top w:val="single" w:sz="4" w:space="0" w:color="auto"/>
                      <w:left w:val="nil"/>
                      <w:bottom w:val="single" w:sz="4" w:space="0" w:color="auto"/>
                      <w:right w:val="single" w:sz="4" w:space="0" w:color="auto"/>
                    </w:tcBorders>
                    <w:shd w:val="clear" w:color="000000" w:fill="FCE4D6"/>
                    <w:vAlign w:val="center"/>
                  </w:tcPr>
                  <w:p>
                    <w:pPr>
                      <w:rPr>
                        <w:sz w:val="20"/>
                      </w:rPr>
                    </w:pPr>
                    <w:r>
                      <w:rPr>
                        <w:rFonts w:eastAsia="MS Mincho"/>
                        <w:color w:val="000000"/>
                        <w:kern w:val="2"/>
                        <w:sz w:val="20"/>
                      </w:rPr>
                      <w:t>Asmenų ir šeimų, laukiančių socialinio būsto nuomos, laukimo laikas (metai)</w:t>
                    </w:r>
                  </w:p>
                </w:tc>
                <w:tc>
                  <w:tcPr>
                    <w:tcW w:w="1134" w:type="dxa"/>
                    <w:tcBorders>
                      <w:top w:val="single" w:sz="4" w:space="0" w:color="auto"/>
                      <w:left w:val="single" w:sz="4" w:space="0" w:color="auto"/>
                      <w:bottom w:val="single" w:sz="4" w:space="0" w:color="auto"/>
                      <w:right w:val="single" w:sz="4" w:space="0" w:color="auto"/>
                    </w:tcBorders>
                    <w:shd w:val="clear" w:color="000000" w:fill="FCE4D6"/>
                    <w:vAlign w:val="center"/>
                  </w:tcPr>
                  <w:p>
                    <w:pPr>
                      <w:jc w:val="center"/>
                      <w:rPr>
                        <w:sz w:val="20"/>
                      </w:rPr>
                    </w:pPr>
                    <w:r>
                      <w:rPr>
                        <w:rFonts w:eastAsia="MS Mincho"/>
                        <w:color w:val="000000"/>
                        <w:kern w:val="2"/>
                        <w:sz w:val="20"/>
                      </w:rPr>
                      <w:t>ŠMSA (TVS)</w:t>
                    </w:r>
                  </w:p>
                </w:tc>
                <w:tc>
                  <w:tcPr>
                    <w:tcW w:w="1134" w:type="dxa"/>
                    <w:tcBorders>
                      <w:top w:val="single" w:sz="4" w:space="0" w:color="auto"/>
                      <w:left w:val="nil"/>
                      <w:bottom w:val="single" w:sz="4" w:space="0" w:color="auto"/>
                      <w:right w:val="single" w:sz="4" w:space="0" w:color="auto"/>
                    </w:tcBorders>
                    <w:shd w:val="clear" w:color="000000" w:fill="FCE4D6"/>
                    <w:vAlign w:val="center"/>
                  </w:tcPr>
                  <w:p>
                    <w:pPr>
                      <w:jc w:val="center"/>
                      <w:rPr>
                        <w:sz w:val="20"/>
                      </w:rPr>
                    </w:pPr>
                    <w:r>
                      <w:rPr>
                        <w:rFonts w:eastAsia="MS Mincho"/>
                        <w:color w:val="000000"/>
                        <w:kern w:val="2"/>
                        <w:sz w:val="20"/>
                      </w:rPr>
                      <w:t>7 (2023)</w:t>
                    </w:r>
                  </w:p>
                </w:tc>
                <w:tc>
                  <w:tcPr>
                    <w:tcW w:w="1134" w:type="dxa"/>
                    <w:tcBorders>
                      <w:top w:val="single" w:sz="4" w:space="0" w:color="auto"/>
                      <w:left w:val="nil"/>
                      <w:bottom w:val="single" w:sz="4" w:space="0" w:color="auto"/>
                      <w:right w:val="single" w:sz="4" w:space="0" w:color="auto"/>
                    </w:tcBorders>
                    <w:shd w:val="clear" w:color="000000" w:fill="FCE4D6"/>
                    <w:noWrap/>
                    <w:vAlign w:val="center"/>
                  </w:tcPr>
                  <w:p>
                    <w:pPr>
                      <w:jc w:val="center"/>
                      <w:rPr>
                        <w:sz w:val="20"/>
                      </w:rPr>
                    </w:pPr>
                    <w:r>
                      <w:rPr>
                        <w:rFonts w:eastAsia="MS Mincho"/>
                        <w:color w:val="000000"/>
                        <w:kern w:val="2"/>
                        <w:sz w:val="20"/>
                      </w:rPr>
                      <w:t>4 (2033)</w:t>
                    </w:r>
                  </w:p>
                </w:tc>
              </w:tr>
              <w:tr>
                <w:trPr>
                  <w:trHeight w:val="625"/>
                  <w:jc w:val="center"/>
                </w:trPr>
                <w:tc>
                  <w:tcPr>
                    <w:tcW w:w="988" w:type="dxa"/>
                    <w:noWrap/>
                    <w:vAlign w:val="center"/>
                    <w:hideMark/>
                  </w:tcPr>
                  <w:p>
                    <w:pPr>
                      <w:rPr>
                        <w:sz w:val="20"/>
                      </w:rPr>
                    </w:pPr>
                    <w:r>
                      <w:rPr>
                        <w:sz w:val="20"/>
                      </w:rPr>
                      <w:t>16-02-01</w:t>
                    </w:r>
                  </w:p>
                </w:tc>
                <w:tc>
                  <w:tcPr>
                    <w:tcW w:w="2126" w:type="dxa"/>
                    <w:tcBorders>
                      <w:bottom w:val="single" w:sz="4" w:space="0" w:color="auto"/>
                    </w:tcBorders>
                    <w:vAlign w:val="center"/>
                    <w:hideMark/>
                  </w:tcPr>
                  <w:p>
                    <w:pPr>
                      <w:rPr>
                        <w:sz w:val="20"/>
                      </w:rPr>
                    </w:pPr>
                    <w:r>
                      <w:rPr>
                        <w:sz w:val="20"/>
                      </w:rPr>
                      <w:t>Atnaujinti ir modernizuoti esamas socialines įstaigas</w:t>
                    </w:r>
                  </w:p>
                </w:tc>
                <w:tc>
                  <w:tcPr>
                    <w:tcW w:w="850" w:type="dxa"/>
                    <w:tcBorders>
                      <w:bottom w:val="single" w:sz="4" w:space="0" w:color="auto"/>
                    </w:tcBorders>
                    <w:noWrap/>
                    <w:vAlign w:val="center"/>
                    <w:hideMark/>
                  </w:tcPr>
                  <w:p>
                    <w:pPr>
                      <w:jc w:val="center"/>
                      <w:rPr>
                        <w:sz w:val="20"/>
                      </w:rPr>
                    </w:pPr>
                    <w:r>
                      <w:rPr>
                        <w:sz w:val="20"/>
                      </w:rPr>
                      <w:t>SPS</w:t>
                    </w:r>
                  </w:p>
                </w:tc>
                <w:tc>
                  <w:tcPr>
                    <w:tcW w:w="709" w:type="dxa"/>
                    <w:tcBorders>
                      <w:bottom w:val="single" w:sz="4" w:space="0" w:color="auto"/>
                    </w:tcBorders>
                    <w:noWrap/>
                    <w:vAlign w:val="center"/>
                    <w:hideMark/>
                  </w:tcPr>
                  <w:p>
                    <w:pPr>
                      <w:jc w:val="center"/>
                      <w:rPr>
                        <w:sz w:val="20"/>
                      </w:rPr>
                    </w:pPr>
                    <w:r>
                      <w:rPr>
                        <w:sz w:val="20"/>
                      </w:rPr>
                      <w:t>2025</w:t>
                    </w:r>
                  </w:p>
                </w:tc>
                <w:tc>
                  <w:tcPr>
                    <w:tcW w:w="709" w:type="dxa"/>
                    <w:tcBorders>
                      <w:bottom w:val="single" w:sz="4" w:space="0" w:color="auto"/>
                    </w:tcBorders>
                    <w:noWrap/>
                    <w:vAlign w:val="center"/>
                    <w:hideMark/>
                  </w:tcPr>
                  <w:p>
                    <w:pPr>
                      <w:jc w:val="center"/>
                      <w:rPr>
                        <w:sz w:val="20"/>
                      </w:rPr>
                    </w:pPr>
                    <w:r>
                      <w:rPr>
                        <w:sz w:val="20"/>
                      </w:rPr>
                      <w:t>2033</w:t>
                    </w:r>
                  </w:p>
                </w:tc>
                <w:tc>
                  <w:tcPr>
                    <w:tcW w:w="1417" w:type="dxa"/>
                    <w:tcBorders>
                      <w:bottom w:val="single" w:sz="4" w:space="0" w:color="auto"/>
                    </w:tcBorders>
                    <w:noWrap/>
                    <w:vAlign w:val="center"/>
                    <w:hideMark/>
                  </w:tcPr>
                  <w:p>
                    <w:pPr>
                      <w:rPr>
                        <w:sz w:val="20"/>
                      </w:rPr>
                    </w:pPr>
                    <w:r>
                      <w:rPr>
                        <w:sz w:val="20"/>
                      </w:rPr>
                      <w:t>P-16-02-01-01</w:t>
                    </w:r>
                  </w:p>
                </w:tc>
                <w:tc>
                  <w:tcPr>
                    <w:tcW w:w="4111" w:type="dxa"/>
                    <w:tcBorders>
                      <w:top w:val="single" w:sz="4" w:space="0" w:color="auto"/>
                      <w:bottom w:val="single" w:sz="4" w:space="0" w:color="auto"/>
                    </w:tcBorders>
                    <w:vAlign w:val="center"/>
                    <w:hideMark/>
                  </w:tcPr>
                  <w:p>
                    <w:pPr>
                      <w:rPr>
                        <w:sz w:val="20"/>
                      </w:rPr>
                    </w:pPr>
                    <w:r>
                      <w:rPr>
                        <w:sz w:val="20"/>
                      </w:rPr>
                      <w:t>Renovuotas Socialinių paslaugų centro pastatas (vnt.)</w:t>
                    </w:r>
                  </w:p>
                </w:tc>
                <w:tc>
                  <w:tcPr>
                    <w:tcW w:w="1134" w:type="dxa"/>
                    <w:tcBorders>
                      <w:top w:val="single" w:sz="4" w:space="0" w:color="auto"/>
                      <w:bottom w:val="single" w:sz="4" w:space="0" w:color="auto"/>
                    </w:tcBorders>
                    <w:vAlign w:val="center"/>
                    <w:hideMark/>
                  </w:tcPr>
                  <w:p>
                    <w:pPr>
                      <w:jc w:val="center"/>
                      <w:rPr>
                        <w:sz w:val="20"/>
                      </w:rPr>
                    </w:pPr>
                    <w:r>
                      <w:rPr>
                        <w:sz w:val="20"/>
                      </w:rPr>
                      <w:t>SPS</w:t>
                    </w:r>
                  </w:p>
                </w:tc>
                <w:tc>
                  <w:tcPr>
                    <w:tcW w:w="1134" w:type="dxa"/>
                    <w:tcBorders>
                      <w:top w:val="single" w:sz="4" w:space="0" w:color="auto"/>
                      <w:bottom w:val="single" w:sz="4" w:space="0" w:color="auto"/>
                    </w:tcBorders>
                    <w:vAlign w:val="center"/>
                    <w:hideMark/>
                  </w:tcPr>
                  <w:p>
                    <w:pPr>
                      <w:jc w:val="center"/>
                      <w:rPr>
                        <w:sz w:val="20"/>
                      </w:rPr>
                    </w:pPr>
                    <w:r>
                      <w:rPr>
                        <w:sz w:val="20"/>
                      </w:rPr>
                      <w:t>0 (2023)</w:t>
                    </w:r>
                  </w:p>
                </w:tc>
                <w:tc>
                  <w:tcPr>
                    <w:tcW w:w="1134" w:type="dxa"/>
                    <w:tcBorders>
                      <w:top w:val="single" w:sz="4" w:space="0" w:color="auto"/>
                      <w:bottom w:val="single" w:sz="4" w:space="0" w:color="auto"/>
                    </w:tcBorders>
                    <w:noWrap/>
                    <w:vAlign w:val="center"/>
                    <w:hideMark/>
                  </w:tcPr>
                  <w:p>
                    <w:pPr>
                      <w:jc w:val="center"/>
                      <w:rPr>
                        <w:sz w:val="20"/>
                      </w:rPr>
                    </w:pPr>
                    <w:r>
                      <w:rPr>
                        <w:sz w:val="20"/>
                      </w:rPr>
                      <w:t>1 (2029)</w:t>
                    </w:r>
                  </w:p>
                </w:tc>
              </w:tr>
              <w:tr>
                <w:trPr>
                  <w:trHeight w:val="361"/>
                  <w:jc w:val="center"/>
                </w:trPr>
                <w:tc>
                  <w:tcPr>
                    <w:tcW w:w="988" w:type="dxa"/>
                    <w:vMerge w:val="restart"/>
                    <w:noWrap/>
                    <w:vAlign w:val="center"/>
                    <w:hideMark/>
                  </w:tcPr>
                  <w:p>
                    <w:pPr>
                      <w:rPr>
                        <w:sz w:val="20"/>
                      </w:rPr>
                    </w:pPr>
                    <w:r>
                      <w:rPr>
                        <w:sz w:val="20"/>
                      </w:rPr>
                      <w:t>16-02-02</w:t>
                    </w:r>
                  </w:p>
                </w:tc>
                <w:tc>
                  <w:tcPr>
                    <w:tcW w:w="2126" w:type="dxa"/>
                    <w:vMerge w:val="restart"/>
                    <w:vAlign w:val="center"/>
                    <w:hideMark/>
                  </w:tcPr>
                  <w:p>
                    <w:pPr>
                      <w:rPr>
                        <w:sz w:val="20"/>
                      </w:rPr>
                    </w:pPr>
                    <w:r>
                      <w:rPr>
                        <w:sz w:val="20"/>
                      </w:rPr>
                      <w:t>Plėsti, statyti ir / ar įkurti naujas socialines įstaigas</w:t>
                    </w:r>
                  </w:p>
                </w:tc>
                <w:tc>
                  <w:tcPr>
                    <w:tcW w:w="850" w:type="dxa"/>
                    <w:vMerge w:val="restart"/>
                    <w:noWrap/>
                    <w:vAlign w:val="center"/>
                    <w:hideMark/>
                  </w:tcPr>
                  <w:p>
                    <w:pPr>
                      <w:jc w:val="center"/>
                      <w:rPr>
                        <w:sz w:val="20"/>
                      </w:rPr>
                    </w:pPr>
                    <w:r>
                      <w:rPr>
                        <w:sz w:val="20"/>
                      </w:rPr>
                      <w:t>SPS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tcBorders>
                      <w:top w:val="single" w:sz="4" w:space="0" w:color="auto"/>
                    </w:tcBorders>
                    <w:noWrap/>
                    <w:vAlign w:val="center"/>
                    <w:hideMark/>
                  </w:tcPr>
                  <w:p>
                    <w:pPr>
                      <w:rPr>
                        <w:sz w:val="20"/>
                      </w:rPr>
                    </w:pPr>
                    <w:r>
                      <w:rPr>
                        <w:sz w:val="20"/>
                      </w:rPr>
                      <w:t>P-16-02-02-01</w:t>
                    </w:r>
                  </w:p>
                </w:tc>
                <w:tc>
                  <w:tcPr>
                    <w:tcW w:w="4111" w:type="dxa"/>
                    <w:tcBorders>
                      <w:top w:val="single" w:sz="4" w:space="0" w:color="auto"/>
                    </w:tcBorders>
                    <w:vAlign w:val="center"/>
                    <w:hideMark/>
                  </w:tcPr>
                  <w:p>
                    <w:pPr>
                      <w:rPr>
                        <w:sz w:val="20"/>
                      </w:rPr>
                    </w:pPr>
                    <w:r>
                      <w:rPr>
                        <w:sz w:val="20"/>
                      </w:rPr>
                      <w:t xml:space="preserve">Grupinio gyvenimo namų skaičius (vnt.) </w:t>
                    </w:r>
                  </w:p>
                </w:tc>
                <w:tc>
                  <w:tcPr>
                    <w:tcW w:w="1134" w:type="dxa"/>
                    <w:tcBorders>
                      <w:top w:val="single" w:sz="4" w:space="0" w:color="auto"/>
                    </w:tcBorders>
                    <w:vAlign w:val="center"/>
                    <w:hideMark/>
                  </w:tcPr>
                  <w:p>
                    <w:pPr>
                      <w:jc w:val="center"/>
                      <w:rPr>
                        <w:sz w:val="20"/>
                      </w:rPr>
                    </w:pPr>
                    <w:r>
                      <w:rPr>
                        <w:sz w:val="20"/>
                      </w:rPr>
                      <w:t>SPS</w:t>
                    </w:r>
                  </w:p>
                </w:tc>
                <w:tc>
                  <w:tcPr>
                    <w:tcW w:w="1134" w:type="dxa"/>
                    <w:tcBorders>
                      <w:top w:val="single" w:sz="4" w:space="0" w:color="auto"/>
                    </w:tcBorders>
                    <w:vAlign w:val="center"/>
                    <w:hideMark/>
                  </w:tcPr>
                  <w:p>
                    <w:pPr>
                      <w:jc w:val="center"/>
                      <w:rPr>
                        <w:sz w:val="20"/>
                      </w:rPr>
                    </w:pPr>
                    <w:r>
                      <w:rPr>
                        <w:sz w:val="20"/>
                      </w:rPr>
                      <w:t>4 (2024)</w:t>
                    </w:r>
                  </w:p>
                </w:tc>
                <w:tc>
                  <w:tcPr>
                    <w:tcW w:w="1134" w:type="dxa"/>
                    <w:tcBorders>
                      <w:top w:val="single" w:sz="4" w:space="0" w:color="auto"/>
                    </w:tcBorders>
                    <w:noWrap/>
                    <w:vAlign w:val="center"/>
                    <w:hideMark/>
                  </w:tcPr>
                  <w:p>
                    <w:pPr>
                      <w:jc w:val="center"/>
                      <w:rPr>
                        <w:sz w:val="20"/>
                      </w:rPr>
                    </w:pPr>
                    <w:r>
                      <w:rPr>
                        <w:sz w:val="20"/>
                      </w:rPr>
                      <w:t xml:space="preserve">6  (2033)</w:t>
                    </w:r>
                  </w:p>
                </w:tc>
              </w:tr>
              <w:tr>
                <w:trPr>
                  <w:trHeight w:val="26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tcBorders>
                      <w:bottom w:val="single" w:sz="4" w:space="0" w:color="auto"/>
                    </w:tcBorders>
                    <w:noWrap/>
                    <w:vAlign w:val="center"/>
                    <w:hideMark/>
                  </w:tcPr>
                  <w:p>
                    <w:pPr>
                      <w:rPr>
                        <w:sz w:val="20"/>
                      </w:rPr>
                    </w:pPr>
                    <w:r>
                      <w:rPr>
                        <w:sz w:val="20"/>
                      </w:rPr>
                      <w:t>P-16-02-02-02</w:t>
                    </w:r>
                  </w:p>
                </w:tc>
                <w:tc>
                  <w:tcPr>
                    <w:tcW w:w="4111" w:type="dxa"/>
                    <w:tcBorders>
                      <w:bottom w:val="single" w:sz="4" w:space="0" w:color="auto"/>
                    </w:tcBorders>
                    <w:vAlign w:val="center"/>
                    <w:hideMark/>
                  </w:tcPr>
                  <w:p>
                    <w:pPr>
                      <w:rPr>
                        <w:sz w:val="20"/>
                      </w:rPr>
                    </w:pPr>
                    <w:r>
                      <w:rPr>
                        <w:sz w:val="20"/>
                      </w:rPr>
                      <w:t xml:space="preserve">Įkurtas / pastatytas krizių centras (vnt.) </w:t>
                    </w:r>
                  </w:p>
                </w:tc>
                <w:tc>
                  <w:tcPr>
                    <w:tcW w:w="1134" w:type="dxa"/>
                    <w:tcBorders>
                      <w:bottom w:val="single" w:sz="4" w:space="0" w:color="auto"/>
                    </w:tcBorders>
                    <w:vAlign w:val="center"/>
                    <w:hideMark/>
                  </w:tcPr>
                  <w:p>
                    <w:pPr>
                      <w:jc w:val="center"/>
                      <w:rPr>
                        <w:sz w:val="20"/>
                      </w:rPr>
                    </w:pPr>
                    <w:r>
                      <w:rPr>
                        <w:sz w:val="20"/>
                      </w:rPr>
                      <w:t>SPS</w:t>
                    </w:r>
                  </w:p>
                </w:tc>
                <w:tc>
                  <w:tcPr>
                    <w:tcW w:w="1134" w:type="dxa"/>
                    <w:tcBorders>
                      <w:bottom w:val="single" w:sz="4" w:space="0" w:color="auto"/>
                    </w:tcBorders>
                    <w:vAlign w:val="center"/>
                    <w:hideMark/>
                  </w:tcPr>
                  <w:p>
                    <w:pPr>
                      <w:jc w:val="center"/>
                      <w:rPr>
                        <w:sz w:val="20"/>
                      </w:rPr>
                    </w:pPr>
                    <w:r>
                      <w:rPr>
                        <w:sz w:val="20"/>
                      </w:rPr>
                      <w:t>0 (2023)</w:t>
                    </w:r>
                  </w:p>
                </w:tc>
                <w:tc>
                  <w:tcPr>
                    <w:tcW w:w="1134" w:type="dxa"/>
                    <w:tcBorders>
                      <w:bottom w:val="single" w:sz="4" w:space="0" w:color="auto"/>
                    </w:tcBorders>
                    <w:noWrap/>
                    <w:vAlign w:val="center"/>
                    <w:hideMark/>
                  </w:tcPr>
                  <w:p>
                    <w:pPr>
                      <w:jc w:val="center"/>
                      <w:rPr>
                        <w:sz w:val="20"/>
                      </w:rPr>
                    </w:pPr>
                    <w:r>
                      <w:rPr>
                        <w:sz w:val="20"/>
                      </w:rPr>
                      <w:t>1 (2033)</w:t>
                    </w:r>
                  </w:p>
                </w:tc>
              </w:tr>
              <w:tr>
                <w:trPr>
                  <w:trHeight w:val="315"/>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tcBorders>
                      <w:bottom w:val="single" w:sz="4" w:space="0" w:color="auto"/>
                    </w:tcBorders>
                    <w:noWrap/>
                    <w:vAlign w:val="center"/>
                    <w:hideMark/>
                  </w:tcPr>
                  <w:p>
                    <w:pPr>
                      <w:rPr>
                        <w:sz w:val="20"/>
                      </w:rPr>
                    </w:pPr>
                    <w:r>
                      <w:rPr>
                        <w:sz w:val="20"/>
                      </w:rPr>
                      <w:t>P-16-02-02-03</w:t>
                    </w:r>
                  </w:p>
                </w:tc>
                <w:tc>
                  <w:tcPr>
                    <w:tcW w:w="4111" w:type="dxa"/>
                    <w:tcBorders>
                      <w:bottom w:val="single" w:sz="4" w:space="0" w:color="auto"/>
                    </w:tcBorders>
                    <w:vAlign w:val="center"/>
                    <w:hideMark/>
                  </w:tcPr>
                  <w:p>
                    <w:pPr>
                      <w:rPr>
                        <w:sz w:val="20"/>
                      </w:rPr>
                    </w:pPr>
                    <w:r>
                      <w:rPr>
                        <w:sz w:val="20"/>
                      </w:rPr>
                      <w:t>Socialinių dirbtuvių skaičius (vnt.)</w:t>
                    </w:r>
                  </w:p>
                </w:tc>
                <w:tc>
                  <w:tcPr>
                    <w:tcW w:w="1134" w:type="dxa"/>
                    <w:tcBorders>
                      <w:bottom w:val="single" w:sz="4" w:space="0" w:color="auto"/>
                    </w:tcBorders>
                    <w:vAlign w:val="center"/>
                    <w:hideMark/>
                  </w:tcPr>
                  <w:p>
                    <w:pPr>
                      <w:jc w:val="center"/>
                      <w:rPr>
                        <w:sz w:val="20"/>
                      </w:rPr>
                    </w:pPr>
                    <w:r>
                      <w:rPr>
                        <w:sz w:val="20"/>
                      </w:rPr>
                      <w:t>SPS</w:t>
                    </w:r>
                  </w:p>
                </w:tc>
                <w:tc>
                  <w:tcPr>
                    <w:tcW w:w="1134" w:type="dxa"/>
                    <w:tcBorders>
                      <w:bottom w:val="single" w:sz="4" w:space="0" w:color="auto"/>
                    </w:tcBorders>
                    <w:vAlign w:val="center"/>
                    <w:hideMark/>
                  </w:tcPr>
                  <w:p>
                    <w:pPr>
                      <w:jc w:val="center"/>
                      <w:rPr>
                        <w:sz w:val="20"/>
                      </w:rPr>
                    </w:pPr>
                    <w:r>
                      <w:rPr>
                        <w:sz w:val="20"/>
                      </w:rPr>
                      <w:t>2 (2024)</w:t>
                    </w:r>
                  </w:p>
                </w:tc>
                <w:tc>
                  <w:tcPr>
                    <w:tcW w:w="1134" w:type="dxa"/>
                    <w:tcBorders>
                      <w:bottom w:val="single" w:sz="4" w:space="0" w:color="auto"/>
                    </w:tcBorders>
                    <w:noWrap/>
                    <w:vAlign w:val="center"/>
                    <w:hideMark/>
                  </w:tcPr>
                  <w:p>
                    <w:pPr>
                      <w:jc w:val="center"/>
                      <w:rPr>
                        <w:sz w:val="20"/>
                      </w:rPr>
                    </w:pPr>
                    <w:r>
                      <w:rPr>
                        <w:sz w:val="20"/>
                      </w:rPr>
                      <w:t>3 (2033)</w:t>
                    </w:r>
                  </w:p>
                </w:tc>
              </w:tr>
              <w:tr>
                <w:trPr>
                  <w:trHeight w:val="27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tcBorders>
                      <w:bottom w:val="single" w:sz="4" w:space="0" w:color="auto"/>
                    </w:tcBorders>
                    <w:noWrap/>
                    <w:vAlign w:val="center"/>
                    <w:hideMark/>
                  </w:tcPr>
                  <w:p>
                    <w:pPr>
                      <w:rPr>
                        <w:sz w:val="20"/>
                      </w:rPr>
                    </w:pPr>
                    <w:r>
                      <w:rPr>
                        <w:sz w:val="20"/>
                      </w:rPr>
                      <w:t>P-16-02-02-04</w:t>
                    </w:r>
                  </w:p>
                </w:tc>
                <w:tc>
                  <w:tcPr>
                    <w:tcW w:w="4111" w:type="dxa"/>
                    <w:tcBorders>
                      <w:bottom w:val="single" w:sz="4" w:space="0" w:color="auto"/>
                    </w:tcBorders>
                    <w:vAlign w:val="center"/>
                    <w:hideMark/>
                  </w:tcPr>
                  <w:p>
                    <w:pPr>
                      <w:rPr>
                        <w:sz w:val="20"/>
                      </w:rPr>
                    </w:pPr>
                    <w:r>
                      <w:rPr>
                        <w:sz w:val="20"/>
                      </w:rPr>
                      <w:t>Apsaugotų būstų skaičius (vnt.)</w:t>
                    </w:r>
                  </w:p>
                </w:tc>
                <w:tc>
                  <w:tcPr>
                    <w:tcW w:w="1134" w:type="dxa"/>
                    <w:tcBorders>
                      <w:bottom w:val="single" w:sz="4" w:space="0" w:color="auto"/>
                    </w:tcBorders>
                    <w:vAlign w:val="center"/>
                    <w:hideMark/>
                  </w:tcPr>
                  <w:p>
                    <w:pPr>
                      <w:jc w:val="center"/>
                      <w:rPr>
                        <w:sz w:val="20"/>
                      </w:rPr>
                    </w:pPr>
                    <w:r>
                      <w:rPr>
                        <w:sz w:val="20"/>
                      </w:rPr>
                      <w:t>SPS</w:t>
                    </w:r>
                  </w:p>
                </w:tc>
                <w:tc>
                  <w:tcPr>
                    <w:tcW w:w="1134" w:type="dxa"/>
                    <w:tcBorders>
                      <w:bottom w:val="single" w:sz="4" w:space="0" w:color="auto"/>
                    </w:tcBorders>
                    <w:vAlign w:val="center"/>
                    <w:hideMark/>
                  </w:tcPr>
                  <w:p>
                    <w:pPr>
                      <w:jc w:val="center"/>
                      <w:rPr>
                        <w:sz w:val="20"/>
                      </w:rPr>
                    </w:pPr>
                    <w:r>
                      <w:rPr>
                        <w:sz w:val="20"/>
                      </w:rPr>
                      <w:t>1 (2023)</w:t>
                    </w:r>
                  </w:p>
                </w:tc>
                <w:tc>
                  <w:tcPr>
                    <w:tcW w:w="1134" w:type="dxa"/>
                    <w:tcBorders>
                      <w:bottom w:val="single" w:sz="4" w:space="0" w:color="auto"/>
                    </w:tcBorders>
                    <w:noWrap/>
                    <w:vAlign w:val="center"/>
                    <w:hideMark/>
                  </w:tcPr>
                  <w:p>
                    <w:pPr>
                      <w:jc w:val="center"/>
                      <w:rPr>
                        <w:sz w:val="20"/>
                      </w:rPr>
                    </w:pPr>
                    <w:r>
                      <w:rPr>
                        <w:sz w:val="20"/>
                      </w:rPr>
                      <w:t>14 (2033)</w:t>
                    </w:r>
                  </w:p>
                </w:tc>
              </w:tr>
              <w:tr>
                <w:trPr>
                  <w:trHeight w:val="270"/>
                  <w:jc w:val="center"/>
                </w:trPr>
                <w:tc>
                  <w:tcPr>
                    <w:tcW w:w="988" w:type="dxa"/>
                    <w:vMerge w:val="restart"/>
                    <w:vAlign w:val="center"/>
                  </w:tcPr>
                  <w:p>
                    <w:pPr>
                      <w:rPr>
                        <w:sz w:val="20"/>
                      </w:rPr>
                    </w:pPr>
                    <w:r>
                      <w:rPr>
                        <w:sz w:val="20"/>
                      </w:rPr>
                      <w:t>16-02-03</w:t>
                    </w:r>
                  </w:p>
                </w:tc>
                <w:tc>
                  <w:tcPr>
                    <w:tcW w:w="2126" w:type="dxa"/>
                    <w:vMerge w:val="restart"/>
                    <w:vAlign w:val="center"/>
                  </w:tcPr>
                  <w:p>
                    <w:pPr>
                      <w:rPr>
                        <w:sz w:val="20"/>
                      </w:rPr>
                    </w:pPr>
                    <w:r>
                      <w:rPr>
                        <w:sz w:val="20"/>
                      </w:rPr>
                      <w:t>Didinti socialinio būsto prieinamumą</w:t>
                    </w:r>
                  </w:p>
                </w:tc>
                <w:tc>
                  <w:tcPr>
                    <w:tcW w:w="850" w:type="dxa"/>
                    <w:vMerge w:val="restart"/>
                    <w:vAlign w:val="center"/>
                  </w:tcPr>
                  <w:p>
                    <w:pPr>
                      <w:jc w:val="center"/>
                      <w:rPr>
                        <w:sz w:val="20"/>
                      </w:rPr>
                    </w:pPr>
                    <w:r>
                      <w:rPr>
                        <w:sz w:val="20"/>
                      </w:rPr>
                      <w:t>TVS</w:t>
                    </w:r>
                  </w:p>
                </w:tc>
                <w:tc>
                  <w:tcPr>
                    <w:tcW w:w="709" w:type="dxa"/>
                    <w:vMerge w:val="restart"/>
                    <w:vAlign w:val="center"/>
                  </w:tcPr>
                  <w:p>
                    <w:pPr>
                      <w:rPr>
                        <w:sz w:val="20"/>
                      </w:rPr>
                    </w:pPr>
                    <w:r>
                      <w:rPr>
                        <w:sz w:val="20"/>
                      </w:rPr>
                      <w:t>2025</w:t>
                    </w:r>
                  </w:p>
                </w:tc>
                <w:tc>
                  <w:tcPr>
                    <w:tcW w:w="709" w:type="dxa"/>
                    <w:vMerge w:val="restart"/>
                    <w:vAlign w:val="center"/>
                  </w:tcPr>
                  <w:p>
                    <w:pPr>
                      <w:rPr>
                        <w:sz w:val="20"/>
                      </w:rPr>
                    </w:pPr>
                    <w:r>
                      <w:rPr>
                        <w:sz w:val="20"/>
                      </w:rPr>
                      <w:t>2033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sz w:val="20"/>
                      </w:rPr>
                    </w:pPr>
                    <w:r>
                      <w:rPr>
                        <w:rFonts w:eastAsia="MS Mincho"/>
                        <w:color w:val="000000"/>
                        <w:kern w:val="2"/>
                        <w:sz w:val="20"/>
                      </w:rPr>
                      <w:t>P-16-02-03-01</w:t>
                    </w:r>
                  </w:p>
                </w:tc>
                <w:tc>
                  <w:tcPr>
                    <w:tcW w:w="4111" w:type="dxa"/>
                    <w:tcBorders>
                      <w:top w:val="single" w:sz="4" w:space="0" w:color="auto"/>
                      <w:left w:val="nil"/>
                      <w:bottom w:val="single" w:sz="4" w:space="0" w:color="auto"/>
                      <w:right w:val="single" w:sz="4" w:space="0" w:color="auto"/>
                    </w:tcBorders>
                    <w:shd w:val="clear" w:color="auto" w:fill="auto"/>
                    <w:vAlign w:val="center"/>
                  </w:tcPr>
                  <w:p>
                    <w:pPr>
                      <w:rPr>
                        <w:sz w:val="20"/>
                      </w:rPr>
                    </w:pPr>
                    <w:r>
                      <w:rPr>
                        <w:rFonts w:eastAsia="MS Mincho"/>
                        <w:color w:val="000000"/>
                        <w:kern w:val="2"/>
                        <w:sz w:val="20"/>
                      </w:rPr>
                      <w:t>Suremontuotų savivaldybės administracijos butų skaičius (vnt.)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TVS</w:t>
                    </w:r>
                  </w:p>
                </w:tc>
                <w:tc>
                  <w:tcPr>
                    <w:tcW w:w="1134" w:type="dxa"/>
                    <w:tcBorders>
                      <w:top w:val="single" w:sz="4" w:space="0" w:color="auto"/>
                      <w:left w:val="nil"/>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57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color w:val="000000"/>
                        <w:kern w:val="2"/>
                        <w:sz w:val="20"/>
                      </w:rPr>
                      <w:t>597(2033)</w:t>
                    </w:r>
                  </w:p>
                </w:tc>
              </w:tr>
              <w:tr>
                <w:trPr>
                  <w:trHeight w:val="270"/>
                  <w:jc w:val="center"/>
                </w:trPr>
                <w:tc>
                  <w:tcPr>
                    <w:tcW w:w="988" w:type="dxa"/>
                    <w:vMerge/>
                    <w:vAlign w:val="center"/>
                  </w:tcPr>
                  <w:p>
                    <w:pPr>
                      <w:rPr>
                        <w:sz w:val="20"/>
                      </w:rPr>
                    </w:pPr>
                  </w:p>
                </w:tc>
                <w:tc>
                  <w:tcPr>
                    <w:tcW w:w="2126" w:type="dxa"/>
                    <w:vMerge/>
                    <w:vAlign w:val="center"/>
                  </w:tcPr>
                  <w:p>
                    <w:pPr>
                      <w:rPr>
                        <w:sz w:val="20"/>
                      </w:rPr>
                    </w:pPr>
                  </w:p>
                </w:tc>
                <w:tc>
                  <w:tcPr>
                    <w:tcW w:w="850" w:type="dxa"/>
                    <w:vMerge/>
                    <w:vAlign w:val="center"/>
                  </w:tcPr>
                  <w:p>
                    <w:pPr>
                      <w:rPr>
                        <w:sz w:val="20"/>
                      </w:rPr>
                    </w:pPr>
                  </w:p>
                </w:tc>
                <w:tc>
                  <w:tcPr>
                    <w:tcW w:w="709" w:type="dxa"/>
                    <w:vMerge/>
                    <w:vAlign w:val="center"/>
                  </w:tcPr>
                  <w:p>
                    <w:pPr>
                      <w:rPr>
                        <w:sz w:val="20"/>
                      </w:rPr>
                    </w:pPr>
                  </w:p>
                </w:tc>
                <w:tc>
                  <w:tcPr>
                    <w:tcW w:w="709" w:type="dxa"/>
                    <w:vMerge/>
                    <w:vAlign w:val="center"/>
                  </w:tcPr>
                  <w:p>
                    <w:pPr>
                      <w:rPr>
                        <w:sz w:val="20"/>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pPr>
                      <w:rPr>
                        <w:sz w:val="20"/>
                      </w:rPr>
                    </w:pPr>
                    <w:r>
                      <w:rPr>
                        <w:rFonts w:eastAsia="MS Mincho"/>
                        <w:color w:val="000000"/>
                        <w:kern w:val="2"/>
                        <w:sz w:val="20"/>
                      </w:rPr>
                      <w:t>P-16-02-03-02</w:t>
                    </w:r>
                  </w:p>
                </w:tc>
                <w:tc>
                  <w:tcPr>
                    <w:tcW w:w="4111" w:type="dxa"/>
                    <w:tcBorders>
                      <w:top w:val="nil"/>
                      <w:left w:val="nil"/>
                      <w:bottom w:val="single" w:sz="4" w:space="0" w:color="auto"/>
                      <w:right w:val="single" w:sz="4" w:space="0" w:color="auto"/>
                    </w:tcBorders>
                    <w:shd w:val="clear" w:color="auto" w:fill="auto"/>
                    <w:vAlign w:val="center"/>
                  </w:tcPr>
                  <w:p>
                    <w:pPr>
                      <w:rPr>
                        <w:sz w:val="20"/>
                      </w:rPr>
                    </w:pPr>
                    <w:r>
                      <w:rPr>
                        <w:rFonts w:eastAsia="MS Mincho"/>
                        <w:kern w:val="2"/>
                        <w:sz w:val="20"/>
                      </w:rPr>
                      <w:t>Naujai įsigyto socialinio būsto apimtys (vnt.)</w:t>
                    </w:r>
                  </w:p>
                </w:tc>
                <w:tc>
                  <w:tcPr>
                    <w:tcW w:w="1134" w:type="dxa"/>
                    <w:tcBorders>
                      <w:top w:val="nil"/>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TVS</w:t>
                    </w:r>
                  </w:p>
                </w:tc>
                <w:tc>
                  <w:tcPr>
                    <w:tcW w:w="1134" w:type="dxa"/>
                    <w:tcBorders>
                      <w:top w:val="nil"/>
                      <w:left w:val="nil"/>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7 (2023)</w:t>
                    </w:r>
                  </w:p>
                </w:tc>
                <w:tc>
                  <w:tcPr>
                    <w:tcW w:w="1134" w:type="dxa"/>
                    <w:tcBorders>
                      <w:top w:val="nil"/>
                      <w:left w:val="nil"/>
                      <w:bottom w:val="single" w:sz="4" w:space="0" w:color="auto"/>
                      <w:right w:val="single" w:sz="4" w:space="0" w:color="auto"/>
                    </w:tcBorders>
                    <w:shd w:val="clear" w:color="auto" w:fill="auto"/>
                    <w:noWrap/>
                    <w:vAlign w:val="center"/>
                  </w:tcPr>
                  <w:p>
                    <w:pPr>
                      <w:jc w:val="center"/>
                      <w:rPr>
                        <w:sz w:val="20"/>
                      </w:rPr>
                    </w:pPr>
                    <w:r>
                      <w:rPr>
                        <w:rFonts w:eastAsia="MS Mincho"/>
                        <w:color w:val="000000"/>
                        <w:kern w:val="2"/>
                        <w:sz w:val="20"/>
                      </w:rPr>
                      <w:t>60 (2033)</w:t>
                    </w:r>
                  </w:p>
                </w:tc>
              </w:tr>
              <w:tr>
                <w:trPr>
                  <w:trHeight w:val="270"/>
                  <w:jc w:val="center"/>
                </w:trPr>
                <w:tc>
                  <w:tcPr>
                    <w:tcW w:w="988" w:type="dxa"/>
                    <w:vMerge/>
                    <w:vAlign w:val="center"/>
                  </w:tcPr>
                  <w:p>
                    <w:pPr>
                      <w:rPr>
                        <w:sz w:val="20"/>
                      </w:rPr>
                    </w:pPr>
                  </w:p>
                </w:tc>
                <w:tc>
                  <w:tcPr>
                    <w:tcW w:w="2126" w:type="dxa"/>
                    <w:vMerge/>
                    <w:vAlign w:val="center"/>
                  </w:tcPr>
                  <w:p>
                    <w:pPr>
                      <w:rPr>
                        <w:sz w:val="20"/>
                      </w:rPr>
                    </w:pPr>
                  </w:p>
                </w:tc>
                <w:tc>
                  <w:tcPr>
                    <w:tcW w:w="850" w:type="dxa"/>
                    <w:vMerge/>
                    <w:vAlign w:val="center"/>
                  </w:tcPr>
                  <w:p>
                    <w:pPr>
                      <w:rPr>
                        <w:sz w:val="20"/>
                      </w:rPr>
                    </w:pPr>
                  </w:p>
                </w:tc>
                <w:tc>
                  <w:tcPr>
                    <w:tcW w:w="709" w:type="dxa"/>
                    <w:vMerge/>
                    <w:vAlign w:val="center"/>
                  </w:tcPr>
                  <w:p>
                    <w:pPr>
                      <w:rPr>
                        <w:sz w:val="20"/>
                      </w:rPr>
                    </w:pPr>
                  </w:p>
                </w:tc>
                <w:tc>
                  <w:tcPr>
                    <w:tcW w:w="709" w:type="dxa"/>
                    <w:vMerge/>
                    <w:vAlign w:val="center"/>
                  </w:tcPr>
                  <w:p>
                    <w:pPr>
                      <w:rPr>
                        <w:sz w:val="20"/>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pPr>
                      <w:rPr>
                        <w:sz w:val="20"/>
                      </w:rPr>
                    </w:pPr>
                    <w:r>
                      <w:rPr>
                        <w:rFonts w:eastAsia="MS Mincho"/>
                        <w:color w:val="000000"/>
                        <w:kern w:val="2"/>
                        <w:sz w:val="20"/>
                      </w:rPr>
                      <w:t>P-16-02-03-03</w:t>
                    </w:r>
                  </w:p>
                </w:tc>
                <w:tc>
                  <w:tcPr>
                    <w:tcW w:w="4111" w:type="dxa"/>
                    <w:tcBorders>
                      <w:top w:val="nil"/>
                      <w:left w:val="nil"/>
                      <w:bottom w:val="nil"/>
                      <w:right w:val="single" w:sz="4" w:space="0" w:color="auto"/>
                    </w:tcBorders>
                    <w:shd w:val="clear" w:color="auto" w:fill="auto"/>
                    <w:vAlign w:val="center"/>
                  </w:tcPr>
                  <w:p>
                    <w:pPr>
                      <w:rPr>
                        <w:sz w:val="20"/>
                      </w:rPr>
                    </w:pPr>
                    <w:r>
                      <w:rPr>
                        <w:rFonts w:eastAsia="MS Mincho"/>
                        <w:kern w:val="2"/>
                        <w:sz w:val="20"/>
                      </w:rPr>
                      <w:t xml:space="preserve">Į privatizuojamų objektų sąrašą įtrauktų socialinių būstų skaičius (vnt.) </w:t>
                    </w:r>
                  </w:p>
                </w:tc>
                <w:tc>
                  <w:tcPr>
                    <w:tcW w:w="1134" w:type="dxa"/>
                    <w:tcBorders>
                      <w:top w:val="nil"/>
                      <w:left w:val="single" w:sz="4" w:space="0" w:color="auto"/>
                      <w:bottom w:val="nil"/>
                      <w:right w:val="single" w:sz="4" w:space="0" w:color="auto"/>
                    </w:tcBorders>
                    <w:shd w:val="clear" w:color="auto" w:fill="auto"/>
                    <w:vAlign w:val="center"/>
                  </w:tcPr>
                  <w:p>
                    <w:pPr>
                      <w:jc w:val="center"/>
                      <w:rPr>
                        <w:sz w:val="20"/>
                      </w:rPr>
                    </w:pPr>
                    <w:r>
                      <w:rPr>
                        <w:rFonts w:eastAsia="MS Mincho"/>
                        <w:color w:val="000000"/>
                        <w:kern w:val="2"/>
                        <w:sz w:val="20"/>
                      </w:rPr>
                      <w:t>TVS</w:t>
                    </w:r>
                  </w:p>
                </w:tc>
                <w:tc>
                  <w:tcPr>
                    <w:tcW w:w="1134" w:type="dxa"/>
                    <w:tcBorders>
                      <w:top w:val="nil"/>
                      <w:left w:val="nil"/>
                      <w:bottom w:val="nil"/>
                      <w:right w:val="single" w:sz="4" w:space="0" w:color="auto"/>
                    </w:tcBorders>
                    <w:shd w:val="clear" w:color="auto" w:fill="auto"/>
                    <w:vAlign w:val="center"/>
                  </w:tcPr>
                  <w:p>
                    <w:pPr>
                      <w:jc w:val="center"/>
                      <w:rPr>
                        <w:sz w:val="20"/>
                      </w:rPr>
                    </w:pPr>
                    <w:r>
                      <w:rPr>
                        <w:rFonts w:eastAsia="MS Mincho"/>
                        <w:color w:val="000000"/>
                        <w:kern w:val="2"/>
                        <w:sz w:val="20"/>
                      </w:rPr>
                      <w:t>23 (2023)</w:t>
                    </w:r>
                  </w:p>
                </w:tc>
                <w:tc>
                  <w:tcPr>
                    <w:tcW w:w="1134" w:type="dxa"/>
                    <w:tcBorders>
                      <w:top w:val="nil"/>
                      <w:left w:val="nil"/>
                      <w:bottom w:val="nil"/>
                      <w:right w:val="single" w:sz="4" w:space="0" w:color="auto"/>
                    </w:tcBorders>
                    <w:shd w:val="clear" w:color="auto" w:fill="auto"/>
                    <w:noWrap/>
                    <w:vAlign w:val="center"/>
                  </w:tcPr>
                  <w:p>
                    <w:pPr>
                      <w:jc w:val="center"/>
                      <w:rPr>
                        <w:sz w:val="20"/>
                      </w:rPr>
                    </w:pPr>
                    <w:r>
                      <w:rPr>
                        <w:rFonts w:eastAsia="MS Mincho"/>
                        <w:kern w:val="2"/>
                        <w:sz w:val="20"/>
                      </w:rPr>
                      <w:t>15 (2033)</w:t>
                    </w:r>
                  </w:p>
                </w:tc>
              </w:tr>
              <w:tr>
                <w:trPr>
                  <w:trHeight w:val="270"/>
                  <w:jc w:val="center"/>
                </w:trPr>
                <w:tc>
                  <w:tcPr>
                    <w:tcW w:w="988" w:type="dxa"/>
                    <w:vMerge/>
                    <w:vAlign w:val="center"/>
                  </w:tcPr>
                  <w:p>
                    <w:pPr>
                      <w:rPr>
                        <w:sz w:val="20"/>
                      </w:rPr>
                    </w:pPr>
                  </w:p>
                </w:tc>
                <w:tc>
                  <w:tcPr>
                    <w:tcW w:w="2126" w:type="dxa"/>
                    <w:vMerge/>
                    <w:tcBorders>
                      <w:bottom w:val="single" w:sz="4" w:space="0" w:color="auto"/>
                    </w:tcBorders>
                    <w:vAlign w:val="center"/>
                  </w:tcPr>
                  <w:p>
                    <w:pPr>
                      <w:rPr>
                        <w:sz w:val="20"/>
                      </w:rPr>
                    </w:pPr>
                  </w:p>
                </w:tc>
                <w:tc>
                  <w:tcPr>
                    <w:tcW w:w="850" w:type="dxa"/>
                    <w:vMerge/>
                    <w:tcBorders>
                      <w:bottom w:val="single" w:sz="4" w:space="0" w:color="auto"/>
                    </w:tcBorders>
                    <w:vAlign w:val="center"/>
                  </w:tcPr>
                  <w:p>
                    <w:pPr>
                      <w:rPr>
                        <w:sz w:val="20"/>
                      </w:rPr>
                    </w:pPr>
                  </w:p>
                </w:tc>
                <w:tc>
                  <w:tcPr>
                    <w:tcW w:w="709" w:type="dxa"/>
                    <w:vMerge/>
                    <w:tcBorders>
                      <w:bottom w:val="single" w:sz="4" w:space="0" w:color="auto"/>
                    </w:tcBorders>
                    <w:vAlign w:val="center"/>
                  </w:tcPr>
                  <w:p>
                    <w:pPr>
                      <w:rPr>
                        <w:sz w:val="20"/>
                      </w:rPr>
                    </w:pPr>
                  </w:p>
                </w:tc>
                <w:tc>
                  <w:tcPr>
                    <w:tcW w:w="709" w:type="dxa"/>
                    <w:vMerge/>
                    <w:tcBorders>
                      <w:bottom w:val="single" w:sz="4" w:space="0" w:color="auto"/>
                    </w:tcBorders>
                    <w:vAlign w:val="center"/>
                  </w:tcPr>
                  <w:p>
                    <w:pPr>
                      <w:rPr>
                        <w:sz w:val="20"/>
                      </w:rPr>
                    </w:pPr>
                  </w:p>
                </w:tc>
                <w:tc>
                  <w:tcPr>
                    <w:tcW w:w="1417" w:type="dxa"/>
                    <w:tcBorders>
                      <w:top w:val="nil"/>
                      <w:left w:val="single" w:sz="4" w:space="0" w:color="auto"/>
                      <w:bottom w:val="single" w:sz="4" w:space="0" w:color="auto"/>
                      <w:right w:val="single" w:sz="4" w:space="0" w:color="auto"/>
                    </w:tcBorders>
                    <w:shd w:val="clear" w:color="auto" w:fill="auto"/>
                    <w:noWrap/>
                    <w:vAlign w:val="center"/>
                  </w:tcPr>
                  <w:p>
                    <w:pPr>
                      <w:rPr>
                        <w:sz w:val="20"/>
                      </w:rPr>
                    </w:pPr>
                    <w:r>
                      <w:rPr>
                        <w:rFonts w:eastAsia="MS Mincho"/>
                        <w:color w:val="000000"/>
                        <w:kern w:val="2"/>
                        <w:sz w:val="20"/>
                      </w:rPr>
                      <w:t>P-16-02-03-04</w:t>
                    </w:r>
                  </w:p>
                </w:tc>
                <w:tc>
                  <w:tcPr>
                    <w:tcW w:w="4111" w:type="dxa"/>
                    <w:tcBorders>
                      <w:top w:val="single" w:sz="4" w:space="0" w:color="auto"/>
                      <w:left w:val="nil"/>
                      <w:bottom w:val="single" w:sz="4" w:space="0" w:color="auto"/>
                      <w:right w:val="single" w:sz="4" w:space="0" w:color="auto"/>
                    </w:tcBorders>
                    <w:shd w:val="clear" w:color="auto" w:fill="auto"/>
                    <w:vAlign w:val="center"/>
                  </w:tcPr>
                  <w:p>
                    <w:pPr>
                      <w:rPr>
                        <w:sz w:val="20"/>
                      </w:rPr>
                    </w:pPr>
                    <w:r>
                      <w:rPr>
                        <w:rFonts w:eastAsia="MS Mincho"/>
                        <w:color w:val="000000"/>
                        <w:kern w:val="2"/>
                        <w:sz w:val="20"/>
                      </w:rPr>
                      <w:t>Asmenų (šeimų), laukiančių socialinio būsto, skaičius metų pabaigoje (vnt.)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TVS</w:t>
                    </w:r>
                  </w:p>
                </w:tc>
                <w:tc>
                  <w:tcPr>
                    <w:tcW w:w="1134" w:type="dxa"/>
                    <w:tcBorders>
                      <w:top w:val="single" w:sz="4" w:space="0" w:color="auto"/>
                      <w:left w:val="nil"/>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459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color w:val="000000"/>
                        <w:kern w:val="2"/>
                        <w:sz w:val="20"/>
                      </w:rPr>
                      <w:t>300 (2033)</w:t>
                    </w:r>
                  </w:p>
                </w:tc>
              </w:tr>
              <w:tr>
                <w:trPr>
                  <w:trHeight w:val="552"/>
                  <w:jc w:val="center"/>
                </w:trPr>
                <w:tc>
                  <w:tcPr>
                    <w:tcW w:w="988" w:type="dxa"/>
                    <w:vMerge w:val="restart"/>
                    <w:shd w:val="clear" w:color="auto" w:fill="FFD966"/>
                    <w:noWrap/>
                    <w:vAlign w:val="center"/>
                    <w:hideMark/>
                  </w:tcPr>
                  <w:p>
                    <w:pPr>
                      <w:rPr>
                        <w:b/>
                        <w:bCs/>
                        <w:sz w:val="20"/>
                      </w:rPr>
                    </w:pPr>
                    <w:r>
                      <w:rPr>
                        <w:b/>
                        <w:bCs/>
                        <w:sz w:val="20"/>
                      </w:rPr>
                      <w:t>17</w:t>
                    </w:r>
                  </w:p>
                </w:tc>
                <w:tc>
                  <w:tcPr>
                    <w:tcW w:w="2126" w:type="dxa"/>
                    <w:vMerge w:val="restart"/>
                    <w:tcBorders>
                      <w:top w:val="single" w:sz="4" w:space="0" w:color="auto"/>
                    </w:tcBorders>
                    <w:shd w:val="clear" w:color="auto" w:fill="FFD966"/>
                    <w:vAlign w:val="center"/>
                    <w:hideMark/>
                  </w:tcPr>
                  <w:p>
                    <w:pPr>
                      <w:rPr>
                        <w:b/>
                        <w:bCs/>
                        <w:sz w:val="20"/>
                      </w:rPr>
                    </w:pPr>
                    <w:r>
                      <w:rPr>
                        <w:b/>
                        <w:bCs/>
                        <w:sz w:val="20"/>
                      </w:rPr>
                      <w:t>Ugdyti fiziškai aktyvią ir sportuojančią bendruomenę</w:t>
                    </w:r>
                  </w:p>
                </w:tc>
                <w:tc>
                  <w:tcPr>
                    <w:tcW w:w="850" w:type="dxa"/>
                    <w:vMerge w:val="restart"/>
                    <w:tcBorders>
                      <w:top w:val="single" w:sz="4" w:space="0" w:color="auto"/>
                    </w:tcBorders>
                    <w:shd w:val="clear" w:color="auto" w:fill="FFD966"/>
                    <w:vAlign w:val="center"/>
                    <w:hideMark/>
                  </w:tcPr>
                  <w:p>
                    <w:pPr>
                      <w:jc w:val="center"/>
                      <w:rPr>
                        <w:sz w:val="20"/>
                      </w:rPr>
                    </w:pPr>
                    <w:r>
                      <w:rPr>
                        <w:sz w:val="20"/>
                      </w:rPr>
                      <w:t>SS</w:t>
                    </w:r>
                  </w:p>
                </w:tc>
                <w:tc>
                  <w:tcPr>
                    <w:tcW w:w="709" w:type="dxa"/>
                    <w:vMerge w:val="restart"/>
                    <w:tcBorders>
                      <w:top w:val="single" w:sz="4" w:space="0" w:color="auto"/>
                    </w:tcBorders>
                    <w:shd w:val="clear" w:color="auto" w:fill="FFD966"/>
                    <w:vAlign w:val="center"/>
                    <w:hideMark/>
                  </w:tcPr>
                  <w:p>
                    <w:pPr>
                      <w:jc w:val="center"/>
                      <w:rPr>
                        <w:sz w:val="20"/>
                      </w:rPr>
                    </w:pPr>
                    <w:r>
                      <w:rPr>
                        <w:sz w:val="20"/>
                      </w:rPr>
                      <w:t>2025</w:t>
                    </w:r>
                  </w:p>
                </w:tc>
                <w:tc>
                  <w:tcPr>
                    <w:tcW w:w="709" w:type="dxa"/>
                    <w:vMerge w:val="restart"/>
                    <w:tcBorders>
                      <w:top w:val="single" w:sz="4" w:space="0" w:color="auto"/>
                    </w:tcBorders>
                    <w:shd w:val="clear" w:color="auto" w:fill="FFD966"/>
                    <w:vAlign w:val="center"/>
                    <w:hideMark/>
                  </w:tcPr>
                  <w:p>
                    <w:pPr>
                      <w:jc w:val="center"/>
                      <w:rPr>
                        <w:sz w:val="20"/>
                      </w:rPr>
                    </w:pPr>
                    <w:r>
                      <w:rPr>
                        <w:sz w:val="20"/>
                      </w:rPr>
                      <w:t>2033</w:t>
                    </w:r>
                  </w:p>
                </w:tc>
                <w:tc>
                  <w:tcPr>
                    <w:tcW w:w="1417" w:type="dxa"/>
                    <w:tcBorders>
                      <w:top w:val="single" w:sz="4" w:space="0" w:color="auto"/>
                    </w:tcBorders>
                    <w:shd w:val="clear" w:color="auto" w:fill="FFD966"/>
                    <w:vAlign w:val="center"/>
                    <w:hideMark/>
                  </w:tcPr>
                  <w:p>
                    <w:pPr>
                      <w:rPr>
                        <w:sz w:val="20"/>
                      </w:rPr>
                    </w:pPr>
                    <w:r>
                      <w:rPr>
                        <w:sz w:val="20"/>
                      </w:rPr>
                      <w:t>P-17-01</w:t>
                    </w:r>
                  </w:p>
                </w:tc>
                <w:tc>
                  <w:tcPr>
                    <w:tcW w:w="4111" w:type="dxa"/>
                    <w:tcBorders>
                      <w:top w:val="single" w:sz="4" w:space="0" w:color="auto"/>
                    </w:tcBorders>
                    <w:shd w:val="clear" w:color="auto" w:fill="FFD966"/>
                    <w:vAlign w:val="center"/>
                    <w:hideMark/>
                  </w:tcPr>
                  <w:p>
                    <w:pPr>
                      <w:rPr>
                        <w:sz w:val="20"/>
                      </w:rPr>
                    </w:pPr>
                    <w:r>
                      <w:rPr>
                        <w:sz w:val="20"/>
                      </w:rPr>
                      <w:t>Sporto varžybų ir sveikatingumo renginių dalyvių skaičius (tūkst. asm.)</w:t>
                    </w:r>
                  </w:p>
                </w:tc>
                <w:tc>
                  <w:tcPr>
                    <w:tcW w:w="1134" w:type="dxa"/>
                    <w:tcBorders>
                      <w:top w:val="single" w:sz="4" w:space="0" w:color="auto"/>
                    </w:tcBorders>
                    <w:shd w:val="clear" w:color="auto" w:fill="FFD966"/>
                    <w:vAlign w:val="center"/>
                    <w:hideMark/>
                  </w:tcPr>
                  <w:p>
                    <w:pPr>
                      <w:jc w:val="center"/>
                      <w:rPr>
                        <w:sz w:val="20"/>
                      </w:rPr>
                    </w:pPr>
                    <w:r>
                      <w:rPr>
                        <w:sz w:val="20"/>
                      </w:rPr>
                      <w:t>VDA (SS)</w:t>
                    </w:r>
                  </w:p>
                </w:tc>
                <w:tc>
                  <w:tcPr>
                    <w:tcW w:w="1134" w:type="dxa"/>
                    <w:tcBorders>
                      <w:top w:val="single" w:sz="4" w:space="0" w:color="auto"/>
                    </w:tcBorders>
                    <w:shd w:val="clear" w:color="auto" w:fill="FFD966"/>
                    <w:vAlign w:val="center"/>
                    <w:hideMark/>
                  </w:tcPr>
                  <w:p>
                    <w:pPr>
                      <w:jc w:val="center"/>
                      <w:rPr>
                        <w:sz w:val="20"/>
                      </w:rPr>
                    </w:pPr>
                    <w:r>
                      <w:rPr>
                        <w:sz w:val="20"/>
                      </w:rPr>
                      <w:t>69,4 (2022)</w:t>
                    </w:r>
                  </w:p>
                </w:tc>
                <w:tc>
                  <w:tcPr>
                    <w:tcW w:w="1134" w:type="dxa"/>
                    <w:tcBorders>
                      <w:top w:val="single" w:sz="4" w:space="0" w:color="auto"/>
                    </w:tcBorders>
                    <w:shd w:val="clear" w:color="auto" w:fill="FFD966"/>
                    <w:vAlign w:val="center"/>
                    <w:hideMark/>
                  </w:tcPr>
                  <w:p>
                    <w:pPr>
                      <w:jc w:val="center"/>
                      <w:rPr>
                        <w:sz w:val="20"/>
                      </w:rPr>
                    </w:pPr>
                    <w:r>
                      <w:rPr>
                        <w:sz w:val="20"/>
                      </w:rPr>
                      <w:t>79,8 (2033)</w:t>
                    </w:r>
                  </w:p>
                </w:tc>
              </w:tr>
              <w:tr>
                <w:trPr>
                  <w:trHeight w:val="675"/>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1417" w:type="dxa"/>
                    <w:shd w:val="clear" w:color="auto" w:fill="FFD966"/>
                    <w:vAlign w:val="center"/>
                    <w:hideMark/>
                  </w:tcPr>
                  <w:p>
                    <w:pPr>
                      <w:rPr>
                        <w:sz w:val="20"/>
                      </w:rPr>
                    </w:pPr>
                    <w:r>
                      <w:rPr>
                        <w:sz w:val="20"/>
                      </w:rPr>
                      <w:t>P-17-02</w:t>
                    </w:r>
                  </w:p>
                </w:tc>
                <w:tc>
                  <w:tcPr>
                    <w:tcW w:w="4111" w:type="dxa"/>
                    <w:shd w:val="clear" w:color="auto" w:fill="FFD966"/>
                    <w:vAlign w:val="center"/>
                    <w:hideMark/>
                  </w:tcPr>
                  <w:p>
                    <w:pPr>
                      <w:rPr>
                        <w:sz w:val="20"/>
                      </w:rPr>
                    </w:pPr>
                    <w:r>
                      <w:rPr>
                        <w:sz w:val="20"/>
                      </w:rPr>
                      <w:t xml:space="preserve">Vasaros olimpinių žaidynių / paralimpinių žaidynių dalyvių skaičius  (asm.)</w:t>
                    </w:r>
                  </w:p>
                </w:tc>
                <w:tc>
                  <w:tcPr>
                    <w:tcW w:w="1134" w:type="dxa"/>
                    <w:shd w:val="clear" w:color="auto" w:fill="FFD966"/>
                    <w:vAlign w:val="center"/>
                    <w:hideMark/>
                  </w:tcPr>
                  <w:p>
                    <w:pPr>
                      <w:jc w:val="center"/>
                      <w:rPr>
                        <w:sz w:val="20"/>
                      </w:rPr>
                    </w:pPr>
                    <w:r>
                      <w:rPr>
                        <w:sz w:val="20"/>
                      </w:rPr>
                      <w:t>ŠMSA (SS)</w:t>
                    </w:r>
                  </w:p>
                </w:tc>
                <w:tc>
                  <w:tcPr>
                    <w:tcW w:w="1134" w:type="dxa"/>
                    <w:shd w:val="clear" w:color="auto" w:fill="FFD966"/>
                    <w:vAlign w:val="center"/>
                    <w:hideMark/>
                  </w:tcPr>
                  <w:p>
                    <w:pPr>
                      <w:jc w:val="center"/>
                      <w:rPr>
                        <w:sz w:val="20"/>
                      </w:rPr>
                    </w:pPr>
                    <w:r>
                      <w:rPr>
                        <w:sz w:val="20"/>
                      </w:rPr>
                      <w:t>7 / 3 (2016-2021)</w:t>
                    </w:r>
                  </w:p>
                </w:tc>
                <w:tc>
                  <w:tcPr>
                    <w:tcW w:w="1134" w:type="dxa"/>
                    <w:shd w:val="clear" w:color="auto" w:fill="FFD966"/>
                    <w:vAlign w:val="center"/>
                    <w:hideMark/>
                  </w:tcPr>
                  <w:p>
                    <w:pPr>
                      <w:jc w:val="center"/>
                      <w:rPr>
                        <w:sz w:val="20"/>
                      </w:rPr>
                    </w:pPr>
                    <w:r>
                      <w:rPr>
                        <w:sz w:val="20"/>
                      </w:rPr>
                      <w:t>12 / 10 (2028-2032)</w:t>
                    </w:r>
                  </w:p>
                </w:tc>
              </w:tr>
              <w:tr>
                <w:trPr>
                  <w:trHeight w:val="738"/>
                  <w:jc w:val="center"/>
                </w:trPr>
                <w:tc>
                  <w:tcPr>
                    <w:tcW w:w="988" w:type="dxa"/>
                    <w:vMerge w:val="restart"/>
                    <w:shd w:val="clear" w:color="auto" w:fill="FCE4D6"/>
                    <w:noWrap/>
                    <w:vAlign w:val="center"/>
                    <w:hideMark/>
                  </w:tcPr>
                  <w:p>
                    <w:pPr>
                      <w:rPr>
                        <w:b/>
                        <w:bCs/>
                        <w:sz w:val="20"/>
                      </w:rPr>
                    </w:pPr>
                    <w:r>
                      <w:rPr>
                        <w:b/>
                        <w:bCs/>
                        <w:sz w:val="20"/>
                      </w:rPr>
                      <w:t>17-01</w:t>
                    </w:r>
                  </w:p>
                </w:tc>
                <w:tc>
                  <w:tcPr>
                    <w:tcW w:w="2126" w:type="dxa"/>
                    <w:vMerge w:val="restart"/>
                    <w:shd w:val="clear" w:color="auto" w:fill="FCE4D6"/>
                    <w:vAlign w:val="center"/>
                    <w:hideMark/>
                  </w:tcPr>
                  <w:p>
                    <w:pPr>
                      <w:rPr>
                        <w:b/>
                        <w:bCs/>
                        <w:sz w:val="20"/>
                      </w:rPr>
                    </w:pPr>
                    <w:r>
                      <w:rPr>
                        <w:b/>
                        <w:bCs/>
                        <w:sz w:val="20"/>
                      </w:rPr>
                      <w:t>Skatinti gyventojų fizinio aktyvumo veiklas ir plėtoti aukšto meistriškumo sportininkų rengimo sistemą</w:t>
                    </w:r>
                  </w:p>
                </w:tc>
                <w:tc>
                  <w:tcPr>
                    <w:tcW w:w="850" w:type="dxa"/>
                    <w:vMerge w:val="restart"/>
                    <w:shd w:val="clear" w:color="auto" w:fill="FCE4D6"/>
                    <w:vAlign w:val="center"/>
                    <w:hideMark/>
                  </w:tcPr>
                  <w:p>
                    <w:pPr>
                      <w:jc w:val="center"/>
                      <w:rPr>
                        <w:sz w:val="20"/>
                      </w:rPr>
                    </w:pPr>
                    <w:r>
                      <w:rPr>
                        <w:sz w:val="20"/>
                      </w:rPr>
                      <w:t>SS</w:t>
                    </w:r>
                  </w:p>
                </w:tc>
                <w:tc>
                  <w:tcPr>
                    <w:tcW w:w="709" w:type="dxa"/>
                    <w:vMerge w:val="restart"/>
                    <w:shd w:val="clear" w:color="auto" w:fill="FCE4D6"/>
                    <w:vAlign w:val="center"/>
                    <w:hideMark/>
                  </w:tcPr>
                  <w:p>
                    <w:pPr>
                      <w:jc w:val="center"/>
                      <w:rPr>
                        <w:sz w:val="20"/>
                      </w:rPr>
                    </w:pPr>
                    <w:r>
                      <w:rPr>
                        <w:sz w:val="20"/>
                      </w:rPr>
                      <w:t>2025</w:t>
                    </w:r>
                  </w:p>
                </w:tc>
                <w:tc>
                  <w:tcPr>
                    <w:tcW w:w="709" w:type="dxa"/>
                    <w:vMerge w:val="restart"/>
                    <w:shd w:val="clear" w:color="auto" w:fill="FCE4D6"/>
                    <w:vAlign w:val="center"/>
                    <w:hideMark/>
                  </w:tcPr>
                  <w:p>
                    <w:pPr>
                      <w:jc w:val="center"/>
                      <w:rPr>
                        <w:sz w:val="20"/>
                      </w:rPr>
                    </w:pPr>
                    <w:r>
                      <w:rPr>
                        <w:sz w:val="20"/>
                      </w:rPr>
                      <w:t>2033</w:t>
                    </w:r>
                  </w:p>
                </w:tc>
                <w:tc>
                  <w:tcPr>
                    <w:tcW w:w="1417" w:type="dxa"/>
                    <w:shd w:val="clear" w:color="auto" w:fill="FCE4D6"/>
                    <w:vAlign w:val="center"/>
                    <w:hideMark/>
                  </w:tcPr>
                  <w:p>
                    <w:pPr>
                      <w:rPr>
                        <w:b/>
                        <w:bCs/>
                        <w:sz w:val="20"/>
                      </w:rPr>
                    </w:pPr>
                    <w:r>
                      <w:rPr>
                        <w:b/>
                        <w:bCs/>
                        <w:sz w:val="20"/>
                      </w:rPr>
                      <w:t>R-17-01-01</w:t>
                    </w:r>
                  </w:p>
                </w:tc>
                <w:tc>
                  <w:tcPr>
                    <w:tcW w:w="4111" w:type="dxa"/>
                    <w:shd w:val="clear" w:color="auto" w:fill="FCE4D6"/>
                    <w:vAlign w:val="center"/>
                    <w:hideMark/>
                  </w:tcPr>
                  <w:p>
                    <w:pPr>
                      <w:rPr>
                        <w:sz w:val="20"/>
                      </w:rPr>
                    </w:pPr>
                    <w:r>
                      <w:rPr>
                        <w:sz w:val="20"/>
                      </w:rPr>
                      <w:t>Sportuojančiųjų sporto klubuose ir ugdymo centruose dalis nuo gyventojų skaičiaus (proc.)</w:t>
                    </w:r>
                  </w:p>
                </w:tc>
                <w:tc>
                  <w:tcPr>
                    <w:tcW w:w="1134" w:type="dxa"/>
                    <w:shd w:val="clear" w:color="auto" w:fill="FCE4D6"/>
                    <w:vAlign w:val="center"/>
                    <w:hideMark/>
                  </w:tcPr>
                  <w:p>
                    <w:pPr>
                      <w:jc w:val="center"/>
                      <w:rPr>
                        <w:sz w:val="20"/>
                      </w:rPr>
                    </w:pPr>
                    <w:r>
                      <w:rPr>
                        <w:sz w:val="20"/>
                      </w:rPr>
                      <w:t>LSC (SS)</w:t>
                    </w:r>
                  </w:p>
                </w:tc>
                <w:tc>
                  <w:tcPr>
                    <w:tcW w:w="1134" w:type="dxa"/>
                    <w:shd w:val="clear" w:color="auto" w:fill="FCE4D6"/>
                    <w:vAlign w:val="center"/>
                    <w:hideMark/>
                  </w:tcPr>
                  <w:p>
                    <w:pPr>
                      <w:jc w:val="center"/>
                      <w:rPr>
                        <w:sz w:val="20"/>
                      </w:rPr>
                    </w:pPr>
                    <w:r>
                      <w:rPr>
                        <w:sz w:val="20"/>
                      </w:rPr>
                      <w:t>8,8 (2022)</w:t>
                    </w:r>
                  </w:p>
                </w:tc>
                <w:tc>
                  <w:tcPr>
                    <w:tcW w:w="1134" w:type="dxa"/>
                    <w:shd w:val="clear" w:color="auto" w:fill="FCE4D6"/>
                    <w:vAlign w:val="center"/>
                    <w:hideMark/>
                  </w:tcPr>
                  <w:p>
                    <w:pPr>
                      <w:jc w:val="center"/>
                      <w:rPr>
                        <w:sz w:val="20"/>
                      </w:rPr>
                    </w:pPr>
                    <w:r>
                      <w:rPr>
                        <w:sz w:val="20"/>
                      </w:rPr>
                      <w:t>10,5 (2033)</w:t>
                    </w:r>
                  </w:p>
                </w:tc>
              </w:tr>
              <w:tr>
                <w:trPr>
                  <w:trHeight w:val="56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b/>
                        <w:bCs/>
                        <w:sz w:val="20"/>
                      </w:rPr>
                    </w:pPr>
                    <w:r>
                      <w:rPr>
                        <w:b/>
                        <w:bCs/>
                        <w:sz w:val="20"/>
                      </w:rPr>
                      <w:t>R-17-01-02</w:t>
                    </w:r>
                  </w:p>
                </w:tc>
                <w:tc>
                  <w:tcPr>
                    <w:tcW w:w="4111" w:type="dxa"/>
                    <w:shd w:val="clear" w:color="auto" w:fill="FCE4D6"/>
                    <w:vAlign w:val="center"/>
                    <w:hideMark/>
                  </w:tcPr>
                  <w:p>
                    <w:pPr>
                      <w:rPr>
                        <w:sz w:val="20"/>
                      </w:rPr>
                    </w:pPr>
                    <w:r>
                      <w:rPr>
                        <w:sz w:val="20"/>
                      </w:rPr>
                      <w:t>Europos ir pasaulio suaugusiųjų čempionatų olimpinių sporto šakų 1–3 v. laimėtojai (asm. per metus)</w:t>
                    </w:r>
                  </w:p>
                </w:tc>
                <w:tc>
                  <w:tcPr>
                    <w:tcW w:w="1134" w:type="dxa"/>
                    <w:shd w:val="clear" w:color="auto" w:fill="FCE4D6"/>
                    <w:vAlign w:val="center"/>
                    <w:hideMark/>
                  </w:tcPr>
                  <w:p>
                    <w:pPr>
                      <w:jc w:val="center"/>
                      <w:rPr>
                        <w:sz w:val="20"/>
                      </w:rPr>
                    </w:pPr>
                    <w:r>
                      <w:rPr>
                        <w:sz w:val="20"/>
                      </w:rPr>
                      <w:t>ŠMSA (SS)</w:t>
                    </w:r>
                  </w:p>
                </w:tc>
                <w:tc>
                  <w:tcPr>
                    <w:tcW w:w="1134" w:type="dxa"/>
                    <w:shd w:val="clear" w:color="auto" w:fill="FCE4D6"/>
                    <w:vAlign w:val="center"/>
                    <w:hideMark/>
                  </w:tcPr>
                  <w:p>
                    <w:pPr>
                      <w:jc w:val="center"/>
                      <w:rPr>
                        <w:sz w:val="20"/>
                      </w:rPr>
                    </w:pPr>
                    <w:r>
                      <w:rPr>
                        <w:sz w:val="20"/>
                      </w:rPr>
                      <w:t>13 (2023)</w:t>
                    </w:r>
                  </w:p>
                </w:tc>
                <w:tc>
                  <w:tcPr>
                    <w:tcW w:w="1134" w:type="dxa"/>
                    <w:shd w:val="clear" w:color="auto" w:fill="FCE4D6"/>
                    <w:vAlign w:val="center"/>
                    <w:hideMark/>
                  </w:tcPr>
                  <w:p>
                    <w:pPr>
                      <w:jc w:val="center"/>
                      <w:rPr>
                        <w:sz w:val="20"/>
                      </w:rPr>
                    </w:pPr>
                    <w:r>
                      <w:rPr>
                        <w:sz w:val="20"/>
                      </w:rPr>
                      <w:t>15 (2033)</w:t>
                    </w:r>
                  </w:p>
                </w:tc>
              </w:tr>
              <w:tr>
                <w:trPr>
                  <w:trHeight w:val="1170"/>
                  <w:jc w:val="center"/>
                </w:trPr>
                <w:tc>
                  <w:tcPr>
                    <w:tcW w:w="988" w:type="dxa"/>
                    <w:vMerge w:val="restart"/>
                    <w:noWrap/>
                    <w:vAlign w:val="center"/>
                    <w:hideMark/>
                  </w:tcPr>
                  <w:p>
                    <w:pPr>
                      <w:rPr>
                        <w:sz w:val="20"/>
                      </w:rPr>
                    </w:pPr>
                    <w:r>
                      <w:rPr>
                        <w:sz w:val="20"/>
                      </w:rPr>
                      <w:t>17-01-01</w:t>
                    </w:r>
                  </w:p>
                </w:tc>
                <w:tc>
                  <w:tcPr>
                    <w:tcW w:w="2126" w:type="dxa"/>
                    <w:vMerge w:val="restart"/>
                    <w:vAlign w:val="center"/>
                    <w:hideMark/>
                  </w:tcPr>
                  <w:p>
                    <w:pPr>
                      <w:rPr>
                        <w:sz w:val="20"/>
                      </w:rPr>
                    </w:pPr>
                    <w:r>
                      <w:rPr>
                        <w:sz w:val="20"/>
                      </w:rPr>
                      <w:t>Užtikrinti palankias ir motyvuojančias veiklos sąlygas sporto įstaigose ir organizacijose</w:t>
                    </w:r>
                  </w:p>
                </w:tc>
                <w:tc>
                  <w:tcPr>
                    <w:tcW w:w="850" w:type="dxa"/>
                    <w:vMerge w:val="restart"/>
                    <w:vAlign w:val="center"/>
                    <w:hideMark/>
                  </w:tcPr>
                  <w:p>
                    <w:pPr>
                      <w:jc w:val="center"/>
                      <w:rPr>
                        <w:sz w:val="20"/>
                      </w:rPr>
                    </w:pPr>
                    <w:r>
                      <w:rPr>
                        <w:sz w:val="20"/>
                      </w:rPr>
                      <w:t>SS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P-17-01-01-01</w:t>
                    </w:r>
                  </w:p>
                </w:tc>
                <w:tc>
                  <w:tcPr>
                    <w:tcW w:w="4111" w:type="dxa"/>
                    <w:vAlign w:val="center"/>
                    <w:hideMark/>
                  </w:tcPr>
                  <w:p>
                    <w:pPr>
                      <w:rPr>
                        <w:sz w:val="20"/>
                      </w:rPr>
                    </w:pPr>
                    <w:r>
                      <w:rPr>
                        <w:sz w:val="20"/>
                      </w:rPr>
                      <w:t>Užtikrintas sportininkų medicininis aptarnavimas, didinant Šiaulių lengvosios atletikos ir sveikatingumo centro, Medicinos skyriaus komplektaciją: gydytojų / kitų medicinos darbuotojų (vnt. / vnt.)</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1,25/3 (2023)</w:t>
                    </w:r>
                  </w:p>
                </w:tc>
                <w:tc>
                  <w:tcPr>
                    <w:tcW w:w="1134" w:type="dxa"/>
                    <w:vAlign w:val="center"/>
                    <w:hideMark/>
                  </w:tcPr>
                  <w:p>
                    <w:pPr>
                      <w:jc w:val="center"/>
                      <w:rPr>
                        <w:sz w:val="20"/>
                      </w:rPr>
                    </w:pPr>
                    <w:r>
                      <w:rPr>
                        <w:sz w:val="20"/>
                      </w:rPr>
                      <w:t>3/5 (2028)</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P-17-01-01-02</w:t>
                    </w:r>
                  </w:p>
                </w:tc>
                <w:tc>
                  <w:tcPr>
                    <w:tcW w:w="4111" w:type="dxa"/>
                    <w:vAlign w:val="center"/>
                    <w:hideMark/>
                  </w:tcPr>
                  <w:p>
                    <w:pPr>
                      <w:rPr>
                        <w:sz w:val="20"/>
                      </w:rPr>
                    </w:pPr>
                    <w:r>
                      <w:rPr>
                        <w:sz w:val="20"/>
                      </w:rPr>
                      <w:t>Akredituotų, Savivaldybės sporto įstaigų ir organizacijų skaičius (vnt.)</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12 (2029)</w:t>
                    </w:r>
                  </w:p>
                </w:tc>
              </w:tr>
              <w:tr>
                <w:trPr>
                  <w:trHeight w:val="697"/>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P-17-01-01-03</w:t>
                    </w:r>
                  </w:p>
                </w:tc>
                <w:tc>
                  <w:tcPr>
                    <w:tcW w:w="4111" w:type="dxa"/>
                    <w:vAlign w:val="center"/>
                    <w:hideMark/>
                  </w:tcPr>
                  <w:p>
                    <w:pPr>
                      <w:rPr>
                        <w:sz w:val="20"/>
                      </w:rPr>
                    </w:pPr>
                    <w:r>
                      <w:rPr>
                        <w:sz w:val="20"/>
                      </w:rPr>
                      <w:t>Sporto įstaigų ir organizacijų pritrauktų rėmėjų ir kitų išorinių finansavimo šaltinių lėšų suma (mln. Eur per metus)</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2,07 (2023)</w:t>
                    </w:r>
                  </w:p>
                </w:tc>
                <w:tc>
                  <w:tcPr>
                    <w:tcW w:w="1134" w:type="dxa"/>
                    <w:vAlign w:val="center"/>
                    <w:hideMark/>
                  </w:tcPr>
                  <w:p>
                    <w:pPr>
                      <w:jc w:val="center"/>
                      <w:rPr>
                        <w:sz w:val="20"/>
                      </w:rPr>
                    </w:pPr>
                    <w:r>
                      <w:rPr>
                        <w:sz w:val="20"/>
                      </w:rPr>
                      <w:t>3,06 (2033)</w:t>
                    </w:r>
                  </w:p>
                </w:tc>
              </w:tr>
              <w:tr>
                <w:trPr>
                  <w:trHeight w:val="756"/>
                  <w:jc w:val="center"/>
                </w:trPr>
                <w:tc>
                  <w:tcPr>
                    <w:tcW w:w="988" w:type="dxa"/>
                    <w:vMerge w:val="restart"/>
                    <w:noWrap/>
                    <w:vAlign w:val="center"/>
                    <w:hideMark/>
                  </w:tcPr>
                  <w:p>
                    <w:pPr>
                      <w:rPr>
                        <w:sz w:val="20"/>
                      </w:rPr>
                    </w:pPr>
                    <w:r>
                      <w:rPr>
                        <w:sz w:val="20"/>
                      </w:rPr>
                      <w:t>17-01-02</w:t>
                    </w:r>
                  </w:p>
                </w:tc>
                <w:tc>
                  <w:tcPr>
                    <w:tcW w:w="2126" w:type="dxa"/>
                    <w:vMerge w:val="restart"/>
                    <w:vAlign w:val="center"/>
                    <w:hideMark/>
                  </w:tcPr>
                  <w:p>
                    <w:pPr>
                      <w:rPr>
                        <w:sz w:val="20"/>
                      </w:rPr>
                    </w:pPr>
                    <w:r>
                      <w:rPr>
                        <w:sz w:val="20"/>
                      </w:rPr>
                      <w:t>Skatinti savarankišką fizinį aktyvumą įvairiose gyventojų grupėse</w:t>
                    </w:r>
                  </w:p>
                </w:tc>
                <w:tc>
                  <w:tcPr>
                    <w:tcW w:w="850" w:type="dxa"/>
                    <w:vMerge w:val="restart"/>
                    <w:vAlign w:val="center"/>
                    <w:hideMark/>
                  </w:tcPr>
                  <w:p>
                    <w:pPr>
                      <w:jc w:val="center"/>
                      <w:rPr>
                        <w:sz w:val="20"/>
                      </w:rPr>
                    </w:pPr>
                    <w:r>
                      <w:rPr>
                        <w:sz w:val="20"/>
                      </w:rPr>
                      <w:t>SS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P-17-01-02-01</w:t>
                    </w:r>
                  </w:p>
                </w:tc>
                <w:tc>
                  <w:tcPr>
                    <w:tcW w:w="4111" w:type="dxa"/>
                    <w:vAlign w:val="center"/>
                    <w:hideMark/>
                  </w:tcPr>
                  <w:p>
                    <w:pPr>
                      <w:rPr>
                        <w:sz w:val="20"/>
                      </w:rPr>
                    </w:pPr>
                    <w:r>
                      <w:rPr>
                        <w:sz w:val="20"/>
                      </w:rPr>
                      <w:t>Atliktas pilotinis tyrimas dėl Savivaldybės švietimo įstaigų uždaros sporto infrastruktūros atvėrimo bendruomenės sporto ir fizinio aktyvumo poreikiams tenkinti (vnt.)</w:t>
                    </w:r>
                  </w:p>
                </w:tc>
                <w:tc>
                  <w:tcPr>
                    <w:tcW w:w="1134" w:type="dxa"/>
                    <w:vAlign w:val="center"/>
                    <w:hideMark/>
                  </w:tcPr>
                  <w:p>
                    <w:pPr>
                      <w:jc w:val="center"/>
                      <w:rPr>
                        <w:sz w:val="20"/>
                      </w:rPr>
                    </w:pPr>
                    <w:r>
                      <w:rPr>
                        <w:sz w:val="20"/>
                      </w:rPr>
                      <w:t>SS, ŠS</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 (2026)</w:t>
                    </w:r>
                  </w:p>
                </w:tc>
              </w:tr>
              <w:tr>
                <w:trPr>
                  <w:trHeight w:val="50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P-17-01-02-02</w:t>
                    </w:r>
                  </w:p>
                </w:tc>
                <w:tc>
                  <w:tcPr>
                    <w:tcW w:w="4111" w:type="dxa"/>
                    <w:vAlign w:val="center"/>
                    <w:hideMark/>
                  </w:tcPr>
                  <w:p>
                    <w:pPr>
                      <w:rPr>
                        <w:color w:val="FF0000"/>
                        <w:sz w:val="20"/>
                      </w:rPr>
                    </w:pPr>
                    <w:r>
                      <w:rPr>
                        <w:sz w:val="20"/>
                      </w:rPr>
                      <w:t>Savivaldybės administracijos dalinai finansuojamų organizuotų fizinio aktyvumo užsiėmimų dalyvių dalis nuo bendro Šiaulių m. gyventojų skaičiaus (proc.)</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14,4 (2023)</w:t>
                    </w:r>
                  </w:p>
                </w:tc>
                <w:tc>
                  <w:tcPr>
                    <w:tcW w:w="1134" w:type="dxa"/>
                    <w:vAlign w:val="center"/>
                    <w:hideMark/>
                  </w:tcPr>
                  <w:p>
                    <w:pPr>
                      <w:jc w:val="center"/>
                      <w:rPr>
                        <w:sz w:val="20"/>
                      </w:rPr>
                    </w:pPr>
                    <w:r>
                      <w:rPr>
                        <w:sz w:val="20"/>
                      </w:rPr>
                      <w:t>17,3 (2033)</w:t>
                    </w:r>
                  </w:p>
                </w:tc>
              </w:tr>
              <w:tr>
                <w:trPr>
                  <w:trHeight w:val="78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P-17-01-02-03</w:t>
                    </w:r>
                  </w:p>
                </w:tc>
                <w:tc>
                  <w:tcPr>
                    <w:tcW w:w="4111" w:type="dxa"/>
                    <w:vAlign w:val="center"/>
                    <w:hideMark/>
                  </w:tcPr>
                  <w:p>
                    <w:pPr>
                      <w:rPr>
                        <w:sz w:val="20"/>
                      </w:rPr>
                    </w:pPr>
                    <w:r>
                      <w:rPr>
                        <w:sz w:val="20"/>
                      </w:rPr>
                      <w:t>Savivaldybės administracijos dalinai finansuojamų organizuotų fizinio aktyvumo veiklose dalyvavusių negalią turinčių asmenų skaičius (asm. per metus)</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142 (2023)</w:t>
                    </w:r>
                  </w:p>
                </w:tc>
                <w:tc>
                  <w:tcPr>
                    <w:tcW w:w="1134" w:type="dxa"/>
                    <w:vAlign w:val="center"/>
                    <w:hideMark/>
                  </w:tcPr>
                  <w:p>
                    <w:pPr>
                      <w:jc w:val="center"/>
                      <w:rPr>
                        <w:sz w:val="20"/>
                      </w:rPr>
                    </w:pPr>
                    <w:r>
                      <w:rPr>
                        <w:sz w:val="20"/>
                      </w:rPr>
                      <w:t>185 (2033)</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P-17-01-02-04</w:t>
                    </w:r>
                  </w:p>
                </w:tc>
                <w:tc>
                  <w:tcPr>
                    <w:tcW w:w="4111" w:type="dxa"/>
                    <w:vAlign w:val="center"/>
                    <w:hideMark/>
                  </w:tcPr>
                  <w:p>
                    <w:pPr>
                      <w:rPr>
                        <w:sz w:val="20"/>
                      </w:rPr>
                    </w:pPr>
                    <w:r>
                      <w:rPr>
                        <w:sz w:val="20"/>
                      </w:rPr>
                      <w:t>Socialinio tinklo specializuotos paskyros „Sporto miestas Šiauliai“ stebėtojų skaičius (tūkst. vnt.)</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3,3 (2023)</w:t>
                    </w:r>
                  </w:p>
                </w:tc>
                <w:tc>
                  <w:tcPr>
                    <w:tcW w:w="1134" w:type="dxa"/>
                    <w:vAlign w:val="center"/>
                    <w:hideMark/>
                  </w:tcPr>
                  <w:p>
                    <w:pPr>
                      <w:jc w:val="center"/>
                      <w:rPr>
                        <w:sz w:val="20"/>
                      </w:rPr>
                    </w:pPr>
                    <w:r>
                      <w:rPr>
                        <w:sz w:val="20"/>
                      </w:rPr>
                      <w:t>6,6 (2033)</w:t>
                    </w:r>
                  </w:p>
                </w:tc>
              </w:tr>
              <w:tr>
                <w:trPr>
                  <w:trHeight w:val="641"/>
                  <w:jc w:val="center"/>
                </w:trPr>
                <w:tc>
                  <w:tcPr>
                    <w:tcW w:w="988" w:type="dxa"/>
                    <w:vMerge w:val="restart"/>
                    <w:noWrap/>
                    <w:vAlign w:val="center"/>
                    <w:hideMark/>
                  </w:tcPr>
                  <w:p>
                    <w:pPr>
                      <w:rPr>
                        <w:sz w:val="20"/>
                      </w:rPr>
                    </w:pPr>
                    <w:r>
                      <w:rPr>
                        <w:sz w:val="20"/>
                      </w:rPr>
                      <w:t>17-01-03</w:t>
                    </w:r>
                  </w:p>
                </w:tc>
                <w:tc>
                  <w:tcPr>
                    <w:tcW w:w="2126" w:type="dxa"/>
                    <w:vMerge w:val="restart"/>
                    <w:vAlign w:val="center"/>
                    <w:hideMark/>
                  </w:tcPr>
                  <w:p>
                    <w:pPr>
                      <w:rPr>
                        <w:sz w:val="20"/>
                      </w:rPr>
                    </w:pPr>
                    <w:r>
                      <w:rPr>
                        <w:sz w:val="20"/>
                      </w:rPr>
                      <w:t>Plėtoti aukšto meistriškumo sportininkų rengimo sistemą</w:t>
                    </w:r>
                  </w:p>
                </w:tc>
                <w:tc>
                  <w:tcPr>
                    <w:tcW w:w="850" w:type="dxa"/>
                    <w:vMerge w:val="restart"/>
                    <w:vAlign w:val="center"/>
                    <w:hideMark/>
                  </w:tcPr>
                  <w:p>
                    <w:pPr>
                      <w:jc w:val="center"/>
                      <w:rPr>
                        <w:sz w:val="20"/>
                      </w:rPr>
                    </w:pPr>
                    <w:r>
                      <w:rPr>
                        <w:sz w:val="20"/>
                      </w:rPr>
                      <w:t>SS</w:t>
                    </w:r>
                  </w:p>
                </w:tc>
                <w:tc>
                  <w:tcPr>
                    <w:tcW w:w="709" w:type="dxa"/>
                    <w:vMerge w:val="restart"/>
                    <w:vAlign w:val="center"/>
                    <w:hideMark/>
                  </w:tcPr>
                  <w:p>
                    <w:pPr>
                      <w:jc w:val="center"/>
                      <w:rPr>
                        <w:sz w:val="20"/>
                      </w:rPr>
                    </w:pPr>
                  </w:p>
                </w:tc>
                <w:tc>
                  <w:tcPr>
                    <w:tcW w:w="709" w:type="dxa"/>
                    <w:vMerge w:val="restart"/>
                    <w:vAlign w:val="center"/>
                    <w:hideMark/>
                  </w:tcPr>
                  <w:p>
                    <w:pPr>
                      <w:jc w:val="center"/>
                      <w:rPr>
                        <w:sz w:val="20"/>
                      </w:rPr>
                    </w:pPr>
                  </w:p>
                </w:tc>
                <w:tc>
                  <w:tcPr>
                    <w:tcW w:w="1417" w:type="dxa"/>
                    <w:vAlign w:val="center"/>
                    <w:hideMark/>
                  </w:tcPr>
                  <w:p>
                    <w:pPr>
                      <w:rPr>
                        <w:sz w:val="20"/>
                      </w:rPr>
                    </w:pPr>
                    <w:r>
                      <w:rPr>
                        <w:sz w:val="20"/>
                      </w:rPr>
                      <w:t>P-17-01-03-01</w:t>
                    </w:r>
                  </w:p>
                </w:tc>
                <w:tc>
                  <w:tcPr>
                    <w:tcW w:w="4111" w:type="dxa"/>
                    <w:vAlign w:val="center"/>
                    <w:hideMark/>
                  </w:tcPr>
                  <w:p>
                    <w:pPr>
                      <w:rPr>
                        <w:sz w:val="20"/>
                      </w:rPr>
                    </w:pPr>
                    <w:r>
                      <w:rPr>
                        <w:sz w:val="20"/>
                      </w:rPr>
                      <w:t>Lietuvos čempionatuose laimėtų 1–3 vietų (suaugusiųjų žaidimų komandos) skaičius (vnt. per metus)</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9 (2023)</w:t>
                    </w:r>
                  </w:p>
                </w:tc>
                <w:tc>
                  <w:tcPr>
                    <w:tcW w:w="1134" w:type="dxa"/>
                    <w:vAlign w:val="center"/>
                    <w:hideMark/>
                  </w:tcPr>
                  <w:p>
                    <w:pPr>
                      <w:jc w:val="center"/>
                      <w:rPr>
                        <w:sz w:val="20"/>
                      </w:rPr>
                    </w:pPr>
                    <w:r>
                      <w:rPr>
                        <w:sz w:val="20"/>
                      </w:rPr>
                      <w:t>11 (2033)</w:t>
                    </w:r>
                  </w:p>
                </w:tc>
              </w:tr>
              <w:tr>
                <w:trPr>
                  <w:trHeight w:val="553"/>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P-17-01-03-02</w:t>
                    </w:r>
                  </w:p>
                </w:tc>
                <w:tc>
                  <w:tcPr>
                    <w:tcW w:w="4111" w:type="dxa"/>
                    <w:vAlign w:val="center"/>
                    <w:hideMark/>
                  </w:tcPr>
                  <w:p>
                    <w:pPr>
                      <w:rPr>
                        <w:sz w:val="20"/>
                      </w:rPr>
                    </w:pPr>
                    <w:r>
                      <w:rPr>
                        <w:sz w:val="20"/>
                      </w:rPr>
                      <w:t>Lietuvos nacionalinių rinktinių narių skaičius: jaunių, jaunimo / suaugusiųjų amžiaus grupėse (asm. / asm. per metus)</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243 / 103 (2023)</w:t>
                    </w:r>
                  </w:p>
                </w:tc>
                <w:tc>
                  <w:tcPr>
                    <w:tcW w:w="1134" w:type="dxa"/>
                    <w:vAlign w:val="center"/>
                    <w:hideMark/>
                  </w:tcPr>
                  <w:p>
                    <w:pPr>
                      <w:jc w:val="center"/>
                      <w:rPr>
                        <w:sz w:val="20"/>
                      </w:rPr>
                    </w:pPr>
                    <w:r>
                      <w:rPr>
                        <w:sz w:val="20"/>
                      </w:rPr>
                      <w:t>265 / 125 (2033)</w:t>
                    </w:r>
                  </w:p>
                </w:tc>
              </w:tr>
              <w:tr>
                <w:trPr>
                  <w:trHeight w:val="66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P-17-01-03-03</w:t>
                    </w:r>
                  </w:p>
                </w:tc>
                <w:tc>
                  <w:tcPr>
                    <w:tcW w:w="4111" w:type="dxa"/>
                    <w:vAlign w:val="center"/>
                    <w:hideMark/>
                  </w:tcPr>
                  <w:p>
                    <w:pPr>
                      <w:rPr>
                        <w:sz w:val="20"/>
                      </w:rPr>
                    </w:pPr>
                    <w:r>
                      <w:rPr>
                        <w:sz w:val="20"/>
                      </w:rPr>
                      <w:t>Organizuotoje aukšto meistriškumo sporto veikloje dalyvaujančių žmonių su negalia skaičius (asm. per metus)</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11 (2023)</w:t>
                    </w:r>
                  </w:p>
                </w:tc>
                <w:tc>
                  <w:tcPr>
                    <w:tcW w:w="1134" w:type="dxa"/>
                    <w:vAlign w:val="center"/>
                    <w:hideMark/>
                  </w:tcPr>
                  <w:p>
                    <w:pPr>
                      <w:jc w:val="center"/>
                      <w:rPr>
                        <w:sz w:val="20"/>
                      </w:rPr>
                    </w:pPr>
                    <w:r>
                      <w:rPr>
                        <w:sz w:val="20"/>
                      </w:rPr>
                      <w:t>15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P-17-01-03-04</w:t>
                    </w:r>
                  </w:p>
                </w:tc>
                <w:tc>
                  <w:tcPr>
                    <w:tcW w:w="4111" w:type="dxa"/>
                    <w:vAlign w:val="center"/>
                    <w:hideMark/>
                  </w:tcPr>
                  <w:p>
                    <w:pPr>
                      <w:rPr>
                        <w:sz w:val="20"/>
                      </w:rPr>
                    </w:pPr>
                    <w:r>
                      <w:rPr>
                        <w:sz w:val="20"/>
                      </w:rPr>
                      <w:t>Surengtų Europos ir pasaulio čempionatų, taurės varžybų skaičius (vnt. per metus)</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3 (2023)</w:t>
                    </w:r>
                  </w:p>
                </w:tc>
                <w:tc>
                  <w:tcPr>
                    <w:tcW w:w="1134" w:type="dxa"/>
                    <w:vAlign w:val="center"/>
                    <w:hideMark/>
                  </w:tcPr>
                  <w:p>
                    <w:pPr>
                      <w:jc w:val="center"/>
                      <w:rPr>
                        <w:sz w:val="20"/>
                      </w:rPr>
                    </w:pPr>
                    <w:r>
                      <w:rPr>
                        <w:sz w:val="20"/>
                      </w:rPr>
                      <w:t>4 (2033)</w:t>
                    </w:r>
                  </w:p>
                </w:tc>
              </w:tr>
              <w:tr>
                <w:trPr>
                  <w:trHeight w:val="848"/>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P-17-01-03-05</w:t>
                    </w:r>
                  </w:p>
                </w:tc>
                <w:tc>
                  <w:tcPr>
                    <w:tcW w:w="4111" w:type="dxa"/>
                    <w:vAlign w:val="center"/>
                    <w:hideMark/>
                  </w:tcPr>
                  <w:p>
                    <w:pPr>
                      <w:rPr>
                        <w:sz w:val="20"/>
                      </w:rPr>
                    </w:pPr>
                    <w:r>
                      <w:rPr>
                        <w:sz w:val="20"/>
                      </w:rPr>
                      <w:t xml:space="preserve">Sporto gimnazijos mokinių (sportininkų), atstovaujančių Lietuvos rinktines (jauniai,  jaunimas ir suaugusieji) dalis, nuo visų mokinių (sportininkų) (asm.)</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90,7 (2023)</w:t>
                    </w:r>
                  </w:p>
                </w:tc>
                <w:tc>
                  <w:tcPr>
                    <w:tcW w:w="1134" w:type="dxa"/>
                    <w:vAlign w:val="center"/>
                    <w:hideMark/>
                  </w:tcPr>
                  <w:p>
                    <w:pPr>
                      <w:jc w:val="center"/>
                      <w:rPr>
                        <w:sz w:val="20"/>
                      </w:rPr>
                    </w:pPr>
                    <w:r>
                      <w:rPr>
                        <w:sz w:val="20"/>
                      </w:rPr>
                      <w:t>95-97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P-17-01-03-06</w:t>
                    </w:r>
                  </w:p>
                </w:tc>
                <w:tc>
                  <w:tcPr>
                    <w:tcW w:w="4111" w:type="dxa"/>
                    <w:vAlign w:val="center"/>
                    <w:hideMark/>
                  </w:tcPr>
                  <w:p>
                    <w:pPr>
                      <w:rPr>
                        <w:sz w:val="20"/>
                      </w:rPr>
                    </w:pPr>
                    <w:r>
                      <w:rPr>
                        <w:sz w:val="20"/>
                      </w:rPr>
                      <w:t>Sporto šakų, kuriose sportinis ugdymas vystomas „piramidės“ principu, skaičius (vnt.)</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10 (2023)</w:t>
                    </w:r>
                  </w:p>
                </w:tc>
                <w:tc>
                  <w:tcPr>
                    <w:tcW w:w="1134" w:type="dxa"/>
                    <w:vAlign w:val="center"/>
                    <w:hideMark/>
                  </w:tcPr>
                  <w:p>
                    <w:pPr>
                      <w:jc w:val="center"/>
                      <w:rPr>
                        <w:sz w:val="20"/>
                      </w:rPr>
                    </w:pPr>
                    <w:r>
                      <w:rPr>
                        <w:sz w:val="20"/>
                      </w:rPr>
                      <w:t>25 (2033)</w:t>
                    </w:r>
                  </w:p>
                </w:tc>
              </w:tr>
              <w:tr>
                <w:trPr>
                  <w:trHeight w:val="10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P-17-01-03-07</w:t>
                    </w:r>
                  </w:p>
                </w:tc>
                <w:tc>
                  <w:tcPr>
                    <w:tcW w:w="4111" w:type="dxa"/>
                    <w:vAlign w:val="center"/>
                    <w:hideMark/>
                  </w:tcPr>
                  <w:p>
                    <w:pPr>
                      <w:rPr>
                        <w:sz w:val="20"/>
                      </w:rPr>
                    </w:pPr>
                    <w:r>
                      <w:rPr>
                        <w:sz w:val="20"/>
                      </w:rPr>
                      <w:t>Šiauliuose dirbančių aukšto meistriškumo vyriausiųjų trenerių, kurie yra Lietuvos sporto šakų rinktinių treneriai, skaičius: jaunių, jaunimo / suaugusiųjų amžiaus grupėse (asm. / asm. per metus)</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32 / 22 (2023)</w:t>
                    </w:r>
                  </w:p>
                </w:tc>
                <w:tc>
                  <w:tcPr>
                    <w:tcW w:w="1134" w:type="dxa"/>
                    <w:vAlign w:val="center"/>
                    <w:hideMark/>
                  </w:tcPr>
                  <w:p>
                    <w:pPr>
                      <w:jc w:val="center"/>
                      <w:rPr>
                        <w:sz w:val="20"/>
                      </w:rPr>
                    </w:pPr>
                    <w:r>
                      <w:rPr>
                        <w:sz w:val="20"/>
                      </w:rPr>
                      <w:t>40 / 26 (2033)</w:t>
                    </w:r>
                  </w:p>
                </w:tc>
              </w:tr>
              <w:tr>
                <w:trPr>
                  <w:trHeight w:val="63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P-17-01-03-08</w:t>
                    </w:r>
                  </w:p>
                </w:tc>
                <w:tc>
                  <w:tcPr>
                    <w:tcW w:w="4111" w:type="dxa"/>
                    <w:vAlign w:val="center"/>
                    <w:hideMark/>
                  </w:tcPr>
                  <w:p>
                    <w:pPr>
                      <w:rPr>
                        <w:sz w:val="20"/>
                      </w:rPr>
                    </w:pPr>
                    <w:r>
                      <w:rPr>
                        <w:sz w:val="20"/>
                      </w:rPr>
                      <w:t xml:space="preserve">Aukščiausiuose nacionaliniuose čempionatuose dalyvaujančių vyrų ir moterų žaidimų komandų skaičius (vnt. / vnt. per metus) </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7 / 6 (2023)</w:t>
                    </w:r>
                  </w:p>
                </w:tc>
                <w:tc>
                  <w:tcPr>
                    <w:tcW w:w="1134" w:type="dxa"/>
                    <w:vAlign w:val="center"/>
                    <w:hideMark/>
                  </w:tcPr>
                  <w:p>
                    <w:pPr>
                      <w:jc w:val="center"/>
                      <w:rPr>
                        <w:sz w:val="20"/>
                      </w:rPr>
                    </w:pPr>
                    <w:r>
                      <w:rPr>
                        <w:sz w:val="20"/>
                      </w:rPr>
                      <w:t>8 / 8 (2033)</w:t>
                    </w:r>
                  </w:p>
                </w:tc>
              </w:tr>
              <w:tr>
                <w:trPr>
                  <w:trHeight w:val="1052"/>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P-17-01-03-09</w:t>
                    </w:r>
                  </w:p>
                </w:tc>
                <w:tc>
                  <w:tcPr>
                    <w:tcW w:w="4111" w:type="dxa"/>
                    <w:vAlign w:val="center"/>
                    <w:hideMark/>
                  </w:tcPr>
                  <w:p>
                    <w:pPr>
                      <w:rPr>
                        <w:sz w:val="20"/>
                      </w:rPr>
                    </w:pPr>
                    <w:r>
                      <w:rPr>
                        <w:sz w:val="20"/>
                      </w:rPr>
                      <w:t>Savivaldybės įstaigose ir organizacijose dirbančių specialistų, esančių sporto šakų federacijų, Lietuvos skėtinių sporto organizacijų vadovais, valdybų nariais, skaičius: vyrai / moterys (asm. per metus)</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25 / 4 (2023)</w:t>
                    </w:r>
                  </w:p>
                </w:tc>
                <w:tc>
                  <w:tcPr>
                    <w:tcW w:w="1134" w:type="dxa"/>
                    <w:vAlign w:val="center"/>
                    <w:hideMark/>
                  </w:tcPr>
                  <w:p>
                    <w:pPr>
                      <w:jc w:val="center"/>
                      <w:rPr>
                        <w:sz w:val="20"/>
                      </w:rPr>
                    </w:pPr>
                    <w:r>
                      <w:rPr>
                        <w:sz w:val="20"/>
                      </w:rPr>
                      <w:t>25 / 10 (2033)</w:t>
                    </w:r>
                  </w:p>
                </w:tc>
              </w:tr>
              <w:tr>
                <w:trPr>
                  <w:trHeight w:val="1040"/>
                  <w:jc w:val="center"/>
                </w:trPr>
                <w:tc>
                  <w:tcPr>
                    <w:tcW w:w="988" w:type="dxa"/>
                    <w:vMerge w:val="restart"/>
                    <w:shd w:val="clear" w:color="auto" w:fill="FCE4D6"/>
                    <w:noWrap/>
                    <w:vAlign w:val="center"/>
                    <w:hideMark/>
                  </w:tcPr>
                  <w:p>
                    <w:pPr>
                      <w:rPr>
                        <w:b/>
                        <w:bCs/>
                        <w:sz w:val="20"/>
                      </w:rPr>
                    </w:pPr>
                    <w:r>
                      <w:rPr>
                        <w:b/>
                        <w:bCs/>
                        <w:sz w:val="20"/>
                      </w:rPr>
                      <w:t>17-02</w:t>
                    </w:r>
                  </w:p>
                </w:tc>
                <w:tc>
                  <w:tcPr>
                    <w:tcW w:w="2126" w:type="dxa"/>
                    <w:vMerge w:val="restart"/>
                    <w:shd w:val="clear" w:color="auto" w:fill="FCE4D6"/>
                    <w:vAlign w:val="center"/>
                    <w:hideMark/>
                  </w:tcPr>
                  <w:p>
                    <w:pPr>
                      <w:rPr>
                        <w:b/>
                        <w:bCs/>
                        <w:sz w:val="20"/>
                      </w:rPr>
                    </w:pPr>
                    <w:r>
                      <w:rPr>
                        <w:b/>
                        <w:bCs/>
                        <w:sz w:val="20"/>
                      </w:rPr>
                      <w:t>Išvystyti gyventojų poreikius atitinkančią sporto ir fizinio aktyvumo infrastruktūrą</w:t>
                    </w:r>
                  </w:p>
                </w:tc>
                <w:tc>
                  <w:tcPr>
                    <w:tcW w:w="850" w:type="dxa"/>
                    <w:vMerge w:val="restart"/>
                    <w:shd w:val="clear" w:color="auto" w:fill="FCE4D6"/>
                    <w:vAlign w:val="center"/>
                    <w:hideMark/>
                  </w:tcPr>
                  <w:p>
                    <w:pPr>
                      <w:jc w:val="center"/>
                      <w:rPr>
                        <w:sz w:val="20"/>
                      </w:rPr>
                    </w:pPr>
                    <w:r>
                      <w:rPr>
                        <w:sz w:val="20"/>
                      </w:rPr>
                      <w:t>SS</w:t>
                    </w:r>
                  </w:p>
                </w:tc>
                <w:tc>
                  <w:tcPr>
                    <w:tcW w:w="709" w:type="dxa"/>
                    <w:vMerge w:val="restart"/>
                    <w:shd w:val="clear" w:color="auto" w:fill="FCE4D6"/>
                    <w:vAlign w:val="center"/>
                    <w:hideMark/>
                  </w:tcPr>
                  <w:p>
                    <w:pPr>
                      <w:jc w:val="center"/>
                      <w:rPr>
                        <w:sz w:val="20"/>
                      </w:rPr>
                    </w:pPr>
                    <w:r>
                      <w:rPr>
                        <w:sz w:val="20"/>
                      </w:rPr>
                      <w:t>2025</w:t>
                    </w:r>
                  </w:p>
                </w:tc>
                <w:tc>
                  <w:tcPr>
                    <w:tcW w:w="709" w:type="dxa"/>
                    <w:vMerge w:val="restart"/>
                    <w:shd w:val="clear" w:color="auto" w:fill="FCE4D6"/>
                    <w:vAlign w:val="center"/>
                    <w:hideMark/>
                  </w:tcPr>
                  <w:p>
                    <w:pPr>
                      <w:jc w:val="center"/>
                      <w:rPr>
                        <w:sz w:val="20"/>
                      </w:rPr>
                    </w:pPr>
                    <w:r>
                      <w:rPr>
                        <w:sz w:val="20"/>
                      </w:rPr>
                      <w:t>2033</w:t>
                    </w:r>
                  </w:p>
                </w:tc>
                <w:tc>
                  <w:tcPr>
                    <w:tcW w:w="1417" w:type="dxa"/>
                    <w:shd w:val="clear" w:color="auto" w:fill="FCE4D6"/>
                    <w:vAlign w:val="center"/>
                    <w:hideMark/>
                  </w:tcPr>
                  <w:p>
                    <w:pPr>
                      <w:rPr>
                        <w:b/>
                        <w:bCs/>
                        <w:sz w:val="20"/>
                      </w:rPr>
                    </w:pPr>
                    <w:r>
                      <w:rPr>
                        <w:b/>
                        <w:bCs/>
                        <w:sz w:val="20"/>
                      </w:rPr>
                      <w:t>R-17-02-01</w:t>
                    </w:r>
                  </w:p>
                </w:tc>
                <w:tc>
                  <w:tcPr>
                    <w:tcW w:w="4111" w:type="dxa"/>
                    <w:shd w:val="clear" w:color="auto" w:fill="FCE4D6"/>
                    <w:vAlign w:val="center"/>
                    <w:hideMark/>
                  </w:tcPr>
                  <w:p>
                    <w:pPr>
                      <w:rPr>
                        <w:sz w:val="20"/>
                      </w:rPr>
                    </w:pPr>
                    <w:r>
                      <w:rPr>
                        <w:sz w:val="20"/>
                      </w:rPr>
                      <w:t>Savivaldybės sporto įstaigų pastatų / statinių, bazių, kurios yra geros būklės, skaičius nuo visų Savivaldybės sporto įstaigų pastatų / statinių, bazių skaičiaus (vnt. / vnt.)</w:t>
                    </w:r>
                  </w:p>
                </w:tc>
                <w:tc>
                  <w:tcPr>
                    <w:tcW w:w="1134" w:type="dxa"/>
                    <w:shd w:val="clear" w:color="auto" w:fill="FCE4D6"/>
                    <w:vAlign w:val="center"/>
                    <w:hideMark/>
                  </w:tcPr>
                  <w:p>
                    <w:pPr>
                      <w:jc w:val="center"/>
                      <w:rPr>
                        <w:sz w:val="20"/>
                      </w:rPr>
                    </w:pPr>
                    <w:r>
                      <w:rPr>
                        <w:sz w:val="20"/>
                      </w:rPr>
                      <w:t>ŠMSA (SS)</w:t>
                    </w:r>
                  </w:p>
                </w:tc>
                <w:tc>
                  <w:tcPr>
                    <w:tcW w:w="1134" w:type="dxa"/>
                    <w:shd w:val="clear" w:color="auto" w:fill="FCE4D6"/>
                    <w:vAlign w:val="center"/>
                    <w:hideMark/>
                  </w:tcPr>
                  <w:p>
                    <w:pPr>
                      <w:jc w:val="center"/>
                      <w:rPr>
                        <w:sz w:val="20"/>
                      </w:rPr>
                    </w:pPr>
                    <w:r>
                      <w:rPr>
                        <w:sz w:val="20"/>
                      </w:rPr>
                      <w:t>11 / 20 (2023)</w:t>
                    </w:r>
                  </w:p>
                </w:tc>
                <w:tc>
                  <w:tcPr>
                    <w:tcW w:w="1134" w:type="dxa"/>
                    <w:shd w:val="clear" w:color="auto" w:fill="FCE4D6"/>
                    <w:vAlign w:val="center"/>
                    <w:hideMark/>
                  </w:tcPr>
                  <w:p>
                    <w:pPr>
                      <w:jc w:val="center"/>
                      <w:rPr>
                        <w:sz w:val="20"/>
                      </w:rPr>
                    </w:pPr>
                    <w:r>
                      <w:rPr>
                        <w:sz w:val="20"/>
                      </w:rPr>
                      <w:t>20 / 21 (2033)</w:t>
                    </w:r>
                  </w:p>
                </w:tc>
              </w:tr>
              <w:tr>
                <w:trPr>
                  <w:trHeight w:val="79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b/>
                        <w:bCs/>
                        <w:sz w:val="20"/>
                      </w:rPr>
                    </w:pPr>
                    <w:r>
                      <w:rPr>
                        <w:b/>
                        <w:bCs/>
                        <w:sz w:val="20"/>
                      </w:rPr>
                      <w:t>R-17-02-02</w:t>
                    </w:r>
                  </w:p>
                </w:tc>
                <w:tc>
                  <w:tcPr>
                    <w:tcW w:w="4111" w:type="dxa"/>
                    <w:shd w:val="clear" w:color="auto" w:fill="FCE4D6"/>
                    <w:vAlign w:val="center"/>
                    <w:hideMark/>
                  </w:tcPr>
                  <w:p>
                    <w:pPr>
                      <w:rPr>
                        <w:sz w:val="20"/>
                      </w:rPr>
                    </w:pPr>
                    <w:r>
                      <w:rPr>
                        <w:sz w:val="20"/>
                      </w:rPr>
                      <w:t>Savivaldybės sporto įstaigų pastatų / statinių, bazių, pritaikytų fizinę negalią turintiems asmenims, dalis (proc.)</w:t>
                    </w:r>
                  </w:p>
                </w:tc>
                <w:tc>
                  <w:tcPr>
                    <w:tcW w:w="1134" w:type="dxa"/>
                    <w:shd w:val="clear" w:color="auto" w:fill="FCE4D6"/>
                    <w:vAlign w:val="center"/>
                    <w:hideMark/>
                  </w:tcPr>
                  <w:p>
                    <w:pPr>
                      <w:jc w:val="center"/>
                      <w:rPr>
                        <w:sz w:val="20"/>
                      </w:rPr>
                    </w:pPr>
                    <w:r>
                      <w:rPr>
                        <w:sz w:val="20"/>
                      </w:rPr>
                      <w:t>ŠMSA (SS)</w:t>
                    </w:r>
                  </w:p>
                </w:tc>
                <w:tc>
                  <w:tcPr>
                    <w:tcW w:w="1134" w:type="dxa"/>
                    <w:shd w:val="clear" w:color="auto" w:fill="FCE4D6"/>
                    <w:vAlign w:val="center"/>
                    <w:hideMark/>
                  </w:tcPr>
                  <w:p>
                    <w:pPr>
                      <w:jc w:val="center"/>
                      <w:rPr>
                        <w:sz w:val="20"/>
                      </w:rPr>
                    </w:pPr>
                    <w:r>
                      <w:rPr>
                        <w:sz w:val="20"/>
                      </w:rPr>
                      <w:t>68,75 (2023)</w:t>
                    </w:r>
                  </w:p>
                </w:tc>
                <w:tc>
                  <w:tcPr>
                    <w:tcW w:w="1134" w:type="dxa"/>
                    <w:shd w:val="clear" w:color="auto" w:fill="FCE4D6"/>
                    <w:vAlign w:val="center"/>
                    <w:hideMark/>
                  </w:tcPr>
                  <w:p>
                    <w:pPr>
                      <w:jc w:val="center"/>
                      <w:rPr>
                        <w:sz w:val="20"/>
                      </w:rPr>
                    </w:pPr>
                    <w:r>
                      <w:rPr>
                        <w:sz w:val="20"/>
                      </w:rPr>
                      <w:t>100 (2033)</w:t>
                    </w:r>
                  </w:p>
                </w:tc>
              </w:tr>
              <w:tr>
                <w:trPr>
                  <w:trHeight w:val="358"/>
                  <w:jc w:val="center"/>
                </w:trPr>
                <w:tc>
                  <w:tcPr>
                    <w:tcW w:w="988" w:type="dxa"/>
                    <w:vMerge w:val="restart"/>
                    <w:noWrap/>
                    <w:vAlign w:val="center"/>
                    <w:hideMark/>
                  </w:tcPr>
                  <w:p>
                    <w:pPr>
                      <w:rPr>
                        <w:sz w:val="20"/>
                      </w:rPr>
                    </w:pPr>
                    <w:r>
                      <w:rPr>
                        <w:sz w:val="20"/>
                      </w:rPr>
                      <w:t>17-02-01</w:t>
                    </w:r>
                  </w:p>
                </w:tc>
                <w:tc>
                  <w:tcPr>
                    <w:tcW w:w="2126" w:type="dxa"/>
                    <w:vMerge w:val="restart"/>
                    <w:vAlign w:val="center"/>
                    <w:hideMark/>
                  </w:tcPr>
                  <w:p>
                    <w:pPr>
                      <w:rPr>
                        <w:sz w:val="20"/>
                      </w:rPr>
                    </w:pPr>
                    <w:r>
                      <w:rPr>
                        <w:sz w:val="20"/>
                      </w:rPr>
                      <w:t>Gerinti Savivaldybės sporto įstaigų, bazių infrastruktūros būklę</w:t>
                    </w:r>
                  </w:p>
                </w:tc>
                <w:tc>
                  <w:tcPr>
                    <w:tcW w:w="850" w:type="dxa"/>
                    <w:vMerge w:val="restart"/>
                    <w:vAlign w:val="center"/>
                    <w:hideMark/>
                  </w:tcPr>
                  <w:p>
                    <w:pPr>
                      <w:jc w:val="center"/>
                      <w:rPr>
                        <w:sz w:val="20"/>
                      </w:rPr>
                    </w:pPr>
                    <w:r>
                      <w:rPr>
                        <w:sz w:val="20"/>
                      </w:rPr>
                      <w:t>SS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P-17-02-01-01</w:t>
                    </w:r>
                  </w:p>
                </w:tc>
                <w:tc>
                  <w:tcPr>
                    <w:tcW w:w="4111" w:type="dxa"/>
                    <w:vAlign w:val="center"/>
                    <w:hideMark/>
                  </w:tcPr>
                  <w:p>
                    <w:pPr>
                      <w:rPr>
                        <w:sz w:val="20"/>
                      </w:rPr>
                    </w:pPr>
                    <w:r>
                      <w:rPr>
                        <w:sz w:val="20"/>
                      </w:rPr>
                      <w:t>Rekonstruotas Šiaulių m. stadiono kompleksas (S. Daukanto g. 23) (vnt.)</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0 (2024)</w:t>
                    </w:r>
                  </w:p>
                </w:tc>
                <w:tc>
                  <w:tcPr>
                    <w:tcW w:w="1134" w:type="dxa"/>
                    <w:vAlign w:val="center"/>
                    <w:hideMark/>
                  </w:tcPr>
                  <w:p>
                    <w:pPr>
                      <w:jc w:val="center"/>
                      <w:rPr>
                        <w:sz w:val="20"/>
                      </w:rPr>
                    </w:pPr>
                    <w:r>
                      <w:rPr>
                        <w:sz w:val="20"/>
                      </w:rPr>
                      <w:t>1 (2028)</w:t>
                    </w:r>
                  </w:p>
                </w:tc>
              </w:tr>
              <w:tr>
                <w:trPr>
                  <w:trHeight w:val="563"/>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P-17-02-01-02</w:t>
                    </w:r>
                  </w:p>
                </w:tc>
                <w:tc>
                  <w:tcPr>
                    <w:tcW w:w="4111" w:type="dxa"/>
                    <w:vAlign w:val="center"/>
                    <w:hideMark/>
                  </w:tcPr>
                  <w:p>
                    <w:pPr>
                      <w:rPr>
                        <w:sz w:val="20"/>
                      </w:rPr>
                    </w:pPr>
                    <w:r>
                      <w:rPr>
                        <w:sz w:val="20"/>
                      </w:rPr>
                      <w:t>Padidintas Šiaulių teniso akademijos pastato funkcionalumas (vnt.)</w:t>
                    </w:r>
                  </w:p>
                </w:tc>
                <w:tc>
                  <w:tcPr>
                    <w:tcW w:w="1134" w:type="dxa"/>
                    <w:vAlign w:val="center"/>
                    <w:hideMark/>
                  </w:tcPr>
                  <w:p>
                    <w:pPr>
                      <w:jc w:val="center"/>
                      <w:rPr>
                        <w:sz w:val="20"/>
                      </w:rPr>
                    </w:pPr>
                    <w:r>
                      <w:rPr>
                        <w:sz w:val="20"/>
                      </w:rPr>
                      <w:t>SS, ŠTA</w:t>
                    </w:r>
                  </w:p>
                </w:tc>
                <w:tc>
                  <w:tcPr>
                    <w:tcW w:w="1134" w:type="dxa"/>
                    <w:vAlign w:val="center"/>
                    <w:hideMark/>
                  </w:tcPr>
                  <w:p>
                    <w:pPr>
                      <w:jc w:val="center"/>
                      <w:rPr>
                        <w:sz w:val="20"/>
                      </w:rPr>
                    </w:pPr>
                    <w:r>
                      <w:rPr>
                        <w:sz w:val="20"/>
                      </w:rPr>
                      <w:t>0 (2024)</w:t>
                    </w:r>
                  </w:p>
                </w:tc>
                <w:tc>
                  <w:tcPr>
                    <w:tcW w:w="1134" w:type="dxa"/>
                    <w:vAlign w:val="center"/>
                    <w:hideMark/>
                  </w:tcPr>
                  <w:p>
                    <w:pPr>
                      <w:jc w:val="center"/>
                      <w:rPr>
                        <w:sz w:val="20"/>
                      </w:rPr>
                    </w:pPr>
                    <w:r>
                      <w:rPr>
                        <w:sz w:val="20"/>
                      </w:rPr>
                      <w:t>1 (2027)</w:t>
                    </w:r>
                  </w:p>
                </w:tc>
              </w:tr>
              <w:tr>
                <w:trPr>
                  <w:trHeight w:val="513"/>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P-17-02-01-03</w:t>
                    </w:r>
                  </w:p>
                </w:tc>
                <w:tc>
                  <w:tcPr>
                    <w:tcW w:w="4111" w:type="dxa"/>
                    <w:vAlign w:val="center"/>
                    <w:hideMark/>
                  </w:tcPr>
                  <w:p>
                    <w:pPr>
                      <w:rPr>
                        <w:sz w:val="20"/>
                      </w:rPr>
                    </w:pPr>
                    <w:r>
                      <w:rPr>
                        <w:sz w:val="20"/>
                      </w:rPr>
                      <w:t>Renovuotos / pastatytos naujos patalpos VŠĮ Šiaulių krepšinio akademijai „Saulė“ (vnt.)</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0 (2024)</w:t>
                    </w:r>
                  </w:p>
                </w:tc>
                <w:tc>
                  <w:tcPr>
                    <w:tcW w:w="1134" w:type="dxa"/>
                    <w:vAlign w:val="center"/>
                    <w:hideMark/>
                  </w:tcPr>
                  <w:p>
                    <w:pPr>
                      <w:jc w:val="center"/>
                      <w:rPr>
                        <w:sz w:val="20"/>
                      </w:rPr>
                    </w:pPr>
                    <w:r>
                      <w:rPr>
                        <w:sz w:val="20"/>
                      </w:rPr>
                      <w:t>1 (2030)</w:t>
                    </w:r>
                  </w:p>
                </w:tc>
              </w:tr>
              <w:tr>
                <w:trPr>
                  <w:trHeight w:val="70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P-17-02-01-04</w:t>
                    </w:r>
                  </w:p>
                </w:tc>
                <w:tc>
                  <w:tcPr>
                    <w:tcW w:w="4111" w:type="dxa"/>
                    <w:vAlign w:val="center"/>
                    <w:hideMark/>
                  </w:tcPr>
                  <w:p>
                    <w:pPr>
                      <w:rPr>
                        <w:sz w:val="20"/>
                      </w:rPr>
                    </w:pPr>
                    <w:r>
                      <w:rPr>
                        <w:sz w:val="20"/>
                      </w:rPr>
                      <w:t>Sporto įstaigų pastatų / statinių, bazių, pritaikytų fizinę negalią turintiems asmenims, skaičius (vnt.)</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11 (2024)</w:t>
                    </w:r>
                  </w:p>
                </w:tc>
                <w:tc>
                  <w:tcPr>
                    <w:tcW w:w="1134" w:type="dxa"/>
                    <w:vAlign w:val="center"/>
                    <w:hideMark/>
                  </w:tcPr>
                  <w:p>
                    <w:pPr>
                      <w:jc w:val="center"/>
                      <w:rPr>
                        <w:sz w:val="20"/>
                      </w:rPr>
                    </w:pPr>
                    <w:r>
                      <w:rPr>
                        <w:sz w:val="20"/>
                      </w:rPr>
                      <w:t>16 (2033)</w:t>
                    </w:r>
                  </w:p>
                </w:tc>
              </w:tr>
              <w:tr>
                <w:trPr>
                  <w:trHeight w:val="50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P-17-02-01-05</w:t>
                    </w:r>
                  </w:p>
                </w:tc>
                <w:tc>
                  <w:tcPr>
                    <w:tcW w:w="4111" w:type="dxa"/>
                    <w:vAlign w:val="center"/>
                    <w:hideMark/>
                  </w:tcPr>
                  <w:p>
                    <w:pPr>
                      <w:rPr>
                        <w:sz w:val="20"/>
                      </w:rPr>
                    </w:pPr>
                    <w:r>
                      <w:rPr>
                        <w:sz w:val="20"/>
                      </w:rPr>
                      <w:t>Atnaujintų sporto įstaigų pastatų / statinių skaičius (vnt.)</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1 (2024)</w:t>
                    </w:r>
                  </w:p>
                </w:tc>
                <w:tc>
                  <w:tcPr>
                    <w:tcW w:w="1134" w:type="dxa"/>
                    <w:vAlign w:val="center"/>
                    <w:hideMark/>
                  </w:tcPr>
                  <w:p>
                    <w:pPr>
                      <w:jc w:val="center"/>
                      <w:rPr>
                        <w:sz w:val="20"/>
                      </w:rPr>
                    </w:pPr>
                    <w:r>
                      <w:rPr>
                        <w:sz w:val="20"/>
                      </w:rPr>
                      <w:t>3 (2033)</w:t>
                    </w:r>
                  </w:p>
                </w:tc>
              </w:tr>
              <w:tr>
                <w:trPr>
                  <w:trHeight w:val="520"/>
                  <w:jc w:val="center"/>
                </w:trPr>
                <w:tc>
                  <w:tcPr>
                    <w:tcW w:w="988" w:type="dxa"/>
                    <w:vMerge w:val="restart"/>
                    <w:noWrap/>
                    <w:vAlign w:val="center"/>
                    <w:hideMark/>
                  </w:tcPr>
                  <w:p>
                    <w:pPr>
                      <w:rPr>
                        <w:sz w:val="20"/>
                      </w:rPr>
                    </w:pPr>
                    <w:r>
                      <w:rPr>
                        <w:sz w:val="20"/>
                      </w:rPr>
                      <w:t>17-02-02</w:t>
                    </w:r>
                  </w:p>
                </w:tc>
                <w:tc>
                  <w:tcPr>
                    <w:tcW w:w="2126" w:type="dxa"/>
                    <w:vMerge w:val="restart"/>
                    <w:vAlign w:val="center"/>
                    <w:hideMark/>
                  </w:tcPr>
                  <w:p>
                    <w:pPr>
                      <w:rPr>
                        <w:sz w:val="20"/>
                      </w:rPr>
                    </w:pPr>
                    <w:r>
                      <w:rPr>
                        <w:sz w:val="20"/>
                      </w:rPr>
                      <w:t>Kurti sporto infrastruktūrą ir sudaryti palankias sąlygas investuoti į sporto infrastruktūrą</w:t>
                    </w:r>
                  </w:p>
                </w:tc>
                <w:tc>
                  <w:tcPr>
                    <w:tcW w:w="850" w:type="dxa"/>
                    <w:vMerge w:val="restart"/>
                    <w:vAlign w:val="center"/>
                    <w:hideMark/>
                  </w:tcPr>
                  <w:p>
                    <w:pPr>
                      <w:jc w:val="center"/>
                      <w:rPr>
                        <w:sz w:val="20"/>
                      </w:rPr>
                    </w:pPr>
                    <w:r>
                      <w:rPr>
                        <w:sz w:val="20"/>
                      </w:rPr>
                      <w:t>SS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P-17-02-02-01</w:t>
                    </w:r>
                  </w:p>
                </w:tc>
                <w:tc>
                  <w:tcPr>
                    <w:tcW w:w="4111" w:type="dxa"/>
                    <w:vAlign w:val="center"/>
                    <w:hideMark/>
                  </w:tcPr>
                  <w:p>
                    <w:pPr>
                      <w:rPr>
                        <w:sz w:val="20"/>
                      </w:rPr>
                    </w:pPr>
                    <w:r>
                      <w:rPr>
                        <w:sz w:val="20"/>
                      </w:rPr>
                      <w:t>Pastatytas sporto kompleksas (futbolo ir regbio maniežas J. Jablonskio g. 14) (vnt.)</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0 (2024)</w:t>
                    </w:r>
                  </w:p>
                </w:tc>
                <w:tc>
                  <w:tcPr>
                    <w:tcW w:w="1134" w:type="dxa"/>
                    <w:vAlign w:val="center"/>
                    <w:hideMark/>
                  </w:tcPr>
                  <w:p>
                    <w:pPr>
                      <w:jc w:val="center"/>
                      <w:rPr>
                        <w:sz w:val="20"/>
                      </w:rPr>
                    </w:pPr>
                    <w:r>
                      <w:rPr>
                        <w:sz w:val="20"/>
                      </w:rPr>
                      <w:t>1 (2026)</w:t>
                    </w:r>
                  </w:p>
                </w:tc>
              </w:tr>
              <w:tr>
                <w:trPr>
                  <w:trHeight w:val="55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P-17-02-02-02</w:t>
                    </w:r>
                  </w:p>
                </w:tc>
                <w:tc>
                  <w:tcPr>
                    <w:tcW w:w="4111" w:type="dxa"/>
                    <w:vAlign w:val="center"/>
                    <w:hideMark/>
                  </w:tcPr>
                  <w:p>
                    <w:pPr>
                      <w:rPr>
                        <w:sz w:val="20"/>
                      </w:rPr>
                    </w:pPr>
                    <w:r>
                      <w:rPr>
                        <w:sz w:val="20"/>
                      </w:rPr>
                      <w:t>Pastatyta irklavimo sporto bazė (Žvyro g. 34) (vnt.)</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0 (2024)</w:t>
                    </w:r>
                  </w:p>
                </w:tc>
                <w:tc>
                  <w:tcPr>
                    <w:tcW w:w="1134" w:type="dxa"/>
                    <w:vAlign w:val="center"/>
                    <w:hideMark/>
                  </w:tcPr>
                  <w:p>
                    <w:pPr>
                      <w:jc w:val="center"/>
                      <w:rPr>
                        <w:sz w:val="20"/>
                      </w:rPr>
                    </w:pPr>
                    <w:r>
                      <w:rPr>
                        <w:sz w:val="20"/>
                      </w:rPr>
                      <w:t>1 (2027)</w:t>
                    </w:r>
                  </w:p>
                </w:tc>
              </w:tr>
              <w:tr>
                <w:trPr>
                  <w:trHeight w:val="50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P-17-02-02-03</w:t>
                    </w:r>
                  </w:p>
                </w:tc>
                <w:tc>
                  <w:tcPr>
                    <w:tcW w:w="4111" w:type="dxa"/>
                    <w:vAlign w:val="center"/>
                    <w:hideMark/>
                  </w:tcPr>
                  <w:p>
                    <w:pPr>
                      <w:rPr>
                        <w:sz w:val="20"/>
                      </w:rPr>
                    </w:pPr>
                    <w:r>
                      <w:rPr>
                        <w:sz w:val="20"/>
                      </w:rPr>
                      <w:t>Suprojektuotas ir pastatytas buriavimo elingas prie Rėkyvos ežero (Poilsio g. 10A) (vnt.)</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 (2028)</w:t>
                    </w:r>
                  </w:p>
                </w:tc>
              </w:tr>
              <w:tr>
                <w:trPr>
                  <w:trHeight w:val="757"/>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P-17-02-02-04</w:t>
                    </w:r>
                  </w:p>
                </w:tc>
                <w:tc>
                  <w:tcPr>
                    <w:tcW w:w="4111" w:type="dxa"/>
                    <w:vAlign w:val="center"/>
                    <w:hideMark/>
                  </w:tcPr>
                  <w:p>
                    <w:pPr>
                      <w:rPr>
                        <w:sz w:val="20"/>
                      </w:rPr>
                    </w:pPr>
                    <w:r>
                      <w:rPr>
                        <w:sz w:val="20"/>
                      </w:rPr>
                      <w:t>VPSP ar kitu partnerystės būdu, su privačiais investuotojais pastatytų, atnaujintų sporto infrastruktūros objektų skaičius (vnt.)</w:t>
                    </w:r>
                  </w:p>
                </w:tc>
                <w:tc>
                  <w:tcPr>
                    <w:tcW w:w="1134" w:type="dxa"/>
                    <w:vAlign w:val="center"/>
                    <w:hideMark/>
                  </w:tcPr>
                  <w:p>
                    <w:pPr>
                      <w:jc w:val="center"/>
                      <w:rPr>
                        <w:sz w:val="20"/>
                      </w:rPr>
                    </w:pPr>
                    <w:r>
                      <w:rPr>
                        <w:sz w:val="20"/>
                      </w:rPr>
                      <w:t>SS</w:t>
                    </w:r>
                  </w:p>
                </w:tc>
                <w:tc>
                  <w:tcPr>
                    <w:tcW w:w="1134" w:type="dxa"/>
                    <w:vAlign w:val="center"/>
                    <w:hideMark/>
                  </w:tcPr>
                  <w:p>
                    <w:pPr>
                      <w:jc w:val="center"/>
                      <w:rPr>
                        <w:sz w:val="20"/>
                      </w:rPr>
                    </w:pPr>
                    <w:r>
                      <w:rPr>
                        <w:sz w:val="20"/>
                      </w:rPr>
                      <w:t>0 (2024)</w:t>
                    </w:r>
                  </w:p>
                </w:tc>
                <w:tc>
                  <w:tcPr>
                    <w:tcW w:w="1134" w:type="dxa"/>
                    <w:vAlign w:val="center"/>
                    <w:hideMark/>
                  </w:tcPr>
                  <w:p>
                    <w:pPr>
                      <w:jc w:val="center"/>
                      <w:rPr>
                        <w:sz w:val="20"/>
                      </w:rPr>
                    </w:pPr>
                    <w:r>
                      <w:rPr>
                        <w:sz w:val="20"/>
                      </w:rPr>
                      <w:t>2 (2033)</w:t>
                    </w:r>
                  </w:p>
                </w:tc>
              </w:tr>
              <w:tr>
                <w:trPr>
                  <w:trHeight w:val="358"/>
                  <w:jc w:val="center"/>
                </w:trPr>
                <w:tc>
                  <w:tcPr>
                    <w:tcW w:w="988" w:type="dxa"/>
                    <w:vMerge w:val="restart"/>
                    <w:shd w:val="clear" w:color="auto" w:fill="FFD966"/>
                    <w:noWrap/>
                    <w:vAlign w:val="center"/>
                    <w:hideMark/>
                  </w:tcPr>
                  <w:p>
                    <w:pPr>
                      <w:rPr>
                        <w:b/>
                        <w:bCs/>
                        <w:sz w:val="20"/>
                      </w:rPr>
                    </w:pPr>
                    <w:r>
                      <w:rPr>
                        <w:b/>
                        <w:bCs/>
                        <w:sz w:val="20"/>
                      </w:rPr>
                      <w:t>18</w:t>
                    </w:r>
                  </w:p>
                </w:tc>
                <w:tc>
                  <w:tcPr>
                    <w:tcW w:w="2126" w:type="dxa"/>
                    <w:vMerge w:val="restart"/>
                    <w:shd w:val="clear" w:color="auto" w:fill="FFD966"/>
                    <w:vAlign w:val="center"/>
                    <w:hideMark/>
                  </w:tcPr>
                  <w:p>
                    <w:pPr>
                      <w:rPr>
                        <w:b/>
                        <w:bCs/>
                        <w:sz w:val="20"/>
                      </w:rPr>
                    </w:pPr>
                    <w:r>
                      <w:rPr>
                        <w:b/>
                        <w:bCs/>
                        <w:sz w:val="20"/>
                      </w:rPr>
                      <w:t>Užtikrinti įtraukias, kokybiškas, prieinamas švietimo paslaugas ir didinti galimybes jaunimui</w:t>
                    </w:r>
                  </w:p>
                </w:tc>
                <w:tc>
                  <w:tcPr>
                    <w:tcW w:w="850" w:type="dxa"/>
                    <w:vMerge w:val="restart"/>
                    <w:shd w:val="clear" w:color="auto" w:fill="FFD966"/>
                    <w:vAlign w:val="center"/>
                    <w:hideMark/>
                  </w:tcPr>
                  <w:p>
                    <w:pPr>
                      <w:jc w:val="center"/>
                      <w:rPr>
                        <w:sz w:val="20"/>
                      </w:rPr>
                    </w:pPr>
                    <w:r>
                      <w:rPr>
                        <w:sz w:val="20"/>
                      </w:rPr>
                      <w:t>ŠS</w:t>
                    </w:r>
                  </w:p>
                </w:tc>
                <w:tc>
                  <w:tcPr>
                    <w:tcW w:w="709" w:type="dxa"/>
                    <w:vMerge w:val="restart"/>
                    <w:shd w:val="clear" w:color="auto" w:fill="FFD966"/>
                    <w:vAlign w:val="center"/>
                    <w:hideMark/>
                  </w:tcPr>
                  <w:p>
                    <w:pPr>
                      <w:jc w:val="center"/>
                      <w:rPr>
                        <w:sz w:val="20"/>
                      </w:rPr>
                    </w:pPr>
                    <w:r>
                      <w:rPr>
                        <w:sz w:val="20"/>
                      </w:rPr>
                      <w:t>2025</w:t>
                    </w:r>
                  </w:p>
                </w:tc>
                <w:tc>
                  <w:tcPr>
                    <w:tcW w:w="709" w:type="dxa"/>
                    <w:vMerge w:val="restart"/>
                    <w:shd w:val="clear" w:color="auto" w:fill="FFD966"/>
                    <w:vAlign w:val="center"/>
                    <w:hideMark/>
                  </w:tcPr>
                  <w:p>
                    <w:pPr>
                      <w:jc w:val="center"/>
                      <w:rPr>
                        <w:sz w:val="20"/>
                      </w:rPr>
                    </w:pPr>
                    <w:r>
                      <w:rPr>
                        <w:sz w:val="20"/>
                      </w:rPr>
                      <w:t>2033</w:t>
                    </w:r>
                  </w:p>
                </w:tc>
                <w:tc>
                  <w:tcPr>
                    <w:tcW w:w="1417" w:type="dxa"/>
                    <w:shd w:val="clear" w:color="auto" w:fill="FFD966"/>
                    <w:vAlign w:val="center"/>
                    <w:hideMark/>
                  </w:tcPr>
                  <w:p>
                    <w:pPr>
                      <w:rPr>
                        <w:sz w:val="20"/>
                      </w:rPr>
                    </w:pPr>
                    <w:r>
                      <w:rPr>
                        <w:sz w:val="20"/>
                      </w:rPr>
                      <w:t>P-18-01</w:t>
                    </w:r>
                  </w:p>
                </w:tc>
                <w:tc>
                  <w:tcPr>
                    <w:tcW w:w="4111" w:type="dxa"/>
                    <w:shd w:val="clear" w:color="auto" w:fill="FFD966"/>
                    <w:vAlign w:val="center"/>
                    <w:hideMark/>
                  </w:tcPr>
                  <w:p>
                    <w:pPr>
                      <w:rPr>
                        <w:sz w:val="20"/>
                      </w:rPr>
                    </w:pPr>
                    <w:r>
                      <w:rPr>
                        <w:sz w:val="20"/>
                      </w:rPr>
                      <w:t xml:space="preserve">Vaikų ir jaunimo (0–29 m. amžiaus) dalis nuo bendro gyventojų skaičiaus (proc.) </w:t>
                    </w:r>
                  </w:p>
                </w:tc>
                <w:tc>
                  <w:tcPr>
                    <w:tcW w:w="1134" w:type="dxa"/>
                    <w:shd w:val="clear" w:color="auto" w:fill="FFD966"/>
                    <w:vAlign w:val="center"/>
                    <w:hideMark/>
                  </w:tcPr>
                  <w:p>
                    <w:pPr>
                      <w:jc w:val="center"/>
                      <w:rPr>
                        <w:sz w:val="20"/>
                      </w:rPr>
                    </w:pPr>
                    <w:r>
                      <w:rPr>
                        <w:sz w:val="20"/>
                      </w:rPr>
                      <w:t>VDA (ŠS)</w:t>
                    </w:r>
                  </w:p>
                </w:tc>
                <w:tc>
                  <w:tcPr>
                    <w:tcW w:w="1134" w:type="dxa"/>
                    <w:shd w:val="clear" w:color="auto" w:fill="FFD966"/>
                    <w:vAlign w:val="center"/>
                    <w:hideMark/>
                  </w:tcPr>
                  <w:p>
                    <w:pPr>
                      <w:jc w:val="center"/>
                      <w:rPr>
                        <w:sz w:val="20"/>
                      </w:rPr>
                    </w:pPr>
                    <w:r>
                      <w:rPr>
                        <w:sz w:val="20"/>
                      </w:rPr>
                      <w:t>27,7 (2024)</w:t>
                    </w:r>
                  </w:p>
                </w:tc>
                <w:tc>
                  <w:tcPr>
                    <w:tcW w:w="1134" w:type="dxa"/>
                    <w:shd w:val="clear" w:color="auto" w:fill="FFD966"/>
                    <w:vAlign w:val="center"/>
                    <w:hideMark/>
                  </w:tcPr>
                  <w:p>
                    <w:pPr>
                      <w:jc w:val="center"/>
                      <w:rPr>
                        <w:sz w:val="20"/>
                      </w:rPr>
                    </w:pPr>
                    <w:r>
                      <w:rPr>
                        <w:sz w:val="20"/>
                      </w:rPr>
                      <w:t>29 (2033)</w:t>
                    </w:r>
                  </w:p>
                </w:tc>
              </w:tr>
              <w:tr>
                <w:trPr>
                  <w:trHeight w:val="425"/>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1417" w:type="dxa"/>
                    <w:shd w:val="clear" w:color="auto" w:fill="FFD966"/>
                    <w:vAlign w:val="center"/>
                    <w:hideMark/>
                  </w:tcPr>
                  <w:p>
                    <w:pPr>
                      <w:rPr>
                        <w:sz w:val="20"/>
                      </w:rPr>
                    </w:pPr>
                    <w:r>
                      <w:rPr>
                        <w:sz w:val="20"/>
                      </w:rPr>
                      <w:t>P-18-02</w:t>
                    </w:r>
                  </w:p>
                </w:tc>
                <w:tc>
                  <w:tcPr>
                    <w:tcW w:w="4111" w:type="dxa"/>
                    <w:shd w:val="clear" w:color="auto" w:fill="FFD966"/>
                    <w:vAlign w:val="center"/>
                    <w:hideMark/>
                  </w:tcPr>
                  <w:p>
                    <w:pPr>
                      <w:rPr>
                        <w:sz w:val="20"/>
                      </w:rPr>
                    </w:pPr>
                    <w:r>
                      <w:rPr>
                        <w:sz w:val="20"/>
                      </w:rPr>
                      <w:t>Vaikų, dalyvaujančių ikimokykliniame ugdyme 3–5 metų, dalis nuo vaikų (3–5 m.) (proc.)</w:t>
                    </w:r>
                  </w:p>
                </w:tc>
                <w:tc>
                  <w:tcPr>
                    <w:tcW w:w="1134" w:type="dxa"/>
                    <w:shd w:val="clear" w:color="auto" w:fill="FFD966"/>
                    <w:noWrap/>
                    <w:vAlign w:val="center"/>
                    <w:hideMark/>
                  </w:tcPr>
                  <w:p>
                    <w:pPr>
                      <w:jc w:val="center"/>
                      <w:rPr>
                        <w:sz w:val="20"/>
                      </w:rPr>
                    </w:pPr>
                    <w:r>
                      <w:rPr>
                        <w:sz w:val="20"/>
                      </w:rPr>
                      <w:t>ŠVIS (ŠS)</w:t>
                    </w:r>
                  </w:p>
                </w:tc>
                <w:tc>
                  <w:tcPr>
                    <w:tcW w:w="1134" w:type="dxa"/>
                    <w:shd w:val="clear" w:color="auto" w:fill="FFD966"/>
                    <w:noWrap/>
                    <w:vAlign w:val="center"/>
                    <w:hideMark/>
                  </w:tcPr>
                  <w:p>
                    <w:pPr>
                      <w:jc w:val="center"/>
                      <w:rPr>
                        <w:sz w:val="20"/>
                      </w:rPr>
                    </w:pPr>
                    <w:r>
                      <w:rPr>
                        <w:sz w:val="20"/>
                      </w:rPr>
                      <w:t>97 (2023)</w:t>
                    </w:r>
                  </w:p>
                </w:tc>
                <w:tc>
                  <w:tcPr>
                    <w:tcW w:w="1134" w:type="dxa"/>
                    <w:shd w:val="clear" w:color="auto" w:fill="FFD966"/>
                    <w:noWrap/>
                    <w:vAlign w:val="center"/>
                    <w:hideMark/>
                  </w:tcPr>
                  <w:p>
                    <w:pPr>
                      <w:jc w:val="center"/>
                      <w:rPr>
                        <w:sz w:val="20"/>
                      </w:rPr>
                    </w:pPr>
                    <w:r>
                      <w:rPr>
                        <w:sz w:val="20"/>
                      </w:rPr>
                      <w:t>98 (2033)</w:t>
                    </w:r>
                  </w:p>
                </w:tc>
              </w:tr>
              <w:tr>
                <w:trPr>
                  <w:trHeight w:val="723"/>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1417" w:type="dxa"/>
                    <w:shd w:val="clear" w:color="auto" w:fill="FFD966"/>
                    <w:vAlign w:val="center"/>
                    <w:hideMark/>
                  </w:tcPr>
                  <w:p>
                    <w:pPr>
                      <w:rPr>
                        <w:sz w:val="20"/>
                      </w:rPr>
                    </w:pPr>
                    <w:r>
                      <w:rPr>
                        <w:sz w:val="20"/>
                      </w:rPr>
                      <w:t>P-18-03</w:t>
                    </w:r>
                  </w:p>
                </w:tc>
                <w:tc>
                  <w:tcPr>
                    <w:tcW w:w="4111" w:type="dxa"/>
                    <w:shd w:val="clear" w:color="auto" w:fill="FFD966"/>
                    <w:vAlign w:val="center"/>
                    <w:hideMark/>
                  </w:tcPr>
                  <w:p>
                    <w:pPr>
                      <w:rPr>
                        <w:sz w:val="20"/>
                      </w:rPr>
                    </w:pPr>
                    <w:r>
                      <w:rPr>
                        <w:sz w:val="20"/>
                      </w:rPr>
                      <w:t>Mokyklinio amžiaus vaikų, nesimokančių mokyklose skaičius, tenkantis 1000 gyv. (asm. / 1000 gyv.)</w:t>
                    </w:r>
                  </w:p>
                </w:tc>
                <w:tc>
                  <w:tcPr>
                    <w:tcW w:w="1134" w:type="dxa"/>
                    <w:shd w:val="clear" w:color="auto" w:fill="FFD966"/>
                    <w:noWrap/>
                    <w:vAlign w:val="center"/>
                    <w:hideMark/>
                  </w:tcPr>
                  <w:p>
                    <w:pPr>
                      <w:jc w:val="center"/>
                      <w:rPr>
                        <w:sz w:val="20"/>
                      </w:rPr>
                    </w:pPr>
                    <w:r>
                      <w:rPr>
                        <w:sz w:val="20"/>
                      </w:rPr>
                      <w:t>VDA (ŠS)</w:t>
                    </w:r>
                  </w:p>
                </w:tc>
                <w:tc>
                  <w:tcPr>
                    <w:tcW w:w="1134" w:type="dxa"/>
                    <w:shd w:val="clear" w:color="auto" w:fill="FFD966"/>
                    <w:vAlign w:val="center"/>
                    <w:hideMark/>
                  </w:tcPr>
                  <w:p>
                    <w:pPr>
                      <w:jc w:val="center"/>
                      <w:rPr>
                        <w:sz w:val="20"/>
                      </w:rPr>
                    </w:pPr>
                    <w:r>
                      <w:rPr>
                        <w:sz w:val="20"/>
                      </w:rPr>
                      <w:t xml:space="preserve">3,8 </w:t>
                      <w:br/>
                      <w:t>(2022-2023)</w:t>
                    </w:r>
                  </w:p>
                </w:tc>
                <w:tc>
                  <w:tcPr>
                    <w:tcW w:w="1134" w:type="dxa"/>
                    <w:shd w:val="clear" w:color="auto" w:fill="FFD966"/>
                    <w:noWrap/>
                    <w:vAlign w:val="center"/>
                    <w:hideMark/>
                  </w:tcPr>
                  <w:p>
                    <w:pPr>
                      <w:jc w:val="center"/>
                      <w:rPr>
                        <w:sz w:val="20"/>
                      </w:rPr>
                    </w:pPr>
                    <w:r>
                      <w:rPr>
                        <w:sz w:val="20"/>
                      </w:rPr>
                      <w:t>2,7 (2033)</w:t>
                    </w:r>
                  </w:p>
                </w:tc>
              </w:tr>
              <w:tr>
                <w:trPr>
                  <w:trHeight w:val="743"/>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1417" w:type="dxa"/>
                    <w:shd w:val="clear" w:color="auto" w:fill="FFD966"/>
                    <w:vAlign w:val="center"/>
                    <w:hideMark/>
                  </w:tcPr>
                  <w:p>
                    <w:pPr>
                      <w:rPr>
                        <w:sz w:val="20"/>
                      </w:rPr>
                    </w:pPr>
                    <w:r>
                      <w:rPr>
                        <w:sz w:val="20"/>
                      </w:rPr>
                      <w:t>P-18-04</w:t>
                    </w:r>
                  </w:p>
                </w:tc>
                <w:tc>
                  <w:tcPr>
                    <w:tcW w:w="4111" w:type="dxa"/>
                    <w:shd w:val="clear" w:color="auto" w:fill="FFD966"/>
                    <w:vAlign w:val="center"/>
                    <w:hideMark/>
                  </w:tcPr>
                  <w:p>
                    <w:pPr>
                      <w:rPr>
                        <w:sz w:val="20"/>
                      </w:rPr>
                    </w:pPr>
                    <w:r>
                      <w:rPr>
                        <w:sz w:val="20"/>
                      </w:rPr>
                      <w:t>Neformaliojo švietimo veiklose dalyvaujančių mokinių dalis Šiaulių miesto savivaldybės mokyklose nuo visų mokinių (proc.)</w:t>
                    </w:r>
                  </w:p>
                </w:tc>
                <w:tc>
                  <w:tcPr>
                    <w:tcW w:w="1134" w:type="dxa"/>
                    <w:shd w:val="clear" w:color="auto" w:fill="FFD966"/>
                    <w:noWrap/>
                    <w:vAlign w:val="center"/>
                    <w:hideMark/>
                  </w:tcPr>
                  <w:p>
                    <w:pPr>
                      <w:jc w:val="center"/>
                      <w:rPr>
                        <w:sz w:val="20"/>
                      </w:rPr>
                    </w:pPr>
                    <w:r>
                      <w:rPr>
                        <w:sz w:val="20"/>
                      </w:rPr>
                      <w:t>ŠVIS (ŠS)</w:t>
                    </w:r>
                  </w:p>
                </w:tc>
                <w:tc>
                  <w:tcPr>
                    <w:tcW w:w="1134" w:type="dxa"/>
                    <w:shd w:val="clear" w:color="auto" w:fill="FFD966"/>
                    <w:vAlign w:val="center"/>
                    <w:hideMark/>
                  </w:tcPr>
                  <w:p>
                    <w:pPr>
                      <w:jc w:val="center"/>
                      <w:rPr>
                        <w:sz w:val="20"/>
                      </w:rPr>
                    </w:pPr>
                    <w:r>
                      <w:rPr>
                        <w:sz w:val="20"/>
                      </w:rPr>
                      <w:t>74,2 (2023-2024)</w:t>
                    </w:r>
                  </w:p>
                </w:tc>
                <w:tc>
                  <w:tcPr>
                    <w:tcW w:w="1134" w:type="dxa"/>
                    <w:shd w:val="clear" w:color="auto" w:fill="FFD966"/>
                    <w:noWrap/>
                    <w:vAlign w:val="center"/>
                    <w:hideMark/>
                  </w:tcPr>
                  <w:p>
                    <w:pPr>
                      <w:jc w:val="center"/>
                      <w:rPr>
                        <w:sz w:val="20"/>
                      </w:rPr>
                    </w:pPr>
                    <w:r>
                      <w:rPr>
                        <w:sz w:val="20"/>
                      </w:rPr>
                      <w:t>84,2 (2033)</w:t>
                    </w:r>
                  </w:p>
                </w:tc>
              </w:tr>
              <w:tr>
                <w:trPr>
                  <w:trHeight w:val="407"/>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709" w:type="dxa"/>
                    <w:vMerge/>
                    <w:shd w:val="clear" w:color="auto" w:fill="FFD966"/>
                    <w:vAlign w:val="center"/>
                    <w:hideMark/>
                  </w:tcPr>
                  <w:p>
                    <w:pPr>
                      <w:rPr>
                        <w:sz w:val="20"/>
                      </w:rPr>
                    </w:pPr>
                  </w:p>
                </w:tc>
                <w:tc>
                  <w:tcPr>
                    <w:tcW w:w="1417" w:type="dxa"/>
                    <w:shd w:val="clear" w:color="auto" w:fill="FFD966"/>
                    <w:vAlign w:val="center"/>
                    <w:hideMark/>
                  </w:tcPr>
                  <w:p>
                    <w:pPr>
                      <w:rPr>
                        <w:sz w:val="20"/>
                      </w:rPr>
                    </w:pPr>
                    <w:r>
                      <w:rPr>
                        <w:sz w:val="20"/>
                      </w:rPr>
                      <w:t>P-18-05</w:t>
                    </w:r>
                  </w:p>
                </w:tc>
                <w:tc>
                  <w:tcPr>
                    <w:tcW w:w="4111" w:type="dxa"/>
                    <w:shd w:val="clear" w:color="auto" w:fill="FFD966"/>
                    <w:vAlign w:val="center"/>
                    <w:hideMark/>
                  </w:tcPr>
                  <w:p>
                    <w:pPr>
                      <w:rPr>
                        <w:sz w:val="20"/>
                      </w:rPr>
                    </w:pPr>
                    <w:r>
                      <w:rPr>
                        <w:sz w:val="20"/>
                      </w:rPr>
                      <w:t>Studijuojančiųjų ir besimokančiųjų profesinėse mokymosi įstaigose dalis (proc.)</w:t>
                    </w:r>
                  </w:p>
                </w:tc>
                <w:tc>
                  <w:tcPr>
                    <w:tcW w:w="1134" w:type="dxa"/>
                    <w:shd w:val="clear" w:color="auto" w:fill="FFD966"/>
                    <w:noWrap/>
                    <w:vAlign w:val="center"/>
                    <w:hideMark/>
                  </w:tcPr>
                  <w:p>
                    <w:pPr>
                      <w:jc w:val="center"/>
                      <w:rPr>
                        <w:sz w:val="20"/>
                      </w:rPr>
                    </w:pPr>
                    <w:r>
                      <w:rPr>
                        <w:sz w:val="20"/>
                      </w:rPr>
                      <w:t>ŠMSA (ŠS)</w:t>
                    </w:r>
                  </w:p>
                </w:tc>
                <w:tc>
                  <w:tcPr>
                    <w:tcW w:w="1134" w:type="dxa"/>
                    <w:shd w:val="clear" w:color="auto" w:fill="FFD966"/>
                    <w:noWrap/>
                    <w:vAlign w:val="center"/>
                    <w:hideMark/>
                  </w:tcPr>
                  <w:p>
                    <w:pPr>
                      <w:jc w:val="center"/>
                      <w:rPr>
                        <w:sz w:val="20"/>
                      </w:rPr>
                    </w:pPr>
                    <w:r>
                      <w:rPr>
                        <w:sz w:val="20"/>
                      </w:rPr>
                      <w:t>5,3 (2023)</w:t>
                    </w:r>
                  </w:p>
                </w:tc>
                <w:tc>
                  <w:tcPr>
                    <w:tcW w:w="1134" w:type="dxa"/>
                    <w:shd w:val="clear" w:color="auto" w:fill="FFD966"/>
                    <w:noWrap/>
                    <w:vAlign w:val="center"/>
                    <w:hideMark/>
                  </w:tcPr>
                  <w:p>
                    <w:pPr>
                      <w:jc w:val="center"/>
                      <w:rPr>
                        <w:sz w:val="20"/>
                      </w:rPr>
                    </w:pPr>
                    <w:r>
                      <w:rPr>
                        <w:sz w:val="20"/>
                      </w:rPr>
                      <w:t>6,5 (2033)</w:t>
                    </w:r>
                  </w:p>
                </w:tc>
              </w:tr>
              <w:tr>
                <w:trPr>
                  <w:trHeight w:val="500"/>
                  <w:jc w:val="center"/>
                </w:trPr>
                <w:tc>
                  <w:tcPr>
                    <w:tcW w:w="988" w:type="dxa"/>
                    <w:vMerge w:val="restart"/>
                    <w:shd w:val="clear" w:color="auto" w:fill="FCE4D6"/>
                    <w:noWrap/>
                    <w:vAlign w:val="center"/>
                    <w:hideMark/>
                  </w:tcPr>
                  <w:p>
                    <w:pPr>
                      <w:rPr>
                        <w:b/>
                        <w:bCs/>
                        <w:sz w:val="20"/>
                      </w:rPr>
                    </w:pPr>
                    <w:r>
                      <w:rPr>
                        <w:b/>
                        <w:bCs/>
                        <w:sz w:val="20"/>
                      </w:rPr>
                      <w:t>18-01</w:t>
                    </w:r>
                  </w:p>
                </w:tc>
                <w:tc>
                  <w:tcPr>
                    <w:tcW w:w="2126" w:type="dxa"/>
                    <w:vMerge w:val="restart"/>
                    <w:shd w:val="clear" w:color="auto" w:fill="FCE4D6"/>
                    <w:vAlign w:val="center"/>
                    <w:hideMark/>
                  </w:tcPr>
                  <w:p>
                    <w:pPr>
                      <w:rPr>
                        <w:b/>
                        <w:bCs/>
                        <w:sz w:val="20"/>
                      </w:rPr>
                    </w:pPr>
                    <w:r>
                      <w:rPr>
                        <w:b/>
                        <w:bCs/>
                        <w:sz w:val="20"/>
                      </w:rPr>
                      <w:t>Plėtoti inovatyvią švietimo sistemą, ugdančią aktyvią ir kūrybingą asmenybę</w:t>
                    </w:r>
                  </w:p>
                </w:tc>
                <w:tc>
                  <w:tcPr>
                    <w:tcW w:w="850" w:type="dxa"/>
                    <w:vMerge w:val="restart"/>
                    <w:shd w:val="clear" w:color="auto" w:fill="FCE4D6"/>
                    <w:vAlign w:val="center"/>
                    <w:hideMark/>
                  </w:tcPr>
                  <w:p>
                    <w:pPr>
                      <w:jc w:val="center"/>
                      <w:rPr>
                        <w:sz w:val="20"/>
                      </w:rPr>
                    </w:pPr>
                    <w:r>
                      <w:rPr>
                        <w:sz w:val="20"/>
                      </w:rPr>
                      <w:t>ŠS</w:t>
                    </w:r>
                  </w:p>
                </w:tc>
                <w:tc>
                  <w:tcPr>
                    <w:tcW w:w="709" w:type="dxa"/>
                    <w:vMerge w:val="restart"/>
                    <w:shd w:val="clear" w:color="auto" w:fill="FCE4D6"/>
                    <w:vAlign w:val="center"/>
                    <w:hideMark/>
                  </w:tcPr>
                  <w:p>
                    <w:pPr>
                      <w:jc w:val="center"/>
                      <w:rPr>
                        <w:sz w:val="20"/>
                      </w:rPr>
                    </w:pPr>
                    <w:r>
                      <w:rPr>
                        <w:sz w:val="20"/>
                      </w:rPr>
                      <w:t>2025</w:t>
                    </w:r>
                  </w:p>
                </w:tc>
                <w:tc>
                  <w:tcPr>
                    <w:tcW w:w="709" w:type="dxa"/>
                    <w:vMerge w:val="restart"/>
                    <w:shd w:val="clear" w:color="auto" w:fill="FCE4D6"/>
                    <w:vAlign w:val="center"/>
                    <w:hideMark/>
                  </w:tcPr>
                  <w:p>
                    <w:pPr>
                      <w:jc w:val="center"/>
                      <w:rPr>
                        <w:sz w:val="20"/>
                      </w:rPr>
                    </w:pPr>
                    <w:r>
                      <w:rPr>
                        <w:sz w:val="20"/>
                      </w:rPr>
                      <w:t>2033</w:t>
                    </w:r>
                  </w:p>
                </w:tc>
                <w:tc>
                  <w:tcPr>
                    <w:tcW w:w="1417" w:type="dxa"/>
                    <w:shd w:val="clear" w:color="auto" w:fill="FCE4D6"/>
                    <w:vAlign w:val="center"/>
                    <w:hideMark/>
                  </w:tcPr>
                  <w:p>
                    <w:pPr>
                      <w:rPr>
                        <w:sz w:val="20"/>
                      </w:rPr>
                    </w:pPr>
                    <w:r>
                      <w:rPr>
                        <w:sz w:val="20"/>
                      </w:rPr>
                      <w:t>R-18-01-01</w:t>
                    </w:r>
                  </w:p>
                </w:tc>
                <w:tc>
                  <w:tcPr>
                    <w:tcW w:w="4111" w:type="dxa"/>
                    <w:shd w:val="clear" w:color="auto" w:fill="FCE4D6"/>
                    <w:vAlign w:val="center"/>
                    <w:hideMark/>
                  </w:tcPr>
                  <w:p>
                    <w:pPr>
                      <w:rPr>
                        <w:sz w:val="20"/>
                      </w:rPr>
                    </w:pPr>
                    <w:r>
                      <w:rPr>
                        <w:sz w:val="20"/>
                      </w:rPr>
                      <w:t>Išlaikiusių brandos egzaminus dalis, nuo laikiusiųjų (proc.)</w:t>
                    </w:r>
                  </w:p>
                </w:tc>
                <w:tc>
                  <w:tcPr>
                    <w:tcW w:w="1134" w:type="dxa"/>
                    <w:shd w:val="clear" w:color="auto" w:fill="FCE4D6"/>
                    <w:noWrap/>
                    <w:vAlign w:val="center"/>
                    <w:hideMark/>
                  </w:tcPr>
                  <w:p>
                    <w:pPr>
                      <w:jc w:val="center"/>
                      <w:rPr>
                        <w:sz w:val="20"/>
                      </w:rPr>
                    </w:pPr>
                    <w:r>
                      <w:rPr>
                        <w:sz w:val="20"/>
                      </w:rPr>
                      <w:t>NŠA (ŠS)</w:t>
                    </w:r>
                  </w:p>
                </w:tc>
                <w:tc>
                  <w:tcPr>
                    <w:tcW w:w="1134" w:type="dxa"/>
                    <w:shd w:val="clear" w:color="auto" w:fill="FCE4D6"/>
                    <w:noWrap/>
                    <w:vAlign w:val="center"/>
                    <w:hideMark/>
                  </w:tcPr>
                  <w:p>
                    <w:pPr>
                      <w:jc w:val="center"/>
                      <w:rPr>
                        <w:sz w:val="20"/>
                      </w:rPr>
                    </w:pPr>
                    <w:r>
                      <w:rPr>
                        <w:sz w:val="20"/>
                      </w:rPr>
                      <w:t>93,6 (2022)</w:t>
                    </w:r>
                  </w:p>
                </w:tc>
                <w:tc>
                  <w:tcPr>
                    <w:tcW w:w="1134" w:type="dxa"/>
                    <w:shd w:val="clear" w:color="auto" w:fill="FCE4D6"/>
                    <w:noWrap/>
                    <w:vAlign w:val="center"/>
                    <w:hideMark/>
                  </w:tcPr>
                  <w:p>
                    <w:pPr>
                      <w:jc w:val="center"/>
                      <w:rPr>
                        <w:sz w:val="20"/>
                      </w:rPr>
                    </w:pPr>
                    <w:r>
                      <w:rPr>
                        <w:sz w:val="20"/>
                      </w:rPr>
                      <w:t>97,5 (2033)</w:t>
                    </w:r>
                  </w:p>
                </w:tc>
              </w:tr>
              <w:tr>
                <w:trPr>
                  <w:trHeight w:val="632"/>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sz w:val="20"/>
                      </w:rPr>
                    </w:pPr>
                    <w:r>
                      <w:rPr>
                        <w:sz w:val="20"/>
                      </w:rPr>
                      <w:t>R-18-01-02</w:t>
                    </w:r>
                  </w:p>
                </w:tc>
                <w:tc>
                  <w:tcPr>
                    <w:tcW w:w="4111" w:type="dxa"/>
                    <w:shd w:val="clear" w:color="auto" w:fill="FCE4D6"/>
                    <w:vAlign w:val="center"/>
                    <w:hideMark/>
                  </w:tcPr>
                  <w:p>
                    <w:pPr>
                      <w:rPr>
                        <w:sz w:val="20"/>
                      </w:rPr>
                    </w:pPr>
                    <w:r>
                      <w:rPr>
                        <w:sz w:val="20"/>
                      </w:rPr>
                      <w:t>Įstojusių į aukštąsias mokyklas dalis (asmenys, baigę bendrojo ugdymo mokyklas Šiauliuose) nuo visų, gavusiųjų vidurinį išsilavinimą (proc.)</w:t>
                    </w:r>
                  </w:p>
                </w:tc>
                <w:tc>
                  <w:tcPr>
                    <w:tcW w:w="1134" w:type="dxa"/>
                    <w:shd w:val="clear" w:color="auto" w:fill="FCE4D6"/>
                    <w:vAlign w:val="center"/>
                    <w:hideMark/>
                  </w:tcPr>
                  <w:p>
                    <w:pPr>
                      <w:jc w:val="center"/>
                      <w:rPr>
                        <w:sz w:val="20"/>
                      </w:rPr>
                    </w:pPr>
                    <w:r>
                      <w:rPr>
                        <w:sz w:val="20"/>
                      </w:rPr>
                      <w:t>VDA, ŠVIS (ŠS)</w:t>
                    </w:r>
                  </w:p>
                </w:tc>
                <w:tc>
                  <w:tcPr>
                    <w:tcW w:w="1134" w:type="dxa"/>
                    <w:shd w:val="clear" w:color="auto" w:fill="FCE4D6"/>
                    <w:noWrap/>
                    <w:vAlign w:val="center"/>
                    <w:hideMark/>
                  </w:tcPr>
                  <w:p>
                    <w:pPr>
                      <w:jc w:val="center"/>
                      <w:rPr>
                        <w:sz w:val="20"/>
                      </w:rPr>
                    </w:pPr>
                    <w:r>
                      <w:rPr>
                        <w:sz w:val="20"/>
                      </w:rPr>
                      <w:t>64,5 (2022)</w:t>
                    </w:r>
                  </w:p>
                </w:tc>
                <w:tc>
                  <w:tcPr>
                    <w:tcW w:w="1134" w:type="dxa"/>
                    <w:shd w:val="clear" w:color="auto" w:fill="FCE4D6"/>
                    <w:noWrap/>
                    <w:vAlign w:val="center"/>
                    <w:hideMark/>
                  </w:tcPr>
                  <w:p>
                    <w:pPr>
                      <w:jc w:val="center"/>
                      <w:rPr>
                        <w:sz w:val="20"/>
                      </w:rPr>
                    </w:pPr>
                    <w:r>
                      <w:rPr>
                        <w:sz w:val="20"/>
                      </w:rPr>
                      <w:t>68-70 (2033)</w:t>
                    </w:r>
                  </w:p>
                </w:tc>
              </w:tr>
              <w:tr>
                <w:trPr>
                  <w:trHeight w:val="270"/>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sz w:val="20"/>
                      </w:rPr>
                    </w:pPr>
                    <w:r>
                      <w:rPr>
                        <w:sz w:val="20"/>
                      </w:rPr>
                      <w:t>R-18-01-03</w:t>
                    </w:r>
                  </w:p>
                </w:tc>
                <w:tc>
                  <w:tcPr>
                    <w:tcW w:w="4111" w:type="dxa"/>
                    <w:shd w:val="clear" w:color="auto" w:fill="FCE4D6"/>
                    <w:vAlign w:val="center"/>
                    <w:hideMark/>
                  </w:tcPr>
                  <w:p>
                    <w:pPr>
                      <w:rPr>
                        <w:sz w:val="20"/>
                      </w:rPr>
                    </w:pPr>
                    <w:r>
                      <w:rPr>
                        <w:sz w:val="20"/>
                      </w:rPr>
                      <w:t>Pagalbos mokiniui specialistų, tenkančių 100 mokinių, skaičius (asm. per metus)</w:t>
                    </w:r>
                  </w:p>
                </w:tc>
                <w:tc>
                  <w:tcPr>
                    <w:tcW w:w="1134" w:type="dxa"/>
                    <w:shd w:val="clear" w:color="auto" w:fill="FCE4D6"/>
                    <w:noWrap/>
                    <w:vAlign w:val="center"/>
                    <w:hideMark/>
                  </w:tcPr>
                  <w:p>
                    <w:pPr>
                      <w:jc w:val="center"/>
                      <w:rPr>
                        <w:sz w:val="20"/>
                      </w:rPr>
                    </w:pPr>
                    <w:r>
                      <w:rPr>
                        <w:sz w:val="20"/>
                      </w:rPr>
                      <w:t>ŠVIS (ŠS)</w:t>
                    </w:r>
                  </w:p>
                </w:tc>
                <w:tc>
                  <w:tcPr>
                    <w:tcW w:w="1134" w:type="dxa"/>
                    <w:shd w:val="clear" w:color="auto" w:fill="FCE4D6"/>
                    <w:noWrap/>
                    <w:vAlign w:val="center"/>
                    <w:hideMark/>
                  </w:tcPr>
                  <w:p>
                    <w:pPr>
                      <w:jc w:val="center"/>
                      <w:rPr>
                        <w:sz w:val="20"/>
                      </w:rPr>
                    </w:pPr>
                    <w:r>
                      <w:rPr>
                        <w:sz w:val="20"/>
                      </w:rPr>
                      <w:t>0,84 (2023)</w:t>
                    </w:r>
                  </w:p>
                </w:tc>
                <w:tc>
                  <w:tcPr>
                    <w:tcW w:w="1134" w:type="dxa"/>
                    <w:shd w:val="clear" w:color="auto" w:fill="FCE4D6"/>
                    <w:noWrap/>
                    <w:vAlign w:val="center"/>
                    <w:hideMark/>
                  </w:tcPr>
                  <w:p>
                    <w:pPr>
                      <w:jc w:val="center"/>
                      <w:rPr>
                        <w:sz w:val="20"/>
                      </w:rPr>
                    </w:pPr>
                    <w:r>
                      <w:rPr>
                        <w:sz w:val="20"/>
                      </w:rPr>
                      <w:t>1 (2033)</w:t>
                    </w:r>
                  </w:p>
                </w:tc>
              </w:tr>
              <w:tr>
                <w:trPr>
                  <w:trHeight w:val="520"/>
                  <w:jc w:val="center"/>
                </w:trPr>
                <w:tc>
                  <w:tcPr>
                    <w:tcW w:w="988" w:type="dxa"/>
                    <w:vMerge w:val="restart"/>
                    <w:noWrap/>
                    <w:vAlign w:val="center"/>
                    <w:hideMark/>
                  </w:tcPr>
                  <w:p>
                    <w:pPr>
                      <w:rPr>
                        <w:sz w:val="20"/>
                      </w:rPr>
                    </w:pPr>
                    <w:r>
                      <w:rPr>
                        <w:sz w:val="20"/>
                      </w:rPr>
                      <w:t>18-01-01</w:t>
                    </w:r>
                  </w:p>
                </w:tc>
                <w:tc>
                  <w:tcPr>
                    <w:tcW w:w="2126" w:type="dxa"/>
                    <w:vMerge w:val="restart"/>
                    <w:vAlign w:val="center"/>
                    <w:hideMark/>
                  </w:tcPr>
                  <w:p>
                    <w:pPr>
                      <w:rPr>
                        <w:sz w:val="20"/>
                      </w:rPr>
                    </w:pPr>
                    <w:r>
                      <w:rPr>
                        <w:sz w:val="20"/>
                      </w:rPr>
                      <w:t>Užtikrinti ikimokyklinio ugdymo paslaugų kokybę</w:t>
                    </w:r>
                  </w:p>
                </w:tc>
                <w:tc>
                  <w:tcPr>
                    <w:tcW w:w="850" w:type="dxa"/>
                    <w:vMerge w:val="restart"/>
                    <w:vAlign w:val="center"/>
                    <w:hideMark/>
                  </w:tcPr>
                  <w:p>
                    <w:pPr>
                      <w:jc w:val="center"/>
                      <w:rPr>
                        <w:sz w:val="20"/>
                      </w:rPr>
                    </w:pPr>
                    <w:r>
                      <w:rPr>
                        <w:sz w:val="20"/>
                      </w:rPr>
                      <w:t>ŠS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P-18-01-01-01</w:t>
                    </w:r>
                  </w:p>
                </w:tc>
                <w:tc>
                  <w:tcPr>
                    <w:tcW w:w="4111" w:type="dxa"/>
                    <w:vAlign w:val="center"/>
                    <w:hideMark/>
                  </w:tcPr>
                  <w:p>
                    <w:pPr>
                      <w:rPr>
                        <w:sz w:val="20"/>
                      </w:rPr>
                    </w:pPr>
                    <w:r>
                      <w:rPr>
                        <w:sz w:val="20"/>
                      </w:rPr>
                      <w:t>Ikimokyklinio ugdymo įstaigų, dalyvaujančių „Mąstymo mokyklų“ tinklo veiklose, skaičius (vnt.)</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1 (2023)</w:t>
                    </w:r>
                  </w:p>
                </w:tc>
                <w:tc>
                  <w:tcPr>
                    <w:tcW w:w="1134" w:type="dxa"/>
                    <w:noWrap/>
                    <w:vAlign w:val="center"/>
                    <w:hideMark/>
                  </w:tcPr>
                  <w:p>
                    <w:pPr>
                      <w:jc w:val="center"/>
                      <w:rPr>
                        <w:sz w:val="20"/>
                      </w:rPr>
                    </w:pPr>
                    <w:r>
                      <w:rPr>
                        <w:sz w:val="20"/>
                      </w:rPr>
                      <w:t>5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P-18-01-01-02</w:t>
                    </w:r>
                  </w:p>
                </w:tc>
                <w:tc>
                  <w:tcPr>
                    <w:tcW w:w="4111" w:type="dxa"/>
                    <w:vAlign w:val="center"/>
                    <w:hideMark/>
                  </w:tcPr>
                  <w:p>
                    <w:pPr>
                      <w:rPr>
                        <w:sz w:val="20"/>
                      </w:rPr>
                    </w:pPr>
                    <w:r>
                      <w:rPr>
                        <w:sz w:val="20"/>
                      </w:rPr>
                      <w:t>Ikimokyklinio ugdymo įstaigų, dalyvaujančių „Darnus darželis“ tinklo veiklose, skaičius (vnt.)</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4 (2023)</w:t>
                    </w:r>
                  </w:p>
                </w:tc>
                <w:tc>
                  <w:tcPr>
                    <w:tcW w:w="1134" w:type="dxa"/>
                    <w:noWrap/>
                    <w:vAlign w:val="center"/>
                    <w:hideMark/>
                  </w:tcPr>
                  <w:p>
                    <w:pPr>
                      <w:jc w:val="center"/>
                      <w:rPr>
                        <w:sz w:val="20"/>
                      </w:rPr>
                    </w:pPr>
                    <w:r>
                      <w:rPr>
                        <w:sz w:val="20"/>
                      </w:rPr>
                      <w:t>8 (2033)</w:t>
                    </w:r>
                  </w:p>
                </w:tc>
              </w:tr>
              <w:tr>
                <w:trPr>
                  <w:trHeight w:val="780"/>
                  <w:jc w:val="center"/>
                </w:trPr>
                <w:tc>
                  <w:tcPr>
                    <w:tcW w:w="988" w:type="dxa"/>
                    <w:vMerge w:val="restart"/>
                    <w:noWrap/>
                    <w:vAlign w:val="center"/>
                    <w:hideMark/>
                  </w:tcPr>
                  <w:p>
                    <w:pPr>
                      <w:rPr>
                        <w:sz w:val="20"/>
                      </w:rPr>
                    </w:pPr>
                    <w:r>
                      <w:rPr>
                        <w:sz w:val="20"/>
                      </w:rPr>
                      <w:t>18-01-02</w:t>
                    </w:r>
                  </w:p>
                </w:tc>
                <w:tc>
                  <w:tcPr>
                    <w:tcW w:w="2126" w:type="dxa"/>
                    <w:vMerge w:val="restart"/>
                    <w:vAlign w:val="center"/>
                    <w:hideMark/>
                  </w:tcPr>
                  <w:p>
                    <w:pPr>
                      <w:rPr>
                        <w:sz w:val="20"/>
                      </w:rPr>
                    </w:pPr>
                    <w:r>
                      <w:rPr>
                        <w:sz w:val="20"/>
                      </w:rPr>
                      <w:t>Užtikrinti bendrojo ugdymo paslaugų kokybę ir įvairovę</w:t>
                    </w:r>
                  </w:p>
                </w:tc>
                <w:tc>
                  <w:tcPr>
                    <w:tcW w:w="850" w:type="dxa"/>
                    <w:vMerge w:val="restart"/>
                    <w:vAlign w:val="center"/>
                    <w:hideMark/>
                  </w:tcPr>
                  <w:p>
                    <w:pPr>
                      <w:jc w:val="center"/>
                      <w:rPr>
                        <w:sz w:val="20"/>
                      </w:rPr>
                    </w:pPr>
                    <w:r>
                      <w:rPr>
                        <w:sz w:val="20"/>
                      </w:rPr>
                      <w:t>ŠS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P-18-01-02-01</w:t>
                    </w:r>
                  </w:p>
                </w:tc>
                <w:tc>
                  <w:tcPr>
                    <w:tcW w:w="4111" w:type="dxa"/>
                    <w:vAlign w:val="center"/>
                    <w:hideMark/>
                  </w:tcPr>
                  <w:p>
                    <w:pPr>
                      <w:rPr>
                        <w:sz w:val="20"/>
                      </w:rPr>
                    </w:pPr>
                    <w:r>
                      <w:rPr>
                        <w:sz w:val="20"/>
                      </w:rPr>
                      <w:t>Įdiegtų akredituotų tarptautinio bakalaureato pradinio (1–4 kl.) ir pagrindinio (5–8 kl.) ugdymo programų, skaičius (vnt.)</w:t>
                    </w:r>
                  </w:p>
                </w:tc>
                <w:tc>
                  <w:tcPr>
                    <w:tcW w:w="1134" w:type="dxa"/>
                    <w:vAlign w:val="center"/>
                    <w:hideMark/>
                  </w:tcPr>
                  <w:p>
                    <w:pPr>
                      <w:jc w:val="center"/>
                      <w:rPr>
                        <w:sz w:val="20"/>
                      </w:rPr>
                    </w:pPr>
                    <w:r>
                      <w:rPr>
                        <w:sz w:val="20"/>
                      </w:rPr>
                      <w:t>ŠS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2 (2033)</w:t>
                    </w:r>
                  </w:p>
                </w:tc>
              </w:tr>
              <w:tr>
                <w:trPr>
                  <w:trHeight w:val="515"/>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P-18-01-02-02</w:t>
                    </w:r>
                  </w:p>
                </w:tc>
                <w:tc>
                  <w:tcPr>
                    <w:tcW w:w="4111" w:type="dxa"/>
                    <w:vAlign w:val="center"/>
                    <w:hideMark/>
                  </w:tcPr>
                  <w:p>
                    <w:pPr>
                      <w:rPr>
                        <w:sz w:val="20"/>
                      </w:rPr>
                    </w:pPr>
                    <w:r>
                      <w:rPr>
                        <w:sz w:val="20"/>
                      </w:rPr>
                      <w:t>Mokinių, besimokančiųjų pagal specializuoto ugdymo inžinerinės krypties pagrindinio ir vidurinio ugdymo programas, skaičius (asm.)</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56 (2023)</w:t>
                    </w:r>
                  </w:p>
                </w:tc>
                <w:tc>
                  <w:tcPr>
                    <w:tcW w:w="1134" w:type="dxa"/>
                    <w:noWrap/>
                    <w:vAlign w:val="center"/>
                    <w:hideMark/>
                  </w:tcPr>
                  <w:p>
                    <w:pPr>
                      <w:jc w:val="center"/>
                      <w:rPr>
                        <w:sz w:val="20"/>
                      </w:rPr>
                    </w:pPr>
                    <w:r>
                      <w:rPr>
                        <w:sz w:val="20"/>
                      </w:rPr>
                      <w:t>320 (2033)</w:t>
                    </w:r>
                  </w:p>
                </w:tc>
              </w:tr>
              <w:tr>
                <w:trPr>
                  <w:trHeight w:val="667"/>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P-18-01-02-03</w:t>
                    </w:r>
                  </w:p>
                </w:tc>
                <w:tc>
                  <w:tcPr>
                    <w:tcW w:w="4111" w:type="dxa"/>
                    <w:vAlign w:val="center"/>
                    <w:hideMark/>
                  </w:tcPr>
                  <w:p>
                    <w:pPr>
                      <w:rPr>
                        <w:sz w:val="20"/>
                      </w:rPr>
                    </w:pPr>
                    <w:r>
                      <w:rPr>
                        <w:sz w:val="20"/>
                      </w:rPr>
                      <w:t>Mokinių, dalyvavusių profesinio veiklinimo ir konsultavimo veiklose, dalis nuo visų mokinių (proc.)</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87 (2023)</w:t>
                    </w:r>
                  </w:p>
                </w:tc>
                <w:tc>
                  <w:tcPr>
                    <w:tcW w:w="1134" w:type="dxa"/>
                    <w:noWrap/>
                    <w:vAlign w:val="center"/>
                    <w:hideMark/>
                  </w:tcPr>
                  <w:p>
                    <w:pPr>
                      <w:jc w:val="center"/>
                      <w:rPr>
                        <w:sz w:val="20"/>
                      </w:rPr>
                    </w:pPr>
                    <w:r>
                      <w:rPr>
                        <w:sz w:val="20"/>
                      </w:rPr>
                      <w:t>90 (2033)</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P-18-01-02-04</w:t>
                    </w:r>
                  </w:p>
                </w:tc>
                <w:tc>
                  <w:tcPr>
                    <w:tcW w:w="4111" w:type="dxa"/>
                    <w:vAlign w:val="center"/>
                    <w:hideMark/>
                  </w:tcPr>
                  <w:p>
                    <w:pPr>
                      <w:rPr>
                        <w:sz w:val="20"/>
                      </w:rPr>
                    </w:pPr>
                    <w:r>
                      <w:rPr>
                        <w:sz w:val="20"/>
                      </w:rPr>
                      <w:t>Dalykinių olimpiadų prizininkų skaičius, tenkantis 10 tūkst. mokinių (asm. per metus)</w:t>
                    </w:r>
                  </w:p>
                </w:tc>
                <w:tc>
                  <w:tcPr>
                    <w:tcW w:w="1134" w:type="dxa"/>
                    <w:vAlign w:val="center"/>
                    <w:hideMark/>
                  </w:tcPr>
                  <w:p>
                    <w:pPr>
                      <w:jc w:val="center"/>
                      <w:rPr>
                        <w:sz w:val="20"/>
                      </w:rPr>
                    </w:pPr>
                    <w:r>
                      <w:rPr>
                        <w:sz w:val="20"/>
                      </w:rPr>
                      <w:t>NŠA (ŠS)</w:t>
                    </w:r>
                  </w:p>
                </w:tc>
                <w:tc>
                  <w:tcPr>
                    <w:tcW w:w="1134" w:type="dxa"/>
                    <w:noWrap/>
                    <w:vAlign w:val="center"/>
                    <w:hideMark/>
                  </w:tcPr>
                  <w:p>
                    <w:pPr>
                      <w:jc w:val="center"/>
                      <w:rPr>
                        <w:sz w:val="20"/>
                      </w:rPr>
                    </w:pPr>
                    <w:r>
                      <w:rPr>
                        <w:sz w:val="20"/>
                      </w:rPr>
                      <w:t>6,9 (2023)</w:t>
                    </w:r>
                  </w:p>
                </w:tc>
                <w:tc>
                  <w:tcPr>
                    <w:tcW w:w="1134" w:type="dxa"/>
                    <w:noWrap/>
                    <w:vAlign w:val="center"/>
                    <w:hideMark/>
                  </w:tcPr>
                  <w:p>
                    <w:pPr>
                      <w:jc w:val="center"/>
                      <w:rPr>
                        <w:sz w:val="20"/>
                      </w:rPr>
                    </w:pPr>
                    <w:r>
                      <w:rPr>
                        <w:sz w:val="20"/>
                      </w:rPr>
                      <w:t>10 (2033)</w:t>
                    </w:r>
                  </w:p>
                </w:tc>
              </w:tr>
              <w:tr>
                <w:trPr>
                  <w:trHeight w:val="642"/>
                  <w:jc w:val="center"/>
                </w:trPr>
                <w:tc>
                  <w:tcPr>
                    <w:tcW w:w="988" w:type="dxa"/>
                    <w:vMerge w:val="restart"/>
                    <w:noWrap/>
                    <w:vAlign w:val="center"/>
                    <w:hideMark/>
                  </w:tcPr>
                  <w:p>
                    <w:pPr>
                      <w:rPr>
                        <w:sz w:val="20"/>
                      </w:rPr>
                    </w:pPr>
                    <w:r>
                      <w:rPr>
                        <w:sz w:val="20"/>
                      </w:rPr>
                      <w:t>18-01-03</w:t>
                    </w:r>
                  </w:p>
                </w:tc>
                <w:tc>
                  <w:tcPr>
                    <w:tcW w:w="2126" w:type="dxa"/>
                    <w:vMerge w:val="restart"/>
                    <w:vAlign w:val="center"/>
                    <w:hideMark/>
                  </w:tcPr>
                  <w:p>
                    <w:pPr>
                      <w:rPr>
                        <w:sz w:val="20"/>
                      </w:rPr>
                    </w:pPr>
                    <w:r>
                      <w:rPr>
                        <w:sz w:val="20"/>
                      </w:rPr>
                      <w:t>Kryptingai tobulinti neformaliojo vaikų švietimo paslaugų sistemą</w:t>
                    </w:r>
                  </w:p>
                </w:tc>
                <w:tc>
                  <w:tcPr>
                    <w:tcW w:w="850" w:type="dxa"/>
                    <w:vMerge w:val="restart"/>
                    <w:vAlign w:val="center"/>
                    <w:hideMark/>
                  </w:tcPr>
                  <w:p>
                    <w:pPr>
                      <w:jc w:val="center"/>
                      <w:rPr>
                        <w:sz w:val="20"/>
                      </w:rPr>
                    </w:pPr>
                    <w:r>
                      <w:rPr>
                        <w:sz w:val="20"/>
                      </w:rPr>
                      <w:t>ŠS</w:t>
                    </w:r>
                  </w:p>
                </w:tc>
                <w:tc>
                  <w:tcPr>
                    <w:tcW w:w="709" w:type="dxa"/>
                    <w:vMerge w:val="restart"/>
                    <w:noWrap/>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P-18-01-03-01</w:t>
                    </w:r>
                  </w:p>
                </w:tc>
                <w:tc>
                  <w:tcPr>
                    <w:tcW w:w="4111" w:type="dxa"/>
                    <w:vAlign w:val="center"/>
                    <w:hideMark/>
                  </w:tcPr>
                  <w:p>
                    <w:pPr>
                      <w:rPr>
                        <w:sz w:val="20"/>
                      </w:rPr>
                    </w:pPr>
                    <w:r>
                      <w:rPr>
                        <w:sz w:val="20"/>
                      </w:rPr>
                      <w:t>Atnaujintų / naujai parengtų neformaliojo vaikų švietimo programų dalis nuo visų neformaliojo švietimo programų (proc.)</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25 (2023)</w:t>
                    </w:r>
                  </w:p>
                </w:tc>
                <w:tc>
                  <w:tcPr>
                    <w:tcW w:w="1134" w:type="dxa"/>
                    <w:noWrap/>
                    <w:vAlign w:val="center"/>
                    <w:hideMark/>
                  </w:tcPr>
                  <w:p>
                    <w:pPr>
                      <w:jc w:val="center"/>
                      <w:rPr>
                        <w:sz w:val="20"/>
                      </w:rPr>
                    </w:pPr>
                    <w:r>
                      <w:rPr>
                        <w:sz w:val="20"/>
                      </w:rPr>
                      <w:t>100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P-18-01-03-02</w:t>
                    </w:r>
                  </w:p>
                </w:tc>
                <w:tc>
                  <w:tcPr>
                    <w:tcW w:w="4111" w:type="dxa"/>
                    <w:vAlign w:val="center"/>
                    <w:hideMark/>
                  </w:tcPr>
                  <w:p>
                    <w:pPr>
                      <w:rPr>
                        <w:sz w:val="20"/>
                      </w:rPr>
                    </w:pPr>
                    <w:r>
                      <w:rPr>
                        <w:sz w:val="20"/>
                      </w:rPr>
                      <w:t>Formalųjį švietimą papildančių ugdymo programų skaičius (vnt.)</w:t>
                    </w:r>
                  </w:p>
                </w:tc>
                <w:tc>
                  <w:tcPr>
                    <w:tcW w:w="1134" w:type="dxa"/>
                    <w:vAlign w:val="center"/>
                    <w:hideMark/>
                  </w:tcPr>
                  <w:p>
                    <w:pPr>
                      <w:jc w:val="center"/>
                      <w:rPr>
                        <w:sz w:val="20"/>
                      </w:rPr>
                    </w:pPr>
                    <w:r>
                      <w:rPr>
                        <w:sz w:val="20"/>
                      </w:rPr>
                      <w:t>ŠS</w:t>
                    </w:r>
                  </w:p>
                </w:tc>
                <w:tc>
                  <w:tcPr>
                    <w:tcW w:w="1134" w:type="dxa"/>
                    <w:noWrap/>
                    <w:vAlign w:val="center"/>
                    <w:hideMark/>
                  </w:tcPr>
                  <w:p>
                    <w:pPr>
                      <w:jc w:val="center"/>
                      <w:rPr>
                        <w:sz w:val="20"/>
                      </w:rPr>
                    </w:pPr>
                    <w:r>
                      <w:rPr>
                        <w:sz w:val="20"/>
                      </w:rPr>
                      <w:t>10 (2023)</w:t>
                    </w:r>
                  </w:p>
                </w:tc>
                <w:tc>
                  <w:tcPr>
                    <w:tcW w:w="1134" w:type="dxa"/>
                    <w:noWrap/>
                    <w:vAlign w:val="center"/>
                    <w:hideMark/>
                  </w:tcPr>
                  <w:p>
                    <w:pPr>
                      <w:jc w:val="center"/>
                      <w:rPr>
                        <w:sz w:val="20"/>
                      </w:rPr>
                    </w:pPr>
                    <w:r>
                      <w:rPr>
                        <w:sz w:val="20"/>
                      </w:rPr>
                      <w:t>12 (2033)</w:t>
                    </w:r>
                  </w:p>
                </w:tc>
              </w:tr>
              <w:tr>
                <w:trPr>
                  <w:trHeight w:val="545"/>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P-18-01-03-03</w:t>
                    </w:r>
                  </w:p>
                </w:tc>
                <w:tc>
                  <w:tcPr>
                    <w:tcW w:w="4111" w:type="dxa"/>
                    <w:vAlign w:val="center"/>
                    <w:hideMark/>
                  </w:tcPr>
                  <w:p>
                    <w:pPr>
                      <w:rPr>
                        <w:sz w:val="20"/>
                      </w:rPr>
                    </w:pPr>
                    <w:r>
                      <w:rPr>
                        <w:sz w:val="20"/>
                      </w:rPr>
                      <w:t>Veiklų, didinančių neformaliojo vaikų švietimo patrauklumą mokinių ir tėvų bendruomenėje, skaičius (vnt.)</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n.d. (2023)</w:t>
                    </w:r>
                  </w:p>
                </w:tc>
                <w:tc>
                  <w:tcPr>
                    <w:tcW w:w="1134" w:type="dxa"/>
                    <w:noWrap/>
                    <w:vAlign w:val="center"/>
                    <w:hideMark/>
                  </w:tcPr>
                  <w:p>
                    <w:pPr>
                      <w:jc w:val="center"/>
                      <w:rPr>
                        <w:sz w:val="20"/>
                      </w:rPr>
                    </w:pPr>
                    <w:r>
                      <w:rPr>
                        <w:sz w:val="20"/>
                      </w:rPr>
                      <w:t>16 (2033)</w:t>
                    </w:r>
                  </w:p>
                </w:tc>
              </w:tr>
              <w:tr>
                <w:trPr>
                  <w:trHeight w:val="541"/>
                  <w:jc w:val="center"/>
                </w:trPr>
                <w:tc>
                  <w:tcPr>
                    <w:tcW w:w="988" w:type="dxa"/>
                    <w:tcBorders>
                      <w:bottom w:val="single" w:sz="4" w:space="0" w:color="auto"/>
                    </w:tcBorders>
                    <w:noWrap/>
                    <w:vAlign w:val="center"/>
                    <w:hideMark/>
                  </w:tcPr>
                  <w:p>
                    <w:pPr>
                      <w:rPr>
                        <w:sz w:val="20"/>
                      </w:rPr>
                    </w:pPr>
                    <w:r>
                      <w:rPr>
                        <w:sz w:val="20"/>
                      </w:rPr>
                      <w:t>18-01-04</w:t>
                    </w:r>
                  </w:p>
                </w:tc>
                <w:tc>
                  <w:tcPr>
                    <w:tcW w:w="2126" w:type="dxa"/>
                    <w:tcBorders>
                      <w:bottom w:val="single" w:sz="4" w:space="0" w:color="auto"/>
                    </w:tcBorders>
                    <w:vAlign w:val="center"/>
                    <w:hideMark/>
                  </w:tcPr>
                  <w:p>
                    <w:pPr>
                      <w:rPr>
                        <w:sz w:val="20"/>
                      </w:rPr>
                    </w:pPr>
                    <w:r>
                      <w:rPr>
                        <w:sz w:val="20"/>
                      </w:rPr>
                      <w:t>Tobulinti neformaliojo suaugusiųjų švietimo paslaugų sistemą</w:t>
                    </w:r>
                  </w:p>
                </w:tc>
                <w:tc>
                  <w:tcPr>
                    <w:tcW w:w="850" w:type="dxa"/>
                    <w:tcBorders>
                      <w:bottom w:val="single" w:sz="4" w:space="0" w:color="auto"/>
                    </w:tcBorders>
                    <w:vAlign w:val="center"/>
                    <w:hideMark/>
                  </w:tcPr>
                  <w:p>
                    <w:pPr>
                      <w:jc w:val="center"/>
                      <w:rPr>
                        <w:sz w:val="20"/>
                      </w:rPr>
                    </w:pPr>
                    <w:r>
                      <w:rPr>
                        <w:sz w:val="20"/>
                      </w:rPr>
                      <w:t>ŠS</w:t>
                    </w:r>
                  </w:p>
                </w:tc>
                <w:tc>
                  <w:tcPr>
                    <w:tcW w:w="709" w:type="dxa"/>
                    <w:tcBorders>
                      <w:bottom w:val="single" w:sz="4" w:space="0" w:color="auto"/>
                    </w:tcBorders>
                    <w:vAlign w:val="center"/>
                    <w:hideMark/>
                  </w:tcPr>
                  <w:p>
                    <w:pPr>
                      <w:jc w:val="center"/>
                      <w:rPr>
                        <w:sz w:val="20"/>
                      </w:rPr>
                    </w:pPr>
                    <w:r>
                      <w:rPr>
                        <w:sz w:val="20"/>
                      </w:rPr>
                      <w:t>2025</w:t>
                    </w:r>
                  </w:p>
                </w:tc>
                <w:tc>
                  <w:tcPr>
                    <w:tcW w:w="709" w:type="dxa"/>
                    <w:tcBorders>
                      <w:bottom w:val="single" w:sz="4" w:space="0" w:color="auto"/>
                    </w:tcBorders>
                    <w:vAlign w:val="center"/>
                    <w:hideMark/>
                  </w:tcPr>
                  <w:p>
                    <w:pPr>
                      <w:jc w:val="center"/>
                      <w:rPr>
                        <w:sz w:val="20"/>
                      </w:rPr>
                    </w:pPr>
                    <w:r>
                      <w:rPr>
                        <w:sz w:val="20"/>
                      </w:rPr>
                      <w:t>2033</w:t>
                    </w:r>
                  </w:p>
                </w:tc>
                <w:tc>
                  <w:tcPr>
                    <w:tcW w:w="1417" w:type="dxa"/>
                    <w:tcBorders>
                      <w:bottom w:val="single" w:sz="4" w:space="0" w:color="auto"/>
                    </w:tcBorders>
                    <w:vAlign w:val="center"/>
                    <w:hideMark/>
                  </w:tcPr>
                  <w:p>
                    <w:pPr>
                      <w:rPr>
                        <w:sz w:val="20"/>
                      </w:rPr>
                    </w:pPr>
                    <w:r>
                      <w:rPr>
                        <w:sz w:val="20"/>
                      </w:rPr>
                      <w:t>P-18-01-04-01</w:t>
                    </w:r>
                  </w:p>
                </w:tc>
                <w:tc>
                  <w:tcPr>
                    <w:tcW w:w="4111" w:type="dxa"/>
                    <w:tcBorders>
                      <w:bottom w:val="single" w:sz="4" w:space="0" w:color="auto"/>
                    </w:tcBorders>
                    <w:vAlign w:val="center"/>
                    <w:hideMark/>
                  </w:tcPr>
                  <w:p>
                    <w:pPr>
                      <w:rPr>
                        <w:sz w:val="20"/>
                      </w:rPr>
                    </w:pPr>
                    <w:r>
                      <w:rPr>
                        <w:sz w:val="20"/>
                      </w:rPr>
                      <w:t>Asmenų, dalyvavusių įgyvendinant Šiaulių miesto savivaldybės neformaliojo suaugusiųjų švietimo modelį, skaičius (asm.)</w:t>
                    </w:r>
                  </w:p>
                </w:tc>
                <w:tc>
                  <w:tcPr>
                    <w:tcW w:w="1134" w:type="dxa"/>
                    <w:tcBorders>
                      <w:bottom w:val="single" w:sz="4" w:space="0" w:color="auto"/>
                    </w:tcBorders>
                    <w:noWrap/>
                    <w:vAlign w:val="center"/>
                    <w:hideMark/>
                  </w:tcPr>
                  <w:p>
                    <w:pPr>
                      <w:jc w:val="center"/>
                      <w:rPr>
                        <w:sz w:val="20"/>
                      </w:rPr>
                    </w:pPr>
                    <w:r>
                      <w:rPr>
                        <w:sz w:val="20"/>
                      </w:rPr>
                      <w:t>ŠS</w:t>
                    </w:r>
                  </w:p>
                </w:tc>
                <w:tc>
                  <w:tcPr>
                    <w:tcW w:w="1134" w:type="dxa"/>
                    <w:tcBorders>
                      <w:bottom w:val="single" w:sz="4" w:space="0" w:color="auto"/>
                    </w:tcBorders>
                    <w:noWrap/>
                    <w:vAlign w:val="center"/>
                    <w:hideMark/>
                  </w:tcPr>
                  <w:p>
                    <w:pPr>
                      <w:jc w:val="center"/>
                      <w:rPr>
                        <w:sz w:val="20"/>
                      </w:rPr>
                    </w:pPr>
                    <w:r>
                      <w:rPr>
                        <w:sz w:val="20"/>
                      </w:rPr>
                      <w:t>0 (2023)</w:t>
                    </w:r>
                  </w:p>
                </w:tc>
                <w:tc>
                  <w:tcPr>
                    <w:tcW w:w="1134" w:type="dxa"/>
                    <w:tcBorders>
                      <w:bottom w:val="single" w:sz="4" w:space="0" w:color="auto"/>
                    </w:tcBorders>
                    <w:noWrap/>
                    <w:vAlign w:val="center"/>
                    <w:hideMark/>
                  </w:tcPr>
                  <w:p>
                    <w:pPr>
                      <w:jc w:val="center"/>
                      <w:rPr>
                        <w:sz w:val="20"/>
                      </w:rPr>
                    </w:pPr>
                    <w:r>
                      <w:rPr>
                        <w:sz w:val="20"/>
                      </w:rPr>
                      <w:t>2000 (2033)</w:t>
                    </w:r>
                  </w:p>
                </w:tc>
              </w:tr>
              <w:tr>
                <w:trPr>
                  <w:trHeight w:val="423"/>
                  <w:jc w:val="center"/>
                </w:trPr>
                <w:tc>
                  <w:tcPr>
                    <w:tcW w:w="988" w:type="dxa"/>
                    <w:vMerge w:val="restart"/>
                    <w:noWrap/>
                    <w:vAlign w:val="center"/>
                    <w:hideMark/>
                  </w:tcPr>
                  <w:p>
                    <w:pPr>
                      <w:rPr>
                        <w:sz w:val="20"/>
                      </w:rPr>
                    </w:pPr>
                    <w:r>
                      <w:rPr>
                        <w:sz w:val="20"/>
                      </w:rPr>
                      <w:t>18-01-05</w:t>
                    </w:r>
                  </w:p>
                </w:tc>
                <w:tc>
                  <w:tcPr>
                    <w:tcW w:w="2126" w:type="dxa"/>
                    <w:vMerge w:val="restart"/>
                    <w:vAlign w:val="center"/>
                    <w:hideMark/>
                  </w:tcPr>
                  <w:p>
                    <w:pPr>
                      <w:rPr>
                        <w:sz w:val="20"/>
                      </w:rPr>
                    </w:pPr>
                    <w:r>
                      <w:rPr>
                        <w:sz w:val="20"/>
                      </w:rPr>
                      <w:t>Didinti STEAM mokslų (mokomųjų dalykų) patrauklumą</w:t>
                    </w:r>
                  </w:p>
                </w:tc>
                <w:tc>
                  <w:tcPr>
                    <w:tcW w:w="850" w:type="dxa"/>
                    <w:vMerge w:val="restart"/>
                    <w:vAlign w:val="center"/>
                    <w:hideMark/>
                  </w:tcPr>
                  <w:p>
                    <w:pPr>
                      <w:jc w:val="center"/>
                      <w:rPr>
                        <w:sz w:val="20"/>
                      </w:rPr>
                    </w:pPr>
                    <w:r>
                      <w:rPr>
                        <w:sz w:val="20"/>
                      </w:rPr>
                      <w:t>ŠS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P-18-01-05-01</w:t>
                    </w:r>
                  </w:p>
                </w:tc>
                <w:tc>
                  <w:tcPr>
                    <w:tcW w:w="4111" w:type="dxa"/>
                    <w:vAlign w:val="center"/>
                    <w:hideMark/>
                  </w:tcPr>
                  <w:p>
                    <w:pPr>
                      <w:rPr>
                        <w:sz w:val="20"/>
                      </w:rPr>
                    </w:pPr>
                    <w:r>
                      <w:rPr>
                        <w:sz w:val="20"/>
                      </w:rPr>
                      <w:t>Švietimo įstaigų, dalyvaujančių STEAM tinklo veiklose, dalis nuo visų švietimo įstaigų (proc.)</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70 (2023)</w:t>
                    </w:r>
                  </w:p>
                </w:tc>
                <w:tc>
                  <w:tcPr>
                    <w:tcW w:w="1134" w:type="dxa"/>
                    <w:noWrap/>
                    <w:vAlign w:val="center"/>
                    <w:hideMark/>
                  </w:tcPr>
                  <w:p>
                    <w:pPr>
                      <w:jc w:val="center"/>
                      <w:rPr>
                        <w:sz w:val="20"/>
                      </w:rPr>
                    </w:pPr>
                    <w:r>
                      <w:rPr>
                        <w:sz w:val="20"/>
                      </w:rPr>
                      <w:t>100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P-18-01-05-02</w:t>
                    </w:r>
                  </w:p>
                </w:tc>
                <w:tc>
                  <w:tcPr>
                    <w:tcW w:w="4111" w:type="dxa"/>
                    <w:vAlign w:val="center"/>
                    <w:hideMark/>
                  </w:tcPr>
                  <w:p>
                    <w:pPr>
                      <w:rPr>
                        <w:sz w:val="20"/>
                      </w:rPr>
                    </w:pPr>
                    <w:r>
                      <w:rPr>
                        <w:sz w:val="20"/>
                      </w:rPr>
                      <w:t>Įmonių paramą (vienkartinę stipendiją) gavusių motyvuotų studentų dalis (proc.)</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5 (2023)</w:t>
                    </w:r>
                  </w:p>
                </w:tc>
                <w:tc>
                  <w:tcPr>
                    <w:tcW w:w="1134" w:type="dxa"/>
                    <w:noWrap/>
                    <w:vAlign w:val="center"/>
                    <w:hideMark/>
                  </w:tcPr>
                  <w:p>
                    <w:pPr>
                      <w:jc w:val="center"/>
                      <w:rPr>
                        <w:sz w:val="20"/>
                      </w:rPr>
                    </w:pPr>
                    <w:r>
                      <w:rPr>
                        <w:sz w:val="20"/>
                      </w:rPr>
                      <w:t>7 (2033)</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P-18-01-05-03</w:t>
                    </w:r>
                  </w:p>
                </w:tc>
                <w:tc>
                  <w:tcPr>
                    <w:tcW w:w="4111" w:type="dxa"/>
                    <w:vAlign w:val="center"/>
                    <w:hideMark/>
                  </w:tcPr>
                  <w:p>
                    <w:pPr>
                      <w:rPr>
                        <w:sz w:val="20"/>
                      </w:rPr>
                    </w:pPr>
                    <w:r>
                      <w:rPr>
                        <w:sz w:val="20"/>
                      </w:rPr>
                      <w:t>Mokinių, dalyvaujančių Šiaulių techninės kūrybos centro veiklose, dalis nuo visų mokinių (proc.)</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47 (2023)</w:t>
                    </w:r>
                  </w:p>
                </w:tc>
                <w:tc>
                  <w:tcPr>
                    <w:tcW w:w="1134" w:type="dxa"/>
                    <w:noWrap/>
                    <w:vAlign w:val="center"/>
                    <w:hideMark/>
                  </w:tcPr>
                  <w:p>
                    <w:pPr>
                      <w:jc w:val="center"/>
                      <w:rPr>
                        <w:sz w:val="20"/>
                      </w:rPr>
                    </w:pPr>
                    <w:r>
                      <w:rPr>
                        <w:sz w:val="20"/>
                      </w:rPr>
                      <w:t>55 (2033)</w:t>
                    </w:r>
                  </w:p>
                </w:tc>
              </w:tr>
              <w:tr>
                <w:trPr>
                  <w:trHeight w:val="520"/>
                  <w:jc w:val="center"/>
                </w:trPr>
                <w:tc>
                  <w:tcPr>
                    <w:tcW w:w="988" w:type="dxa"/>
                    <w:vMerge/>
                    <w:tcBorders>
                      <w:top w:val="single" w:sz="4" w:space="0" w:color="auto"/>
                    </w:tcBorders>
                    <w:noWrap/>
                    <w:vAlign w:val="center"/>
                  </w:tcPr>
                  <w:p>
                    <w:pPr>
                      <w:rPr>
                        <w:sz w:val="20"/>
                      </w:rPr>
                    </w:pPr>
                  </w:p>
                </w:tc>
                <w:tc>
                  <w:tcPr>
                    <w:tcW w:w="2126" w:type="dxa"/>
                    <w:vMerge/>
                    <w:tcBorders>
                      <w:top w:val="single" w:sz="4" w:space="0" w:color="auto"/>
                    </w:tcBorders>
                    <w:vAlign w:val="center"/>
                  </w:tcPr>
                  <w:p>
                    <w:pPr>
                      <w:rPr>
                        <w:sz w:val="20"/>
                      </w:rPr>
                    </w:pPr>
                  </w:p>
                </w:tc>
                <w:tc>
                  <w:tcPr>
                    <w:tcW w:w="850" w:type="dxa"/>
                    <w:vMerge/>
                    <w:tcBorders>
                      <w:top w:val="single" w:sz="4" w:space="0" w:color="auto"/>
                    </w:tcBorders>
                    <w:vAlign w:val="center"/>
                  </w:tcPr>
                  <w:p>
                    <w:pPr>
                      <w:jc w:val="center"/>
                      <w:rPr>
                        <w:sz w:val="20"/>
                      </w:rPr>
                    </w:pPr>
                  </w:p>
                </w:tc>
                <w:tc>
                  <w:tcPr>
                    <w:tcW w:w="709" w:type="dxa"/>
                    <w:vMerge/>
                    <w:tcBorders>
                      <w:top w:val="single" w:sz="4" w:space="0" w:color="auto"/>
                    </w:tcBorders>
                    <w:vAlign w:val="center"/>
                  </w:tcPr>
                  <w:p>
                    <w:pPr>
                      <w:jc w:val="center"/>
                      <w:rPr>
                        <w:sz w:val="20"/>
                      </w:rPr>
                    </w:pPr>
                  </w:p>
                </w:tc>
                <w:tc>
                  <w:tcPr>
                    <w:tcW w:w="709" w:type="dxa"/>
                    <w:vMerge/>
                    <w:tcBorders>
                      <w:top w:val="single" w:sz="4" w:space="0" w:color="auto"/>
                    </w:tcBorders>
                    <w:vAlign w:val="center"/>
                  </w:tcPr>
                  <w:p>
                    <w:pPr>
                      <w:jc w:val="center"/>
                      <w:rPr>
                        <w:sz w:val="20"/>
                      </w:rPr>
                    </w:pPr>
                  </w:p>
                </w:tc>
                <w:tc>
                  <w:tcPr>
                    <w:tcW w:w="1417" w:type="dxa"/>
                    <w:tcBorders>
                      <w:top w:val="single" w:sz="4" w:space="0" w:color="auto"/>
                    </w:tcBorders>
                    <w:vAlign w:val="center"/>
                  </w:tcPr>
                  <w:p>
                    <w:pPr>
                      <w:rPr>
                        <w:sz w:val="20"/>
                      </w:rPr>
                    </w:pPr>
                    <w:r>
                      <w:rPr>
                        <w:sz w:val="20"/>
                      </w:rPr>
                      <w:t>P-18-01-05-04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rFonts w:eastAsia="MS Mincho"/>
                        <w:color w:val="000000"/>
                        <w:kern w:val="2"/>
                        <w:sz w:val="20"/>
                      </w:rPr>
                      <w:t xml:space="preserve">STEAM centrų ikimokyklinio ugdymo įstaigose skaičius (vnt.)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sz w:val="20"/>
                      </w:rPr>
                    </w:pPr>
                    <w:r>
                      <w:rPr>
                        <w:rFonts w:eastAsia="MS Mincho"/>
                        <w:color w:val="000000"/>
                        <w:kern w:val="2"/>
                        <w:sz w:val="20"/>
                      </w:rPr>
                      <w:t>ŠS</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5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10 (2033)</w:t>
                    </w:r>
                  </w:p>
                </w:tc>
              </w:tr>
              <w:tr>
                <w:trPr>
                  <w:trHeight w:val="520"/>
                  <w:jc w:val="center"/>
                </w:trPr>
                <w:tc>
                  <w:tcPr>
                    <w:tcW w:w="988" w:type="dxa"/>
                    <w:vMerge/>
                    <w:tcBorders>
                      <w:top w:val="single" w:sz="4" w:space="0" w:color="auto"/>
                      <w:bottom w:val="single" w:sz="4" w:space="0" w:color="auto"/>
                    </w:tcBorders>
                    <w:noWrap/>
                    <w:vAlign w:val="center"/>
                  </w:tcPr>
                  <w:p>
                    <w:pPr>
                      <w:rPr>
                        <w:sz w:val="20"/>
                      </w:rPr>
                    </w:pPr>
                  </w:p>
                </w:tc>
                <w:tc>
                  <w:tcPr>
                    <w:tcW w:w="2126" w:type="dxa"/>
                    <w:vMerge/>
                    <w:tcBorders>
                      <w:top w:val="single" w:sz="4" w:space="0" w:color="auto"/>
                      <w:bottom w:val="single" w:sz="4" w:space="0" w:color="auto"/>
                    </w:tcBorders>
                    <w:vAlign w:val="center"/>
                  </w:tcPr>
                  <w:p>
                    <w:pPr>
                      <w:rPr>
                        <w:sz w:val="20"/>
                      </w:rPr>
                    </w:pPr>
                  </w:p>
                </w:tc>
                <w:tc>
                  <w:tcPr>
                    <w:tcW w:w="850" w:type="dxa"/>
                    <w:vMerge/>
                    <w:tcBorders>
                      <w:top w:val="single" w:sz="4" w:space="0" w:color="auto"/>
                      <w:bottom w:val="single" w:sz="4" w:space="0" w:color="auto"/>
                    </w:tcBorders>
                    <w:vAlign w:val="center"/>
                  </w:tcPr>
                  <w:p>
                    <w:pPr>
                      <w:jc w:val="center"/>
                      <w:rPr>
                        <w:sz w:val="20"/>
                      </w:rPr>
                    </w:pPr>
                  </w:p>
                </w:tc>
                <w:tc>
                  <w:tcPr>
                    <w:tcW w:w="709" w:type="dxa"/>
                    <w:vMerge/>
                    <w:tcBorders>
                      <w:top w:val="single" w:sz="4" w:space="0" w:color="auto"/>
                      <w:bottom w:val="single" w:sz="4" w:space="0" w:color="auto"/>
                    </w:tcBorders>
                    <w:vAlign w:val="center"/>
                  </w:tcPr>
                  <w:p>
                    <w:pPr>
                      <w:jc w:val="center"/>
                      <w:rPr>
                        <w:sz w:val="20"/>
                      </w:rPr>
                    </w:pPr>
                  </w:p>
                </w:tc>
                <w:tc>
                  <w:tcPr>
                    <w:tcW w:w="709" w:type="dxa"/>
                    <w:vMerge/>
                    <w:tcBorders>
                      <w:top w:val="single" w:sz="4" w:space="0" w:color="auto"/>
                      <w:bottom w:val="single" w:sz="4" w:space="0" w:color="auto"/>
                    </w:tcBorders>
                    <w:vAlign w:val="center"/>
                  </w:tcPr>
                  <w:p>
                    <w:pPr>
                      <w:jc w:val="center"/>
                      <w:rPr>
                        <w:sz w:val="20"/>
                      </w:rPr>
                    </w:pPr>
                  </w:p>
                </w:tc>
                <w:tc>
                  <w:tcPr>
                    <w:tcW w:w="1417" w:type="dxa"/>
                    <w:tcBorders>
                      <w:top w:val="single" w:sz="4" w:space="0" w:color="auto"/>
                      <w:bottom w:val="single" w:sz="4" w:space="0" w:color="auto"/>
                    </w:tcBorders>
                    <w:vAlign w:val="center"/>
                  </w:tcPr>
                  <w:p>
                    <w:pPr>
                      <w:rPr>
                        <w:sz w:val="20"/>
                      </w:rPr>
                    </w:pPr>
                    <w:r>
                      <w:rPr>
                        <w:sz w:val="20"/>
                      </w:rPr>
                      <w:t>P-18-01-05-05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rFonts w:eastAsia="MS Mincho"/>
                        <w:color w:val="000000"/>
                        <w:kern w:val="2"/>
                        <w:sz w:val="20"/>
                      </w:rPr>
                      <w:t>Vaikų, dalyvavusių „STEAM DARŽELIS“ centrų veiklose, dalis nuo visų ikimokyklinio amžiaus vaikų (proc.)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sz w:val="20"/>
                      </w:rPr>
                    </w:pPr>
                    <w:r>
                      <w:rPr>
                        <w:rFonts w:eastAsia="MS Mincho"/>
                        <w:color w:val="000000"/>
                        <w:kern w:val="2"/>
                        <w:sz w:val="20"/>
                      </w:rPr>
                      <w:t>ŠS</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38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100 (2033)</w:t>
                    </w:r>
                  </w:p>
                </w:tc>
              </w:tr>
              <w:tr>
                <w:trPr>
                  <w:trHeight w:val="520"/>
                  <w:jc w:val="center"/>
                </w:trPr>
                <w:tc>
                  <w:tcPr>
                    <w:tcW w:w="988" w:type="dxa"/>
                    <w:vMerge w:val="restart"/>
                    <w:tcBorders>
                      <w:top w:val="single" w:sz="4" w:space="0" w:color="auto"/>
                    </w:tcBorders>
                    <w:noWrap/>
                    <w:vAlign w:val="center"/>
                    <w:hideMark/>
                  </w:tcPr>
                  <w:p>
                    <w:pPr>
                      <w:rPr>
                        <w:sz w:val="20"/>
                      </w:rPr>
                    </w:pPr>
                    <w:r>
                      <w:rPr>
                        <w:sz w:val="20"/>
                      </w:rPr>
                      <w:t>18-01-06</w:t>
                    </w:r>
                  </w:p>
                </w:tc>
                <w:tc>
                  <w:tcPr>
                    <w:tcW w:w="2126" w:type="dxa"/>
                    <w:vMerge w:val="restart"/>
                    <w:tcBorders>
                      <w:top w:val="single" w:sz="4" w:space="0" w:color="auto"/>
                    </w:tcBorders>
                    <w:vAlign w:val="center"/>
                    <w:hideMark/>
                  </w:tcPr>
                  <w:p>
                    <w:pPr>
                      <w:rPr>
                        <w:sz w:val="20"/>
                      </w:rPr>
                    </w:pPr>
                    <w:r>
                      <w:rPr>
                        <w:sz w:val="20"/>
                      </w:rPr>
                      <w:t>Užtikrinti įtraukiojo ugdymo principinių nuostatų įgyvendinimą visuose švietimo sistemos lygiuose</w:t>
                    </w:r>
                  </w:p>
                </w:tc>
                <w:tc>
                  <w:tcPr>
                    <w:tcW w:w="850" w:type="dxa"/>
                    <w:vMerge w:val="restart"/>
                    <w:tcBorders>
                      <w:top w:val="single" w:sz="4" w:space="0" w:color="auto"/>
                    </w:tcBorders>
                    <w:vAlign w:val="center"/>
                    <w:hideMark/>
                  </w:tcPr>
                  <w:p>
                    <w:pPr>
                      <w:jc w:val="center"/>
                      <w:rPr>
                        <w:sz w:val="20"/>
                      </w:rPr>
                    </w:pPr>
                    <w:r>
                      <w:rPr>
                        <w:sz w:val="20"/>
                      </w:rPr>
                      <w:t>ŠS</w:t>
                    </w:r>
                  </w:p>
                </w:tc>
                <w:tc>
                  <w:tcPr>
                    <w:tcW w:w="709" w:type="dxa"/>
                    <w:vMerge w:val="restart"/>
                    <w:tcBorders>
                      <w:top w:val="single" w:sz="4" w:space="0" w:color="auto"/>
                    </w:tcBorders>
                    <w:vAlign w:val="center"/>
                    <w:hideMark/>
                  </w:tcPr>
                  <w:p>
                    <w:pPr>
                      <w:jc w:val="center"/>
                      <w:rPr>
                        <w:sz w:val="20"/>
                      </w:rPr>
                    </w:pPr>
                    <w:r>
                      <w:rPr>
                        <w:sz w:val="20"/>
                      </w:rPr>
                      <w:t>2025</w:t>
                    </w:r>
                  </w:p>
                </w:tc>
                <w:tc>
                  <w:tcPr>
                    <w:tcW w:w="709" w:type="dxa"/>
                    <w:vMerge w:val="restart"/>
                    <w:tcBorders>
                      <w:top w:val="single" w:sz="4" w:space="0" w:color="auto"/>
                    </w:tcBorders>
                    <w:vAlign w:val="center"/>
                    <w:hideMark/>
                  </w:tcPr>
                  <w:p>
                    <w:pPr>
                      <w:jc w:val="center"/>
                      <w:rPr>
                        <w:sz w:val="20"/>
                      </w:rPr>
                    </w:pPr>
                    <w:r>
                      <w:rPr>
                        <w:sz w:val="20"/>
                      </w:rPr>
                      <w:t>2033</w:t>
                    </w:r>
                  </w:p>
                </w:tc>
                <w:tc>
                  <w:tcPr>
                    <w:tcW w:w="1417" w:type="dxa"/>
                    <w:tcBorders>
                      <w:top w:val="single" w:sz="4" w:space="0" w:color="auto"/>
                    </w:tcBorders>
                    <w:vAlign w:val="center"/>
                    <w:hideMark/>
                  </w:tcPr>
                  <w:p>
                    <w:pPr>
                      <w:rPr>
                        <w:sz w:val="20"/>
                      </w:rPr>
                    </w:pPr>
                    <w:r>
                      <w:rPr>
                        <w:sz w:val="20"/>
                      </w:rPr>
                      <w:t>P-18-01-06-01</w:t>
                    </w:r>
                  </w:p>
                </w:tc>
                <w:tc>
                  <w:tcPr>
                    <w:tcW w:w="4111" w:type="dxa"/>
                    <w:tcBorders>
                      <w:top w:val="single" w:sz="4" w:space="0" w:color="auto"/>
                    </w:tcBorders>
                    <w:vAlign w:val="center"/>
                    <w:hideMark/>
                  </w:tcPr>
                  <w:p>
                    <w:pPr>
                      <w:rPr>
                        <w:sz w:val="20"/>
                      </w:rPr>
                    </w:pPr>
                    <w:r>
                      <w:rPr>
                        <w:sz w:val="20"/>
                      </w:rPr>
                      <w:t>Švietimo pagalbą gaunančių mokinių dalis nuo visų, kuriems nustatytas pagalbos poreikis (proc.)</w:t>
                    </w:r>
                  </w:p>
                </w:tc>
                <w:tc>
                  <w:tcPr>
                    <w:tcW w:w="1134" w:type="dxa"/>
                    <w:tcBorders>
                      <w:top w:val="single" w:sz="4" w:space="0" w:color="auto"/>
                    </w:tcBorders>
                    <w:noWrap/>
                    <w:vAlign w:val="center"/>
                    <w:hideMark/>
                  </w:tcPr>
                  <w:p>
                    <w:pPr>
                      <w:jc w:val="center"/>
                      <w:rPr>
                        <w:sz w:val="20"/>
                      </w:rPr>
                    </w:pPr>
                    <w:r>
                      <w:rPr>
                        <w:sz w:val="20"/>
                      </w:rPr>
                      <w:t>ŠVIS (ŠS)</w:t>
                    </w:r>
                  </w:p>
                </w:tc>
                <w:tc>
                  <w:tcPr>
                    <w:tcW w:w="1134" w:type="dxa"/>
                    <w:tcBorders>
                      <w:top w:val="single" w:sz="4" w:space="0" w:color="auto"/>
                    </w:tcBorders>
                    <w:noWrap/>
                    <w:vAlign w:val="center"/>
                    <w:hideMark/>
                  </w:tcPr>
                  <w:p>
                    <w:pPr>
                      <w:jc w:val="center"/>
                      <w:rPr>
                        <w:sz w:val="20"/>
                      </w:rPr>
                    </w:pPr>
                    <w:r>
                      <w:rPr>
                        <w:sz w:val="20"/>
                      </w:rPr>
                      <w:t>70 (2023)</w:t>
                    </w:r>
                  </w:p>
                </w:tc>
                <w:tc>
                  <w:tcPr>
                    <w:tcW w:w="1134" w:type="dxa"/>
                    <w:tcBorders>
                      <w:top w:val="single" w:sz="4" w:space="0" w:color="auto"/>
                    </w:tcBorders>
                    <w:noWrap/>
                    <w:vAlign w:val="center"/>
                    <w:hideMark/>
                  </w:tcPr>
                  <w:p>
                    <w:pPr>
                      <w:jc w:val="center"/>
                      <w:rPr>
                        <w:sz w:val="20"/>
                      </w:rPr>
                    </w:pPr>
                    <w:r>
                      <w:rPr>
                        <w:sz w:val="20"/>
                      </w:rPr>
                      <w:t>95 (2033)</w:t>
                    </w:r>
                  </w:p>
                </w:tc>
              </w:tr>
              <w:tr>
                <w:trPr>
                  <w:trHeight w:val="78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P-18-01-06-02</w:t>
                    </w:r>
                  </w:p>
                </w:tc>
                <w:tc>
                  <w:tcPr>
                    <w:tcW w:w="4111" w:type="dxa"/>
                    <w:vAlign w:val="center"/>
                    <w:hideMark/>
                  </w:tcPr>
                  <w:p>
                    <w:pPr>
                      <w:rPr>
                        <w:sz w:val="20"/>
                      </w:rPr>
                    </w:pPr>
                    <w:r>
                      <w:rPr>
                        <w:sz w:val="20"/>
                      </w:rPr>
                      <w:t>Specialiųjų ugdymo(-si) poreikių turinčių vaikų, dalyvaujančių neformaliajame vaikų švietime, dalis nuo visų vaikų (proc.)</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11 (2023)</w:t>
                    </w:r>
                  </w:p>
                </w:tc>
                <w:tc>
                  <w:tcPr>
                    <w:tcW w:w="1134" w:type="dxa"/>
                    <w:noWrap/>
                    <w:vAlign w:val="center"/>
                    <w:hideMark/>
                  </w:tcPr>
                  <w:p>
                    <w:pPr>
                      <w:jc w:val="center"/>
                      <w:rPr>
                        <w:sz w:val="20"/>
                      </w:rPr>
                    </w:pPr>
                    <w:r>
                      <w:rPr>
                        <w:sz w:val="20"/>
                      </w:rPr>
                      <w:t>15 (2033)</w:t>
                    </w:r>
                  </w:p>
                </w:tc>
              </w:tr>
              <w:tr>
                <w:trPr>
                  <w:trHeight w:val="94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P-18-01-06-03</w:t>
                    </w:r>
                  </w:p>
                </w:tc>
                <w:tc>
                  <w:tcPr>
                    <w:tcW w:w="4111" w:type="dxa"/>
                    <w:vAlign w:val="center"/>
                    <w:hideMark/>
                  </w:tcPr>
                  <w:p>
                    <w:pPr>
                      <w:rPr>
                        <w:sz w:val="20"/>
                      </w:rPr>
                    </w:pPr>
                    <w:r>
                      <w:rPr>
                        <w:sz w:val="20"/>
                      </w:rPr>
                      <w:t>Specialiųjų ugdymosi poreikių turinčių mokinių, ugdomų įtraukiuoju būdu bendros paskirties švietimo įstaigose, dalis nuo visų mokinių (proc.)</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11,5 (2023)</w:t>
                    </w:r>
                  </w:p>
                </w:tc>
                <w:tc>
                  <w:tcPr>
                    <w:tcW w:w="1134" w:type="dxa"/>
                    <w:noWrap/>
                    <w:vAlign w:val="center"/>
                    <w:hideMark/>
                  </w:tcPr>
                  <w:p>
                    <w:pPr>
                      <w:jc w:val="center"/>
                      <w:rPr>
                        <w:sz w:val="20"/>
                      </w:rPr>
                    </w:pPr>
                    <w:r>
                      <w:rPr>
                        <w:sz w:val="20"/>
                      </w:rPr>
                      <w:t>15 (2033)</w:t>
                    </w:r>
                  </w:p>
                </w:tc>
              </w:tr>
              <w:tr>
                <w:trPr>
                  <w:trHeight w:val="68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P-18-01-06-04</w:t>
                    </w:r>
                  </w:p>
                </w:tc>
                <w:tc>
                  <w:tcPr>
                    <w:tcW w:w="4111" w:type="dxa"/>
                    <w:vAlign w:val="center"/>
                    <w:hideMark/>
                  </w:tcPr>
                  <w:p>
                    <w:pPr>
                      <w:rPr>
                        <w:sz w:val="20"/>
                      </w:rPr>
                    </w:pPr>
                    <w:r>
                      <w:rPr>
                        <w:sz w:val="20"/>
                      </w:rPr>
                      <w:t>Profesinio mokymo studijų programų, pritaikytų specialiuosius ugdymosi poreikius turintiems mokiniams, baigusiems pagrindinio ugdymo programą, dalis nuo visų programų (proc.)</w:t>
                    </w:r>
                  </w:p>
                </w:tc>
                <w:tc>
                  <w:tcPr>
                    <w:tcW w:w="1134" w:type="dxa"/>
                    <w:noWrap/>
                    <w:vAlign w:val="center"/>
                    <w:hideMark/>
                  </w:tcPr>
                  <w:p>
                    <w:pPr>
                      <w:jc w:val="center"/>
                      <w:rPr>
                        <w:sz w:val="20"/>
                      </w:rPr>
                    </w:pPr>
                    <w:r>
                      <w:rPr>
                        <w:sz w:val="20"/>
                      </w:rPr>
                      <w:t>ŠTMC</w:t>
                    </w:r>
                  </w:p>
                </w:tc>
                <w:tc>
                  <w:tcPr>
                    <w:tcW w:w="1134" w:type="dxa"/>
                    <w:noWrap/>
                    <w:vAlign w:val="center"/>
                    <w:hideMark/>
                  </w:tcPr>
                  <w:p>
                    <w:pPr>
                      <w:jc w:val="center"/>
                      <w:rPr>
                        <w:sz w:val="20"/>
                      </w:rPr>
                    </w:pPr>
                    <w:r>
                      <w:rPr>
                        <w:sz w:val="20"/>
                      </w:rPr>
                      <w:t>4,4 (2023)</w:t>
                    </w:r>
                  </w:p>
                </w:tc>
                <w:tc>
                  <w:tcPr>
                    <w:tcW w:w="1134" w:type="dxa"/>
                    <w:noWrap/>
                    <w:vAlign w:val="center"/>
                    <w:hideMark/>
                  </w:tcPr>
                  <w:p>
                    <w:pPr>
                      <w:jc w:val="center"/>
                      <w:rPr>
                        <w:sz w:val="20"/>
                      </w:rPr>
                    </w:pPr>
                    <w:r>
                      <w:rPr>
                        <w:sz w:val="20"/>
                      </w:rPr>
                      <w:t>5,5 (2033)</w:t>
                    </w:r>
                  </w:p>
                </w:tc>
              </w:tr>
              <w:tr>
                <w:trPr>
                  <w:trHeight w:val="530"/>
                  <w:jc w:val="center"/>
                </w:trPr>
                <w:tc>
                  <w:tcPr>
                    <w:tcW w:w="988" w:type="dxa"/>
                    <w:vMerge/>
                    <w:hideMark/>
                  </w:tcPr>
                  <w:p>
                    <w:pPr>
                      <w:rPr>
                        <w:sz w:val="20"/>
                      </w:rPr>
                    </w:pPr>
                  </w:p>
                </w:tc>
                <w:tc>
                  <w:tcPr>
                    <w:tcW w:w="2126" w:type="dxa"/>
                    <w:vMerge/>
                    <w:hideMark/>
                  </w:tcPr>
                  <w:p>
                    <w:pPr>
                      <w:rPr>
                        <w:sz w:val="20"/>
                      </w:rPr>
                    </w:pPr>
                  </w:p>
                </w:tc>
                <w:tc>
                  <w:tcPr>
                    <w:tcW w:w="850" w:type="dxa"/>
                    <w:vMerge/>
                    <w:hideMark/>
                  </w:tcPr>
                  <w:p>
                    <w:pPr>
                      <w:rPr>
                        <w:sz w:val="20"/>
                      </w:rPr>
                    </w:pPr>
                  </w:p>
                </w:tc>
                <w:tc>
                  <w:tcPr>
                    <w:tcW w:w="709" w:type="dxa"/>
                    <w:vMerge/>
                    <w:hideMark/>
                  </w:tcPr>
                  <w:p>
                    <w:pPr>
                      <w:rPr>
                        <w:sz w:val="20"/>
                      </w:rPr>
                    </w:pPr>
                  </w:p>
                </w:tc>
                <w:tc>
                  <w:tcPr>
                    <w:tcW w:w="709" w:type="dxa"/>
                    <w:vMerge/>
                    <w:hideMark/>
                  </w:tcPr>
                  <w:p>
                    <w:pPr>
                      <w:rPr>
                        <w:sz w:val="20"/>
                      </w:rPr>
                    </w:pPr>
                  </w:p>
                </w:tc>
                <w:tc>
                  <w:tcPr>
                    <w:tcW w:w="1417" w:type="dxa"/>
                    <w:vAlign w:val="center"/>
                    <w:hideMark/>
                  </w:tcPr>
                  <w:p>
                    <w:pPr>
                      <w:rPr>
                        <w:sz w:val="20"/>
                      </w:rPr>
                    </w:pPr>
                    <w:r>
                      <w:rPr>
                        <w:sz w:val="20"/>
                      </w:rPr>
                      <w:t>P-18-01-06-05</w:t>
                    </w:r>
                  </w:p>
                </w:tc>
                <w:tc>
                  <w:tcPr>
                    <w:tcW w:w="4111" w:type="dxa"/>
                    <w:vAlign w:val="center"/>
                    <w:hideMark/>
                  </w:tcPr>
                  <w:p>
                    <w:pPr>
                      <w:rPr>
                        <w:sz w:val="20"/>
                      </w:rPr>
                    </w:pPr>
                    <w:r>
                      <w:rPr>
                        <w:sz w:val="20"/>
                      </w:rPr>
                      <w:t>Įsteigtas ir įveiklintas regioninis konsultacinis specialiojo ugdymo centras (vnt.)</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 (2025)</w:t>
                    </w:r>
                  </w:p>
                </w:tc>
              </w:tr>
              <w:tr>
                <w:trPr>
                  <w:trHeight w:val="358"/>
                  <w:jc w:val="center"/>
                </w:trPr>
                <w:tc>
                  <w:tcPr>
                    <w:tcW w:w="988" w:type="dxa"/>
                    <w:vMerge w:val="restart"/>
                    <w:noWrap/>
                    <w:vAlign w:val="center"/>
                    <w:hideMark/>
                  </w:tcPr>
                  <w:p>
                    <w:pPr>
                      <w:rPr>
                        <w:sz w:val="20"/>
                      </w:rPr>
                    </w:pPr>
                    <w:r>
                      <w:rPr>
                        <w:sz w:val="20"/>
                      </w:rPr>
                      <w:t>18-01-07</w:t>
                    </w:r>
                  </w:p>
                </w:tc>
                <w:tc>
                  <w:tcPr>
                    <w:tcW w:w="2126" w:type="dxa"/>
                    <w:vMerge w:val="restart"/>
                    <w:vAlign w:val="center"/>
                    <w:hideMark/>
                  </w:tcPr>
                  <w:p>
                    <w:pPr>
                      <w:rPr>
                        <w:sz w:val="20"/>
                      </w:rPr>
                    </w:pPr>
                    <w:r>
                      <w:rPr>
                        <w:sz w:val="20"/>
                      </w:rPr>
                      <w:t>Bendradarbiauti su aukštosiomis, profesinėmis ir bendrojo ugdymo mokyklomis, socialiniais-ekonominiais partneriais, ruošiant specialistus</w:t>
                    </w:r>
                  </w:p>
                </w:tc>
                <w:tc>
                  <w:tcPr>
                    <w:tcW w:w="850" w:type="dxa"/>
                    <w:vMerge w:val="restart"/>
                    <w:vAlign w:val="center"/>
                    <w:hideMark/>
                  </w:tcPr>
                  <w:p>
                    <w:pPr>
                      <w:jc w:val="center"/>
                      <w:rPr>
                        <w:sz w:val="20"/>
                      </w:rPr>
                    </w:pPr>
                    <w:r>
                      <w:rPr>
                        <w:sz w:val="20"/>
                      </w:rPr>
                      <w:t>ŠS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Merge w:val="restart"/>
                    <w:vAlign w:val="center"/>
                    <w:hideMark/>
                  </w:tcPr>
                  <w:p>
                    <w:pPr>
                      <w:rPr>
                        <w:sz w:val="20"/>
                      </w:rPr>
                    </w:pPr>
                    <w:r>
                      <w:rPr>
                        <w:sz w:val="20"/>
                      </w:rPr>
                      <w:t>P-18-01-07-01</w:t>
                    </w:r>
                  </w:p>
                </w:tc>
                <w:tc>
                  <w:tcPr>
                    <w:tcW w:w="4111" w:type="dxa"/>
                    <w:vAlign w:val="center"/>
                    <w:hideMark/>
                  </w:tcPr>
                  <w:p>
                    <w:pPr>
                      <w:rPr>
                        <w:sz w:val="20"/>
                      </w:rPr>
                    </w:pPr>
                    <w:r>
                      <w:rPr>
                        <w:sz w:val="20"/>
                      </w:rPr>
                      <w:t>Geriausiai besimokantiems studentams išmokėtų stipendijų apimtys (vnt. / tūkst. Eur):</w:t>
                    </w:r>
                  </w:p>
                </w:tc>
                <w:tc>
                  <w:tcPr>
                    <w:tcW w:w="1134" w:type="dxa"/>
                    <w:vAlign w:val="center"/>
                    <w:hideMark/>
                  </w:tcPr>
                  <w:p>
                    <w:pPr>
                      <w:jc w:val="center"/>
                      <w:rPr>
                        <w:sz w:val="20"/>
                      </w:rPr>
                    </w:pPr>
                    <w:r>
                      <w:rPr>
                        <w:sz w:val="20"/>
                      </w:rPr>
                      <w:t>ŠTMC, ŠVK, VUŠA</w:t>
                    </w:r>
                  </w:p>
                </w:tc>
                <w:tc>
                  <w:tcPr>
                    <w:tcW w:w="1134" w:type="dxa"/>
                    <w:vAlign w:val="center"/>
                    <w:hideMark/>
                  </w:tcPr>
                  <w:p>
                    <w:pPr>
                      <w:jc w:val="center"/>
                      <w:rPr>
                        <w:sz w:val="20"/>
                      </w:rPr>
                    </w:pPr>
                    <w:r>
                      <w:rPr>
                        <w:sz w:val="20"/>
                      </w:rPr>
                      <w:t>1105/475 (2023)</w:t>
                    </w:r>
                  </w:p>
                </w:tc>
                <w:tc>
                  <w:tcPr>
                    <w:tcW w:w="1134" w:type="dxa"/>
                    <w:vAlign w:val="center"/>
                    <w:hideMark/>
                  </w:tcPr>
                  <w:p>
                    <w:pPr>
                      <w:jc w:val="center"/>
                      <w:rPr>
                        <w:sz w:val="20"/>
                      </w:rPr>
                    </w:pPr>
                    <w:r>
                      <w:rPr>
                        <w:sz w:val="20"/>
                      </w:rPr>
                      <w:t>1230/636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Merge/>
                    <w:vAlign w:val="center"/>
                    <w:hideMark/>
                  </w:tcPr>
                  <w:p>
                    <w:pPr>
                      <w:rPr>
                        <w:sz w:val="20"/>
                      </w:rPr>
                    </w:pPr>
                  </w:p>
                </w:tc>
                <w:tc>
                  <w:tcPr>
                    <w:tcW w:w="4111" w:type="dxa"/>
                    <w:vAlign w:val="center"/>
                    <w:hideMark/>
                  </w:tcPr>
                  <w:p>
                    <w:pPr>
                      <w:rPr>
                        <w:sz w:val="20"/>
                      </w:rPr>
                    </w:pPr>
                    <w:r>
                      <w:rPr>
                        <w:sz w:val="20"/>
                      </w:rPr>
                      <w:t xml:space="preserve">Stipendijų apimtis Šiaulių valstybinėje kolegijoje  (vnt. / tūkst. Eur)</w:t>
                    </w:r>
                  </w:p>
                </w:tc>
                <w:tc>
                  <w:tcPr>
                    <w:tcW w:w="1134" w:type="dxa"/>
                    <w:vAlign w:val="center"/>
                    <w:hideMark/>
                  </w:tcPr>
                  <w:p>
                    <w:pPr>
                      <w:jc w:val="center"/>
                      <w:rPr>
                        <w:sz w:val="20"/>
                      </w:rPr>
                    </w:pPr>
                    <w:r>
                      <w:rPr>
                        <w:sz w:val="20"/>
                      </w:rPr>
                      <w:t>ŠVK</w:t>
                    </w:r>
                  </w:p>
                </w:tc>
                <w:tc>
                  <w:tcPr>
                    <w:tcW w:w="1134" w:type="dxa"/>
                    <w:vAlign w:val="center"/>
                    <w:hideMark/>
                  </w:tcPr>
                  <w:p>
                    <w:pPr>
                      <w:jc w:val="center"/>
                      <w:rPr>
                        <w:sz w:val="20"/>
                      </w:rPr>
                    </w:pPr>
                    <w:r>
                      <w:rPr>
                        <w:sz w:val="20"/>
                      </w:rPr>
                      <w:t>65/50 (2023)</w:t>
                    </w:r>
                  </w:p>
                </w:tc>
                <w:tc>
                  <w:tcPr>
                    <w:tcW w:w="1134" w:type="dxa"/>
                    <w:vAlign w:val="center"/>
                    <w:hideMark/>
                  </w:tcPr>
                  <w:p>
                    <w:pPr>
                      <w:jc w:val="center"/>
                      <w:rPr>
                        <w:sz w:val="20"/>
                      </w:rPr>
                    </w:pPr>
                    <w:r>
                      <w:rPr>
                        <w:sz w:val="20"/>
                      </w:rPr>
                      <w:t>80/80 (2033)</w:t>
                    </w:r>
                  </w:p>
                </w:tc>
              </w:tr>
              <w:tr>
                <w:trPr>
                  <w:trHeight w:val="25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Merge/>
                    <w:vAlign w:val="center"/>
                    <w:hideMark/>
                  </w:tcPr>
                  <w:p>
                    <w:pPr>
                      <w:rPr>
                        <w:sz w:val="20"/>
                      </w:rPr>
                    </w:pPr>
                  </w:p>
                </w:tc>
                <w:tc>
                  <w:tcPr>
                    <w:tcW w:w="4111" w:type="dxa"/>
                    <w:vAlign w:val="center"/>
                    <w:hideMark/>
                  </w:tcPr>
                  <w:p>
                    <w:pPr>
                      <w:rPr>
                        <w:sz w:val="20"/>
                      </w:rPr>
                    </w:pPr>
                    <w:r>
                      <w:rPr>
                        <w:sz w:val="20"/>
                      </w:rPr>
                      <w:t>Stipendijų apimtis Šiaulių technologijų mokymo centre (vnt. / tūkst. Eur)</w:t>
                    </w:r>
                  </w:p>
                </w:tc>
                <w:tc>
                  <w:tcPr>
                    <w:tcW w:w="1134" w:type="dxa"/>
                    <w:vAlign w:val="center"/>
                    <w:hideMark/>
                  </w:tcPr>
                  <w:p>
                    <w:pPr>
                      <w:jc w:val="center"/>
                      <w:rPr>
                        <w:sz w:val="20"/>
                      </w:rPr>
                    </w:pPr>
                    <w:r>
                      <w:rPr>
                        <w:sz w:val="20"/>
                      </w:rPr>
                      <w:t>ŠTMC</w:t>
                    </w:r>
                  </w:p>
                </w:tc>
                <w:tc>
                  <w:tcPr>
                    <w:tcW w:w="1134" w:type="dxa"/>
                    <w:vAlign w:val="center"/>
                    <w:hideMark/>
                  </w:tcPr>
                  <w:p>
                    <w:pPr>
                      <w:jc w:val="center"/>
                      <w:rPr>
                        <w:sz w:val="20"/>
                      </w:rPr>
                    </w:pPr>
                    <w:r>
                      <w:rPr>
                        <w:sz w:val="20"/>
                      </w:rPr>
                      <w:t>1000/405 (2023)</w:t>
                    </w:r>
                  </w:p>
                </w:tc>
                <w:tc>
                  <w:tcPr>
                    <w:tcW w:w="1134" w:type="dxa"/>
                    <w:vAlign w:val="center"/>
                    <w:hideMark/>
                  </w:tcPr>
                  <w:p>
                    <w:pPr>
                      <w:jc w:val="center"/>
                      <w:rPr>
                        <w:sz w:val="20"/>
                      </w:rPr>
                    </w:pPr>
                    <w:r>
                      <w:rPr>
                        <w:sz w:val="20"/>
                      </w:rPr>
                      <w:t>1100/506 (2033)</w:t>
                    </w:r>
                  </w:p>
                </w:tc>
              </w:tr>
              <w:tr>
                <w:trPr>
                  <w:trHeight w:val="20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Merge/>
                    <w:vAlign w:val="center"/>
                    <w:hideMark/>
                  </w:tcPr>
                  <w:p>
                    <w:pPr>
                      <w:rPr>
                        <w:sz w:val="20"/>
                      </w:rPr>
                    </w:pPr>
                  </w:p>
                </w:tc>
                <w:tc>
                  <w:tcPr>
                    <w:tcW w:w="4111" w:type="dxa"/>
                    <w:vAlign w:val="center"/>
                    <w:hideMark/>
                  </w:tcPr>
                  <w:p>
                    <w:pPr>
                      <w:rPr>
                        <w:sz w:val="20"/>
                      </w:rPr>
                    </w:pPr>
                    <w:r>
                      <w:rPr>
                        <w:sz w:val="20"/>
                      </w:rPr>
                      <w:t>Stipendijų apimtis VU Šiaulių akademijoje (vnt. / tūkst. Eur)</w:t>
                    </w:r>
                  </w:p>
                </w:tc>
                <w:tc>
                  <w:tcPr>
                    <w:tcW w:w="1134" w:type="dxa"/>
                    <w:vAlign w:val="center"/>
                    <w:hideMark/>
                  </w:tcPr>
                  <w:p>
                    <w:pPr>
                      <w:jc w:val="center"/>
                      <w:rPr>
                        <w:sz w:val="20"/>
                      </w:rPr>
                    </w:pPr>
                    <w:r>
                      <w:rPr>
                        <w:sz w:val="20"/>
                      </w:rPr>
                      <w:t>VUŠA</w:t>
                    </w:r>
                  </w:p>
                </w:tc>
                <w:tc>
                  <w:tcPr>
                    <w:tcW w:w="1134" w:type="dxa"/>
                    <w:vAlign w:val="center"/>
                    <w:hideMark/>
                  </w:tcPr>
                  <w:p>
                    <w:pPr>
                      <w:jc w:val="center"/>
                      <w:rPr>
                        <w:sz w:val="20"/>
                      </w:rPr>
                    </w:pPr>
                    <w:r>
                      <w:rPr>
                        <w:sz w:val="20"/>
                      </w:rPr>
                      <w:t>40/20 (2023)</w:t>
                    </w:r>
                  </w:p>
                </w:tc>
                <w:tc>
                  <w:tcPr>
                    <w:tcW w:w="1134" w:type="dxa"/>
                    <w:vAlign w:val="center"/>
                    <w:hideMark/>
                  </w:tcPr>
                  <w:p>
                    <w:pPr>
                      <w:jc w:val="center"/>
                      <w:rPr>
                        <w:sz w:val="20"/>
                      </w:rPr>
                    </w:pPr>
                    <w:r>
                      <w:rPr>
                        <w:sz w:val="20"/>
                      </w:rPr>
                      <w:t>50/50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P-18-01-07-02</w:t>
                    </w:r>
                  </w:p>
                </w:tc>
                <w:tc>
                  <w:tcPr>
                    <w:tcW w:w="4111" w:type="dxa"/>
                    <w:vAlign w:val="center"/>
                    <w:hideMark/>
                  </w:tcPr>
                  <w:p>
                    <w:pPr>
                      <w:rPr>
                        <w:sz w:val="20"/>
                      </w:rPr>
                    </w:pPr>
                    <w:r>
                      <w:rPr>
                        <w:sz w:val="20"/>
                      </w:rPr>
                      <w:t>Įgyvendintų naujų švietimo ir kitų sričių bendradarbiavimo iniciatyvų skaičius (vnt.)</w:t>
                    </w:r>
                  </w:p>
                </w:tc>
                <w:tc>
                  <w:tcPr>
                    <w:tcW w:w="1134" w:type="dxa"/>
                    <w:vAlign w:val="center"/>
                    <w:hideMark/>
                  </w:tcPr>
                  <w:p>
                    <w:pPr>
                      <w:jc w:val="center"/>
                      <w:rPr>
                        <w:sz w:val="20"/>
                      </w:rPr>
                    </w:pPr>
                    <w:r>
                      <w:rPr>
                        <w:sz w:val="20"/>
                      </w:rPr>
                      <w:t>ŠTMC, ŠVK, VUŠA</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9 (2033)</w:t>
                    </w:r>
                  </w:p>
                </w:tc>
              </w:tr>
              <w:tr>
                <w:trPr>
                  <w:trHeight w:val="38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P-18-01-07-03</w:t>
                    </w:r>
                  </w:p>
                </w:tc>
                <w:tc>
                  <w:tcPr>
                    <w:tcW w:w="4111" w:type="dxa"/>
                    <w:vAlign w:val="center"/>
                    <w:hideMark/>
                  </w:tcPr>
                  <w:p>
                    <w:pPr>
                      <w:rPr>
                        <w:sz w:val="20"/>
                      </w:rPr>
                    </w:pPr>
                    <w:r>
                      <w:rPr>
                        <w:sz w:val="20"/>
                      </w:rPr>
                      <w:t>Pedagogų, kurie persikvalifikavo ir/ar įgijo papildomą mokomojo dalyko specializaciją skaičius (asm.)</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n.d. (2023)</w:t>
                    </w:r>
                  </w:p>
                </w:tc>
                <w:tc>
                  <w:tcPr>
                    <w:tcW w:w="1134" w:type="dxa"/>
                    <w:noWrap/>
                    <w:vAlign w:val="center"/>
                    <w:hideMark/>
                  </w:tcPr>
                  <w:p>
                    <w:pPr>
                      <w:jc w:val="center"/>
                      <w:rPr>
                        <w:sz w:val="20"/>
                      </w:rPr>
                    </w:pPr>
                    <w:r>
                      <w:rPr>
                        <w:sz w:val="20"/>
                      </w:rPr>
                      <w:t>30 (2033)</w:t>
                    </w:r>
                  </w:p>
                </w:tc>
              </w:tr>
              <w:tr>
                <w:trPr>
                  <w:trHeight w:val="520"/>
                  <w:jc w:val="center"/>
                </w:trPr>
                <w:tc>
                  <w:tcPr>
                    <w:tcW w:w="988" w:type="dxa"/>
                    <w:vMerge w:val="restart"/>
                    <w:noWrap/>
                    <w:vAlign w:val="center"/>
                    <w:hideMark/>
                  </w:tcPr>
                  <w:p>
                    <w:pPr>
                      <w:rPr>
                        <w:sz w:val="20"/>
                      </w:rPr>
                    </w:pPr>
                    <w:r>
                      <w:rPr>
                        <w:sz w:val="20"/>
                      </w:rPr>
                      <w:t>18-01-08</w:t>
                    </w:r>
                  </w:p>
                </w:tc>
                <w:tc>
                  <w:tcPr>
                    <w:tcW w:w="2126" w:type="dxa"/>
                    <w:vMerge w:val="restart"/>
                    <w:vAlign w:val="center"/>
                    <w:hideMark/>
                  </w:tcPr>
                  <w:p>
                    <w:pPr>
                      <w:rPr>
                        <w:sz w:val="20"/>
                      </w:rPr>
                    </w:pPr>
                    <w:r>
                      <w:rPr>
                        <w:sz w:val="20"/>
                      </w:rPr>
                      <w:t>Užtikrinti socialinį-emocinį saugumą visiems švietimo bendruomenės nariams</w:t>
                    </w:r>
                  </w:p>
                </w:tc>
                <w:tc>
                  <w:tcPr>
                    <w:tcW w:w="850" w:type="dxa"/>
                    <w:vMerge w:val="restart"/>
                    <w:vAlign w:val="center"/>
                    <w:hideMark/>
                  </w:tcPr>
                  <w:p>
                    <w:pPr>
                      <w:jc w:val="center"/>
                      <w:rPr>
                        <w:sz w:val="20"/>
                      </w:rPr>
                    </w:pPr>
                    <w:r>
                      <w:rPr>
                        <w:sz w:val="20"/>
                      </w:rPr>
                      <w:t>ŠS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P-18-01-08-01</w:t>
                    </w:r>
                  </w:p>
                </w:tc>
                <w:tc>
                  <w:tcPr>
                    <w:tcW w:w="4111" w:type="dxa"/>
                    <w:vAlign w:val="center"/>
                    <w:hideMark/>
                  </w:tcPr>
                  <w:p>
                    <w:pPr>
                      <w:rPr>
                        <w:sz w:val="20"/>
                      </w:rPr>
                    </w:pPr>
                    <w:r>
                      <w:rPr>
                        <w:sz w:val="20"/>
                      </w:rPr>
                      <w:t>Mokinių, patiriančių patyčias, smurtą švietimo įstaigose, dalis nuo visų besimokančiųjų (proc.)</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2,2 (2023)</w:t>
                    </w:r>
                  </w:p>
                </w:tc>
                <w:tc>
                  <w:tcPr>
                    <w:tcW w:w="1134" w:type="dxa"/>
                    <w:noWrap/>
                    <w:vAlign w:val="center"/>
                    <w:hideMark/>
                  </w:tcPr>
                  <w:p>
                    <w:pPr>
                      <w:jc w:val="center"/>
                      <w:rPr>
                        <w:sz w:val="20"/>
                      </w:rPr>
                    </w:pPr>
                    <w:r>
                      <w:rPr>
                        <w:sz w:val="20"/>
                      </w:rPr>
                      <w:t>1 (2033)</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P-18-01-08-02</w:t>
                    </w:r>
                  </w:p>
                </w:tc>
                <w:tc>
                  <w:tcPr>
                    <w:tcW w:w="4111" w:type="dxa"/>
                    <w:vAlign w:val="center"/>
                    <w:hideMark/>
                  </w:tcPr>
                  <w:p>
                    <w:pPr>
                      <w:rPr>
                        <w:sz w:val="20"/>
                      </w:rPr>
                    </w:pPr>
                    <w:r>
                      <w:rPr>
                        <w:sz w:val="20"/>
                      </w:rPr>
                      <w:t>Psichologų pareigybių švietimo įstaigose skaičius (asm.)</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17 (2023)</w:t>
                    </w:r>
                  </w:p>
                </w:tc>
                <w:tc>
                  <w:tcPr>
                    <w:tcW w:w="1134" w:type="dxa"/>
                    <w:noWrap/>
                    <w:vAlign w:val="center"/>
                    <w:hideMark/>
                  </w:tcPr>
                  <w:p>
                    <w:pPr>
                      <w:jc w:val="center"/>
                      <w:rPr>
                        <w:sz w:val="20"/>
                      </w:rPr>
                    </w:pPr>
                    <w:r>
                      <w:rPr>
                        <w:sz w:val="20"/>
                      </w:rPr>
                      <w:t>34 (2033)</w:t>
                    </w:r>
                  </w:p>
                </w:tc>
              </w:tr>
              <w:tr>
                <w:trPr>
                  <w:trHeight w:val="173"/>
                  <w:jc w:val="center"/>
                </w:trPr>
                <w:tc>
                  <w:tcPr>
                    <w:tcW w:w="988" w:type="dxa"/>
                    <w:vMerge w:val="restart"/>
                    <w:noWrap/>
                    <w:vAlign w:val="center"/>
                    <w:hideMark/>
                  </w:tcPr>
                  <w:p>
                    <w:pPr>
                      <w:rPr>
                        <w:sz w:val="20"/>
                      </w:rPr>
                    </w:pPr>
                    <w:r>
                      <w:rPr>
                        <w:sz w:val="20"/>
                      </w:rPr>
                      <w:t>18-01-09</w:t>
                    </w:r>
                  </w:p>
                </w:tc>
                <w:tc>
                  <w:tcPr>
                    <w:tcW w:w="2126" w:type="dxa"/>
                    <w:vMerge w:val="restart"/>
                    <w:vAlign w:val="center"/>
                    <w:hideMark/>
                  </w:tcPr>
                  <w:p>
                    <w:pPr>
                      <w:rPr>
                        <w:sz w:val="20"/>
                      </w:rPr>
                    </w:pPr>
                    <w:r>
                      <w:rPr>
                        <w:sz w:val="20"/>
                      </w:rPr>
                      <w:t>Kurti švietimo srities specialistams patrauklias darbo sąlygas įvairiuose švietimo lygmenyse</w:t>
                    </w:r>
                  </w:p>
                </w:tc>
                <w:tc>
                  <w:tcPr>
                    <w:tcW w:w="850" w:type="dxa"/>
                    <w:vMerge w:val="restart"/>
                    <w:vAlign w:val="center"/>
                    <w:hideMark/>
                  </w:tcPr>
                  <w:p>
                    <w:pPr>
                      <w:jc w:val="center"/>
                      <w:rPr>
                        <w:sz w:val="20"/>
                      </w:rPr>
                    </w:pPr>
                    <w:r>
                      <w:rPr>
                        <w:sz w:val="20"/>
                      </w:rPr>
                      <w:t>ŠS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P-18-01-09-01</w:t>
                    </w:r>
                  </w:p>
                </w:tc>
                <w:tc>
                  <w:tcPr>
                    <w:tcW w:w="4111" w:type="dxa"/>
                    <w:vAlign w:val="center"/>
                    <w:hideMark/>
                  </w:tcPr>
                  <w:p>
                    <w:pPr>
                      <w:rPr>
                        <w:sz w:val="20"/>
                      </w:rPr>
                    </w:pPr>
                    <w:r>
                      <w:rPr>
                        <w:sz w:val="20"/>
                      </w:rPr>
                      <w:t xml:space="preserve">Jaunesnių nei 50 metų, 50 metų ir vyresnio amžiaus mokytojų skaičiaus santykis </w:t>
                    </w:r>
                  </w:p>
                </w:tc>
                <w:tc>
                  <w:tcPr>
                    <w:tcW w:w="1134" w:type="dxa"/>
                    <w:noWrap/>
                    <w:vAlign w:val="center"/>
                    <w:hideMark/>
                  </w:tcPr>
                  <w:p>
                    <w:pPr>
                      <w:jc w:val="center"/>
                      <w:rPr>
                        <w:sz w:val="20"/>
                      </w:rPr>
                    </w:pPr>
                    <w:r>
                      <w:rPr>
                        <w:sz w:val="20"/>
                      </w:rPr>
                      <w:t>ŠVIS</w:t>
                    </w:r>
                  </w:p>
                </w:tc>
                <w:tc>
                  <w:tcPr>
                    <w:tcW w:w="1134" w:type="dxa"/>
                    <w:noWrap/>
                    <w:vAlign w:val="center"/>
                    <w:hideMark/>
                  </w:tcPr>
                  <w:p>
                    <w:pPr>
                      <w:jc w:val="center"/>
                      <w:rPr>
                        <w:sz w:val="20"/>
                      </w:rPr>
                    </w:pPr>
                    <w:r>
                      <w:rPr>
                        <w:sz w:val="20"/>
                      </w:rPr>
                      <w:t>0,62 (2023)</w:t>
                    </w:r>
                  </w:p>
                </w:tc>
                <w:tc>
                  <w:tcPr>
                    <w:tcW w:w="1134" w:type="dxa"/>
                    <w:noWrap/>
                    <w:vAlign w:val="center"/>
                    <w:hideMark/>
                  </w:tcPr>
                  <w:p>
                    <w:pPr>
                      <w:jc w:val="center"/>
                      <w:rPr>
                        <w:sz w:val="20"/>
                      </w:rPr>
                    </w:pPr>
                    <w:r>
                      <w:rPr>
                        <w:sz w:val="20"/>
                      </w:rPr>
                      <w:t>1 (2033)</w:t>
                    </w:r>
                  </w:p>
                </w:tc>
              </w:tr>
              <w:tr>
                <w:trPr>
                  <w:trHeight w:val="193"/>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P-18-01-09-02</w:t>
                    </w:r>
                  </w:p>
                </w:tc>
                <w:tc>
                  <w:tcPr>
                    <w:tcW w:w="4111" w:type="dxa"/>
                    <w:vAlign w:val="center"/>
                    <w:hideMark/>
                  </w:tcPr>
                  <w:p>
                    <w:pPr>
                      <w:rPr>
                        <w:sz w:val="20"/>
                      </w:rPr>
                    </w:pPr>
                    <w:r>
                      <w:rPr>
                        <w:sz w:val="20"/>
                      </w:rPr>
                      <w:t>Trūkstamų pedagoginių darbuotojų skaičius švietimo įstaigose (asm.)</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15 (2023)</w:t>
                    </w:r>
                  </w:p>
                </w:tc>
                <w:tc>
                  <w:tcPr>
                    <w:tcW w:w="1134" w:type="dxa"/>
                    <w:noWrap/>
                    <w:vAlign w:val="center"/>
                    <w:hideMark/>
                  </w:tcPr>
                  <w:p>
                    <w:pPr>
                      <w:jc w:val="center"/>
                      <w:rPr>
                        <w:sz w:val="20"/>
                      </w:rPr>
                    </w:pPr>
                    <w:r>
                      <w:rPr>
                        <w:sz w:val="20"/>
                      </w:rPr>
                      <w:t>0 (2033)</w:t>
                    </w:r>
                  </w:p>
                </w:tc>
              </w:tr>
              <w:tr>
                <w:trPr>
                  <w:trHeight w:val="797"/>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P-18-01-09-03</w:t>
                    </w:r>
                  </w:p>
                </w:tc>
                <w:tc>
                  <w:tcPr>
                    <w:tcW w:w="4111" w:type="dxa"/>
                    <w:vAlign w:val="center"/>
                    <w:hideMark/>
                  </w:tcPr>
                  <w:p>
                    <w:pPr>
                      <w:rPr>
                        <w:sz w:val="20"/>
                      </w:rPr>
                    </w:pPr>
                    <w:r>
                      <w:rPr>
                        <w:sz w:val="20"/>
                      </w:rPr>
                      <w:t>Šiaulių miesto savivaldybės „Pedagogų pritraukimo, perkvalifikavimo ir kvalifikacijos tobulinimo strategijos plano priemonėse“ dalyvaujančių asmenų skaičius (asm.)</w:t>
                    </w:r>
                  </w:p>
                </w:tc>
                <w:tc>
                  <w:tcPr>
                    <w:tcW w:w="1134" w:type="dxa"/>
                    <w:noWrap/>
                    <w:vAlign w:val="center"/>
                    <w:hideMark/>
                  </w:tcPr>
                  <w:p>
                    <w:pPr>
                      <w:jc w:val="center"/>
                      <w:rPr>
                        <w:sz w:val="20"/>
                      </w:rPr>
                    </w:pPr>
                    <w:r>
                      <w:rPr>
                        <w:sz w:val="20"/>
                      </w:rPr>
                      <w:t>ŠS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200 (2033)</w:t>
                    </w:r>
                  </w:p>
                </w:tc>
              </w:tr>
              <w:tr>
                <w:trPr>
                  <w:trHeight w:val="443"/>
                  <w:jc w:val="center"/>
                </w:trPr>
                <w:tc>
                  <w:tcPr>
                    <w:tcW w:w="988" w:type="dxa"/>
                    <w:vMerge w:val="restart"/>
                    <w:shd w:val="clear" w:color="auto" w:fill="FCE4D6"/>
                    <w:noWrap/>
                    <w:vAlign w:val="center"/>
                    <w:hideMark/>
                  </w:tcPr>
                  <w:p>
                    <w:pPr>
                      <w:rPr>
                        <w:b/>
                        <w:bCs/>
                        <w:sz w:val="20"/>
                      </w:rPr>
                    </w:pPr>
                    <w:r>
                      <w:rPr>
                        <w:b/>
                        <w:bCs/>
                        <w:sz w:val="20"/>
                      </w:rPr>
                      <w:t>18-02</w:t>
                    </w:r>
                  </w:p>
                </w:tc>
                <w:tc>
                  <w:tcPr>
                    <w:tcW w:w="2126" w:type="dxa"/>
                    <w:vMerge w:val="restart"/>
                    <w:shd w:val="clear" w:color="auto" w:fill="FCE4D6"/>
                    <w:vAlign w:val="center"/>
                    <w:hideMark/>
                  </w:tcPr>
                  <w:p>
                    <w:pPr>
                      <w:rPr>
                        <w:b/>
                        <w:bCs/>
                        <w:sz w:val="20"/>
                      </w:rPr>
                    </w:pPr>
                    <w:r>
                      <w:rPr>
                        <w:b/>
                        <w:bCs/>
                        <w:sz w:val="20"/>
                      </w:rPr>
                      <w:t>Užtikrinti švietimo paslaugų prieinamumą ir kokybę, gerinant ugdymo(-si) aplinką</w:t>
                    </w:r>
                  </w:p>
                </w:tc>
                <w:tc>
                  <w:tcPr>
                    <w:tcW w:w="850" w:type="dxa"/>
                    <w:vMerge w:val="restart"/>
                    <w:shd w:val="clear" w:color="auto" w:fill="FCE4D6"/>
                    <w:vAlign w:val="center"/>
                    <w:hideMark/>
                  </w:tcPr>
                  <w:p>
                    <w:pPr>
                      <w:jc w:val="center"/>
                      <w:rPr>
                        <w:sz w:val="20"/>
                      </w:rPr>
                    </w:pPr>
                    <w:r>
                      <w:rPr>
                        <w:sz w:val="20"/>
                      </w:rPr>
                      <w:t>ŠS</w:t>
                    </w:r>
                  </w:p>
                </w:tc>
                <w:tc>
                  <w:tcPr>
                    <w:tcW w:w="709" w:type="dxa"/>
                    <w:vMerge w:val="restart"/>
                    <w:shd w:val="clear" w:color="auto" w:fill="FCE4D6"/>
                    <w:vAlign w:val="center"/>
                    <w:hideMark/>
                  </w:tcPr>
                  <w:p>
                    <w:pPr>
                      <w:jc w:val="center"/>
                      <w:rPr>
                        <w:sz w:val="20"/>
                      </w:rPr>
                    </w:pPr>
                    <w:r>
                      <w:rPr>
                        <w:sz w:val="20"/>
                      </w:rPr>
                      <w:t>2025</w:t>
                    </w:r>
                  </w:p>
                </w:tc>
                <w:tc>
                  <w:tcPr>
                    <w:tcW w:w="709" w:type="dxa"/>
                    <w:vMerge w:val="restart"/>
                    <w:shd w:val="clear" w:color="auto" w:fill="FCE4D6"/>
                    <w:vAlign w:val="center"/>
                    <w:hideMark/>
                  </w:tcPr>
                  <w:p>
                    <w:pPr>
                      <w:jc w:val="center"/>
                      <w:rPr>
                        <w:sz w:val="20"/>
                      </w:rPr>
                    </w:pPr>
                    <w:r>
                      <w:rPr>
                        <w:sz w:val="20"/>
                      </w:rPr>
                      <w:t>2033</w:t>
                    </w:r>
                  </w:p>
                </w:tc>
                <w:tc>
                  <w:tcPr>
                    <w:tcW w:w="1417" w:type="dxa"/>
                    <w:shd w:val="clear" w:color="auto" w:fill="FCE4D6"/>
                    <w:vAlign w:val="center"/>
                    <w:hideMark/>
                  </w:tcPr>
                  <w:p>
                    <w:pPr>
                      <w:rPr>
                        <w:sz w:val="20"/>
                      </w:rPr>
                    </w:pPr>
                    <w:r>
                      <w:rPr>
                        <w:sz w:val="20"/>
                      </w:rPr>
                      <w:t>R-18-02-01</w:t>
                    </w:r>
                  </w:p>
                </w:tc>
                <w:tc>
                  <w:tcPr>
                    <w:tcW w:w="4111" w:type="dxa"/>
                    <w:shd w:val="clear" w:color="auto" w:fill="FCE4D6"/>
                    <w:vAlign w:val="center"/>
                    <w:hideMark/>
                  </w:tcPr>
                  <w:p>
                    <w:pPr>
                      <w:rPr>
                        <w:sz w:val="20"/>
                      </w:rPr>
                    </w:pPr>
                    <w:r>
                      <w:rPr>
                        <w:sz w:val="20"/>
                      </w:rPr>
                      <w:t>Ikimokyklinio ugdymo įstaigų pastatų, kurie yra geros būklės, skaičius nuo visų ikimokyklinio ugdymo įstaigų pastatų skaičiaus (vnt. / vnt.)</w:t>
                    </w:r>
                  </w:p>
                </w:tc>
                <w:tc>
                  <w:tcPr>
                    <w:tcW w:w="1134" w:type="dxa"/>
                    <w:shd w:val="clear" w:color="auto" w:fill="FCE4D6"/>
                    <w:noWrap/>
                    <w:vAlign w:val="center"/>
                    <w:hideMark/>
                  </w:tcPr>
                  <w:p>
                    <w:pPr>
                      <w:jc w:val="center"/>
                      <w:rPr>
                        <w:sz w:val="20"/>
                      </w:rPr>
                    </w:pPr>
                    <w:r>
                      <w:rPr>
                        <w:sz w:val="20"/>
                      </w:rPr>
                      <w:t>ŠMSA (ŠS)</w:t>
                    </w:r>
                  </w:p>
                </w:tc>
                <w:tc>
                  <w:tcPr>
                    <w:tcW w:w="1134" w:type="dxa"/>
                    <w:shd w:val="clear" w:color="auto" w:fill="FCE4D6"/>
                    <w:noWrap/>
                    <w:vAlign w:val="center"/>
                    <w:hideMark/>
                  </w:tcPr>
                  <w:p>
                    <w:pPr>
                      <w:jc w:val="center"/>
                      <w:rPr>
                        <w:sz w:val="20"/>
                      </w:rPr>
                    </w:pPr>
                    <w:r>
                      <w:rPr>
                        <w:sz w:val="20"/>
                      </w:rPr>
                      <w:t>19/31 (2023)</w:t>
                    </w:r>
                  </w:p>
                </w:tc>
                <w:tc>
                  <w:tcPr>
                    <w:tcW w:w="1134" w:type="dxa"/>
                    <w:shd w:val="clear" w:color="auto" w:fill="FCE4D6"/>
                    <w:noWrap/>
                    <w:vAlign w:val="center"/>
                    <w:hideMark/>
                  </w:tcPr>
                  <w:p>
                    <w:pPr>
                      <w:jc w:val="center"/>
                      <w:rPr>
                        <w:sz w:val="20"/>
                      </w:rPr>
                    </w:pPr>
                    <w:r>
                      <w:rPr>
                        <w:sz w:val="20"/>
                      </w:rPr>
                      <w:t>25/32(2033)</w:t>
                    </w:r>
                  </w:p>
                </w:tc>
              </w:tr>
              <w:tr>
                <w:trPr>
                  <w:trHeight w:val="595"/>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sz w:val="20"/>
                      </w:rPr>
                    </w:pPr>
                    <w:r>
                      <w:rPr>
                        <w:sz w:val="20"/>
                      </w:rPr>
                      <w:t>R-18-02-02</w:t>
                    </w:r>
                  </w:p>
                </w:tc>
                <w:tc>
                  <w:tcPr>
                    <w:tcW w:w="4111" w:type="dxa"/>
                    <w:shd w:val="clear" w:color="auto" w:fill="FCE4D6"/>
                    <w:vAlign w:val="center"/>
                    <w:hideMark/>
                  </w:tcPr>
                  <w:p>
                    <w:pPr>
                      <w:rPr>
                        <w:sz w:val="20"/>
                      </w:rPr>
                    </w:pPr>
                    <w:r>
                      <w:rPr>
                        <w:sz w:val="20"/>
                      </w:rPr>
                      <w:t>Bendrojo ugdymo mokyklų pastatų, kurie yra geros būklės, skaičius nuo visų bendrojo ugdymo mokyklų pastatų skaičiaus (vnt. / vnt.)</w:t>
                    </w:r>
                  </w:p>
                </w:tc>
                <w:tc>
                  <w:tcPr>
                    <w:tcW w:w="1134" w:type="dxa"/>
                    <w:shd w:val="clear" w:color="auto" w:fill="FCE4D6"/>
                    <w:noWrap/>
                    <w:vAlign w:val="center"/>
                    <w:hideMark/>
                  </w:tcPr>
                  <w:p>
                    <w:pPr>
                      <w:jc w:val="center"/>
                      <w:rPr>
                        <w:sz w:val="20"/>
                      </w:rPr>
                    </w:pPr>
                    <w:r>
                      <w:rPr>
                        <w:sz w:val="20"/>
                      </w:rPr>
                      <w:t>ŠMSA (ŠS)</w:t>
                    </w:r>
                  </w:p>
                </w:tc>
                <w:tc>
                  <w:tcPr>
                    <w:tcW w:w="1134" w:type="dxa"/>
                    <w:shd w:val="clear" w:color="auto" w:fill="FCE4D6"/>
                    <w:noWrap/>
                    <w:vAlign w:val="center"/>
                    <w:hideMark/>
                  </w:tcPr>
                  <w:p>
                    <w:pPr>
                      <w:jc w:val="center"/>
                      <w:rPr>
                        <w:sz w:val="20"/>
                      </w:rPr>
                    </w:pPr>
                    <w:r>
                      <w:rPr>
                        <w:sz w:val="20"/>
                      </w:rPr>
                      <w:t>12/30 (2023)</w:t>
                    </w:r>
                  </w:p>
                </w:tc>
                <w:tc>
                  <w:tcPr>
                    <w:tcW w:w="1134" w:type="dxa"/>
                    <w:shd w:val="clear" w:color="auto" w:fill="FCE4D6"/>
                    <w:noWrap/>
                    <w:vAlign w:val="center"/>
                    <w:hideMark/>
                  </w:tcPr>
                  <w:p>
                    <w:pPr>
                      <w:jc w:val="center"/>
                      <w:rPr>
                        <w:sz w:val="20"/>
                      </w:rPr>
                    </w:pPr>
                    <w:r>
                      <w:rPr>
                        <w:sz w:val="20"/>
                      </w:rPr>
                      <w:t>30/30 (2033)</w:t>
                    </w:r>
                  </w:p>
                </w:tc>
              </w:tr>
              <w:tr>
                <w:trPr>
                  <w:trHeight w:val="522"/>
                  <w:jc w:val="center"/>
                </w:trPr>
                <w:tc>
                  <w:tcPr>
                    <w:tcW w:w="988" w:type="dxa"/>
                    <w:vMerge/>
                    <w:tcBorders>
                      <w:bottom w:val="single" w:sz="4" w:space="0" w:color="auto"/>
                    </w:tcBorders>
                    <w:shd w:val="clear" w:color="auto" w:fill="FCE4D6"/>
                    <w:vAlign w:val="center"/>
                    <w:hideMark/>
                  </w:tcPr>
                  <w:p>
                    <w:pPr>
                      <w:rPr>
                        <w:b/>
                        <w:bCs/>
                        <w:sz w:val="20"/>
                      </w:rPr>
                    </w:pPr>
                  </w:p>
                </w:tc>
                <w:tc>
                  <w:tcPr>
                    <w:tcW w:w="2126" w:type="dxa"/>
                    <w:vMerge/>
                    <w:tcBorders>
                      <w:bottom w:val="single" w:sz="4" w:space="0" w:color="auto"/>
                    </w:tcBorders>
                    <w:shd w:val="clear" w:color="auto" w:fill="FCE4D6"/>
                    <w:vAlign w:val="center"/>
                    <w:hideMark/>
                  </w:tcPr>
                  <w:p>
                    <w:pPr>
                      <w:rPr>
                        <w:b/>
                        <w:bCs/>
                        <w:sz w:val="20"/>
                      </w:rPr>
                    </w:pPr>
                  </w:p>
                </w:tc>
                <w:tc>
                  <w:tcPr>
                    <w:tcW w:w="850" w:type="dxa"/>
                    <w:vMerge/>
                    <w:tcBorders>
                      <w:bottom w:val="single" w:sz="4" w:space="0" w:color="auto"/>
                    </w:tcBorders>
                    <w:shd w:val="clear" w:color="auto" w:fill="FCE4D6"/>
                    <w:vAlign w:val="center"/>
                    <w:hideMark/>
                  </w:tcPr>
                  <w:p>
                    <w:pPr>
                      <w:rPr>
                        <w:sz w:val="20"/>
                      </w:rPr>
                    </w:pPr>
                  </w:p>
                </w:tc>
                <w:tc>
                  <w:tcPr>
                    <w:tcW w:w="709" w:type="dxa"/>
                    <w:vMerge/>
                    <w:tcBorders>
                      <w:bottom w:val="single" w:sz="4" w:space="0" w:color="auto"/>
                    </w:tcBorders>
                    <w:shd w:val="clear" w:color="auto" w:fill="FCE4D6"/>
                    <w:vAlign w:val="center"/>
                    <w:hideMark/>
                  </w:tcPr>
                  <w:p>
                    <w:pPr>
                      <w:rPr>
                        <w:sz w:val="20"/>
                      </w:rPr>
                    </w:pPr>
                  </w:p>
                </w:tc>
                <w:tc>
                  <w:tcPr>
                    <w:tcW w:w="709" w:type="dxa"/>
                    <w:vMerge/>
                    <w:tcBorders>
                      <w:bottom w:val="single" w:sz="4" w:space="0" w:color="auto"/>
                    </w:tcBorders>
                    <w:shd w:val="clear" w:color="auto" w:fill="FCE4D6"/>
                    <w:vAlign w:val="center"/>
                    <w:hideMark/>
                  </w:tcPr>
                  <w:p>
                    <w:pPr>
                      <w:rPr>
                        <w:sz w:val="20"/>
                      </w:rPr>
                    </w:pPr>
                  </w:p>
                </w:tc>
                <w:tc>
                  <w:tcPr>
                    <w:tcW w:w="1417" w:type="dxa"/>
                    <w:tcBorders>
                      <w:bottom w:val="single" w:sz="4" w:space="0" w:color="auto"/>
                    </w:tcBorders>
                    <w:shd w:val="clear" w:color="auto" w:fill="FCE4D6"/>
                    <w:vAlign w:val="center"/>
                    <w:hideMark/>
                  </w:tcPr>
                  <w:p>
                    <w:pPr>
                      <w:rPr>
                        <w:sz w:val="20"/>
                      </w:rPr>
                    </w:pPr>
                    <w:r>
                      <w:rPr>
                        <w:sz w:val="20"/>
                      </w:rPr>
                      <w:t>R-18-02-03</w:t>
                    </w:r>
                  </w:p>
                </w:tc>
                <w:tc>
                  <w:tcPr>
                    <w:tcW w:w="4111" w:type="dxa"/>
                    <w:tcBorders>
                      <w:bottom w:val="single" w:sz="4" w:space="0" w:color="auto"/>
                    </w:tcBorders>
                    <w:shd w:val="clear" w:color="auto" w:fill="FCE4D6"/>
                    <w:vAlign w:val="center"/>
                    <w:hideMark/>
                  </w:tcPr>
                  <w:p>
                    <w:pPr>
                      <w:rPr>
                        <w:sz w:val="20"/>
                      </w:rPr>
                    </w:pPr>
                    <w:r>
                      <w:rPr>
                        <w:sz w:val="20"/>
                      </w:rPr>
                      <w:t>Neformaliojo švietimo įstaigų pastatų, kurie yra geros būklės, skaičius nuo visų neformaliojo švietimo įstaigų pastatų skaičiaus (vnt. / vnt.)</w:t>
                    </w:r>
                  </w:p>
                </w:tc>
                <w:tc>
                  <w:tcPr>
                    <w:tcW w:w="1134" w:type="dxa"/>
                    <w:tcBorders>
                      <w:bottom w:val="single" w:sz="4" w:space="0" w:color="auto"/>
                    </w:tcBorders>
                    <w:shd w:val="clear" w:color="auto" w:fill="FCE4D6"/>
                    <w:noWrap/>
                    <w:vAlign w:val="center"/>
                    <w:hideMark/>
                  </w:tcPr>
                  <w:p>
                    <w:pPr>
                      <w:jc w:val="center"/>
                      <w:rPr>
                        <w:sz w:val="20"/>
                      </w:rPr>
                    </w:pPr>
                    <w:r>
                      <w:rPr>
                        <w:sz w:val="20"/>
                      </w:rPr>
                      <w:t>ŠMSA (ŠS)</w:t>
                    </w:r>
                  </w:p>
                </w:tc>
                <w:tc>
                  <w:tcPr>
                    <w:tcW w:w="1134" w:type="dxa"/>
                    <w:tcBorders>
                      <w:bottom w:val="single" w:sz="4" w:space="0" w:color="auto"/>
                    </w:tcBorders>
                    <w:shd w:val="clear" w:color="auto" w:fill="FCE4D6"/>
                    <w:noWrap/>
                    <w:vAlign w:val="center"/>
                    <w:hideMark/>
                  </w:tcPr>
                  <w:p>
                    <w:pPr>
                      <w:jc w:val="center"/>
                      <w:rPr>
                        <w:sz w:val="20"/>
                      </w:rPr>
                    </w:pPr>
                    <w:r>
                      <w:rPr>
                        <w:sz w:val="20"/>
                      </w:rPr>
                      <w:t>1/10 (2023)</w:t>
                    </w:r>
                  </w:p>
                </w:tc>
                <w:tc>
                  <w:tcPr>
                    <w:tcW w:w="1134" w:type="dxa"/>
                    <w:tcBorders>
                      <w:bottom w:val="single" w:sz="4" w:space="0" w:color="auto"/>
                    </w:tcBorders>
                    <w:shd w:val="clear" w:color="auto" w:fill="FCE4D6"/>
                    <w:noWrap/>
                    <w:vAlign w:val="center"/>
                    <w:hideMark/>
                  </w:tcPr>
                  <w:p>
                    <w:pPr>
                      <w:jc w:val="center"/>
                      <w:rPr>
                        <w:sz w:val="20"/>
                      </w:rPr>
                    </w:pPr>
                    <w:r>
                      <w:rPr>
                        <w:sz w:val="20"/>
                      </w:rPr>
                      <w:t>10/10 (2033)</w:t>
                    </w:r>
                  </w:p>
                </w:tc>
              </w:tr>
              <w:tr>
                <w:trPr>
                  <w:trHeight w:val="525"/>
                  <w:jc w:val="center"/>
                </w:trPr>
                <w:tc>
                  <w:tcPr>
                    <w:tcW w:w="988" w:type="dxa"/>
                    <w:vMerge w:val="restart"/>
                    <w:noWrap/>
                    <w:vAlign w:val="center"/>
                    <w:hideMark/>
                  </w:tcPr>
                  <w:p>
                    <w:pPr>
                      <w:rPr>
                        <w:sz w:val="20"/>
                      </w:rPr>
                    </w:pPr>
                    <w:r>
                      <w:rPr>
                        <w:sz w:val="20"/>
                      </w:rPr>
                      <w:t>18-02-01</w:t>
                    </w:r>
                  </w:p>
                </w:tc>
                <w:tc>
                  <w:tcPr>
                    <w:tcW w:w="2126" w:type="dxa"/>
                    <w:vMerge w:val="restart"/>
                    <w:vAlign w:val="center"/>
                    <w:hideMark/>
                  </w:tcPr>
                  <w:p>
                    <w:pPr>
                      <w:rPr>
                        <w:sz w:val="20"/>
                      </w:rPr>
                    </w:pPr>
                    <w:r>
                      <w:rPr>
                        <w:sz w:val="20"/>
                      </w:rPr>
                      <w:t>Atnaujinti ikimokyklinio ugdymo įstaigų aplinką</w:t>
                    </w:r>
                  </w:p>
                </w:tc>
                <w:tc>
                  <w:tcPr>
                    <w:tcW w:w="850" w:type="dxa"/>
                    <w:vMerge w:val="restart"/>
                    <w:vAlign w:val="center"/>
                    <w:hideMark/>
                  </w:tcPr>
                  <w:p>
                    <w:pPr>
                      <w:jc w:val="center"/>
                      <w:rPr>
                        <w:sz w:val="20"/>
                      </w:rPr>
                    </w:pPr>
                    <w:r>
                      <w:rPr>
                        <w:sz w:val="20"/>
                      </w:rPr>
                      <w:t>ŠS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P-18-02-01-01</w:t>
                    </w:r>
                  </w:p>
                </w:tc>
                <w:tc>
                  <w:tcPr>
                    <w:tcW w:w="4111" w:type="dxa"/>
                    <w:vAlign w:val="center"/>
                    <w:hideMark/>
                  </w:tcPr>
                  <w:p>
                    <w:pPr>
                      <w:rPr>
                        <w:sz w:val="20"/>
                      </w:rPr>
                    </w:pPr>
                    <w:r>
                      <w:rPr>
                        <w:sz w:val="20"/>
                      </w:rPr>
                      <w:t>Atnaujintų ikimokyklinio ugdymo įstaigų pastatų skaičius (vnt.)</w:t>
                    </w:r>
                  </w:p>
                </w:tc>
                <w:tc>
                  <w:tcPr>
                    <w:tcW w:w="1134" w:type="dxa"/>
                    <w:vAlign w:val="center"/>
                    <w:hideMark/>
                  </w:tcPr>
                  <w:p>
                    <w:pPr>
                      <w:jc w:val="center"/>
                      <w:rPr>
                        <w:sz w:val="20"/>
                      </w:rPr>
                    </w:pPr>
                    <w:r>
                      <w:rPr>
                        <w:sz w:val="20"/>
                      </w:rPr>
                      <w:t>ŠS</w:t>
                    </w:r>
                  </w:p>
                </w:tc>
                <w:tc>
                  <w:tcPr>
                    <w:tcW w:w="1134" w:type="dxa"/>
                    <w:noWrap/>
                    <w:vAlign w:val="center"/>
                    <w:hideMark/>
                  </w:tcPr>
                  <w:p>
                    <w:pPr>
                      <w:jc w:val="center"/>
                      <w:rPr>
                        <w:sz w:val="20"/>
                      </w:rPr>
                    </w:pPr>
                    <w:r>
                      <w:rPr>
                        <w:sz w:val="20"/>
                      </w:rPr>
                      <w:t>19 (2023)</w:t>
                    </w:r>
                  </w:p>
                </w:tc>
                <w:tc>
                  <w:tcPr>
                    <w:tcW w:w="1134" w:type="dxa"/>
                    <w:noWrap/>
                    <w:vAlign w:val="center"/>
                    <w:hideMark/>
                  </w:tcPr>
                  <w:p>
                    <w:pPr>
                      <w:jc w:val="center"/>
                      <w:rPr>
                        <w:sz w:val="20"/>
                      </w:rPr>
                    </w:pPr>
                    <w:r>
                      <w:rPr>
                        <w:sz w:val="20"/>
                      </w:rPr>
                      <w:t>25 (2033)</w:t>
                    </w:r>
                  </w:p>
                </w:tc>
              </w:tr>
              <w:tr>
                <w:trPr>
                  <w:trHeight w:val="26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P-18-02-01-02</w:t>
                    </w:r>
                  </w:p>
                </w:tc>
                <w:tc>
                  <w:tcPr>
                    <w:tcW w:w="4111" w:type="dxa"/>
                    <w:vAlign w:val="center"/>
                    <w:hideMark/>
                  </w:tcPr>
                  <w:p>
                    <w:pPr>
                      <w:rPr>
                        <w:sz w:val="20"/>
                      </w:rPr>
                    </w:pPr>
                    <w:r>
                      <w:rPr>
                        <w:sz w:val="20"/>
                      </w:rPr>
                      <w:t>Įkurtų ikimokyklinio ugdymo įstaigų skaičius (vnt.)</w:t>
                    </w:r>
                  </w:p>
                </w:tc>
                <w:tc>
                  <w:tcPr>
                    <w:tcW w:w="1134" w:type="dxa"/>
                    <w:vAlign w:val="center"/>
                    <w:hideMark/>
                  </w:tcPr>
                  <w:p>
                    <w:pPr>
                      <w:jc w:val="center"/>
                      <w:rPr>
                        <w:sz w:val="20"/>
                      </w:rPr>
                    </w:pPr>
                    <w:r>
                      <w:rPr>
                        <w:sz w:val="20"/>
                      </w:rPr>
                      <w:t>ŠS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1 (2025)</w:t>
                    </w:r>
                  </w:p>
                </w:tc>
              </w:tr>
              <w:tr>
                <w:trPr>
                  <w:trHeight w:val="594"/>
                  <w:jc w:val="center"/>
                </w:trPr>
                <w:tc>
                  <w:tcPr>
                    <w:tcW w:w="988" w:type="dxa"/>
                    <w:vMerge/>
                    <w:vAlign w:val="center"/>
                  </w:tcPr>
                  <w:p>
                    <w:pPr>
                      <w:rPr>
                        <w:sz w:val="20"/>
                      </w:rPr>
                    </w:pPr>
                  </w:p>
                </w:tc>
                <w:tc>
                  <w:tcPr>
                    <w:tcW w:w="2126" w:type="dxa"/>
                    <w:vMerge/>
                    <w:vAlign w:val="center"/>
                  </w:tcPr>
                  <w:p>
                    <w:pPr>
                      <w:rPr>
                        <w:sz w:val="20"/>
                      </w:rPr>
                    </w:pPr>
                  </w:p>
                </w:tc>
                <w:tc>
                  <w:tcPr>
                    <w:tcW w:w="850" w:type="dxa"/>
                    <w:vMerge/>
                    <w:vAlign w:val="center"/>
                  </w:tcPr>
                  <w:p>
                    <w:pPr>
                      <w:jc w:val="center"/>
                      <w:rPr>
                        <w:sz w:val="20"/>
                      </w:rPr>
                    </w:pPr>
                  </w:p>
                </w:tc>
                <w:tc>
                  <w:tcPr>
                    <w:tcW w:w="709" w:type="dxa"/>
                    <w:vMerge/>
                    <w:vAlign w:val="center"/>
                  </w:tcPr>
                  <w:p>
                    <w:pPr>
                      <w:jc w:val="center"/>
                      <w:rPr>
                        <w:sz w:val="20"/>
                      </w:rPr>
                    </w:pPr>
                  </w:p>
                </w:tc>
                <w:tc>
                  <w:tcPr>
                    <w:tcW w:w="709" w:type="dxa"/>
                    <w:vMerge/>
                    <w:vAlign w:val="center"/>
                  </w:tcPr>
                  <w:p>
                    <w:pPr>
                      <w:jc w:val="cente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pPr>
                      <w:rPr>
                        <w:sz w:val="20"/>
                      </w:rPr>
                    </w:pPr>
                    <w:r>
                      <w:rPr>
                        <w:rFonts w:eastAsia="MS Mincho"/>
                        <w:color w:val="000000"/>
                        <w:kern w:val="2"/>
                        <w:sz w:val="20"/>
                      </w:rPr>
                      <w:t>P-18-02-01-03</w:t>
                    </w:r>
                  </w:p>
                </w:tc>
                <w:tc>
                  <w:tcPr>
                    <w:tcW w:w="4111" w:type="dxa"/>
                    <w:tcBorders>
                      <w:top w:val="single" w:sz="4" w:space="0" w:color="auto"/>
                      <w:left w:val="nil"/>
                      <w:bottom w:val="single" w:sz="4" w:space="0" w:color="auto"/>
                      <w:right w:val="single" w:sz="4" w:space="0" w:color="auto"/>
                    </w:tcBorders>
                    <w:shd w:val="clear" w:color="auto" w:fill="auto"/>
                    <w:vAlign w:val="center"/>
                  </w:tcPr>
                  <w:p>
                    <w:pPr>
                      <w:rPr>
                        <w:sz w:val="20"/>
                      </w:rPr>
                    </w:pPr>
                    <w:r>
                      <w:rPr>
                        <w:rFonts w:eastAsia="MS Mincho"/>
                        <w:color w:val="000000"/>
                        <w:kern w:val="2"/>
                        <w:sz w:val="20"/>
                      </w:rPr>
                      <w:t xml:space="preserve">Ikimokyklinio ugdymo įstaigų, kuriose atnaujinta lauko infrastruktūra, įkurtos lauko edukacinės erdvės, skaičius (vnt.)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ŠS</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color w:val="000000"/>
                        <w:kern w:val="2"/>
                        <w:sz w:val="20"/>
                      </w:rPr>
                      <w:t>10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26 (2033)</w:t>
                    </w:r>
                  </w:p>
                </w:tc>
              </w:tr>
              <w:tr>
                <w:trPr>
                  <w:trHeight w:val="594"/>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lang w:val="en-US"/>
                      </w:rPr>
                    </w:pPr>
                    <w:r>
                      <w:rPr>
                        <w:sz w:val="20"/>
                      </w:rPr>
                      <w:t>P-18-02-01-0</w:t>
                    </w:r>
                    <w:r>
                      <w:rPr>
                        <w:sz w:val="20"/>
                        <w:lang w:val="en-US"/>
                      </w:rPr>
                      <w:t>4</w:t>
                    </w:r>
                  </w:p>
                </w:tc>
                <w:tc>
                  <w:tcPr>
                    <w:tcW w:w="4111" w:type="dxa"/>
                    <w:vAlign w:val="center"/>
                  </w:tcPr>
                  <w:p>
                    <w:pPr>
                      <w:rPr>
                        <w:sz w:val="20"/>
                      </w:rPr>
                    </w:pPr>
                    <w:r>
                      <w:rPr>
                        <w:sz w:val="20"/>
                      </w:rPr>
                      <w:t>Ikimokyklinio ugdymo įstaigų, kurių erdvės modernizuotos (atitinkančios universalaus dizaino reikalavimus) ir pritaikytos šiuolaikinio ugdymo reikalavimams, skaičius (vnt.)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ŠS</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color w:val="000000"/>
                        <w:kern w:val="2"/>
                        <w:sz w:val="20"/>
                      </w:rPr>
                      <w:t>12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26 (2033)</w:t>
                    </w:r>
                  </w:p>
                </w:tc>
              </w:tr>
              <w:tr>
                <w:trPr>
                  <w:trHeight w:val="440"/>
                  <w:jc w:val="center"/>
                </w:trPr>
                <w:tc>
                  <w:tcPr>
                    <w:tcW w:w="988" w:type="dxa"/>
                    <w:vMerge/>
                    <w:vAlign w:val="center"/>
                  </w:tcPr>
                  <w:p>
                    <w:pPr>
                      <w:rPr>
                        <w:sz w:val="20"/>
                      </w:rPr>
                    </w:pPr>
                  </w:p>
                </w:tc>
                <w:tc>
                  <w:tcPr>
                    <w:tcW w:w="2126" w:type="dxa"/>
                    <w:vMerge/>
                    <w:vAlign w:val="center"/>
                  </w:tcPr>
                  <w:p>
                    <w:pPr>
                      <w:rPr>
                        <w:sz w:val="20"/>
                      </w:rPr>
                    </w:pPr>
                  </w:p>
                </w:tc>
                <w:tc>
                  <w:tcPr>
                    <w:tcW w:w="850" w:type="dxa"/>
                    <w:vMerge/>
                    <w:vAlign w:val="center"/>
                  </w:tcPr>
                  <w:p>
                    <w:pPr>
                      <w:jc w:val="center"/>
                      <w:rPr>
                        <w:sz w:val="20"/>
                      </w:rPr>
                    </w:pPr>
                  </w:p>
                </w:tc>
                <w:tc>
                  <w:tcPr>
                    <w:tcW w:w="709" w:type="dxa"/>
                    <w:vMerge/>
                    <w:vAlign w:val="center"/>
                  </w:tcPr>
                  <w:p>
                    <w:pPr>
                      <w:jc w:val="center"/>
                      <w:rPr>
                        <w:sz w:val="20"/>
                      </w:rPr>
                    </w:pPr>
                  </w:p>
                </w:tc>
                <w:tc>
                  <w:tcPr>
                    <w:tcW w:w="709" w:type="dxa"/>
                    <w:vMerge/>
                    <w:vAlign w:val="center"/>
                  </w:tcPr>
                  <w:p>
                    <w:pPr>
                      <w:jc w:val="center"/>
                      <w:rPr>
                        <w:sz w:val="20"/>
                      </w:rPr>
                    </w:pPr>
                  </w:p>
                </w:tc>
                <w:tc>
                  <w:tcPr>
                    <w:tcW w:w="1417" w:type="dxa"/>
                    <w:vAlign w:val="center"/>
                  </w:tcPr>
                  <w:p>
                    <w:pPr>
                      <w:rPr>
                        <w:sz w:val="20"/>
                      </w:rPr>
                    </w:pPr>
                    <w:r>
                      <w:rPr>
                        <w:sz w:val="20"/>
                      </w:rPr>
                      <w:t>P-18-02-01-05</w:t>
                    </w:r>
                  </w:p>
                </w:tc>
                <w:tc>
                  <w:tcPr>
                    <w:tcW w:w="4111" w:type="dxa"/>
                    <w:vAlign w:val="center"/>
                  </w:tcPr>
                  <w:p>
                    <w:pPr>
                      <w:rPr>
                        <w:sz w:val="20"/>
                      </w:rPr>
                    </w:pPr>
                    <w:r>
                      <w:rPr>
                        <w:sz w:val="20"/>
                      </w:rPr>
                      <w:t>Erdvių, kurios skirtos organizuoti vaikų pasyvų poilsį, sensorinę terapiją, skaičius (vnt.)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ŠS</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color w:val="000000"/>
                        <w:kern w:val="2"/>
                        <w:sz w:val="20"/>
                      </w:rPr>
                      <w:t>14 (2023)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26 (2033)</w:t>
                    </w:r>
                  </w:p>
                </w:tc>
              </w:tr>
              <w:tr>
                <w:trPr>
                  <w:trHeight w:val="56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P-18-02-01-06</w:t>
                    </w:r>
                  </w:p>
                </w:tc>
                <w:tc>
                  <w:tcPr>
                    <w:tcW w:w="4111" w:type="dxa"/>
                    <w:vAlign w:val="center"/>
                    <w:hideMark/>
                  </w:tcPr>
                  <w:p>
                    <w:pPr>
                      <w:rPr>
                        <w:sz w:val="20"/>
                      </w:rPr>
                    </w:pPr>
                    <w:r>
                      <w:rPr>
                        <w:sz w:val="20"/>
                      </w:rPr>
                      <w:t>Ikimokyklinio ugdymo įstaigų, kurių patalpos pritaikytos fizinę negalią turintiems asmenims, dalis (proc.)</w:t>
                    </w:r>
                  </w:p>
                </w:tc>
                <w:tc>
                  <w:tcPr>
                    <w:tcW w:w="1134" w:type="dxa"/>
                    <w:vAlign w:val="center"/>
                    <w:hideMark/>
                  </w:tcPr>
                  <w:p>
                    <w:pPr>
                      <w:jc w:val="center"/>
                      <w:rPr>
                        <w:sz w:val="20"/>
                      </w:rPr>
                    </w:pPr>
                    <w:r>
                      <w:rPr>
                        <w:sz w:val="20"/>
                      </w:rPr>
                      <w:t>ŠS</w:t>
                    </w:r>
                  </w:p>
                </w:tc>
                <w:tc>
                  <w:tcPr>
                    <w:tcW w:w="1134" w:type="dxa"/>
                    <w:noWrap/>
                    <w:vAlign w:val="center"/>
                    <w:hideMark/>
                  </w:tcPr>
                  <w:p>
                    <w:pPr>
                      <w:jc w:val="center"/>
                      <w:rPr>
                        <w:sz w:val="20"/>
                      </w:rPr>
                    </w:pPr>
                    <w:r>
                      <w:rPr>
                        <w:sz w:val="20"/>
                      </w:rPr>
                      <w:t>0 (2025)</w:t>
                    </w:r>
                  </w:p>
                </w:tc>
                <w:tc>
                  <w:tcPr>
                    <w:tcW w:w="1134" w:type="dxa"/>
                    <w:noWrap/>
                    <w:vAlign w:val="center"/>
                    <w:hideMark/>
                  </w:tcPr>
                  <w:p>
                    <w:pPr>
                      <w:jc w:val="center"/>
                      <w:rPr>
                        <w:sz w:val="20"/>
                      </w:rPr>
                    </w:pPr>
                    <w:r>
                      <w:rPr>
                        <w:sz w:val="20"/>
                      </w:rPr>
                      <w:t>12 (2033)</w:t>
                    </w:r>
                  </w:p>
                </w:tc>
              </w:tr>
              <w:tr>
                <w:trPr>
                  <w:trHeight w:val="378"/>
                  <w:jc w:val="center"/>
                </w:trPr>
                <w:tc>
                  <w:tcPr>
                    <w:tcW w:w="988" w:type="dxa"/>
                    <w:vMerge w:val="restart"/>
                    <w:noWrap/>
                    <w:vAlign w:val="center"/>
                    <w:hideMark/>
                  </w:tcPr>
                  <w:p>
                    <w:pPr>
                      <w:rPr>
                        <w:sz w:val="20"/>
                      </w:rPr>
                    </w:pPr>
                    <w:r>
                      <w:rPr>
                        <w:sz w:val="20"/>
                      </w:rPr>
                      <w:t>18-02-02</w:t>
                    </w:r>
                  </w:p>
                </w:tc>
                <w:tc>
                  <w:tcPr>
                    <w:tcW w:w="2126" w:type="dxa"/>
                    <w:vMerge w:val="restart"/>
                    <w:vAlign w:val="center"/>
                    <w:hideMark/>
                  </w:tcPr>
                  <w:p>
                    <w:pPr>
                      <w:rPr>
                        <w:sz w:val="20"/>
                      </w:rPr>
                    </w:pPr>
                    <w:r>
                      <w:rPr>
                        <w:sz w:val="20"/>
                      </w:rPr>
                      <w:t>Atnaujinti bendrojo ugdymo mokyklų aplinką</w:t>
                    </w:r>
                  </w:p>
                </w:tc>
                <w:tc>
                  <w:tcPr>
                    <w:tcW w:w="850" w:type="dxa"/>
                    <w:vMerge w:val="restart"/>
                    <w:vAlign w:val="center"/>
                    <w:hideMark/>
                  </w:tcPr>
                  <w:p>
                    <w:pPr>
                      <w:jc w:val="center"/>
                      <w:rPr>
                        <w:sz w:val="20"/>
                      </w:rPr>
                    </w:pPr>
                    <w:r>
                      <w:rPr>
                        <w:sz w:val="20"/>
                      </w:rPr>
                      <w:t>ŠS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P-18-02-02-01</w:t>
                    </w:r>
                  </w:p>
                </w:tc>
                <w:tc>
                  <w:tcPr>
                    <w:tcW w:w="4111" w:type="dxa"/>
                    <w:vAlign w:val="center"/>
                    <w:hideMark/>
                  </w:tcPr>
                  <w:p>
                    <w:pPr>
                      <w:rPr>
                        <w:sz w:val="20"/>
                      </w:rPr>
                    </w:pPr>
                    <w:r>
                      <w:rPr>
                        <w:sz w:val="20"/>
                      </w:rPr>
                      <w:t>Atnaujintų bendrojo ugdymo mokyklų pastatų skaičius (vnt.)</w:t>
                    </w:r>
                  </w:p>
                </w:tc>
                <w:tc>
                  <w:tcPr>
                    <w:tcW w:w="1134" w:type="dxa"/>
                    <w:vAlign w:val="center"/>
                    <w:hideMark/>
                  </w:tcPr>
                  <w:p>
                    <w:pPr>
                      <w:jc w:val="center"/>
                      <w:rPr>
                        <w:sz w:val="20"/>
                      </w:rPr>
                    </w:pPr>
                    <w:r>
                      <w:rPr>
                        <w:sz w:val="20"/>
                      </w:rPr>
                      <w:t>ŠS</w:t>
                    </w:r>
                  </w:p>
                </w:tc>
                <w:tc>
                  <w:tcPr>
                    <w:tcW w:w="1134" w:type="dxa"/>
                    <w:noWrap/>
                    <w:vAlign w:val="center"/>
                    <w:hideMark/>
                  </w:tcPr>
                  <w:p>
                    <w:pPr>
                      <w:jc w:val="center"/>
                      <w:rPr>
                        <w:sz w:val="20"/>
                      </w:rPr>
                    </w:pPr>
                    <w:r>
                      <w:rPr>
                        <w:sz w:val="20"/>
                      </w:rPr>
                      <w:t>15 (2023)</w:t>
                    </w:r>
                  </w:p>
                </w:tc>
                <w:tc>
                  <w:tcPr>
                    <w:tcW w:w="1134" w:type="dxa"/>
                    <w:noWrap/>
                    <w:vAlign w:val="center"/>
                    <w:hideMark/>
                  </w:tcPr>
                  <w:p>
                    <w:pPr>
                      <w:jc w:val="center"/>
                      <w:rPr>
                        <w:sz w:val="20"/>
                      </w:rPr>
                    </w:pPr>
                    <w:r>
                      <w:rPr>
                        <w:sz w:val="20"/>
                      </w:rPr>
                      <w:t>30 (2033)</w:t>
                    </w:r>
                  </w:p>
                </w:tc>
              </w:tr>
              <w:tr>
                <w:trPr>
                  <w:trHeight w:val="314"/>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P-18-02-02-02</w:t>
                    </w:r>
                  </w:p>
                </w:tc>
                <w:tc>
                  <w:tcPr>
                    <w:tcW w:w="4111" w:type="dxa"/>
                    <w:vAlign w:val="center"/>
                    <w:hideMark/>
                  </w:tcPr>
                  <w:p>
                    <w:pPr>
                      <w:rPr>
                        <w:sz w:val="20"/>
                      </w:rPr>
                    </w:pPr>
                    <w:r>
                      <w:rPr>
                        <w:sz w:val="20"/>
                      </w:rPr>
                      <w:t>Bendrojo ugdymo mokyklų, kuriose atnaujinti sporto aikštynai, skaičius (vnt.)</w:t>
                    </w:r>
                  </w:p>
                </w:tc>
                <w:tc>
                  <w:tcPr>
                    <w:tcW w:w="1134" w:type="dxa"/>
                    <w:vAlign w:val="center"/>
                    <w:hideMark/>
                  </w:tcPr>
                  <w:p>
                    <w:pPr>
                      <w:jc w:val="center"/>
                      <w:rPr>
                        <w:sz w:val="20"/>
                      </w:rPr>
                    </w:pPr>
                    <w:r>
                      <w:rPr>
                        <w:sz w:val="20"/>
                      </w:rPr>
                      <w:t>ŠS</w:t>
                    </w:r>
                  </w:p>
                </w:tc>
                <w:tc>
                  <w:tcPr>
                    <w:tcW w:w="1134" w:type="dxa"/>
                    <w:noWrap/>
                    <w:vAlign w:val="center"/>
                    <w:hideMark/>
                  </w:tcPr>
                  <w:p>
                    <w:pPr>
                      <w:jc w:val="center"/>
                      <w:rPr>
                        <w:sz w:val="20"/>
                      </w:rPr>
                    </w:pPr>
                    <w:r>
                      <w:rPr>
                        <w:sz w:val="20"/>
                      </w:rPr>
                      <w:t>6 (2023)</w:t>
                    </w:r>
                  </w:p>
                </w:tc>
                <w:tc>
                  <w:tcPr>
                    <w:tcW w:w="1134" w:type="dxa"/>
                    <w:noWrap/>
                    <w:vAlign w:val="center"/>
                    <w:hideMark/>
                  </w:tcPr>
                  <w:p>
                    <w:pPr>
                      <w:jc w:val="center"/>
                      <w:rPr>
                        <w:sz w:val="20"/>
                      </w:rPr>
                    </w:pPr>
                    <w:r>
                      <w:rPr>
                        <w:sz w:val="20"/>
                      </w:rPr>
                      <w:t>30 (2033)</w:t>
                    </w:r>
                  </w:p>
                </w:tc>
              </w:tr>
              <w:tr>
                <w:trPr>
                  <w:trHeight w:val="559"/>
                  <w:jc w:val="center"/>
                </w:trPr>
                <w:tc>
                  <w:tcPr>
                    <w:tcW w:w="988" w:type="dxa"/>
                    <w:vMerge/>
                    <w:tcBorders>
                      <w:bottom w:val="single" w:sz="4" w:space="0" w:color="auto"/>
                    </w:tcBorders>
                    <w:vAlign w:val="center"/>
                  </w:tcPr>
                  <w:p>
                    <w:pPr>
                      <w:rPr>
                        <w:sz w:val="20"/>
                      </w:rPr>
                    </w:pPr>
                  </w:p>
                </w:tc>
                <w:tc>
                  <w:tcPr>
                    <w:tcW w:w="2126" w:type="dxa"/>
                    <w:vMerge/>
                    <w:tcBorders>
                      <w:bottom w:val="single" w:sz="4" w:space="0" w:color="auto"/>
                    </w:tcBorders>
                    <w:vAlign w:val="center"/>
                  </w:tcPr>
                  <w:p>
                    <w:pPr>
                      <w:rPr>
                        <w:sz w:val="20"/>
                      </w:rPr>
                    </w:pPr>
                  </w:p>
                </w:tc>
                <w:tc>
                  <w:tcPr>
                    <w:tcW w:w="850" w:type="dxa"/>
                    <w:vMerge/>
                    <w:tcBorders>
                      <w:bottom w:val="single" w:sz="4" w:space="0" w:color="auto"/>
                    </w:tcBorders>
                    <w:vAlign w:val="center"/>
                  </w:tcPr>
                  <w:p>
                    <w:pPr>
                      <w:jc w:val="center"/>
                      <w:rPr>
                        <w:sz w:val="20"/>
                      </w:rPr>
                    </w:pPr>
                  </w:p>
                </w:tc>
                <w:tc>
                  <w:tcPr>
                    <w:tcW w:w="709" w:type="dxa"/>
                    <w:vMerge/>
                    <w:tcBorders>
                      <w:bottom w:val="single" w:sz="4" w:space="0" w:color="auto"/>
                    </w:tcBorders>
                    <w:vAlign w:val="center"/>
                  </w:tcPr>
                  <w:p>
                    <w:pPr>
                      <w:jc w:val="center"/>
                      <w:rPr>
                        <w:sz w:val="20"/>
                      </w:rPr>
                    </w:pPr>
                  </w:p>
                </w:tc>
                <w:tc>
                  <w:tcPr>
                    <w:tcW w:w="709" w:type="dxa"/>
                    <w:vMerge/>
                    <w:tcBorders>
                      <w:bottom w:val="single" w:sz="4" w:space="0" w:color="auto"/>
                    </w:tcBorders>
                    <w:vAlign w:val="center"/>
                  </w:tcPr>
                  <w:p>
                    <w:pPr>
                      <w:jc w:val="center"/>
                      <w:rPr>
                        <w:sz w:val="20"/>
                      </w:rPr>
                    </w:pPr>
                  </w:p>
                </w:tc>
                <w:tc>
                  <w:tcPr>
                    <w:tcW w:w="1417" w:type="dxa"/>
                    <w:tcBorders>
                      <w:bottom w:val="single" w:sz="4" w:space="0" w:color="auto"/>
                    </w:tcBorders>
                    <w:vAlign w:val="center"/>
                  </w:tcPr>
                  <w:p>
                    <w:pPr>
                      <w:rPr>
                        <w:sz w:val="20"/>
                      </w:rPr>
                    </w:pPr>
                    <w:r>
                      <w:rPr>
                        <w:sz w:val="20"/>
                      </w:rPr>
                      <w:t>P-18-02-02-03</w:t>
                    </w:r>
                  </w:p>
                </w:tc>
                <w:tc>
                  <w:tcPr>
                    <w:tcW w:w="4111" w:type="dxa"/>
                    <w:tcBorders>
                      <w:bottom w:val="single" w:sz="4" w:space="0" w:color="auto"/>
                    </w:tcBorders>
                    <w:vAlign w:val="center"/>
                  </w:tcPr>
                  <w:p>
                    <w:pPr>
                      <w:rPr>
                        <w:sz w:val="20"/>
                      </w:rPr>
                    </w:pPr>
                    <w:r>
                      <w:rPr>
                        <w:sz w:val="20"/>
                      </w:rPr>
                      <w:t>Įrengtų edukacinių erdvių skaičius ir mokinių, dalyvaujančių visos dienos mokyklos veiklose, dalis nuo visų pradinių klasių mokinių (vnt. / proc.)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 w:val="20"/>
                      </w:rPr>
                    </w:pPr>
                    <w:r>
                      <w:rPr>
                        <w:rFonts w:eastAsia="MS Mincho"/>
                        <w:color w:val="000000"/>
                        <w:kern w:val="2"/>
                        <w:sz w:val="20"/>
                      </w:rPr>
                      <w:t>ŠS</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51 /25</w:t>
                      <w:br/>
                      <w:t>(2023)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jc w:val="center"/>
                      <w:rPr>
                        <w:sz w:val="20"/>
                      </w:rPr>
                    </w:pPr>
                    <w:r>
                      <w:rPr>
                        <w:rFonts w:eastAsia="MS Mincho"/>
                        <w:kern w:val="2"/>
                        <w:sz w:val="20"/>
                      </w:rPr>
                      <w:t>59/35</w:t>
                      <w:br/>
                      <w:t>(2033)</w:t>
                    </w:r>
                  </w:p>
                </w:tc>
              </w:tr>
              <w:tr>
                <w:trPr>
                  <w:trHeight w:val="559"/>
                  <w:jc w:val="center"/>
                </w:trPr>
                <w:tc>
                  <w:tcPr>
                    <w:tcW w:w="988" w:type="dxa"/>
                    <w:vMerge/>
                    <w:tcBorders>
                      <w:top w:val="single" w:sz="4" w:space="0" w:color="auto"/>
                    </w:tcBorders>
                    <w:vAlign w:val="center"/>
                    <w:hideMark/>
                  </w:tcPr>
                  <w:p>
                    <w:pPr>
                      <w:rPr>
                        <w:sz w:val="20"/>
                      </w:rPr>
                    </w:pPr>
                  </w:p>
                </w:tc>
                <w:tc>
                  <w:tcPr>
                    <w:tcW w:w="2126" w:type="dxa"/>
                    <w:vMerge/>
                    <w:tcBorders>
                      <w:top w:val="single" w:sz="4" w:space="0" w:color="auto"/>
                    </w:tcBorders>
                    <w:vAlign w:val="center"/>
                    <w:hideMark/>
                  </w:tcPr>
                  <w:p>
                    <w:pPr>
                      <w:rPr>
                        <w:sz w:val="20"/>
                      </w:rPr>
                    </w:pPr>
                  </w:p>
                </w:tc>
                <w:tc>
                  <w:tcPr>
                    <w:tcW w:w="850" w:type="dxa"/>
                    <w:vMerge/>
                    <w:tcBorders>
                      <w:top w:val="single" w:sz="4" w:space="0" w:color="auto"/>
                    </w:tcBorders>
                    <w:vAlign w:val="center"/>
                    <w:hideMark/>
                  </w:tcPr>
                  <w:p>
                    <w:pPr>
                      <w:jc w:val="center"/>
                      <w:rPr>
                        <w:sz w:val="20"/>
                      </w:rPr>
                    </w:pPr>
                  </w:p>
                </w:tc>
                <w:tc>
                  <w:tcPr>
                    <w:tcW w:w="709" w:type="dxa"/>
                    <w:vMerge/>
                    <w:tcBorders>
                      <w:top w:val="single" w:sz="4" w:space="0" w:color="auto"/>
                    </w:tcBorders>
                    <w:vAlign w:val="center"/>
                    <w:hideMark/>
                  </w:tcPr>
                  <w:p>
                    <w:pPr>
                      <w:jc w:val="center"/>
                      <w:rPr>
                        <w:sz w:val="20"/>
                      </w:rPr>
                    </w:pPr>
                  </w:p>
                </w:tc>
                <w:tc>
                  <w:tcPr>
                    <w:tcW w:w="709" w:type="dxa"/>
                    <w:vMerge/>
                    <w:tcBorders>
                      <w:top w:val="single" w:sz="4" w:space="0" w:color="auto"/>
                    </w:tcBorders>
                    <w:vAlign w:val="center"/>
                    <w:hideMark/>
                  </w:tcPr>
                  <w:p>
                    <w:pPr>
                      <w:jc w:val="center"/>
                      <w:rPr>
                        <w:sz w:val="20"/>
                      </w:rPr>
                    </w:pPr>
                  </w:p>
                </w:tc>
                <w:tc>
                  <w:tcPr>
                    <w:tcW w:w="1417" w:type="dxa"/>
                    <w:tcBorders>
                      <w:top w:val="single" w:sz="4" w:space="0" w:color="auto"/>
                    </w:tcBorders>
                    <w:vAlign w:val="center"/>
                    <w:hideMark/>
                  </w:tcPr>
                  <w:p>
                    <w:pPr>
                      <w:rPr>
                        <w:sz w:val="20"/>
                      </w:rPr>
                    </w:pPr>
                    <w:r>
                      <w:rPr>
                        <w:sz w:val="20"/>
                      </w:rPr>
                      <w:t>P-18-02-02-04</w:t>
                    </w:r>
                  </w:p>
                </w:tc>
                <w:tc>
                  <w:tcPr>
                    <w:tcW w:w="4111" w:type="dxa"/>
                    <w:tcBorders>
                      <w:top w:val="single" w:sz="4" w:space="0" w:color="auto"/>
                    </w:tcBorders>
                    <w:vAlign w:val="center"/>
                    <w:hideMark/>
                  </w:tcPr>
                  <w:p>
                    <w:pPr>
                      <w:rPr>
                        <w:sz w:val="20"/>
                      </w:rPr>
                    </w:pPr>
                    <w:r>
                      <w:rPr>
                        <w:sz w:val="20"/>
                      </w:rPr>
                      <w:t>Bendrojo ugdymo mokyklų, kurių patalpos pritaikytos fizinę negalią turintiems asmenims, dalis (proc.)</w:t>
                    </w:r>
                  </w:p>
                </w:tc>
                <w:tc>
                  <w:tcPr>
                    <w:tcW w:w="1134" w:type="dxa"/>
                    <w:tcBorders>
                      <w:top w:val="single" w:sz="4" w:space="0" w:color="auto"/>
                    </w:tcBorders>
                    <w:vAlign w:val="center"/>
                    <w:hideMark/>
                  </w:tcPr>
                  <w:p>
                    <w:pPr>
                      <w:jc w:val="center"/>
                      <w:rPr>
                        <w:sz w:val="20"/>
                      </w:rPr>
                    </w:pPr>
                    <w:r>
                      <w:rPr>
                        <w:sz w:val="20"/>
                      </w:rPr>
                      <w:t>ŠS</w:t>
                    </w:r>
                  </w:p>
                </w:tc>
                <w:tc>
                  <w:tcPr>
                    <w:tcW w:w="1134" w:type="dxa"/>
                    <w:tcBorders>
                      <w:top w:val="single" w:sz="4" w:space="0" w:color="auto"/>
                    </w:tcBorders>
                    <w:noWrap/>
                    <w:vAlign w:val="center"/>
                    <w:hideMark/>
                  </w:tcPr>
                  <w:p>
                    <w:pPr>
                      <w:jc w:val="center"/>
                      <w:rPr>
                        <w:sz w:val="20"/>
                      </w:rPr>
                    </w:pPr>
                    <w:r>
                      <w:rPr>
                        <w:sz w:val="20"/>
                      </w:rPr>
                      <w:t>30 (2023)</w:t>
                    </w:r>
                  </w:p>
                </w:tc>
                <w:tc>
                  <w:tcPr>
                    <w:tcW w:w="1134" w:type="dxa"/>
                    <w:tcBorders>
                      <w:top w:val="single" w:sz="4" w:space="0" w:color="auto"/>
                    </w:tcBorders>
                    <w:noWrap/>
                    <w:vAlign w:val="center"/>
                    <w:hideMark/>
                  </w:tcPr>
                  <w:p>
                    <w:pPr>
                      <w:jc w:val="center"/>
                      <w:rPr>
                        <w:sz w:val="20"/>
                      </w:rPr>
                    </w:pPr>
                    <w:r>
                      <w:rPr>
                        <w:sz w:val="20"/>
                      </w:rPr>
                      <w:t>100 (2033)</w:t>
                    </w:r>
                  </w:p>
                </w:tc>
              </w:tr>
              <w:tr>
                <w:trPr>
                  <w:trHeight w:val="358"/>
                  <w:jc w:val="center"/>
                </w:trPr>
                <w:tc>
                  <w:tcPr>
                    <w:tcW w:w="988" w:type="dxa"/>
                    <w:vMerge w:val="restart"/>
                    <w:noWrap/>
                    <w:vAlign w:val="center"/>
                    <w:hideMark/>
                  </w:tcPr>
                  <w:p>
                    <w:pPr>
                      <w:rPr>
                        <w:sz w:val="20"/>
                      </w:rPr>
                    </w:pPr>
                    <w:r>
                      <w:rPr>
                        <w:sz w:val="20"/>
                      </w:rPr>
                      <w:t>18-02-03</w:t>
                    </w:r>
                  </w:p>
                </w:tc>
                <w:tc>
                  <w:tcPr>
                    <w:tcW w:w="2126" w:type="dxa"/>
                    <w:vMerge w:val="restart"/>
                    <w:vAlign w:val="center"/>
                    <w:hideMark/>
                  </w:tcPr>
                  <w:p>
                    <w:pPr>
                      <w:rPr>
                        <w:sz w:val="20"/>
                      </w:rPr>
                    </w:pPr>
                    <w:r>
                      <w:rPr>
                        <w:sz w:val="20"/>
                      </w:rPr>
                      <w:t>Atnaujinti ir modernizuoti neformaliojo švietimo mokyklų aplinką</w:t>
                    </w:r>
                  </w:p>
                </w:tc>
                <w:tc>
                  <w:tcPr>
                    <w:tcW w:w="850" w:type="dxa"/>
                    <w:vMerge w:val="restart"/>
                    <w:vAlign w:val="center"/>
                    <w:hideMark/>
                  </w:tcPr>
                  <w:p>
                    <w:pPr>
                      <w:jc w:val="center"/>
                      <w:rPr>
                        <w:sz w:val="20"/>
                      </w:rPr>
                    </w:pPr>
                    <w:r>
                      <w:rPr>
                        <w:sz w:val="20"/>
                      </w:rPr>
                      <w:t>ŠS</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P-18-02-03-01</w:t>
                    </w:r>
                  </w:p>
                </w:tc>
                <w:tc>
                  <w:tcPr>
                    <w:tcW w:w="4111" w:type="dxa"/>
                    <w:vAlign w:val="center"/>
                    <w:hideMark/>
                  </w:tcPr>
                  <w:p>
                    <w:pPr>
                      <w:rPr>
                        <w:sz w:val="20"/>
                      </w:rPr>
                    </w:pPr>
                    <w:r>
                      <w:rPr>
                        <w:sz w:val="20"/>
                      </w:rPr>
                      <w:t>Atnaujintų neformaliojo vaikų švietimo mokyklų pastatų skaičius (vnt.)</w:t>
                    </w:r>
                  </w:p>
                </w:tc>
                <w:tc>
                  <w:tcPr>
                    <w:tcW w:w="1134" w:type="dxa"/>
                    <w:vAlign w:val="center"/>
                    <w:hideMark/>
                  </w:tcPr>
                  <w:p>
                    <w:pPr>
                      <w:jc w:val="center"/>
                      <w:rPr>
                        <w:sz w:val="20"/>
                      </w:rPr>
                    </w:pPr>
                    <w:r>
                      <w:rPr>
                        <w:sz w:val="20"/>
                      </w:rPr>
                      <w:t>ŠS</w:t>
                    </w:r>
                  </w:p>
                </w:tc>
                <w:tc>
                  <w:tcPr>
                    <w:tcW w:w="1134" w:type="dxa"/>
                    <w:tcBorders>
                      <w:bottom w:val="single" w:sz="4" w:space="0" w:color="auto"/>
                    </w:tcBorders>
                    <w:noWrap/>
                    <w:vAlign w:val="center"/>
                    <w:hideMark/>
                  </w:tcPr>
                  <w:p>
                    <w:pPr>
                      <w:jc w:val="center"/>
                      <w:rPr>
                        <w:sz w:val="20"/>
                      </w:rPr>
                    </w:pPr>
                    <w:r>
                      <w:rPr>
                        <w:sz w:val="20"/>
                      </w:rPr>
                      <w:t>1 (2023)</w:t>
                    </w:r>
                  </w:p>
                </w:tc>
                <w:tc>
                  <w:tcPr>
                    <w:tcW w:w="1134" w:type="dxa"/>
                    <w:tcBorders>
                      <w:bottom w:val="single" w:sz="4" w:space="0" w:color="auto"/>
                    </w:tcBorders>
                    <w:noWrap/>
                    <w:vAlign w:val="center"/>
                    <w:hideMark/>
                  </w:tcPr>
                  <w:p>
                    <w:pPr>
                      <w:jc w:val="center"/>
                      <w:rPr>
                        <w:sz w:val="20"/>
                      </w:rPr>
                    </w:pPr>
                    <w:r>
                      <w:rPr>
                        <w:sz w:val="20"/>
                      </w:rPr>
                      <w:t>10 (2033)</w:t>
                    </w:r>
                  </w:p>
                </w:tc>
              </w:tr>
              <w:tr>
                <w:trPr>
                  <w:trHeight w:val="44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P-18-02-03-02</w:t>
                    </w:r>
                  </w:p>
                </w:tc>
                <w:tc>
                  <w:tcPr>
                    <w:tcW w:w="4111" w:type="dxa"/>
                    <w:vAlign w:val="center"/>
                    <w:hideMark/>
                  </w:tcPr>
                  <w:p>
                    <w:pPr>
                      <w:rPr>
                        <w:sz w:val="20"/>
                      </w:rPr>
                    </w:pPr>
                    <w:r>
                      <w:rPr>
                        <w:sz w:val="20"/>
                      </w:rPr>
                      <w:t>Neformaliojo vaikų švietimo mokyklų, kurių patalpos pritaikytos fizinę negalią turintiems asmenims, dalis (proc.)</w:t>
                    </w:r>
                  </w:p>
                </w:tc>
                <w:tc>
                  <w:tcPr>
                    <w:tcW w:w="1134" w:type="dxa"/>
                    <w:vAlign w:val="center"/>
                    <w:hideMark/>
                  </w:tcPr>
                  <w:p>
                    <w:pPr>
                      <w:jc w:val="center"/>
                      <w:rPr>
                        <w:sz w:val="20"/>
                      </w:rPr>
                    </w:pPr>
                    <w:r>
                      <w:rPr>
                        <w:sz w:val="20"/>
                      </w:rPr>
                      <w:t>ŠS</w:t>
                    </w:r>
                  </w:p>
                </w:tc>
                <w:tc>
                  <w:tcPr>
                    <w:tcW w:w="1134" w:type="dxa"/>
                    <w:tcBorders>
                      <w:bottom w:val="single" w:sz="4" w:space="0" w:color="auto"/>
                    </w:tcBorders>
                    <w:noWrap/>
                    <w:vAlign w:val="center"/>
                    <w:hideMark/>
                  </w:tcPr>
                  <w:p>
                    <w:pPr>
                      <w:jc w:val="center"/>
                      <w:rPr>
                        <w:sz w:val="20"/>
                      </w:rPr>
                    </w:pPr>
                    <w:r>
                      <w:rPr>
                        <w:sz w:val="20"/>
                      </w:rPr>
                      <w:t>0 (2023)</w:t>
                    </w:r>
                  </w:p>
                </w:tc>
                <w:tc>
                  <w:tcPr>
                    <w:tcW w:w="1134" w:type="dxa"/>
                    <w:tcBorders>
                      <w:bottom w:val="single" w:sz="4" w:space="0" w:color="auto"/>
                    </w:tcBorders>
                    <w:noWrap/>
                    <w:vAlign w:val="center"/>
                    <w:hideMark/>
                  </w:tcPr>
                  <w:p>
                    <w:pPr>
                      <w:jc w:val="center"/>
                      <w:rPr>
                        <w:sz w:val="20"/>
                      </w:rPr>
                    </w:pPr>
                    <w:r>
                      <w:rPr>
                        <w:sz w:val="20"/>
                      </w:rPr>
                      <w:t>100 (2033)</w:t>
                    </w:r>
                  </w:p>
                </w:tc>
              </w:tr>
              <w:tr>
                <w:trPr>
                  <w:trHeight w:val="780"/>
                  <w:jc w:val="center"/>
                </w:trPr>
                <w:tc>
                  <w:tcPr>
                    <w:tcW w:w="988" w:type="dxa"/>
                    <w:vMerge w:val="restart"/>
                    <w:shd w:val="clear" w:color="auto" w:fill="FCE4D6"/>
                    <w:noWrap/>
                    <w:vAlign w:val="center"/>
                    <w:hideMark/>
                  </w:tcPr>
                  <w:p>
                    <w:pPr>
                      <w:rPr>
                        <w:b/>
                        <w:bCs/>
                        <w:sz w:val="20"/>
                      </w:rPr>
                    </w:pPr>
                    <w:r>
                      <w:rPr>
                        <w:b/>
                        <w:bCs/>
                        <w:sz w:val="20"/>
                      </w:rPr>
                      <w:t>18-03</w:t>
                    </w:r>
                  </w:p>
                </w:tc>
                <w:tc>
                  <w:tcPr>
                    <w:tcW w:w="2126" w:type="dxa"/>
                    <w:vMerge w:val="restart"/>
                    <w:shd w:val="clear" w:color="auto" w:fill="FCE4D6"/>
                    <w:vAlign w:val="center"/>
                    <w:hideMark/>
                  </w:tcPr>
                  <w:p>
                    <w:pPr>
                      <w:rPr>
                        <w:b/>
                        <w:bCs/>
                        <w:sz w:val="20"/>
                      </w:rPr>
                    </w:pPr>
                    <w:r>
                      <w:rPr>
                        <w:b/>
                        <w:bCs/>
                        <w:sz w:val="20"/>
                      </w:rPr>
                      <w:t>Sudaryti sąlygas jaunimo savirealizacijai jų poreikiams pritaikytoje aplinkoje</w:t>
                    </w:r>
                  </w:p>
                </w:tc>
                <w:tc>
                  <w:tcPr>
                    <w:tcW w:w="850" w:type="dxa"/>
                    <w:vMerge w:val="restart"/>
                    <w:shd w:val="clear" w:color="auto" w:fill="FCE4D6"/>
                    <w:vAlign w:val="center"/>
                    <w:hideMark/>
                  </w:tcPr>
                  <w:p>
                    <w:pPr>
                      <w:jc w:val="center"/>
                      <w:rPr>
                        <w:sz w:val="20"/>
                      </w:rPr>
                    </w:pPr>
                    <w:r>
                      <w:rPr>
                        <w:sz w:val="20"/>
                      </w:rPr>
                      <w:t>JRK</w:t>
                    </w:r>
                  </w:p>
                </w:tc>
                <w:tc>
                  <w:tcPr>
                    <w:tcW w:w="709" w:type="dxa"/>
                    <w:vMerge w:val="restart"/>
                    <w:shd w:val="clear" w:color="auto" w:fill="FCE4D6"/>
                    <w:vAlign w:val="center"/>
                    <w:hideMark/>
                  </w:tcPr>
                  <w:p>
                    <w:pPr>
                      <w:jc w:val="center"/>
                      <w:rPr>
                        <w:sz w:val="20"/>
                      </w:rPr>
                    </w:pPr>
                    <w:r>
                      <w:rPr>
                        <w:sz w:val="20"/>
                      </w:rPr>
                      <w:t>2025</w:t>
                    </w:r>
                  </w:p>
                </w:tc>
                <w:tc>
                  <w:tcPr>
                    <w:tcW w:w="709" w:type="dxa"/>
                    <w:vMerge w:val="restart"/>
                    <w:shd w:val="clear" w:color="auto" w:fill="FCE4D6"/>
                    <w:vAlign w:val="center"/>
                    <w:hideMark/>
                  </w:tcPr>
                  <w:p>
                    <w:pPr>
                      <w:jc w:val="center"/>
                      <w:rPr>
                        <w:sz w:val="20"/>
                      </w:rPr>
                    </w:pPr>
                    <w:r>
                      <w:rPr>
                        <w:sz w:val="20"/>
                      </w:rPr>
                      <w:t>2033</w:t>
                    </w:r>
                  </w:p>
                </w:tc>
                <w:tc>
                  <w:tcPr>
                    <w:tcW w:w="1417" w:type="dxa"/>
                    <w:shd w:val="clear" w:color="auto" w:fill="FCE4D6"/>
                    <w:vAlign w:val="center"/>
                    <w:hideMark/>
                  </w:tcPr>
                  <w:p>
                    <w:pPr>
                      <w:rPr>
                        <w:sz w:val="20"/>
                      </w:rPr>
                    </w:pPr>
                    <w:r>
                      <w:rPr>
                        <w:sz w:val="20"/>
                      </w:rPr>
                      <w:t>R-18-03-01</w:t>
                    </w:r>
                  </w:p>
                </w:tc>
                <w:tc>
                  <w:tcPr>
                    <w:tcW w:w="4111" w:type="dxa"/>
                    <w:shd w:val="clear" w:color="auto" w:fill="FCE4D6"/>
                    <w:vAlign w:val="center"/>
                    <w:hideMark/>
                  </w:tcPr>
                  <w:p>
                    <w:pPr>
                      <w:rPr>
                        <w:sz w:val="20"/>
                      </w:rPr>
                    </w:pPr>
                    <w:r>
                      <w:rPr>
                        <w:sz w:val="20"/>
                      </w:rPr>
                      <w:t>Nepilnamečių, įtariamų padarius nusikalstamas veikas, skaičius, tenkantis 100 tūkst. 14−17 metų amžiaus vaikų (asm.) (santykis su LT vidurkiu)</w:t>
                    </w:r>
                  </w:p>
                </w:tc>
                <w:tc>
                  <w:tcPr>
                    <w:tcW w:w="1134" w:type="dxa"/>
                    <w:shd w:val="clear" w:color="auto" w:fill="FCE4D6"/>
                    <w:vAlign w:val="center"/>
                    <w:hideMark/>
                  </w:tcPr>
                  <w:p>
                    <w:pPr>
                      <w:jc w:val="center"/>
                      <w:rPr>
                        <w:sz w:val="20"/>
                      </w:rPr>
                    </w:pPr>
                    <w:r>
                      <w:rPr>
                        <w:sz w:val="20"/>
                      </w:rPr>
                      <w:t>VDA (JRK)</w:t>
                    </w:r>
                  </w:p>
                </w:tc>
                <w:tc>
                  <w:tcPr>
                    <w:tcW w:w="1134" w:type="dxa"/>
                    <w:tcBorders>
                      <w:top w:val="single" w:sz="4" w:space="0" w:color="auto"/>
                      <w:left w:val="single" w:sz="4" w:space="0" w:color="auto"/>
                      <w:bottom w:val="single" w:sz="4" w:space="0" w:color="auto"/>
                      <w:right w:val="single" w:sz="4" w:space="0" w:color="auto"/>
                    </w:tcBorders>
                    <w:shd w:val="clear" w:color="000000" w:fill="FCE4D6"/>
                    <w:vAlign w:val="center"/>
                    <w:hideMark/>
                  </w:tcPr>
                  <w:p>
                    <w:pPr>
                      <w:jc w:val="center"/>
                      <w:rPr>
                        <w:sz w:val="20"/>
                      </w:rPr>
                    </w:pPr>
                    <w:r>
                      <w:rPr>
                        <w:rFonts w:eastAsia="MS Mincho"/>
                        <w:kern w:val="2"/>
                        <w:sz w:val="20"/>
                      </w:rPr>
                      <w:t>828 (1,5) (2022)</w:t>
                    </w:r>
                  </w:p>
                </w:tc>
                <w:tc>
                  <w:tcPr>
                    <w:tcW w:w="1134" w:type="dxa"/>
                    <w:tcBorders>
                      <w:top w:val="single" w:sz="4" w:space="0" w:color="auto"/>
                      <w:left w:val="nil"/>
                      <w:bottom w:val="single" w:sz="4" w:space="0" w:color="auto"/>
                      <w:right w:val="single" w:sz="4" w:space="0" w:color="auto"/>
                    </w:tcBorders>
                    <w:shd w:val="clear" w:color="000000" w:fill="FCE4D6"/>
                    <w:vAlign w:val="center"/>
                    <w:hideMark/>
                  </w:tcPr>
                  <w:p>
                    <w:pPr>
                      <w:jc w:val="center"/>
                      <w:rPr>
                        <w:sz w:val="20"/>
                      </w:rPr>
                    </w:pPr>
                    <w:r>
                      <w:rPr>
                        <w:rFonts w:eastAsia="MS Mincho"/>
                        <w:kern w:val="2"/>
                        <w:sz w:val="20"/>
                      </w:rPr>
                      <w:t>569 (1) (2033)</w:t>
                    </w:r>
                  </w:p>
                </w:tc>
              </w:tr>
              <w:tr>
                <w:trPr>
                  <w:trHeight w:val="373"/>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sz w:val="20"/>
                      </w:rPr>
                    </w:pPr>
                    <w:r>
                      <w:rPr>
                        <w:sz w:val="20"/>
                      </w:rPr>
                      <w:t>R-18-03-02</w:t>
                    </w:r>
                  </w:p>
                </w:tc>
                <w:tc>
                  <w:tcPr>
                    <w:tcW w:w="4111" w:type="dxa"/>
                    <w:shd w:val="clear" w:color="auto" w:fill="FCE4D6"/>
                    <w:vAlign w:val="center"/>
                    <w:hideMark/>
                  </w:tcPr>
                  <w:p>
                    <w:pPr>
                      <w:rPr>
                        <w:sz w:val="20"/>
                      </w:rPr>
                    </w:pPr>
                    <w:r>
                      <w:rPr>
                        <w:sz w:val="20"/>
                      </w:rPr>
                      <w:t>Mokinių vasaros užimtumas nuo bendro mokinių skaičiaus (proc.)</w:t>
                    </w:r>
                  </w:p>
                </w:tc>
                <w:tc>
                  <w:tcPr>
                    <w:tcW w:w="1134" w:type="dxa"/>
                    <w:shd w:val="clear" w:color="auto" w:fill="FCE4D6"/>
                    <w:vAlign w:val="center"/>
                    <w:hideMark/>
                  </w:tcPr>
                  <w:p>
                    <w:pPr>
                      <w:jc w:val="center"/>
                      <w:rPr>
                        <w:sz w:val="20"/>
                      </w:rPr>
                    </w:pPr>
                    <w:r>
                      <w:rPr>
                        <w:sz w:val="20"/>
                      </w:rPr>
                      <w:t>ŠMSA (ŠS)</w:t>
                    </w:r>
                  </w:p>
                </w:tc>
                <w:tc>
                  <w:tcPr>
                    <w:tcW w:w="1134" w:type="dxa"/>
                    <w:shd w:val="clear" w:color="auto" w:fill="FCE4D6"/>
                    <w:vAlign w:val="center"/>
                    <w:hideMark/>
                  </w:tcPr>
                  <w:p>
                    <w:pPr>
                      <w:jc w:val="center"/>
                      <w:rPr>
                        <w:sz w:val="20"/>
                      </w:rPr>
                    </w:pPr>
                    <w:r>
                      <w:rPr>
                        <w:sz w:val="20"/>
                      </w:rPr>
                      <w:t>8 (2023)</w:t>
                    </w:r>
                  </w:p>
                </w:tc>
                <w:tc>
                  <w:tcPr>
                    <w:tcW w:w="1134" w:type="dxa"/>
                    <w:shd w:val="clear" w:color="auto" w:fill="FCE4D6"/>
                    <w:vAlign w:val="center"/>
                    <w:hideMark/>
                  </w:tcPr>
                  <w:p>
                    <w:pPr>
                      <w:jc w:val="center"/>
                      <w:rPr>
                        <w:sz w:val="20"/>
                      </w:rPr>
                    </w:pPr>
                    <w:r>
                      <w:rPr>
                        <w:sz w:val="20"/>
                      </w:rPr>
                      <w:t>10 (2033)</w:t>
                    </w:r>
                  </w:p>
                </w:tc>
              </w:tr>
              <w:tr>
                <w:trPr>
                  <w:trHeight w:val="409"/>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vAlign w:val="center"/>
                    <w:hideMark/>
                  </w:tcPr>
                  <w:p>
                    <w:pPr>
                      <w:rPr>
                        <w:sz w:val="20"/>
                      </w:rPr>
                    </w:pPr>
                    <w:r>
                      <w:rPr>
                        <w:sz w:val="20"/>
                      </w:rPr>
                      <w:t>R-18-03-03</w:t>
                    </w:r>
                  </w:p>
                </w:tc>
                <w:tc>
                  <w:tcPr>
                    <w:tcW w:w="4111" w:type="dxa"/>
                    <w:shd w:val="clear" w:color="auto" w:fill="FCE4D6"/>
                    <w:vAlign w:val="center"/>
                    <w:hideMark/>
                  </w:tcPr>
                  <w:p>
                    <w:pPr>
                      <w:rPr>
                        <w:sz w:val="20"/>
                      </w:rPr>
                    </w:pPr>
                    <w:r>
                      <w:rPr>
                        <w:sz w:val="20"/>
                      </w:rPr>
                      <w:t>Jaunimo organizacijose dalyvaujančių asmenų skaičius (asm.)</w:t>
                    </w:r>
                  </w:p>
                </w:tc>
                <w:tc>
                  <w:tcPr>
                    <w:tcW w:w="1134" w:type="dxa"/>
                    <w:shd w:val="clear" w:color="auto" w:fill="FCE4D6"/>
                    <w:vAlign w:val="center"/>
                    <w:hideMark/>
                  </w:tcPr>
                  <w:p>
                    <w:pPr>
                      <w:jc w:val="center"/>
                      <w:rPr>
                        <w:sz w:val="20"/>
                      </w:rPr>
                    </w:pPr>
                    <w:r>
                      <w:rPr>
                        <w:sz w:val="20"/>
                      </w:rPr>
                      <w:t>ŠMSA (JRK)</w:t>
                    </w:r>
                  </w:p>
                </w:tc>
                <w:tc>
                  <w:tcPr>
                    <w:tcW w:w="1134" w:type="dxa"/>
                    <w:shd w:val="clear" w:color="auto" w:fill="FCE4D6"/>
                    <w:vAlign w:val="center"/>
                    <w:hideMark/>
                  </w:tcPr>
                  <w:p>
                    <w:pPr>
                      <w:jc w:val="center"/>
                      <w:rPr>
                        <w:sz w:val="20"/>
                      </w:rPr>
                    </w:pPr>
                    <w:r>
                      <w:rPr>
                        <w:sz w:val="20"/>
                      </w:rPr>
                      <w:t>1317 (2023)</w:t>
                    </w:r>
                  </w:p>
                </w:tc>
                <w:tc>
                  <w:tcPr>
                    <w:tcW w:w="1134" w:type="dxa"/>
                    <w:shd w:val="clear" w:color="auto" w:fill="FCE4D6"/>
                    <w:vAlign w:val="center"/>
                    <w:hideMark/>
                  </w:tcPr>
                  <w:p>
                    <w:pPr>
                      <w:jc w:val="center"/>
                      <w:rPr>
                        <w:sz w:val="20"/>
                      </w:rPr>
                    </w:pPr>
                    <w:r>
                      <w:rPr>
                        <w:sz w:val="20"/>
                      </w:rPr>
                      <w:t>2800 (2033)</w:t>
                    </w:r>
                  </w:p>
                </w:tc>
              </w:tr>
              <w:tr>
                <w:trPr>
                  <w:trHeight w:val="520"/>
                  <w:jc w:val="center"/>
                </w:trPr>
                <w:tc>
                  <w:tcPr>
                    <w:tcW w:w="988" w:type="dxa"/>
                    <w:vMerge w:val="restart"/>
                    <w:noWrap/>
                    <w:vAlign w:val="center"/>
                    <w:hideMark/>
                  </w:tcPr>
                  <w:p>
                    <w:pPr>
                      <w:rPr>
                        <w:sz w:val="20"/>
                      </w:rPr>
                    </w:pPr>
                    <w:r>
                      <w:rPr>
                        <w:sz w:val="20"/>
                      </w:rPr>
                      <w:t>18-03-01</w:t>
                    </w:r>
                  </w:p>
                </w:tc>
                <w:tc>
                  <w:tcPr>
                    <w:tcW w:w="2126" w:type="dxa"/>
                    <w:vMerge w:val="restart"/>
                    <w:vAlign w:val="center"/>
                    <w:hideMark/>
                  </w:tcPr>
                  <w:p>
                    <w:pPr>
                      <w:rPr>
                        <w:sz w:val="20"/>
                      </w:rPr>
                    </w:pPr>
                    <w:r>
                      <w:rPr>
                        <w:sz w:val="20"/>
                      </w:rPr>
                      <w:t>Organizuoti kokybišką jaunimo užimtumą ir laisvalaikio praleidimą</w:t>
                    </w:r>
                  </w:p>
                </w:tc>
                <w:tc>
                  <w:tcPr>
                    <w:tcW w:w="850" w:type="dxa"/>
                    <w:vMerge w:val="restart"/>
                    <w:vAlign w:val="center"/>
                    <w:hideMark/>
                  </w:tcPr>
                  <w:p>
                    <w:pPr>
                      <w:jc w:val="center"/>
                      <w:rPr>
                        <w:sz w:val="20"/>
                      </w:rPr>
                    </w:pPr>
                    <w:r>
                      <w:rPr>
                        <w:sz w:val="20"/>
                      </w:rPr>
                      <w:t>JRK</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P-18-03-01-01</w:t>
                    </w:r>
                  </w:p>
                </w:tc>
                <w:tc>
                  <w:tcPr>
                    <w:tcW w:w="4111" w:type="dxa"/>
                    <w:vAlign w:val="center"/>
                    <w:hideMark/>
                  </w:tcPr>
                  <w:p>
                    <w:pPr>
                      <w:rPr>
                        <w:sz w:val="20"/>
                      </w:rPr>
                    </w:pPr>
                    <w:r>
                      <w:rPr>
                        <w:sz w:val="20"/>
                      </w:rPr>
                      <w:t>Atvirųjų jaunimo centrų ir atvirųjų jaunimo erdvių lankytojų skaičius (tūkst. asm.)</w:t>
                    </w:r>
                  </w:p>
                </w:tc>
                <w:tc>
                  <w:tcPr>
                    <w:tcW w:w="1134" w:type="dxa"/>
                    <w:vAlign w:val="center"/>
                    <w:hideMark/>
                  </w:tcPr>
                  <w:p>
                    <w:pPr>
                      <w:jc w:val="center"/>
                      <w:rPr>
                        <w:sz w:val="20"/>
                      </w:rPr>
                    </w:pPr>
                    <w:r>
                      <w:rPr>
                        <w:sz w:val="20"/>
                      </w:rPr>
                      <w:t>JRK</w:t>
                    </w:r>
                  </w:p>
                </w:tc>
                <w:tc>
                  <w:tcPr>
                    <w:tcW w:w="1134" w:type="dxa"/>
                    <w:vAlign w:val="center"/>
                    <w:hideMark/>
                  </w:tcPr>
                  <w:p>
                    <w:pPr>
                      <w:jc w:val="center"/>
                      <w:rPr>
                        <w:sz w:val="20"/>
                      </w:rPr>
                    </w:pPr>
                    <w:r>
                      <w:rPr>
                        <w:sz w:val="20"/>
                      </w:rPr>
                      <w:t>1 (2023)</w:t>
                    </w:r>
                  </w:p>
                </w:tc>
                <w:tc>
                  <w:tcPr>
                    <w:tcW w:w="1134" w:type="dxa"/>
                    <w:vAlign w:val="center"/>
                    <w:hideMark/>
                  </w:tcPr>
                  <w:p>
                    <w:pPr>
                      <w:jc w:val="center"/>
                      <w:rPr>
                        <w:sz w:val="20"/>
                      </w:rPr>
                    </w:pPr>
                    <w:r>
                      <w:rPr>
                        <w:sz w:val="20"/>
                      </w:rPr>
                      <w:t>11 (2033)</w:t>
                    </w:r>
                  </w:p>
                </w:tc>
              </w:tr>
              <w:tr>
                <w:trPr>
                  <w:trHeight w:val="453"/>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P-18-03-01-02</w:t>
                    </w:r>
                  </w:p>
                </w:tc>
                <w:tc>
                  <w:tcPr>
                    <w:tcW w:w="4111" w:type="dxa"/>
                    <w:vAlign w:val="center"/>
                    <w:hideMark/>
                  </w:tcPr>
                  <w:p>
                    <w:pPr>
                      <w:rPr>
                        <w:sz w:val="20"/>
                      </w:rPr>
                    </w:pPr>
                    <w:r>
                      <w:rPr>
                        <w:sz w:val="20"/>
                      </w:rPr>
                      <w:t>Jaunų žmonių, su kuriais palaikomas nuolatinis kontaktas, dirbant su jaunimu gatvėje, skaičius (asm.)</w:t>
                    </w:r>
                  </w:p>
                </w:tc>
                <w:tc>
                  <w:tcPr>
                    <w:tcW w:w="1134" w:type="dxa"/>
                    <w:vAlign w:val="center"/>
                    <w:hideMark/>
                  </w:tcPr>
                  <w:p>
                    <w:pPr>
                      <w:jc w:val="center"/>
                      <w:rPr>
                        <w:sz w:val="20"/>
                      </w:rPr>
                    </w:pPr>
                    <w:r>
                      <w:rPr>
                        <w:sz w:val="20"/>
                      </w:rPr>
                      <w:t>JRK</w:t>
                    </w:r>
                  </w:p>
                </w:tc>
                <w:tc>
                  <w:tcPr>
                    <w:tcW w:w="1134" w:type="dxa"/>
                    <w:vAlign w:val="center"/>
                    <w:hideMark/>
                  </w:tcPr>
                  <w:p>
                    <w:pPr>
                      <w:jc w:val="center"/>
                      <w:rPr>
                        <w:sz w:val="20"/>
                      </w:rPr>
                    </w:pPr>
                    <w:r>
                      <w:rPr>
                        <w:sz w:val="20"/>
                      </w:rPr>
                      <w:t>6 (2023)</w:t>
                    </w:r>
                  </w:p>
                </w:tc>
                <w:tc>
                  <w:tcPr>
                    <w:tcW w:w="1134" w:type="dxa"/>
                    <w:vAlign w:val="center"/>
                    <w:hideMark/>
                  </w:tcPr>
                  <w:p>
                    <w:pPr>
                      <w:jc w:val="center"/>
                      <w:rPr>
                        <w:sz w:val="20"/>
                      </w:rPr>
                    </w:pPr>
                    <w:r>
                      <w:rPr>
                        <w:sz w:val="20"/>
                      </w:rPr>
                      <w:t>60 (2033)</w:t>
                    </w:r>
                  </w:p>
                </w:tc>
              </w:tr>
              <w:tr>
                <w:trPr>
                  <w:trHeight w:val="179"/>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P-18-03-01-03</w:t>
                    </w:r>
                  </w:p>
                </w:tc>
                <w:tc>
                  <w:tcPr>
                    <w:tcW w:w="4111" w:type="dxa"/>
                    <w:vAlign w:val="center"/>
                    <w:hideMark/>
                  </w:tcPr>
                  <w:p>
                    <w:pPr>
                      <w:rPr>
                        <w:sz w:val="20"/>
                      </w:rPr>
                    </w:pPr>
                    <w:r>
                      <w:rPr>
                        <w:sz w:val="20"/>
                      </w:rPr>
                      <w:t>Suorganizuotų masinių renginių, festivalių jaunimui skaičius (vnt.)</w:t>
                    </w:r>
                  </w:p>
                </w:tc>
                <w:tc>
                  <w:tcPr>
                    <w:tcW w:w="1134" w:type="dxa"/>
                    <w:vAlign w:val="center"/>
                    <w:hideMark/>
                  </w:tcPr>
                  <w:p>
                    <w:pPr>
                      <w:jc w:val="center"/>
                      <w:rPr>
                        <w:sz w:val="20"/>
                      </w:rPr>
                    </w:pPr>
                    <w:r>
                      <w:rPr>
                        <w:sz w:val="20"/>
                      </w:rPr>
                      <w:t>JRK, KS</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8 (2033)</w:t>
                    </w:r>
                  </w:p>
                </w:tc>
              </w:tr>
              <w:tr>
                <w:trPr>
                  <w:trHeight w:val="555"/>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P-18-03-01-04</w:t>
                    </w:r>
                  </w:p>
                </w:tc>
                <w:tc>
                  <w:tcPr>
                    <w:tcW w:w="4111" w:type="dxa"/>
                    <w:vAlign w:val="center"/>
                    <w:hideMark/>
                  </w:tcPr>
                  <w:p>
                    <w:pPr>
                      <w:rPr>
                        <w:sz w:val="20"/>
                      </w:rPr>
                    </w:pPr>
                    <w:r>
                      <w:rPr>
                        <w:sz w:val="20"/>
                      </w:rPr>
                      <w:t xml:space="preserve">Sukurta aplikacija, programėlė, siekiant padidinti jaunimo užimtumo galimybių viešinimą  (vnt.)</w:t>
                    </w:r>
                  </w:p>
                </w:tc>
                <w:tc>
                  <w:tcPr>
                    <w:tcW w:w="1134" w:type="dxa"/>
                    <w:vAlign w:val="center"/>
                    <w:hideMark/>
                  </w:tcPr>
                  <w:p>
                    <w:pPr>
                      <w:jc w:val="center"/>
                      <w:rPr>
                        <w:sz w:val="20"/>
                      </w:rPr>
                    </w:pPr>
                    <w:r>
                      <w:rPr>
                        <w:sz w:val="20"/>
                      </w:rPr>
                      <w:t>JRK</w:t>
                    </w:r>
                  </w:p>
                </w:tc>
                <w:tc>
                  <w:tcPr>
                    <w:tcW w:w="1134" w:type="dxa"/>
                    <w:vAlign w:val="center"/>
                    <w:hideMark/>
                  </w:tcPr>
                  <w:p>
                    <w:pPr>
                      <w:jc w:val="center"/>
                      <w:rPr>
                        <w:sz w:val="20"/>
                      </w:rPr>
                    </w:pPr>
                    <w:r>
                      <w:rPr>
                        <w:sz w:val="20"/>
                      </w:rPr>
                      <w:t>0 (2023)</w:t>
                    </w:r>
                  </w:p>
                </w:tc>
                <w:tc>
                  <w:tcPr>
                    <w:tcW w:w="1134" w:type="dxa"/>
                    <w:vAlign w:val="center"/>
                    <w:hideMark/>
                  </w:tcPr>
                  <w:p>
                    <w:pPr>
                      <w:jc w:val="center"/>
                      <w:rPr>
                        <w:sz w:val="20"/>
                      </w:rPr>
                    </w:pPr>
                    <w:r>
                      <w:rPr>
                        <w:sz w:val="20"/>
                      </w:rPr>
                      <w:t>1 (2027)</w:t>
                    </w:r>
                  </w:p>
                </w:tc>
              </w:tr>
              <w:tr>
                <w:trPr>
                  <w:trHeight w:val="216"/>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vAlign w:val="center"/>
                    <w:hideMark/>
                  </w:tcPr>
                  <w:p>
                    <w:pPr>
                      <w:rPr>
                        <w:sz w:val="20"/>
                      </w:rPr>
                    </w:pPr>
                    <w:r>
                      <w:rPr>
                        <w:sz w:val="20"/>
                      </w:rPr>
                      <w:t>P-18-03-01-05</w:t>
                    </w:r>
                  </w:p>
                </w:tc>
                <w:tc>
                  <w:tcPr>
                    <w:tcW w:w="4111" w:type="dxa"/>
                    <w:vAlign w:val="center"/>
                    <w:hideMark/>
                  </w:tcPr>
                  <w:p>
                    <w:pPr>
                      <w:rPr>
                        <w:sz w:val="20"/>
                      </w:rPr>
                    </w:pPr>
                    <w:r>
                      <w:rPr>
                        <w:sz w:val="20"/>
                      </w:rPr>
                      <w:t>Suorganizuotų vaikų ir jaunimo poilsio stovyklų dalyvių skaičius (asm. per metus)</w:t>
                    </w:r>
                  </w:p>
                </w:tc>
                <w:tc>
                  <w:tcPr>
                    <w:tcW w:w="1134" w:type="dxa"/>
                    <w:vAlign w:val="center"/>
                    <w:hideMark/>
                  </w:tcPr>
                  <w:p>
                    <w:pPr>
                      <w:jc w:val="center"/>
                      <w:rPr>
                        <w:sz w:val="20"/>
                      </w:rPr>
                    </w:pPr>
                    <w:r>
                      <w:rPr>
                        <w:sz w:val="20"/>
                      </w:rPr>
                      <w:t>ŠS</w:t>
                    </w:r>
                  </w:p>
                </w:tc>
                <w:tc>
                  <w:tcPr>
                    <w:tcW w:w="1134" w:type="dxa"/>
                    <w:vAlign w:val="center"/>
                    <w:hideMark/>
                  </w:tcPr>
                  <w:p>
                    <w:pPr>
                      <w:jc w:val="center"/>
                      <w:rPr>
                        <w:sz w:val="20"/>
                      </w:rPr>
                    </w:pPr>
                    <w:r>
                      <w:rPr>
                        <w:sz w:val="20"/>
                      </w:rPr>
                      <w:t>1131 (2023)</w:t>
                    </w:r>
                  </w:p>
                </w:tc>
                <w:tc>
                  <w:tcPr>
                    <w:tcW w:w="1134" w:type="dxa"/>
                    <w:vAlign w:val="center"/>
                    <w:hideMark/>
                  </w:tcPr>
                  <w:p>
                    <w:pPr>
                      <w:jc w:val="center"/>
                      <w:rPr>
                        <w:sz w:val="20"/>
                      </w:rPr>
                    </w:pPr>
                    <w:r>
                      <w:rPr>
                        <w:sz w:val="20"/>
                      </w:rPr>
                      <w:t>1500 (2033)</w:t>
                    </w:r>
                  </w:p>
                </w:tc>
              </w:tr>
              <w:tr>
                <w:trPr>
                  <w:trHeight w:val="216"/>
                  <w:jc w:val="center"/>
                </w:trPr>
                <w:tc>
                  <w:tcPr>
                    <w:tcW w:w="988" w:type="dxa"/>
                    <w:vMerge w:val="restart"/>
                    <w:noWrap/>
                    <w:vAlign w:val="center"/>
                    <w:hideMark/>
                  </w:tcPr>
                  <w:p>
                    <w:pPr>
                      <w:rPr>
                        <w:sz w:val="20"/>
                      </w:rPr>
                    </w:pPr>
                    <w:r>
                      <w:rPr>
                        <w:sz w:val="20"/>
                      </w:rPr>
                      <w:t>18-03-02</w:t>
                    </w:r>
                  </w:p>
                </w:tc>
                <w:tc>
                  <w:tcPr>
                    <w:tcW w:w="2126" w:type="dxa"/>
                    <w:vMerge w:val="restart"/>
                    <w:vAlign w:val="center"/>
                    <w:hideMark/>
                  </w:tcPr>
                  <w:p>
                    <w:pPr>
                      <w:rPr>
                        <w:sz w:val="20"/>
                      </w:rPr>
                    </w:pPr>
                    <w:r>
                      <w:rPr>
                        <w:sz w:val="20"/>
                      </w:rPr>
                      <w:t xml:space="preserve">Pritaikyti erdves  jaunimo poreikiams ir veiklai</w:t>
                    </w:r>
                  </w:p>
                </w:tc>
                <w:tc>
                  <w:tcPr>
                    <w:tcW w:w="850" w:type="dxa"/>
                    <w:vMerge w:val="restart"/>
                    <w:vAlign w:val="center"/>
                    <w:hideMark/>
                  </w:tcPr>
                  <w:p>
                    <w:pPr>
                      <w:jc w:val="center"/>
                      <w:rPr>
                        <w:sz w:val="20"/>
                      </w:rPr>
                    </w:pPr>
                    <w:r>
                      <w:rPr>
                        <w:sz w:val="20"/>
                      </w:rPr>
                      <w:t>JRK</w:t>
                    </w:r>
                  </w:p>
                </w:tc>
                <w:tc>
                  <w:tcPr>
                    <w:tcW w:w="709" w:type="dxa"/>
                    <w:vMerge w:val="restart"/>
                    <w:vAlign w:val="center"/>
                    <w:hideMark/>
                  </w:tcPr>
                  <w:p>
                    <w:pPr>
                      <w:jc w:val="center"/>
                      <w:rPr>
                        <w:sz w:val="20"/>
                      </w:rPr>
                    </w:pPr>
                    <w:r>
                      <w:rPr>
                        <w:sz w:val="20"/>
                      </w:rPr>
                      <w:t>2025</w:t>
                    </w:r>
                  </w:p>
                </w:tc>
                <w:tc>
                  <w:tcPr>
                    <w:tcW w:w="709" w:type="dxa"/>
                    <w:vMerge w:val="restart"/>
                    <w:vAlign w:val="center"/>
                    <w:hideMark/>
                  </w:tcPr>
                  <w:p>
                    <w:pPr>
                      <w:jc w:val="center"/>
                      <w:rPr>
                        <w:sz w:val="20"/>
                      </w:rPr>
                    </w:pPr>
                    <w:r>
                      <w:rPr>
                        <w:sz w:val="20"/>
                      </w:rPr>
                      <w:t>2033</w:t>
                    </w:r>
                  </w:p>
                </w:tc>
                <w:tc>
                  <w:tcPr>
                    <w:tcW w:w="1417" w:type="dxa"/>
                    <w:vAlign w:val="center"/>
                    <w:hideMark/>
                  </w:tcPr>
                  <w:p>
                    <w:pPr>
                      <w:rPr>
                        <w:sz w:val="20"/>
                      </w:rPr>
                    </w:pPr>
                    <w:r>
                      <w:rPr>
                        <w:sz w:val="20"/>
                      </w:rPr>
                      <w:t>P-18-03-02-01</w:t>
                    </w:r>
                  </w:p>
                </w:tc>
                <w:tc>
                  <w:tcPr>
                    <w:tcW w:w="4111" w:type="dxa"/>
                    <w:vAlign w:val="center"/>
                    <w:hideMark/>
                  </w:tcPr>
                  <w:p>
                    <w:pPr>
                      <w:rPr>
                        <w:sz w:val="20"/>
                      </w:rPr>
                    </w:pPr>
                    <w:r>
                      <w:rPr>
                        <w:sz w:val="20"/>
                      </w:rPr>
                      <w:t>Atnaujinta atviro jaunimo centro infrastruktūra (vnt.)</w:t>
                    </w:r>
                  </w:p>
                </w:tc>
                <w:tc>
                  <w:tcPr>
                    <w:tcW w:w="1134" w:type="dxa"/>
                    <w:vAlign w:val="center"/>
                    <w:hideMark/>
                  </w:tcPr>
                  <w:p>
                    <w:pPr>
                      <w:jc w:val="center"/>
                      <w:rPr>
                        <w:sz w:val="20"/>
                      </w:rPr>
                    </w:pPr>
                    <w:r>
                      <w:rPr>
                        <w:sz w:val="20"/>
                      </w:rPr>
                      <w:t>JRK, SRS</w:t>
                    </w:r>
                  </w:p>
                </w:tc>
                <w:tc>
                  <w:tcPr>
                    <w:tcW w:w="1134" w:type="dxa"/>
                    <w:vAlign w:val="center"/>
                    <w:hideMark/>
                  </w:tcPr>
                  <w:p>
                    <w:pPr>
                      <w:jc w:val="center"/>
                      <w:rPr>
                        <w:sz w:val="20"/>
                      </w:rPr>
                    </w:pPr>
                    <w:r>
                      <w:rPr>
                        <w:sz w:val="20"/>
                      </w:rPr>
                      <w:t>0 (2024)</w:t>
                    </w:r>
                  </w:p>
                </w:tc>
                <w:tc>
                  <w:tcPr>
                    <w:tcW w:w="1134" w:type="dxa"/>
                    <w:vAlign w:val="center"/>
                    <w:hideMark/>
                  </w:tcPr>
                  <w:p>
                    <w:pPr>
                      <w:jc w:val="center"/>
                      <w:rPr>
                        <w:sz w:val="20"/>
                      </w:rPr>
                    </w:pPr>
                    <w:r>
                      <w:rPr>
                        <w:sz w:val="20"/>
                      </w:rPr>
                      <w:t>1 (2027)</w:t>
                    </w:r>
                  </w:p>
                </w:tc>
              </w:tr>
              <w:tr>
                <w:trPr>
                  <w:trHeight w:val="25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Align w:val="center"/>
                    <w:hideMark/>
                  </w:tcPr>
                  <w:p>
                    <w:pPr>
                      <w:rPr>
                        <w:sz w:val="20"/>
                      </w:rPr>
                    </w:pPr>
                    <w:r>
                      <w:rPr>
                        <w:sz w:val="20"/>
                      </w:rPr>
                      <w:t>P-18-03-02-02</w:t>
                    </w:r>
                  </w:p>
                </w:tc>
                <w:tc>
                  <w:tcPr>
                    <w:tcW w:w="4111" w:type="dxa"/>
                    <w:vAlign w:val="center"/>
                    <w:hideMark/>
                  </w:tcPr>
                  <w:p>
                    <w:pPr>
                      <w:rPr>
                        <w:sz w:val="20"/>
                      </w:rPr>
                    </w:pPr>
                    <w:r>
                      <w:rPr>
                        <w:sz w:val="20"/>
                      </w:rPr>
                      <w:t>Veikiančių atvirų jaunimo erdvių, centrų skaičius (vnt.)</w:t>
                    </w:r>
                  </w:p>
                </w:tc>
                <w:tc>
                  <w:tcPr>
                    <w:tcW w:w="1134" w:type="dxa"/>
                    <w:vAlign w:val="center"/>
                    <w:hideMark/>
                  </w:tcPr>
                  <w:p>
                    <w:pPr>
                      <w:jc w:val="center"/>
                      <w:rPr>
                        <w:sz w:val="20"/>
                      </w:rPr>
                    </w:pPr>
                    <w:r>
                      <w:rPr>
                        <w:sz w:val="20"/>
                      </w:rPr>
                      <w:t>JRK</w:t>
                    </w:r>
                  </w:p>
                </w:tc>
                <w:tc>
                  <w:tcPr>
                    <w:tcW w:w="1134" w:type="dxa"/>
                    <w:vAlign w:val="center"/>
                    <w:hideMark/>
                  </w:tcPr>
                  <w:p>
                    <w:pPr>
                      <w:jc w:val="center"/>
                      <w:rPr>
                        <w:sz w:val="20"/>
                      </w:rPr>
                    </w:pPr>
                    <w:r>
                      <w:rPr>
                        <w:sz w:val="20"/>
                      </w:rPr>
                      <w:t>2 (2024)</w:t>
                    </w:r>
                  </w:p>
                </w:tc>
                <w:tc>
                  <w:tcPr>
                    <w:tcW w:w="1134" w:type="dxa"/>
                    <w:vAlign w:val="center"/>
                    <w:hideMark/>
                  </w:tcPr>
                  <w:p>
                    <w:pPr>
                      <w:jc w:val="center"/>
                      <w:rPr>
                        <w:sz w:val="20"/>
                      </w:rPr>
                    </w:pPr>
                    <w:r>
                      <w:rPr>
                        <w:sz w:val="20"/>
                      </w:rPr>
                      <w:t>4 (2028)</w:t>
                    </w:r>
                  </w:p>
                </w:tc>
              </w:tr>
              <w:tr>
                <w:trPr>
                  <w:trHeight w:val="520"/>
                  <w:jc w:val="center"/>
                </w:trPr>
                <w:tc>
                  <w:tcPr>
                    <w:tcW w:w="988" w:type="dxa"/>
                    <w:vMerge w:val="restart"/>
                    <w:shd w:val="clear" w:color="auto" w:fill="FFD966"/>
                    <w:noWrap/>
                    <w:vAlign w:val="center"/>
                    <w:hideMark/>
                  </w:tcPr>
                  <w:p>
                    <w:pPr>
                      <w:rPr>
                        <w:b/>
                        <w:bCs/>
                        <w:sz w:val="20"/>
                      </w:rPr>
                    </w:pPr>
                    <w:r>
                      <w:rPr>
                        <w:b/>
                        <w:bCs/>
                        <w:sz w:val="20"/>
                      </w:rPr>
                      <w:t>19</w:t>
                    </w:r>
                  </w:p>
                </w:tc>
                <w:tc>
                  <w:tcPr>
                    <w:tcW w:w="2126" w:type="dxa"/>
                    <w:vMerge w:val="restart"/>
                    <w:shd w:val="clear" w:color="auto" w:fill="FFD966"/>
                    <w:vAlign w:val="center"/>
                    <w:hideMark/>
                  </w:tcPr>
                  <w:p>
                    <w:pPr>
                      <w:rPr>
                        <w:b/>
                        <w:bCs/>
                        <w:sz w:val="20"/>
                      </w:rPr>
                    </w:pPr>
                    <w:r>
                      <w:rPr>
                        <w:b/>
                        <w:bCs/>
                        <w:sz w:val="20"/>
                      </w:rPr>
                      <w:t>Sudaryti palankias sąlygas miesto bendruomenei sveikatinti ir gerinti sveikatos priežiūros paslaugų kokybę ir prieinamumą</w:t>
                    </w:r>
                  </w:p>
                </w:tc>
                <w:tc>
                  <w:tcPr>
                    <w:tcW w:w="850" w:type="dxa"/>
                    <w:vMerge w:val="restart"/>
                    <w:shd w:val="clear" w:color="auto" w:fill="FFD966"/>
                    <w:vAlign w:val="center"/>
                    <w:hideMark/>
                  </w:tcPr>
                  <w:p>
                    <w:pPr>
                      <w:jc w:val="center"/>
                      <w:rPr>
                        <w:sz w:val="20"/>
                      </w:rPr>
                    </w:pPr>
                    <w:r>
                      <w:rPr>
                        <w:sz w:val="20"/>
                      </w:rPr>
                      <w:t>SvS</w:t>
                    </w:r>
                  </w:p>
                </w:tc>
                <w:tc>
                  <w:tcPr>
                    <w:tcW w:w="709" w:type="dxa"/>
                    <w:vMerge w:val="restart"/>
                    <w:shd w:val="clear" w:color="auto" w:fill="FFD966"/>
                    <w:noWrap/>
                    <w:vAlign w:val="center"/>
                    <w:hideMark/>
                  </w:tcPr>
                  <w:p>
                    <w:pPr>
                      <w:jc w:val="center"/>
                      <w:rPr>
                        <w:sz w:val="20"/>
                      </w:rPr>
                    </w:pPr>
                    <w:r>
                      <w:rPr>
                        <w:sz w:val="20"/>
                      </w:rPr>
                      <w:t>2025</w:t>
                    </w:r>
                  </w:p>
                </w:tc>
                <w:tc>
                  <w:tcPr>
                    <w:tcW w:w="709" w:type="dxa"/>
                    <w:vMerge w:val="restart"/>
                    <w:shd w:val="clear" w:color="auto" w:fill="FFD966"/>
                    <w:noWrap/>
                    <w:vAlign w:val="center"/>
                    <w:hideMark/>
                  </w:tcPr>
                  <w:p>
                    <w:pPr>
                      <w:jc w:val="center"/>
                      <w:rPr>
                        <w:sz w:val="20"/>
                      </w:rPr>
                    </w:pPr>
                    <w:r>
                      <w:rPr>
                        <w:sz w:val="20"/>
                      </w:rPr>
                      <w:t>2033</w:t>
                    </w:r>
                  </w:p>
                </w:tc>
                <w:tc>
                  <w:tcPr>
                    <w:tcW w:w="1417" w:type="dxa"/>
                    <w:shd w:val="clear" w:color="auto" w:fill="FFD966"/>
                    <w:noWrap/>
                    <w:vAlign w:val="center"/>
                    <w:hideMark/>
                  </w:tcPr>
                  <w:p>
                    <w:pPr>
                      <w:rPr>
                        <w:sz w:val="20"/>
                      </w:rPr>
                    </w:pPr>
                    <w:r>
                      <w:rPr>
                        <w:sz w:val="20"/>
                      </w:rPr>
                      <w:t>P-19-01</w:t>
                    </w:r>
                  </w:p>
                </w:tc>
                <w:tc>
                  <w:tcPr>
                    <w:tcW w:w="4111" w:type="dxa"/>
                    <w:shd w:val="clear" w:color="auto" w:fill="FFD966"/>
                    <w:vAlign w:val="center"/>
                    <w:hideMark/>
                  </w:tcPr>
                  <w:p>
                    <w:pPr>
                      <w:rPr>
                        <w:sz w:val="20"/>
                      </w:rPr>
                    </w:pPr>
                    <w:r>
                      <w:rPr>
                        <w:sz w:val="20"/>
                      </w:rPr>
                      <w:t>Gyventojų pasitenkinimas sveikatos priežiūros centrų (poliklinikų, sveikatos biuro) paslaugomis</w:t>
                    </w:r>
                  </w:p>
                </w:tc>
                <w:tc>
                  <w:tcPr>
                    <w:tcW w:w="1134" w:type="dxa"/>
                    <w:shd w:val="clear" w:color="auto" w:fill="FFD966"/>
                    <w:vAlign w:val="center"/>
                    <w:hideMark/>
                  </w:tcPr>
                  <w:p>
                    <w:pPr>
                      <w:jc w:val="center"/>
                      <w:rPr>
                        <w:sz w:val="20"/>
                      </w:rPr>
                    </w:pPr>
                    <w:r>
                      <w:rPr>
                        <w:sz w:val="20"/>
                      </w:rPr>
                      <w:t>Tyrimas (SvS)</w:t>
                    </w:r>
                  </w:p>
                </w:tc>
                <w:tc>
                  <w:tcPr>
                    <w:tcW w:w="1134" w:type="dxa"/>
                    <w:shd w:val="clear" w:color="auto" w:fill="FFD966"/>
                    <w:noWrap/>
                    <w:vAlign w:val="center"/>
                    <w:hideMark/>
                  </w:tcPr>
                  <w:p>
                    <w:pPr>
                      <w:jc w:val="center"/>
                      <w:rPr>
                        <w:sz w:val="20"/>
                      </w:rPr>
                    </w:pPr>
                    <w:r>
                      <w:rPr>
                        <w:sz w:val="20"/>
                      </w:rPr>
                      <w:t>6,6 (2023)</w:t>
                    </w:r>
                  </w:p>
                </w:tc>
                <w:tc>
                  <w:tcPr>
                    <w:tcW w:w="1134" w:type="dxa"/>
                    <w:shd w:val="clear" w:color="auto" w:fill="FFD966"/>
                    <w:noWrap/>
                    <w:vAlign w:val="center"/>
                    <w:hideMark/>
                  </w:tcPr>
                  <w:p>
                    <w:pPr>
                      <w:jc w:val="center"/>
                      <w:rPr>
                        <w:sz w:val="20"/>
                      </w:rPr>
                    </w:pPr>
                    <w:r>
                      <w:rPr>
                        <w:sz w:val="20"/>
                      </w:rPr>
                      <w:t>7,5 (2033)</w:t>
                    </w:r>
                  </w:p>
                </w:tc>
              </w:tr>
              <w:tr>
                <w:trPr>
                  <w:trHeight w:val="423"/>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jc w:val="center"/>
                      <w:rPr>
                        <w:sz w:val="20"/>
                      </w:rPr>
                    </w:pPr>
                  </w:p>
                </w:tc>
                <w:tc>
                  <w:tcPr>
                    <w:tcW w:w="709" w:type="dxa"/>
                    <w:vMerge/>
                    <w:shd w:val="clear" w:color="auto" w:fill="FFD966"/>
                    <w:vAlign w:val="center"/>
                    <w:hideMark/>
                  </w:tcPr>
                  <w:p>
                    <w:pPr>
                      <w:jc w:val="center"/>
                      <w:rPr>
                        <w:sz w:val="20"/>
                      </w:rPr>
                    </w:pPr>
                  </w:p>
                </w:tc>
                <w:tc>
                  <w:tcPr>
                    <w:tcW w:w="709" w:type="dxa"/>
                    <w:vMerge/>
                    <w:shd w:val="clear" w:color="auto" w:fill="FFD966"/>
                    <w:vAlign w:val="center"/>
                    <w:hideMark/>
                  </w:tcPr>
                  <w:p>
                    <w:pPr>
                      <w:jc w:val="center"/>
                      <w:rPr>
                        <w:sz w:val="20"/>
                      </w:rPr>
                    </w:pPr>
                  </w:p>
                </w:tc>
                <w:tc>
                  <w:tcPr>
                    <w:tcW w:w="1417" w:type="dxa"/>
                    <w:shd w:val="clear" w:color="auto" w:fill="FFD966"/>
                    <w:noWrap/>
                    <w:vAlign w:val="center"/>
                    <w:hideMark/>
                  </w:tcPr>
                  <w:p>
                    <w:pPr>
                      <w:rPr>
                        <w:sz w:val="20"/>
                      </w:rPr>
                    </w:pPr>
                    <w:r>
                      <w:rPr>
                        <w:sz w:val="20"/>
                      </w:rPr>
                      <w:t>P-19-02</w:t>
                    </w:r>
                  </w:p>
                </w:tc>
                <w:tc>
                  <w:tcPr>
                    <w:tcW w:w="4111" w:type="dxa"/>
                    <w:shd w:val="clear" w:color="auto" w:fill="FFD966"/>
                    <w:vAlign w:val="center"/>
                    <w:hideMark/>
                  </w:tcPr>
                  <w:p>
                    <w:pPr>
                      <w:rPr>
                        <w:sz w:val="20"/>
                      </w:rPr>
                    </w:pPr>
                    <w:r>
                      <w:rPr>
                        <w:sz w:val="20"/>
                      </w:rPr>
                      <w:t>Praktikuojančių sveikatos priežiūros specialistų skaičius, tenkantis 10 tūkst. gyventojų (asm.)</w:t>
                    </w:r>
                  </w:p>
                </w:tc>
                <w:tc>
                  <w:tcPr>
                    <w:tcW w:w="1134" w:type="dxa"/>
                    <w:shd w:val="clear" w:color="auto" w:fill="FFD966"/>
                    <w:vAlign w:val="center"/>
                    <w:hideMark/>
                  </w:tcPr>
                  <w:p>
                    <w:pPr>
                      <w:jc w:val="center"/>
                      <w:rPr>
                        <w:sz w:val="20"/>
                      </w:rPr>
                    </w:pPr>
                    <w:r>
                      <w:rPr>
                        <w:sz w:val="20"/>
                      </w:rPr>
                      <w:t>VDA (SvS)</w:t>
                    </w:r>
                  </w:p>
                </w:tc>
                <w:tc>
                  <w:tcPr>
                    <w:tcW w:w="1134" w:type="dxa"/>
                    <w:shd w:val="clear" w:color="auto" w:fill="FFD966"/>
                    <w:noWrap/>
                    <w:vAlign w:val="center"/>
                    <w:hideMark/>
                  </w:tcPr>
                  <w:p>
                    <w:pPr>
                      <w:jc w:val="center"/>
                      <w:rPr>
                        <w:sz w:val="20"/>
                      </w:rPr>
                    </w:pPr>
                    <w:r>
                      <w:rPr>
                        <w:sz w:val="20"/>
                      </w:rPr>
                      <w:t>175,33 (2022)</w:t>
                    </w:r>
                  </w:p>
                </w:tc>
                <w:tc>
                  <w:tcPr>
                    <w:tcW w:w="1134" w:type="dxa"/>
                    <w:shd w:val="clear" w:color="auto" w:fill="FFD966"/>
                    <w:noWrap/>
                    <w:vAlign w:val="center"/>
                    <w:hideMark/>
                  </w:tcPr>
                  <w:p>
                    <w:pPr>
                      <w:jc w:val="center"/>
                      <w:rPr>
                        <w:sz w:val="20"/>
                      </w:rPr>
                    </w:pPr>
                    <w:r>
                      <w:rPr>
                        <w:sz w:val="20"/>
                      </w:rPr>
                      <w:t>175 (2033)</w:t>
                    </w:r>
                  </w:p>
                </w:tc>
              </w:tr>
              <w:tr>
                <w:trPr>
                  <w:trHeight w:val="374"/>
                  <w:jc w:val="center"/>
                </w:trPr>
                <w:tc>
                  <w:tcPr>
                    <w:tcW w:w="988" w:type="dxa"/>
                    <w:vMerge/>
                    <w:shd w:val="clear" w:color="auto" w:fill="FFD966"/>
                    <w:vAlign w:val="center"/>
                    <w:hideMark/>
                  </w:tcPr>
                  <w:p>
                    <w:pPr>
                      <w:rPr>
                        <w:b/>
                        <w:bCs/>
                        <w:sz w:val="20"/>
                      </w:rPr>
                    </w:pPr>
                  </w:p>
                </w:tc>
                <w:tc>
                  <w:tcPr>
                    <w:tcW w:w="2126" w:type="dxa"/>
                    <w:vMerge/>
                    <w:shd w:val="clear" w:color="auto" w:fill="FFD966"/>
                    <w:vAlign w:val="center"/>
                    <w:hideMark/>
                  </w:tcPr>
                  <w:p>
                    <w:pPr>
                      <w:rPr>
                        <w:b/>
                        <w:bCs/>
                        <w:sz w:val="20"/>
                      </w:rPr>
                    </w:pPr>
                  </w:p>
                </w:tc>
                <w:tc>
                  <w:tcPr>
                    <w:tcW w:w="850" w:type="dxa"/>
                    <w:vMerge/>
                    <w:shd w:val="clear" w:color="auto" w:fill="FFD966"/>
                    <w:vAlign w:val="center"/>
                    <w:hideMark/>
                  </w:tcPr>
                  <w:p>
                    <w:pPr>
                      <w:jc w:val="center"/>
                      <w:rPr>
                        <w:sz w:val="20"/>
                      </w:rPr>
                    </w:pPr>
                  </w:p>
                </w:tc>
                <w:tc>
                  <w:tcPr>
                    <w:tcW w:w="709" w:type="dxa"/>
                    <w:vMerge/>
                    <w:shd w:val="clear" w:color="auto" w:fill="FFD966"/>
                    <w:vAlign w:val="center"/>
                    <w:hideMark/>
                  </w:tcPr>
                  <w:p>
                    <w:pPr>
                      <w:jc w:val="center"/>
                      <w:rPr>
                        <w:sz w:val="20"/>
                      </w:rPr>
                    </w:pPr>
                  </w:p>
                </w:tc>
                <w:tc>
                  <w:tcPr>
                    <w:tcW w:w="709" w:type="dxa"/>
                    <w:vMerge/>
                    <w:shd w:val="clear" w:color="auto" w:fill="FFD966"/>
                    <w:vAlign w:val="center"/>
                    <w:hideMark/>
                  </w:tcPr>
                  <w:p>
                    <w:pPr>
                      <w:jc w:val="center"/>
                      <w:rPr>
                        <w:sz w:val="20"/>
                      </w:rPr>
                    </w:pPr>
                  </w:p>
                </w:tc>
                <w:tc>
                  <w:tcPr>
                    <w:tcW w:w="1417" w:type="dxa"/>
                    <w:shd w:val="clear" w:color="auto" w:fill="FFD966"/>
                    <w:noWrap/>
                    <w:vAlign w:val="center"/>
                    <w:hideMark/>
                  </w:tcPr>
                  <w:p>
                    <w:pPr>
                      <w:rPr>
                        <w:sz w:val="20"/>
                      </w:rPr>
                    </w:pPr>
                    <w:r>
                      <w:rPr>
                        <w:sz w:val="20"/>
                      </w:rPr>
                      <w:t>P-19-03</w:t>
                    </w:r>
                  </w:p>
                </w:tc>
                <w:tc>
                  <w:tcPr>
                    <w:tcW w:w="4111" w:type="dxa"/>
                    <w:shd w:val="clear" w:color="auto" w:fill="FFD966"/>
                    <w:vAlign w:val="center"/>
                    <w:hideMark/>
                  </w:tcPr>
                  <w:p>
                    <w:pPr>
                      <w:rPr>
                        <w:sz w:val="20"/>
                      </w:rPr>
                    </w:pPr>
                    <w:r>
                      <w:rPr>
                        <w:sz w:val="20"/>
                      </w:rPr>
                      <w:t>Vidutinė gyvenimo trukmė (m.)</w:t>
                    </w:r>
                  </w:p>
                </w:tc>
                <w:tc>
                  <w:tcPr>
                    <w:tcW w:w="1134" w:type="dxa"/>
                    <w:shd w:val="clear" w:color="auto" w:fill="FFD966"/>
                    <w:vAlign w:val="center"/>
                    <w:hideMark/>
                  </w:tcPr>
                  <w:p>
                    <w:pPr>
                      <w:jc w:val="center"/>
                      <w:rPr>
                        <w:sz w:val="20"/>
                      </w:rPr>
                    </w:pPr>
                    <w:r>
                      <w:rPr>
                        <w:sz w:val="20"/>
                      </w:rPr>
                      <w:t>VDA (SvS)</w:t>
                    </w:r>
                  </w:p>
                </w:tc>
                <w:tc>
                  <w:tcPr>
                    <w:tcW w:w="1134" w:type="dxa"/>
                    <w:shd w:val="clear" w:color="auto" w:fill="FFD966"/>
                    <w:noWrap/>
                    <w:vAlign w:val="center"/>
                    <w:hideMark/>
                  </w:tcPr>
                  <w:p>
                    <w:pPr>
                      <w:jc w:val="center"/>
                      <w:rPr>
                        <w:sz w:val="20"/>
                      </w:rPr>
                    </w:pPr>
                    <w:r>
                      <w:rPr>
                        <w:sz w:val="20"/>
                      </w:rPr>
                      <w:t>75,4 (2022)</w:t>
                    </w:r>
                  </w:p>
                </w:tc>
                <w:tc>
                  <w:tcPr>
                    <w:tcW w:w="1134" w:type="dxa"/>
                    <w:shd w:val="clear" w:color="auto" w:fill="FFD966"/>
                    <w:noWrap/>
                    <w:vAlign w:val="center"/>
                    <w:hideMark/>
                  </w:tcPr>
                  <w:p>
                    <w:pPr>
                      <w:jc w:val="center"/>
                      <w:rPr>
                        <w:sz w:val="20"/>
                      </w:rPr>
                    </w:pPr>
                    <w:r>
                      <w:rPr>
                        <w:sz w:val="20"/>
                      </w:rPr>
                      <w:t>77 (2033)</w:t>
                    </w:r>
                  </w:p>
                </w:tc>
              </w:tr>
              <w:tr>
                <w:trPr>
                  <w:trHeight w:val="585"/>
                  <w:jc w:val="center"/>
                </w:trPr>
                <w:tc>
                  <w:tcPr>
                    <w:tcW w:w="988" w:type="dxa"/>
                    <w:vMerge w:val="restart"/>
                    <w:shd w:val="clear" w:color="auto" w:fill="FCE4D6"/>
                    <w:noWrap/>
                    <w:vAlign w:val="center"/>
                    <w:hideMark/>
                  </w:tcPr>
                  <w:p>
                    <w:pPr>
                      <w:rPr>
                        <w:b/>
                        <w:bCs/>
                        <w:sz w:val="20"/>
                      </w:rPr>
                    </w:pPr>
                    <w:r>
                      <w:rPr>
                        <w:b/>
                        <w:bCs/>
                        <w:sz w:val="20"/>
                      </w:rPr>
                      <w:t>19-01</w:t>
                    </w:r>
                  </w:p>
                </w:tc>
                <w:tc>
                  <w:tcPr>
                    <w:tcW w:w="2126" w:type="dxa"/>
                    <w:vMerge w:val="restart"/>
                    <w:shd w:val="clear" w:color="auto" w:fill="FCE4D6"/>
                    <w:vAlign w:val="center"/>
                    <w:hideMark/>
                  </w:tcPr>
                  <w:p>
                    <w:pPr>
                      <w:rPr>
                        <w:b/>
                        <w:bCs/>
                        <w:sz w:val="20"/>
                      </w:rPr>
                    </w:pPr>
                    <w:r>
                      <w:rPr>
                        <w:b/>
                        <w:bCs/>
                        <w:sz w:val="20"/>
                      </w:rPr>
                      <w:t>Plėtoti asmens ir visuomenės sveikatos priežiūros paslaugas, ugdyti visuomenės poreikį sveikai gyventi</w:t>
                    </w:r>
                  </w:p>
                </w:tc>
                <w:tc>
                  <w:tcPr>
                    <w:tcW w:w="850" w:type="dxa"/>
                    <w:vMerge w:val="restart"/>
                    <w:shd w:val="clear" w:color="auto" w:fill="FCE4D6"/>
                    <w:vAlign w:val="center"/>
                    <w:hideMark/>
                  </w:tcPr>
                  <w:p>
                    <w:pPr>
                      <w:jc w:val="center"/>
                      <w:rPr>
                        <w:sz w:val="20"/>
                      </w:rPr>
                    </w:pPr>
                    <w:r>
                      <w:rPr>
                        <w:sz w:val="20"/>
                      </w:rPr>
                      <w:t>SvS</w:t>
                    </w:r>
                  </w:p>
                </w:tc>
                <w:tc>
                  <w:tcPr>
                    <w:tcW w:w="709" w:type="dxa"/>
                    <w:vMerge w:val="restart"/>
                    <w:shd w:val="clear" w:color="auto" w:fill="FCE4D6"/>
                    <w:noWrap/>
                    <w:vAlign w:val="center"/>
                    <w:hideMark/>
                  </w:tcPr>
                  <w:p>
                    <w:pPr>
                      <w:jc w:val="center"/>
                      <w:rPr>
                        <w:sz w:val="20"/>
                      </w:rPr>
                    </w:pPr>
                    <w:r>
                      <w:rPr>
                        <w:sz w:val="20"/>
                      </w:rPr>
                      <w:t>2025</w:t>
                    </w:r>
                  </w:p>
                </w:tc>
                <w:tc>
                  <w:tcPr>
                    <w:tcW w:w="709" w:type="dxa"/>
                    <w:vMerge w:val="restart"/>
                    <w:shd w:val="clear" w:color="auto" w:fill="FCE4D6"/>
                    <w:noWrap/>
                    <w:vAlign w:val="center"/>
                    <w:hideMark/>
                  </w:tcPr>
                  <w:p>
                    <w:pPr>
                      <w:jc w:val="center"/>
                      <w:rPr>
                        <w:sz w:val="20"/>
                      </w:rPr>
                    </w:pPr>
                    <w:r>
                      <w:rPr>
                        <w:sz w:val="20"/>
                      </w:rPr>
                      <w:t>2033</w:t>
                    </w:r>
                  </w:p>
                </w:tc>
                <w:tc>
                  <w:tcPr>
                    <w:tcW w:w="1417" w:type="dxa"/>
                    <w:shd w:val="clear" w:color="auto" w:fill="FCE4D6"/>
                    <w:noWrap/>
                    <w:vAlign w:val="center"/>
                    <w:hideMark/>
                  </w:tcPr>
                  <w:p>
                    <w:pPr>
                      <w:rPr>
                        <w:sz w:val="20"/>
                      </w:rPr>
                    </w:pPr>
                    <w:r>
                      <w:rPr>
                        <w:sz w:val="20"/>
                      </w:rPr>
                      <w:t>R-19-01-01</w:t>
                    </w:r>
                  </w:p>
                </w:tc>
                <w:tc>
                  <w:tcPr>
                    <w:tcW w:w="4111" w:type="dxa"/>
                    <w:shd w:val="clear" w:color="auto" w:fill="FCE4D6"/>
                    <w:vAlign w:val="center"/>
                    <w:hideMark/>
                  </w:tcPr>
                  <w:p>
                    <w:pPr>
                      <w:rPr>
                        <w:sz w:val="20"/>
                      </w:rPr>
                    </w:pPr>
                    <w:r>
                      <w:rPr>
                        <w:sz w:val="20"/>
                      </w:rPr>
                      <w:t>Paliatyvios pagalbos, globos, slaugos ir palaikomojo gydymo lovų skaičius, tenkantis 1 tūkst. gyventojų (vnt.)</w:t>
                    </w:r>
                  </w:p>
                </w:tc>
                <w:tc>
                  <w:tcPr>
                    <w:tcW w:w="1134" w:type="dxa"/>
                    <w:shd w:val="clear" w:color="auto" w:fill="FCE4D6"/>
                    <w:vAlign w:val="center"/>
                    <w:hideMark/>
                  </w:tcPr>
                  <w:p>
                    <w:pPr>
                      <w:jc w:val="center"/>
                      <w:rPr>
                        <w:sz w:val="20"/>
                      </w:rPr>
                    </w:pPr>
                    <w:r>
                      <w:rPr>
                        <w:sz w:val="20"/>
                      </w:rPr>
                      <w:t>VDA (SvS)</w:t>
                    </w:r>
                  </w:p>
                </w:tc>
                <w:tc>
                  <w:tcPr>
                    <w:tcW w:w="1134" w:type="dxa"/>
                    <w:shd w:val="clear" w:color="auto" w:fill="FCE4D6"/>
                    <w:noWrap/>
                    <w:vAlign w:val="center"/>
                    <w:hideMark/>
                  </w:tcPr>
                  <w:p>
                    <w:pPr>
                      <w:jc w:val="center"/>
                      <w:rPr>
                        <w:sz w:val="20"/>
                      </w:rPr>
                    </w:pPr>
                    <w:r>
                      <w:rPr>
                        <w:sz w:val="20"/>
                      </w:rPr>
                      <w:t>2,22 (2022)</w:t>
                    </w:r>
                  </w:p>
                </w:tc>
                <w:tc>
                  <w:tcPr>
                    <w:tcW w:w="1134" w:type="dxa"/>
                    <w:shd w:val="clear" w:color="auto" w:fill="FCE4D6"/>
                    <w:noWrap/>
                    <w:vAlign w:val="center"/>
                    <w:hideMark/>
                  </w:tcPr>
                  <w:p>
                    <w:pPr>
                      <w:jc w:val="center"/>
                      <w:rPr>
                        <w:sz w:val="20"/>
                      </w:rPr>
                    </w:pPr>
                    <w:r>
                      <w:rPr>
                        <w:sz w:val="20"/>
                      </w:rPr>
                      <w:t>2,2 (2033)</w:t>
                    </w:r>
                  </w:p>
                </w:tc>
              </w:tr>
              <w:tr>
                <w:trPr>
                  <w:trHeight w:val="475"/>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noWrap/>
                    <w:vAlign w:val="center"/>
                    <w:hideMark/>
                  </w:tcPr>
                  <w:p>
                    <w:pPr>
                      <w:rPr>
                        <w:sz w:val="20"/>
                      </w:rPr>
                    </w:pPr>
                    <w:r>
                      <w:rPr>
                        <w:sz w:val="20"/>
                      </w:rPr>
                      <w:t>R-19-01-02</w:t>
                    </w:r>
                  </w:p>
                </w:tc>
                <w:tc>
                  <w:tcPr>
                    <w:tcW w:w="4111" w:type="dxa"/>
                    <w:shd w:val="clear" w:color="auto" w:fill="FCE4D6"/>
                    <w:vAlign w:val="center"/>
                    <w:hideMark/>
                  </w:tcPr>
                  <w:p>
                    <w:pPr>
                      <w:rPr>
                        <w:sz w:val="20"/>
                      </w:rPr>
                    </w:pPr>
                    <w:r>
                      <w:rPr>
                        <w:sz w:val="20"/>
                      </w:rPr>
                      <w:t>Pacientų, kurie pas šeimos gydytoją patenka per 7 kalendorines dienas, dalis (proc.)</w:t>
                    </w:r>
                  </w:p>
                </w:tc>
                <w:tc>
                  <w:tcPr>
                    <w:tcW w:w="1134" w:type="dxa"/>
                    <w:shd w:val="clear" w:color="auto" w:fill="FCE4D6"/>
                    <w:vAlign w:val="center"/>
                    <w:hideMark/>
                  </w:tcPr>
                  <w:p>
                    <w:pPr>
                      <w:jc w:val="center"/>
                      <w:rPr>
                        <w:sz w:val="20"/>
                      </w:rPr>
                    </w:pPr>
                    <w:r>
                      <w:rPr>
                        <w:sz w:val="20"/>
                      </w:rPr>
                      <w:t>VLK (SvS)</w:t>
                    </w:r>
                  </w:p>
                </w:tc>
                <w:tc>
                  <w:tcPr>
                    <w:tcW w:w="1134" w:type="dxa"/>
                    <w:shd w:val="clear" w:color="auto" w:fill="FCE4D6"/>
                    <w:noWrap/>
                    <w:vAlign w:val="center"/>
                    <w:hideMark/>
                  </w:tcPr>
                  <w:p>
                    <w:pPr>
                      <w:jc w:val="center"/>
                      <w:rPr>
                        <w:sz w:val="20"/>
                      </w:rPr>
                    </w:pPr>
                    <w:r>
                      <w:rPr>
                        <w:sz w:val="20"/>
                      </w:rPr>
                      <w:t>79 (2023)</w:t>
                    </w:r>
                  </w:p>
                </w:tc>
                <w:tc>
                  <w:tcPr>
                    <w:tcW w:w="1134" w:type="dxa"/>
                    <w:shd w:val="clear" w:color="auto" w:fill="FCE4D6"/>
                    <w:noWrap/>
                    <w:vAlign w:val="center"/>
                    <w:hideMark/>
                  </w:tcPr>
                  <w:p>
                    <w:pPr>
                      <w:jc w:val="center"/>
                      <w:rPr>
                        <w:sz w:val="20"/>
                      </w:rPr>
                    </w:pPr>
                    <w:r>
                      <w:rPr>
                        <w:sz w:val="20"/>
                      </w:rPr>
                      <w:t>90 (2033)</w:t>
                    </w:r>
                  </w:p>
                </w:tc>
              </w:tr>
              <w:tr>
                <w:trPr>
                  <w:trHeight w:val="411"/>
                  <w:jc w:val="center"/>
                </w:trPr>
                <w:tc>
                  <w:tcPr>
                    <w:tcW w:w="988" w:type="dxa"/>
                    <w:vMerge/>
                    <w:shd w:val="clear" w:color="auto" w:fill="FCE4D6"/>
                    <w:vAlign w:val="center"/>
                    <w:hideMark/>
                  </w:tcPr>
                  <w:p>
                    <w:pPr>
                      <w:rPr>
                        <w:b/>
                        <w:bCs/>
                        <w:sz w:val="20"/>
                      </w:rPr>
                    </w:pPr>
                  </w:p>
                </w:tc>
                <w:tc>
                  <w:tcPr>
                    <w:tcW w:w="2126" w:type="dxa"/>
                    <w:vMerge/>
                    <w:shd w:val="clear" w:color="auto" w:fill="FCE4D6"/>
                    <w:vAlign w:val="center"/>
                    <w:hideMark/>
                  </w:tcPr>
                  <w:p>
                    <w:pPr>
                      <w:rPr>
                        <w:b/>
                        <w:bCs/>
                        <w:sz w:val="20"/>
                      </w:rPr>
                    </w:pPr>
                  </w:p>
                </w:tc>
                <w:tc>
                  <w:tcPr>
                    <w:tcW w:w="850"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709" w:type="dxa"/>
                    <w:vMerge/>
                    <w:shd w:val="clear" w:color="auto" w:fill="FCE4D6"/>
                    <w:vAlign w:val="center"/>
                    <w:hideMark/>
                  </w:tcPr>
                  <w:p>
                    <w:pPr>
                      <w:rPr>
                        <w:sz w:val="20"/>
                      </w:rPr>
                    </w:pPr>
                  </w:p>
                </w:tc>
                <w:tc>
                  <w:tcPr>
                    <w:tcW w:w="1417" w:type="dxa"/>
                    <w:shd w:val="clear" w:color="auto" w:fill="FCE4D6"/>
                    <w:noWrap/>
                    <w:vAlign w:val="center"/>
                    <w:hideMark/>
                  </w:tcPr>
                  <w:p>
                    <w:pPr>
                      <w:rPr>
                        <w:sz w:val="20"/>
                      </w:rPr>
                    </w:pPr>
                    <w:r>
                      <w:rPr>
                        <w:sz w:val="20"/>
                      </w:rPr>
                      <w:t>R-19-01-03</w:t>
                    </w:r>
                  </w:p>
                </w:tc>
                <w:tc>
                  <w:tcPr>
                    <w:tcW w:w="4111" w:type="dxa"/>
                    <w:shd w:val="clear" w:color="auto" w:fill="FCE4D6"/>
                    <w:vAlign w:val="center"/>
                    <w:hideMark/>
                  </w:tcPr>
                  <w:p>
                    <w:pPr>
                      <w:rPr>
                        <w:sz w:val="20"/>
                      </w:rPr>
                    </w:pPr>
                    <w:r>
                      <w:rPr>
                        <w:sz w:val="20"/>
                      </w:rPr>
                      <w:t>Savižudybių skaičius, tenkantis 100 tūkst. gyventojų (asm.)</w:t>
                    </w:r>
                  </w:p>
                </w:tc>
                <w:tc>
                  <w:tcPr>
                    <w:tcW w:w="1134" w:type="dxa"/>
                    <w:shd w:val="clear" w:color="auto" w:fill="FCE4D6"/>
                    <w:vAlign w:val="center"/>
                    <w:hideMark/>
                  </w:tcPr>
                  <w:p>
                    <w:pPr>
                      <w:jc w:val="center"/>
                      <w:rPr>
                        <w:sz w:val="20"/>
                      </w:rPr>
                    </w:pPr>
                    <w:r>
                      <w:rPr>
                        <w:sz w:val="20"/>
                      </w:rPr>
                      <w:t>HI (SvS)</w:t>
                    </w:r>
                  </w:p>
                </w:tc>
                <w:tc>
                  <w:tcPr>
                    <w:tcW w:w="1134" w:type="dxa"/>
                    <w:shd w:val="clear" w:color="auto" w:fill="FCE4D6"/>
                    <w:noWrap/>
                    <w:vAlign w:val="center"/>
                    <w:hideMark/>
                  </w:tcPr>
                  <w:p>
                    <w:pPr>
                      <w:jc w:val="center"/>
                      <w:rPr>
                        <w:sz w:val="20"/>
                      </w:rPr>
                    </w:pPr>
                    <w:r>
                      <w:rPr>
                        <w:sz w:val="20"/>
                      </w:rPr>
                      <w:t>14,4 (2022)</w:t>
                    </w:r>
                  </w:p>
                </w:tc>
                <w:tc>
                  <w:tcPr>
                    <w:tcW w:w="1134" w:type="dxa"/>
                    <w:shd w:val="clear" w:color="auto" w:fill="FCE4D6"/>
                    <w:noWrap/>
                    <w:vAlign w:val="center"/>
                    <w:hideMark/>
                  </w:tcPr>
                  <w:p>
                    <w:pPr>
                      <w:jc w:val="center"/>
                      <w:rPr>
                        <w:sz w:val="20"/>
                      </w:rPr>
                    </w:pPr>
                    <w:r>
                      <w:rPr>
                        <w:sz w:val="20"/>
                      </w:rPr>
                      <w:t>10,5 (2033)</w:t>
                    </w:r>
                  </w:p>
                </w:tc>
              </w:tr>
              <w:tr>
                <w:trPr>
                  <w:trHeight w:val="375"/>
                  <w:jc w:val="center"/>
                </w:trPr>
                <w:tc>
                  <w:tcPr>
                    <w:tcW w:w="988" w:type="dxa"/>
                    <w:vMerge w:val="restart"/>
                    <w:noWrap/>
                    <w:vAlign w:val="center"/>
                    <w:hideMark/>
                  </w:tcPr>
                  <w:p>
                    <w:pPr>
                      <w:rPr>
                        <w:sz w:val="20"/>
                      </w:rPr>
                    </w:pPr>
                    <w:r>
                      <w:rPr>
                        <w:sz w:val="20"/>
                      </w:rPr>
                      <w:t>19-01-01</w:t>
                    </w:r>
                  </w:p>
                </w:tc>
                <w:tc>
                  <w:tcPr>
                    <w:tcW w:w="2126" w:type="dxa"/>
                    <w:vMerge w:val="restart"/>
                    <w:vAlign w:val="center"/>
                    <w:hideMark/>
                  </w:tcPr>
                  <w:p>
                    <w:pPr>
                      <w:rPr>
                        <w:sz w:val="20"/>
                      </w:rPr>
                    </w:pPr>
                    <w:r>
                      <w:rPr>
                        <w:sz w:val="20"/>
                      </w:rPr>
                      <w:t>Didinti sveikatos specialistų teikiamų paslaugų prieinamumą</w:t>
                    </w:r>
                  </w:p>
                </w:tc>
                <w:tc>
                  <w:tcPr>
                    <w:tcW w:w="850" w:type="dxa"/>
                    <w:vMerge w:val="restart"/>
                    <w:noWrap/>
                    <w:vAlign w:val="center"/>
                    <w:hideMark/>
                  </w:tcPr>
                  <w:p>
                    <w:pPr>
                      <w:jc w:val="center"/>
                      <w:rPr>
                        <w:sz w:val="20"/>
                      </w:rPr>
                    </w:pPr>
                    <w:r>
                      <w:rPr>
                        <w:sz w:val="20"/>
                      </w:rPr>
                      <w:t>SvS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P-19-01-01-01</w:t>
                    </w:r>
                  </w:p>
                </w:tc>
                <w:tc>
                  <w:tcPr>
                    <w:tcW w:w="4111" w:type="dxa"/>
                    <w:vAlign w:val="center"/>
                    <w:hideMark/>
                  </w:tcPr>
                  <w:p>
                    <w:pPr>
                      <w:rPr>
                        <w:sz w:val="20"/>
                      </w:rPr>
                    </w:pPr>
                    <w:r>
                      <w:rPr>
                        <w:sz w:val="20"/>
                      </w:rPr>
                      <w:t>Pritrauktų reikiamos kvalifikacijos sveikatos srities specialistų skaičius (asm.)</w:t>
                    </w:r>
                  </w:p>
                </w:tc>
                <w:tc>
                  <w:tcPr>
                    <w:tcW w:w="1134" w:type="dxa"/>
                    <w:vAlign w:val="center"/>
                    <w:hideMark/>
                  </w:tcPr>
                  <w:p>
                    <w:pPr>
                      <w:jc w:val="center"/>
                      <w:rPr>
                        <w:sz w:val="20"/>
                      </w:rPr>
                    </w:pPr>
                    <w:r>
                      <w:rPr>
                        <w:sz w:val="20"/>
                      </w:rPr>
                      <w:t>SvS</w:t>
                    </w:r>
                  </w:p>
                </w:tc>
                <w:tc>
                  <w:tcPr>
                    <w:tcW w:w="1134" w:type="dxa"/>
                    <w:noWrap/>
                    <w:vAlign w:val="center"/>
                    <w:hideMark/>
                  </w:tcPr>
                  <w:p>
                    <w:pPr>
                      <w:jc w:val="center"/>
                      <w:rPr>
                        <w:sz w:val="20"/>
                      </w:rPr>
                    </w:pPr>
                    <w:r>
                      <w:rPr>
                        <w:sz w:val="20"/>
                      </w:rPr>
                      <w:t>17 (2023)</w:t>
                    </w:r>
                  </w:p>
                </w:tc>
                <w:tc>
                  <w:tcPr>
                    <w:tcW w:w="1134" w:type="dxa"/>
                    <w:noWrap/>
                    <w:vAlign w:val="center"/>
                    <w:hideMark/>
                  </w:tcPr>
                  <w:p>
                    <w:pPr>
                      <w:jc w:val="center"/>
                      <w:rPr>
                        <w:sz w:val="20"/>
                      </w:rPr>
                    </w:pPr>
                    <w:r>
                      <w:rPr>
                        <w:sz w:val="20"/>
                      </w:rPr>
                      <w:t>135 (2033)</w:t>
                    </w:r>
                  </w:p>
                </w:tc>
              </w:tr>
              <w:tr>
                <w:trPr>
                  <w:trHeight w:val="477"/>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P-19-01-01-02</w:t>
                    </w:r>
                  </w:p>
                </w:tc>
                <w:tc>
                  <w:tcPr>
                    <w:tcW w:w="4111" w:type="dxa"/>
                    <w:vAlign w:val="center"/>
                    <w:hideMark/>
                  </w:tcPr>
                  <w:p>
                    <w:pPr>
                      <w:rPr>
                        <w:sz w:val="20"/>
                      </w:rPr>
                    </w:pPr>
                    <w:r>
                      <w:rPr>
                        <w:sz w:val="20"/>
                      </w:rPr>
                      <w:t>Finansuotų sveikatos mokslų studentų skaičius (asm.)</w:t>
                    </w:r>
                  </w:p>
                </w:tc>
                <w:tc>
                  <w:tcPr>
                    <w:tcW w:w="1134" w:type="dxa"/>
                    <w:vAlign w:val="center"/>
                    <w:hideMark/>
                  </w:tcPr>
                  <w:p>
                    <w:pPr>
                      <w:jc w:val="center"/>
                      <w:rPr>
                        <w:sz w:val="20"/>
                      </w:rPr>
                    </w:pPr>
                    <w:r>
                      <w:rPr>
                        <w:sz w:val="20"/>
                      </w:rPr>
                      <w:t>SvS</w:t>
                    </w:r>
                  </w:p>
                </w:tc>
                <w:tc>
                  <w:tcPr>
                    <w:tcW w:w="1134" w:type="dxa"/>
                    <w:noWrap/>
                    <w:vAlign w:val="center"/>
                    <w:hideMark/>
                  </w:tcPr>
                  <w:p>
                    <w:pPr>
                      <w:jc w:val="center"/>
                      <w:rPr>
                        <w:sz w:val="20"/>
                      </w:rPr>
                    </w:pPr>
                    <w:r>
                      <w:rPr>
                        <w:sz w:val="20"/>
                      </w:rPr>
                      <w:t>11 (2023)</w:t>
                    </w:r>
                  </w:p>
                </w:tc>
                <w:tc>
                  <w:tcPr>
                    <w:tcW w:w="1134" w:type="dxa"/>
                    <w:noWrap/>
                    <w:vAlign w:val="center"/>
                    <w:hideMark/>
                  </w:tcPr>
                  <w:p>
                    <w:pPr>
                      <w:jc w:val="center"/>
                      <w:rPr>
                        <w:sz w:val="20"/>
                      </w:rPr>
                    </w:pPr>
                    <w:r>
                      <w:rPr>
                        <w:sz w:val="20"/>
                      </w:rPr>
                      <w:t>36 (2033)</w:t>
                    </w:r>
                  </w:p>
                </w:tc>
              </w:tr>
              <w:tr>
                <w:trPr>
                  <w:trHeight w:val="661"/>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P-19-01-01-03</w:t>
                    </w:r>
                  </w:p>
                </w:tc>
                <w:tc>
                  <w:tcPr>
                    <w:tcW w:w="4111" w:type="dxa"/>
                    <w:vAlign w:val="center"/>
                    <w:hideMark/>
                  </w:tcPr>
                  <w:p>
                    <w:pPr>
                      <w:rPr>
                        <w:sz w:val="20"/>
                      </w:rPr>
                    </w:pPr>
                    <w:r>
                      <w:rPr>
                        <w:sz w:val="20"/>
                      </w:rPr>
                      <w:t>Pacientų dalis, kuri pas vaikų ir paauglių psichiatrą patenka per 8–14 kalendorinių dienų (proc.)</w:t>
                    </w:r>
                  </w:p>
                </w:tc>
                <w:tc>
                  <w:tcPr>
                    <w:tcW w:w="1134" w:type="dxa"/>
                    <w:vAlign w:val="center"/>
                    <w:hideMark/>
                  </w:tcPr>
                  <w:p>
                    <w:pPr>
                      <w:jc w:val="center"/>
                      <w:rPr>
                        <w:sz w:val="20"/>
                      </w:rPr>
                    </w:pPr>
                    <w:r>
                      <w:rPr>
                        <w:sz w:val="20"/>
                      </w:rPr>
                      <w:t>VLK (SvS)</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50 (2033)</w:t>
                    </w:r>
                  </w:p>
                </w:tc>
              </w:tr>
              <w:tr>
                <w:trPr>
                  <w:trHeight w:val="272"/>
                  <w:jc w:val="center"/>
                </w:trPr>
                <w:tc>
                  <w:tcPr>
                    <w:tcW w:w="988" w:type="dxa"/>
                    <w:vMerge w:val="restart"/>
                    <w:noWrap/>
                    <w:vAlign w:val="center"/>
                    <w:hideMark/>
                  </w:tcPr>
                  <w:p>
                    <w:pPr>
                      <w:rPr>
                        <w:sz w:val="20"/>
                      </w:rPr>
                    </w:pPr>
                    <w:r>
                      <w:rPr>
                        <w:sz w:val="20"/>
                      </w:rPr>
                      <w:t>19-01-02</w:t>
                    </w:r>
                  </w:p>
                </w:tc>
                <w:tc>
                  <w:tcPr>
                    <w:tcW w:w="2126" w:type="dxa"/>
                    <w:vMerge w:val="restart"/>
                    <w:vAlign w:val="center"/>
                    <w:hideMark/>
                  </w:tcPr>
                  <w:p>
                    <w:pPr>
                      <w:rPr>
                        <w:sz w:val="20"/>
                      </w:rPr>
                    </w:pPr>
                    <w:r>
                      <w:rPr>
                        <w:sz w:val="20"/>
                      </w:rPr>
                      <w:t>Didinti visuomenės sveikatos stiprinimo paslaugų teikimo aprėptį</w:t>
                    </w:r>
                  </w:p>
                </w:tc>
                <w:tc>
                  <w:tcPr>
                    <w:tcW w:w="850" w:type="dxa"/>
                    <w:vMerge w:val="restart"/>
                    <w:noWrap/>
                    <w:vAlign w:val="center"/>
                    <w:hideMark/>
                  </w:tcPr>
                  <w:p>
                    <w:pPr>
                      <w:jc w:val="center"/>
                      <w:rPr>
                        <w:sz w:val="20"/>
                      </w:rPr>
                    </w:pPr>
                    <w:r>
                      <w:rPr>
                        <w:sz w:val="20"/>
                      </w:rPr>
                      <w:t>SvS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vMerge w:val="restart"/>
                    <w:noWrap/>
                    <w:vAlign w:val="center"/>
                    <w:hideMark/>
                  </w:tcPr>
                  <w:p>
                    <w:pPr>
                      <w:rPr>
                        <w:sz w:val="20"/>
                      </w:rPr>
                    </w:pPr>
                    <w:r>
                      <w:rPr>
                        <w:sz w:val="20"/>
                      </w:rPr>
                      <w:t>P-19-01-02-01</w:t>
                    </w:r>
                  </w:p>
                </w:tc>
                <w:tc>
                  <w:tcPr>
                    <w:tcW w:w="7513" w:type="dxa"/>
                    <w:gridSpan w:val="4"/>
                    <w:vAlign w:val="center"/>
                    <w:hideMark/>
                  </w:tcPr>
                  <w:p>
                    <w:pPr>
                      <w:rPr>
                        <w:sz w:val="20"/>
                      </w:rPr>
                    </w:pPr>
                    <w:r>
                      <w:rPr>
                        <w:sz w:val="20"/>
                      </w:rPr>
                      <w:t>Gyventojų dalyvavimas valstybinėse prevencinėse programose:</w:t>
                    </w:r>
                  </w:p>
                </w:tc>
              </w:tr>
              <w:tr>
                <w:trPr>
                  <w:trHeight w:val="374"/>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Merge/>
                    <w:vAlign w:val="center"/>
                    <w:hideMark/>
                  </w:tcPr>
                  <w:p>
                    <w:pPr>
                      <w:rPr>
                        <w:sz w:val="20"/>
                      </w:rPr>
                    </w:pPr>
                  </w:p>
                </w:tc>
                <w:tc>
                  <w:tcPr>
                    <w:tcW w:w="4111" w:type="dxa"/>
                    <w:vAlign w:val="center"/>
                    <w:hideMark/>
                  </w:tcPr>
                  <w:p>
                    <w:pPr>
                      <w:rPr>
                        <w:sz w:val="20"/>
                      </w:rPr>
                    </w:pPr>
                    <w:r>
                      <w:rPr>
                        <w:sz w:val="20"/>
                      </w:rPr>
                      <w:t>Tikslinė gyventojų, dalyvavusių atrankinės mamografinės patikros dėl krūties vėžio finansavimo programoje, dalis nuo visos tikslinės grupės (proc.)</w:t>
                    </w:r>
                  </w:p>
                </w:tc>
                <w:tc>
                  <w:tcPr>
                    <w:tcW w:w="1134" w:type="dxa"/>
                    <w:vAlign w:val="center"/>
                    <w:hideMark/>
                  </w:tcPr>
                  <w:p>
                    <w:pPr>
                      <w:jc w:val="center"/>
                      <w:rPr>
                        <w:sz w:val="20"/>
                      </w:rPr>
                    </w:pPr>
                    <w:r>
                      <w:rPr>
                        <w:sz w:val="20"/>
                      </w:rPr>
                      <w:t>HI (SvS)</w:t>
                    </w:r>
                  </w:p>
                </w:tc>
                <w:tc>
                  <w:tcPr>
                    <w:tcW w:w="1134" w:type="dxa"/>
                    <w:noWrap/>
                    <w:vAlign w:val="center"/>
                    <w:hideMark/>
                  </w:tcPr>
                  <w:p>
                    <w:pPr>
                      <w:jc w:val="center"/>
                      <w:rPr>
                        <w:sz w:val="20"/>
                      </w:rPr>
                    </w:pPr>
                    <w:r>
                      <w:rPr>
                        <w:sz w:val="20"/>
                      </w:rPr>
                      <w:t>64,6 (2022)</w:t>
                    </w:r>
                  </w:p>
                </w:tc>
                <w:tc>
                  <w:tcPr>
                    <w:tcW w:w="1134" w:type="dxa"/>
                    <w:noWrap/>
                    <w:vAlign w:val="center"/>
                    <w:hideMark/>
                  </w:tcPr>
                  <w:p>
                    <w:pPr>
                      <w:jc w:val="center"/>
                      <w:rPr>
                        <w:sz w:val="20"/>
                      </w:rPr>
                    </w:pPr>
                    <w:r>
                      <w:rPr>
                        <w:sz w:val="20"/>
                      </w:rPr>
                      <w:t>75 (2033)</w:t>
                    </w:r>
                  </w:p>
                </w:tc>
              </w:tr>
              <w:tr>
                <w:trPr>
                  <w:trHeight w:val="720"/>
                  <w:jc w:val="center"/>
                </w:trPr>
                <w:tc>
                  <w:tcPr>
                    <w:tcW w:w="988" w:type="dxa"/>
                    <w:vMerge/>
                    <w:hideMark/>
                  </w:tcPr>
                  <w:p>
                    <w:pPr>
                      <w:rPr>
                        <w:sz w:val="20"/>
                      </w:rPr>
                    </w:pPr>
                  </w:p>
                </w:tc>
                <w:tc>
                  <w:tcPr>
                    <w:tcW w:w="2126" w:type="dxa"/>
                    <w:vMerge/>
                    <w:hideMark/>
                  </w:tcPr>
                  <w:p>
                    <w:pPr>
                      <w:rPr>
                        <w:sz w:val="20"/>
                      </w:rPr>
                    </w:pPr>
                  </w:p>
                </w:tc>
                <w:tc>
                  <w:tcPr>
                    <w:tcW w:w="850" w:type="dxa"/>
                    <w:vMerge/>
                    <w:hideMark/>
                  </w:tcPr>
                  <w:p>
                    <w:pPr>
                      <w:rPr>
                        <w:sz w:val="20"/>
                      </w:rPr>
                    </w:pPr>
                  </w:p>
                </w:tc>
                <w:tc>
                  <w:tcPr>
                    <w:tcW w:w="709" w:type="dxa"/>
                    <w:vMerge/>
                    <w:hideMark/>
                  </w:tcPr>
                  <w:p>
                    <w:pPr>
                      <w:rPr>
                        <w:sz w:val="20"/>
                      </w:rPr>
                    </w:pPr>
                  </w:p>
                </w:tc>
                <w:tc>
                  <w:tcPr>
                    <w:tcW w:w="709" w:type="dxa"/>
                    <w:vMerge/>
                    <w:hideMark/>
                  </w:tcPr>
                  <w:p>
                    <w:pPr>
                      <w:rPr>
                        <w:sz w:val="20"/>
                      </w:rPr>
                    </w:pPr>
                  </w:p>
                </w:tc>
                <w:tc>
                  <w:tcPr>
                    <w:tcW w:w="1417" w:type="dxa"/>
                    <w:vMerge/>
                    <w:hideMark/>
                  </w:tcPr>
                  <w:p>
                    <w:pPr>
                      <w:rPr>
                        <w:sz w:val="20"/>
                      </w:rPr>
                    </w:pPr>
                  </w:p>
                </w:tc>
                <w:tc>
                  <w:tcPr>
                    <w:tcW w:w="4111" w:type="dxa"/>
                    <w:vAlign w:val="center"/>
                    <w:hideMark/>
                  </w:tcPr>
                  <w:p>
                    <w:pPr>
                      <w:rPr>
                        <w:sz w:val="20"/>
                      </w:rPr>
                    </w:pPr>
                    <w:r>
                      <w:rPr>
                        <w:sz w:val="20"/>
                      </w:rPr>
                      <w:t>Tikslinė gyventojų, dalyvavusių gimdos kaklelio piktybinių navikų prevencinių priemonių finansavimo programoje, dalis nuo visos tikslinės grupės (proc.)</w:t>
                    </w:r>
                  </w:p>
                </w:tc>
                <w:tc>
                  <w:tcPr>
                    <w:tcW w:w="1134" w:type="dxa"/>
                    <w:vAlign w:val="center"/>
                    <w:hideMark/>
                  </w:tcPr>
                  <w:p>
                    <w:pPr>
                      <w:jc w:val="center"/>
                      <w:rPr>
                        <w:sz w:val="20"/>
                      </w:rPr>
                    </w:pPr>
                    <w:r>
                      <w:rPr>
                        <w:sz w:val="20"/>
                      </w:rPr>
                      <w:t>HI (SvS)</w:t>
                    </w:r>
                  </w:p>
                </w:tc>
                <w:tc>
                  <w:tcPr>
                    <w:tcW w:w="1134" w:type="dxa"/>
                    <w:noWrap/>
                    <w:vAlign w:val="center"/>
                    <w:hideMark/>
                  </w:tcPr>
                  <w:p>
                    <w:pPr>
                      <w:jc w:val="center"/>
                      <w:rPr>
                        <w:sz w:val="20"/>
                      </w:rPr>
                    </w:pPr>
                    <w:r>
                      <w:rPr>
                        <w:sz w:val="20"/>
                      </w:rPr>
                      <w:t>56,3 (2022)</w:t>
                    </w:r>
                  </w:p>
                </w:tc>
                <w:tc>
                  <w:tcPr>
                    <w:tcW w:w="1134" w:type="dxa"/>
                    <w:noWrap/>
                    <w:vAlign w:val="center"/>
                    <w:hideMark/>
                  </w:tcPr>
                  <w:p>
                    <w:pPr>
                      <w:jc w:val="center"/>
                      <w:rPr>
                        <w:sz w:val="20"/>
                      </w:rPr>
                    </w:pPr>
                    <w:r>
                      <w:rPr>
                        <w:sz w:val="20"/>
                      </w:rPr>
                      <w:t>66 (2033)</w:t>
                    </w:r>
                  </w:p>
                </w:tc>
              </w:tr>
              <w:tr>
                <w:trPr>
                  <w:trHeight w:val="358"/>
                  <w:jc w:val="center"/>
                </w:trPr>
                <w:tc>
                  <w:tcPr>
                    <w:tcW w:w="988" w:type="dxa"/>
                    <w:vMerge/>
                    <w:hideMark/>
                  </w:tcPr>
                  <w:p>
                    <w:pPr>
                      <w:rPr>
                        <w:sz w:val="20"/>
                      </w:rPr>
                    </w:pPr>
                  </w:p>
                </w:tc>
                <w:tc>
                  <w:tcPr>
                    <w:tcW w:w="2126" w:type="dxa"/>
                    <w:vMerge/>
                    <w:hideMark/>
                  </w:tcPr>
                  <w:p>
                    <w:pPr>
                      <w:rPr>
                        <w:sz w:val="20"/>
                      </w:rPr>
                    </w:pPr>
                  </w:p>
                </w:tc>
                <w:tc>
                  <w:tcPr>
                    <w:tcW w:w="850" w:type="dxa"/>
                    <w:vMerge/>
                    <w:hideMark/>
                  </w:tcPr>
                  <w:p>
                    <w:pPr>
                      <w:rPr>
                        <w:sz w:val="20"/>
                      </w:rPr>
                    </w:pPr>
                  </w:p>
                </w:tc>
                <w:tc>
                  <w:tcPr>
                    <w:tcW w:w="709" w:type="dxa"/>
                    <w:vMerge/>
                    <w:hideMark/>
                  </w:tcPr>
                  <w:p>
                    <w:pPr>
                      <w:rPr>
                        <w:sz w:val="20"/>
                      </w:rPr>
                    </w:pPr>
                  </w:p>
                </w:tc>
                <w:tc>
                  <w:tcPr>
                    <w:tcW w:w="709" w:type="dxa"/>
                    <w:vMerge/>
                    <w:hideMark/>
                  </w:tcPr>
                  <w:p>
                    <w:pPr>
                      <w:rPr>
                        <w:sz w:val="20"/>
                      </w:rPr>
                    </w:pPr>
                  </w:p>
                </w:tc>
                <w:tc>
                  <w:tcPr>
                    <w:tcW w:w="1417" w:type="dxa"/>
                    <w:vMerge/>
                    <w:hideMark/>
                  </w:tcPr>
                  <w:p>
                    <w:pPr>
                      <w:rPr>
                        <w:sz w:val="20"/>
                      </w:rPr>
                    </w:pPr>
                  </w:p>
                </w:tc>
                <w:tc>
                  <w:tcPr>
                    <w:tcW w:w="4111" w:type="dxa"/>
                    <w:vAlign w:val="center"/>
                    <w:hideMark/>
                  </w:tcPr>
                  <w:p>
                    <w:pPr>
                      <w:rPr>
                        <w:sz w:val="20"/>
                      </w:rPr>
                    </w:pPr>
                    <w:r>
                      <w:rPr>
                        <w:sz w:val="20"/>
                      </w:rPr>
                      <w:t>Tikslinė gyventojų, dalyvavusių storosios žarnos vėžio ankstyvosios diagnostikos finansavimo programoje, dalis nuo visos tikslinės grupės (proc.)</w:t>
                    </w:r>
                  </w:p>
                </w:tc>
                <w:tc>
                  <w:tcPr>
                    <w:tcW w:w="1134" w:type="dxa"/>
                    <w:vAlign w:val="center"/>
                    <w:hideMark/>
                  </w:tcPr>
                  <w:p>
                    <w:pPr>
                      <w:jc w:val="center"/>
                      <w:rPr>
                        <w:sz w:val="20"/>
                      </w:rPr>
                    </w:pPr>
                    <w:r>
                      <w:rPr>
                        <w:sz w:val="20"/>
                      </w:rPr>
                      <w:t>HI (SvS)</w:t>
                    </w:r>
                  </w:p>
                </w:tc>
                <w:tc>
                  <w:tcPr>
                    <w:tcW w:w="1134" w:type="dxa"/>
                    <w:noWrap/>
                    <w:vAlign w:val="center"/>
                    <w:hideMark/>
                  </w:tcPr>
                  <w:p>
                    <w:pPr>
                      <w:jc w:val="center"/>
                      <w:rPr>
                        <w:sz w:val="20"/>
                      </w:rPr>
                    </w:pPr>
                    <w:r>
                      <w:rPr>
                        <w:sz w:val="20"/>
                      </w:rPr>
                      <w:t>64,8 (2022)</w:t>
                    </w:r>
                  </w:p>
                </w:tc>
                <w:tc>
                  <w:tcPr>
                    <w:tcW w:w="1134" w:type="dxa"/>
                    <w:noWrap/>
                    <w:vAlign w:val="center"/>
                    <w:hideMark/>
                  </w:tcPr>
                  <w:p>
                    <w:pPr>
                      <w:jc w:val="center"/>
                      <w:rPr>
                        <w:sz w:val="20"/>
                      </w:rPr>
                    </w:pPr>
                    <w:r>
                      <w:rPr>
                        <w:sz w:val="20"/>
                      </w:rPr>
                      <w:t>75 (2033)</w:t>
                    </w:r>
                  </w:p>
                </w:tc>
              </w:tr>
              <w:tr>
                <w:trPr>
                  <w:trHeight w:val="1040"/>
                  <w:jc w:val="center"/>
                </w:trPr>
                <w:tc>
                  <w:tcPr>
                    <w:tcW w:w="988" w:type="dxa"/>
                    <w:vMerge/>
                    <w:hideMark/>
                  </w:tcPr>
                  <w:p>
                    <w:pPr>
                      <w:rPr>
                        <w:sz w:val="20"/>
                      </w:rPr>
                    </w:pPr>
                  </w:p>
                </w:tc>
                <w:tc>
                  <w:tcPr>
                    <w:tcW w:w="2126" w:type="dxa"/>
                    <w:vMerge/>
                    <w:hideMark/>
                  </w:tcPr>
                  <w:p>
                    <w:pPr>
                      <w:rPr>
                        <w:sz w:val="20"/>
                      </w:rPr>
                    </w:pPr>
                  </w:p>
                </w:tc>
                <w:tc>
                  <w:tcPr>
                    <w:tcW w:w="850" w:type="dxa"/>
                    <w:vMerge/>
                    <w:hideMark/>
                  </w:tcPr>
                  <w:p>
                    <w:pPr>
                      <w:rPr>
                        <w:sz w:val="20"/>
                      </w:rPr>
                    </w:pPr>
                  </w:p>
                </w:tc>
                <w:tc>
                  <w:tcPr>
                    <w:tcW w:w="709" w:type="dxa"/>
                    <w:vMerge/>
                    <w:hideMark/>
                  </w:tcPr>
                  <w:p>
                    <w:pPr>
                      <w:rPr>
                        <w:sz w:val="20"/>
                      </w:rPr>
                    </w:pPr>
                  </w:p>
                </w:tc>
                <w:tc>
                  <w:tcPr>
                    <w:tcW w:w="709" w:type="dxa"/>
                    <w:vMerge/>
                    <w:hideMark/>
                  </w:tcPr>
                  <w:p>
                    <w:pPr>
                      <w:rPr>
                        <w:sz w:val="20"/>
                      </w:rPr>
                    </w:pPr>
                  </w:p>
                </w:tc>
                <w:tc>
                  <w:tcPr>
                    <w:tcW w:w="1417" w:type="dxa"/>
                    <w:vMerge/>
                    <w:hideMark/>
                  </w:tcPr>
                  <w:p>
                    <w:pPr>
                      <w:rPr>
                        <w:sz w:val="20"/>
                      </w:rPr>
                    </w:pPr>
                  </w:p>
                </w:tc>
                <w:tc>
                  <w:tcPr>
                    <w:tcW w:w="4111" w:type="dxa"/>
                    <w:vAlign w:val="center"/>
                    <w:hideMark/>
                  </w:tcPr>
                  <w:p>
                    <w:pPr>
                      <w:rPr>
                        <w:sz w:val="20"/>
                      </w:rPr>
                    </w:pPr>
                    <w:r>
                      <w:rPr>
                        <w:sz w:val="20"/>
                      </w:rPr>
                      <w:t>Tikslinė gyventojų, dalyvavusių asmenų, priskirtinų širdies ir kraujagyslių ligų didelės rizikos grupei, atrankos ir prevencijos priemonių finansavimo programoje, dalis nuo visos tikslinės grupės (proc.)</w:t>
                    </w:r>
                  </w:p>
                </w:tc>
                <w:tc>
                  <w:tcPr>
                    <w:tcW w:w="1134" w:type="dxa"/>
                    <w:vAlign w:val="center"/>
                    <w:hideMark/>
                  </w:tcPr>
                  <w:p>
                    <w:pPr>
                      <w:jc w:val="center"/>
                      <w:rPr>
                        <w:sz w:val="20"/>
                      </w:rPr>
                    </w:pPr>
                    <w:r>
                      <w:rPr>
                        <w:sz w:val="20"/>
                      </w:rPr>
                      <w:t>HI (SvS)</w:t>
                    </w:r>
                  </w:p>
                </w:tc>
                <w:tc>
                  <w:tcPr>
                    <w:tcW w:w="1134" w:type="dxa"/>
                    <w:noWrap/>
                    <w:vAlign w:val="center"/>
                    <w:hideMark/>
                  </w:tcPr>
                  <w:p>
                    <w:pPr>
                      <w:jc w:val="center"/>
                      <w:rPr>
                        <w:sz w:val="20"/>
                      </w:rPr>
                    </w:pPr>
                    <w:r>
                      <w:rPr>
                        <w:sz w:val="20"/>
                      </w:rPr>
                      <w:t>64 (2022)</w:t>
                    </w:r>
                  </w:p>
                </w:tc>
                <w:tc>
                  <w:tcPr>
                    <w:tcW w:w="1134" w:type="dxa"/>
                    <w:noWrap/>
                    <w:vAlign w:val="center"/>
                    <w:hideMark/>
                  </w:tcPr>
                  <w:p>
                    <w:pPr>
                      <w:jc w:val="center"/>
                      <w:rPr>
                        <w:sz w:val="20"/>
                      </w:rPr>
                    </w:pPr>
                    <w:r>
                      <w:rPr>
                        <w:sz w:val="20"/>
                      </w:rPr>
                      <w:t>75 (2033)</w:t>
                    </w:r>
                  </w:p>
                </w:tc>
              </w:tr>
              <w:tr>
                <w:trPr>
                  <w:trHeight w:val="520"/>
                  <w:jc w:val="center"/>
                </w:trPr>
                <w:tc>
                  <w:tcPr>
                    <w:tcW w:w="988" w:type="dxa"/>
                    <w:vMerge/>
                    <w:hideMark/>
                  </w:tcPr>
                  <w:p>
                    <w:pPr>
                      <w:rPr>
                        <w:sz w:val="20"/>
                      </w:rPr>
                    </w:pPr>
                  </w:p>
                </w:tc>
                <w:tc>
                  <w:tcPr>
                    <w:tcW w:w="2126" w:type="dxa"/>
                    <w:vMerge/>
                    <w:hideMark/>
                  </w:tcPr>
                  <w:p>
                    <w:pPr>
                      <w:rPr>
                        <w:sz w:val="20"/>
                      </w:rPr>
                    </w:pPr>
                  </w:p>
                </w:tc>
                <w:tc>
                  <w:tcPr>
                    <w:tcW w:w="850" w:type="dxa"/>
                    <w:vMerge/>
                    <w:hideMark/>
                  </w:tcPr>
                  <w:p>
                    <w:pPr>
                      <w:rPr>
                        <w:sz w:val="20"/>
                      </w:rPr>
                    </w:pPr>
                  </w:p>
                </w:tc>
                <w:tc>
                  <w:tcPr>
                    <w:tcW w:w="709" w:type="dxa"/>
                    <w:vMerge/>
                    <w:hideMark/>
                  </w:tcPr>
                  <w:p>
                    <w:pPr>
                      <w:rPr>
                        <w:sz w:val="20"/>
                      </w:rPr>
                    </w:pPr>
                  </w:p>
                </w:tc>
                <w:tc>
                  <w:tcPr>
                    <w:tcW w:w="709" w:type="dxa"/>
                    <w:vMerge/>
                    <w:hideMark/>
                  </w:tcPr>
                  <w:p>
                    <w:pPr>
                      <w:rPr>
                        <w:sz w:val="20"/>
                      </w:rPr>
                    </w:pPr>
                  </w:p>
                </w:tc>
                <w:tc>
                  <w:tcPr>
                    <w:tcW w:w="1417" w:type="dxa"/>
                    <w:noWrap/>
                    <w:vAlign w:val="center"/>
                    <w:hideMark/>
                  </w:tcPr>
                  <w:p>
                    <w:pPr>
                      <w:rPr>
                        <w:sz w:val="20"/>
                      </w:rPr>
                    </w:pPr>
                    <w:r>
                      <w:rPr>
                        <w:sz w:val="20"/>
                      </w:rPr>
                      <w:t>P-19-01-02-02</w:t>
                    </w:r>
                  </w:p>
                </w:tc>
                <w:tc>
                  <w:tcPr>
                    <w:tcW w:w="4111" w:type="dxa"/>
                    <w:vAlign w:val="center"/>
                    <w:hideMark/>
                  </w:tcPr>
                  <w:p>
                    <w:pPr>
                      <w:rPr>
                        <w:sz w:val="20"/>
                      </w:rPr>
                    </w:pPr>
                    <w:r>
                      <w:rPr>
                        <w:sz w:val="20"/>
                      </w:rPr>
                      <w:t>Sveikatinimo iniciatyvose dalyvavusių asmenų skaičius (asm.)</w:t>
                    </w:r>
                  </w:p>
                </w:tc>
                <w:tc>
                  <w:tcPr>
                    <w:tcW w:w="1134" w:type="dxa"/>
                    <w:vAlign w:val="center"/>
                    <w:hideMark/>
                  </w:tcPr>
                  <w:p>
                    <w:pPr>
                      <w:jc w:val="center"/>
                      <w:rPr>
                        <w:sz w:val="20"/>
                      </w:rPr>
                    </w:pPr>
                    <w:r>
                      <w:rPr>
                        <w:sz w:val="20"/>
                      </w:rPr>
                      <w:t>SvS</w:t>
                    </w:r>
                  </w:p>
                </w:tc>
                <w:tc>
                  <w:tcPr>
                    <w:tcW w:w="1134" w:type="dxa"/>
                    <w:noWrap/>
                    <w:vAlign w:val="center"/>
                    <w:hideMark/>
                  </w:tcPr>
                  <w:p>
                    <w:pPr>
                      <w:jc w:val="center"/>
                      <w:rPr>
                        <w:sz w:val="20"/>
                      </w:rPr>
                    </w:pPr>
                    <w:r>
                      <w:rPr>
                        <w:sz w:val="20"/>
                      </w:rPr>
                      <w:t>13000 (2023)</w:t>
                    </w:r>
                  </w:p>
                </w:tc>
                <w:tc>
                  <w:tcPr>
                    <w:tcW w:w="1134" w:type="dxa"/>
                    <w:noWrap/>
                    <w:vAlign w:val="center"/>
                    <w:hideMark/>
                  </w:tcPr>
                  <w:p>
                    <w:pPr>
                      <w:jc w:val="center"/>
                      <w:rPr>
                        <w:sz w:val="20"/>
                      </w:rPr>
                    </w:pPr>
                    <w:r>
                      <w:rPr>
                        <w:sz w:val="20"/>
                      </w:rPr>
                      <w:t>18000 (2033)</w:t>
                    </w:r>
                  </w:p>
                </w:tc>
              </w:tr>
              <w:tr>
                <w:trPr>
                  <w:trHeight w:val="459"/>
                  <w:jc w:val="center"/>
                </w:trPr>
                <w:tc>
                  <w:tcPr>
                    <w:tcW w:w="988" w:type="dxa"/>
                    <w:vMerge/>
                    <w:hideMark/>
                  </w:tcPr>
                  <w:p>
                    <w:pPr>
                      <w:rPr>
                        <w:sz w:val="20"/>
                      </w:rPr>
                    </w:pPr>
                  </w:p>
                </w:tc>
                <w:tc>
                  <w:tcPr>
                    <w:tcW w:w="2126" w:type="dxa"/>
                    <w:vMerge/>
                    <w:hideMark/>
                  </w:tcPr>
                  <w:p>
                    <w:pPr>
                      <w:rPr>
                        <w:sz w:val="20"/>
                      </w:rPr>
                    </w:pPr>
                  </w:p>
                </w:tc>
                <w:tc>
                  <w:tcPr>
                    <w:tcW w:w="850" w:type="dxa"/>
                    <w:vMerge/>
                    <w:hideMark/>
                  </w:tcPr>
                  <w:p>
                    <w:pPr>
                      <w:rPr>
                        <w:sz w:val="20"/>
                      </w:rPr>
                    </w:pPr>
                  </w:p>
                </w:tc>
                <w:tc>
                  <w:tcPr>
                    <w:tcW w:w="709" w:type="dxa"/>
                    <w:vMerge/>
                    <w:hideMark/>
                  </w:tcPr>
                  <w:p>
                    <w:pPr>
                      <w:rPr>
                        <w:sz w:val="20"/>
                      </w:rPr>
                    </w:pPr>
                  </w:p>
                </w:tc>
                <w:tc>
                  <w:tcPr>
                    <w:tcW w:w="709" w:type="dxa"/>
                    <w:vMerge/>
                    <w:hideMark/>
                  </w:tcPr>
                  <w:p>
                    <w:pPr>
                      <w:rPr>
                        <w:sz w:val="20"/>
                      </w:rPr>
                    </w:pPr>
                  </w:p>
                </w:tc>
                <w:tc>
                  <w:tcPr>
                    <w:tcW w:w="1417" w:type="dxa"/>
                    <w:noWrap/>
                    <w:vAlign w:val="center"/>
                    <w:hideMark/>
                  </w:tcPr>
                  <w:p>
                    <w:pPr>
                      <w:rPr>
                        <w:sz w:val="20"/>
                      </w:rPr>
                    </w:pPr>
                    <w:r>
                      <w:rPr>
                        <w:sz w:val="20"/>
                      </w:rPr>
                      <w:t>P-19-01-02-03</w:t>
                    </w:r>
                  </w:p>
                </w:tc>
                <w:tc>
                  <w:tcPr>
                    <w:tcW w:w="4111" w:type="dxa"/>
                    <w:vAlign w:val="center"/>
                    <w:hideMark/>
                  </w:tcPr>
                  <w:p>
                    <w:pPr>
                      <w:rPr>
                        <w:sz w:val="20"/>
                      </w:rPr>
                    </w:pPr>
                    <w:r>
                      <w:rPr>
                        <w:sz w:val="20"/>
                      </w:rPr>
                      <w:t>Gyventojų, dalyvaujančių ŠVSB veiklose, dalis nuo visų gyventojų (proc.)</w:t>
                    </w:r>
                  </w:p>
                </w:tc>
                <w:tc>
                  <w:tcPr>
                    <w:tcW w:w="1134" w:type="dxa"/>
                    <w:vAlign w:val="center"/>
                    <w:hideMark/>
                  </w:tcPr>
                  <w:p>
                    <w:pPr>
                      <w:jc w:val="center"/>
                      <w:rPr>
                        <w:sz w:val="20"/>
                      </w:rPr>
                    </w:pPr>
                    <w:r>
                      <w:rPr>
                        <w:sz w:val="20"/>
                      </w:rPr>
                      <w:t>ŠVSB</w:t>
                    </w:r>
                  </w:p>
                </w:tc>
                <w:tc>
                  <w:tcPr>
                    <w:tcW w:w="1134" w:type="dxa"/>
                    <w:noWrap/>
                    <w:vAlign w:val="center"/>
                    <w:hideMark/>
                  </w:tcPr>
                  <w:p>
                    <w:pPr>
                      <w:jc w:val="center"/>
                      <w:rPr>
                        <w:sz w:val="20"/>
                      </w:rPr>
                    </w:pPr>
                    <w:r>
                      <w:rPr>
                        <w:sz w:val="20"/>
                      </w:rPr>
                      <w:t>34,2 (2023)</w:t>
                    </w:r>
                  </w:p>
                </w:tc>
                <w:tc>
                  <w:tcPr>
                    <w:tcW w:w="1134" w:type="dxa"/>
                    <w:noWrap/>
                    <w:vAlign w:val="center"/>
                    <w:hideMark/>
                  </w:tcPr>
                  <w:p>
                    <w:pPr>
                      <w:jc w:val="center"/>
                      <w:rPr>
                        <w:sz w:val="20"/>
                      </w:rPr>
                    </w:pPr>
                    <w:r>
                      <w:rPr>
                        <w:sz w:val="20"/>
                      </w:rPr>
                      <w:t>38,4 (2033)</w:t>
                    </w:r>
                  </w:p>
                </w:tc>
              </w:tr>
              <w:tr>
                <w:trPr>
                  <w:trHeight w:val="689"/>
                  <w:jc w:val="center"/>
                </w:trPr>
                <w:tc>
                  <w:tcPr>
                    <w:tcW w:w="988" w:type="dxa"/>
                    <w:vMerge w:val="restart"/>
                    <w:noWrap/>
                    <w:vAlign w:val="center"/>
                    <w:hideMark/>
                  </w:tcPr>
                  <w:p>
                    <w:pPr>
                      <w:rPr>
                        <w:sz w:val="20"/>
                      </w:rPr>
                    </w:pPr>
                    <w:r>
                      <w:rPr>
                        <w:sz w:val="20"/>
                      </w:rPr>
                      <w:t>19-01-03</w:t>
                    </w:r>
                  </w:p>
                </w:tc>
                <w:tc>
                  <w:tcPr>
                    <w:tcW w:w="2126" w:type="dxa"/>
                    <w:vMerge w:val="restart"/>
                    <w:vAlign w:val="center"/>
                    <w:hideMark/>
                  </w:tcPr>
                  <w:p>
                    <w:pPr>
                      <w:rPr>
                        <w:sz w:val="20"/>
                      </w:rPr>
                    </w:pPr>
                    <w:r>
                      <w:rPr>
                        <w:sz w:val="20"/>
                      </w:rPr>
                      <w:t>Užtikrinti platesnį psichoemocinės pagalbos prieinamumą</w:t>
                    </w:r>
                  </w:p>
                </w:tc>
                <w:tc>
                  <w:tcPr>
                    <w:tcW w:w="850" w:type="dxa"/>
                    <w:vMerge w:val="restart"/>
                    <w:noWrap/>
                    <w:vAlign w:val="center"/>
                    <w:hideMark/>
                  </w:tcPr>
                  <w:p>
                    <w:pPr>
                      <w:jc w:val="center"/>
                      <w:rPr>
                        <w:sz w:val="20"/>
                      </w:rPr>
                    </w:pPr>
                    <w:r>
                      <w:rPr>
                        <w:sz w:val="20"/>
                      </w:rPr>
                      <w:t>SvS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vMerge w:val="restart"/>
                    <w:noWrap/>
                    <w:vAlign w:val="center"/>
                    <w:hideMark/>
                  </w:tcPr>
                  <w:p>
                    <w:pPr>
                      <w:rPr>
                        <w:sz w:val="20"/>
                      </w:rPr>
                    </w:pPr>
                    <w:r>
                      <w:rPr>
                        <w:sz w:val="20"/>
                      </w:rPr>
                      <w:t>P-19-01-03-01</w:t>
                    </w:r>
                  </w:p>
                </w:tc>
                <w:tc>
                  <w:tcPr>
                    <w:tcW w:w="4111" w:type="dxa"/>
                    <w:vAlign w:val="center"/>
                    <w:hideMark/>
                  </w:tcPr>
                  <w:p>
                    <w:pPr>
                      <w:rPr>
                        <w:sz w:val="20"/>
                      </w:rPr>
                    </w:pPr>
                    <w:r>
                      <w:rPr>
                        <w:sz w:val="20"/>
                      </w:rPr>
                      <w:t>Asmenų, gavusių psichologinės gerovės ir psichikos sveikatos stiprinimo paslaugas, skaičius (asm. per metus):</w:t>
                    </w:r>
                  </w:p>
                </w:tc>
                <w:tc>
                  <w:tcPr>
                    <w:tcW w:w="1134" w:type="dxa"/>
                    <w:vAlign w:val="center"/>
                    <w:hideMark/>
                  </w:tcPr>
                  <w:p>
                    <w:pPr>
                      <w:jc w:val="center"/>
                      <w:rPr>
                        <w:sz w:val="20"/>
                      </w:rPr>
                    </w:pPr>
                    <w:r>
                      <w:rPr>
                        <w:sz w:val="20"/>
                      </w:rPr>
                      <w:t>SvS</w:t>
                    </w:r>
                  </w:p>
                </w:tc>
                <w:tc>
                  <w:tcPr>
                    <w:tcW w:w="1134" w:type="dxa"/>
                    <w:noWrap/>
                    <w:vAlign w:val="center"/>
                    <w:hideMark/>
                  </w:tcPr>
                  <w:p>
                    <w:pPr>
                      <w:jc w:val="center"/>
                      <w:rPr>
                        <w:sz w:val="20"/>
                      </w:rPr>
                    </w:pPr>
                    <w:r>
                      <w:rPr>
                        <w:sz w:val="20"/>
                      </w:rPr>
                      <w:t>35008 (2023)</w:t>
                    </w:r>
                  </w:p>
                </w:tc>
                <w:tc>
                  <w:tcPr>
                    <w:tcW w:w="1134" w:type="dxa"/>
                    <w:noWrap/>
                    <w:vAlign w:val="center"/>
                    <w:hideMark/>
                  </w:tcPr>
                  <w:p>
                    <w:pPr>
                      <w:jc w:val="center"/>
                      <w:rPr>
                        <w:sz w:val="20"/>
                      </w:rPr>
                    </w:pPr>
                    <w:r>
                      <w:rPr>
                        <w:sz w:val="20"/>
                      </w:rPr>
                      <w:t>39909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Merge/>
                    <w:vAlign w:val="center"/>
                    <w:hideMark/>
                  </w:tcPr>
                  <w:p>
                    <w:pPr>
                      <w:rPr>
                        <w:sz w:val="20"/>
                      </w:rPr>
                    </w:pPr>
                  </w:p>
                </w:tc>
                <w:tc>
                  <w:tcPr>
                    <w:tcW w:w="4111" w:type="dxa"/>
                    <w:vAlign w:val="center"/>
                    <w:hideMark/>
                  </w:tcPr>
                  <w:p>
                    <w:pPr>
                      <w:rPr>
                        <w:sz w:val="20"/>
                      </w:rPr>
                    </w:pPr>
                    <w:r>
                      <w:rPr>
                        <w:sz w:val="20"/>
                      </w:rPr>
                      <w:t>Šiaulių miesto savivaldybės visuomenės sveikatos biuras</w:t>
                    </w:r>
                  </w:p>
                </w:tc>
                <w:tc>
                  <w:tcPr>
                    <w:tcW w:w="1134" w:type="dxa"/>
                    <w:vAlign w:val="center"/>
                    <w:hideMark/>
                  </w:tcPr>
                  <w:p>
                    <w:pPr>
                      <w:jc w:val="center"/>
                      <w:rPr>
                        <w:sz w:val="20"/>
                      </w:rPr>
                    </w:pPr>
                    <w:r>
                      <w:rPr>
                        <w:sz w:val="20"/>
                      </w:rPr>
                      <w:t>ŠVSB</w:t>
                    </w:r>
                  </w:p>
                </w:tc>
                <w:tc>
                  <w:tcPr>
                    <w:tcW w:w="1134" w:type="dxa"/>
                    <w:noWrap/>
                    <w:vAlign w:val="center"/>
                    <w:hideMark/>
                  </w:tcPr>
                  <w:p>
                    <w:pPr>
                      <w:jc w:val="center"/>
                      <w:rPr>
                        <w:sz w:val="20"/>
                      </w:rPr>
                    </w:pPr>
                    <w:r>
                      <w:rPr>
                        <w:sz w:val="20"/>
                      </w:rPr>
                      <w:t>1077 (2023)</w:t>
                    </w:r>
                  </w:p>
                </w:tc>
                <w:tc>
                  <w:tcPr>
                    <w:tcW w:w="1134" w:type="dxa"/>
                    <w:noWrap/>
                    <w:vAlign w:val="center"/>
                    <w:hideMark/>
                  </w:tcPr>
                  <w:p>
                    <w:pPr>
                      <w:jc w:val="center"/>
                      <w:rPr>
                        <w:sz w:val="20"/>
                      </w:rPr>
                    </w:pPr>
                    <w:r>
                      <w:rPr>
                        <w:sz w:val="20"/>
                      </w:rPr>
                      <w:t>2800 (2033)</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Merge/>
                    <w:vAlign w:val="center"/>
                    <w:hideMark/>
                  </w:tcPr>
                  <w:p>
                    <w:pPr>
                      <w:rPr>
                        <w:sz w:val="20"/>
                      </w:rPr>
                    </w:pPr>
                  </w:p>
                </w:tc>
                <w:tc>
                  <w:tcPr>
                    <w:tcW w:w="4111" w:type="dxa"/>
                    <w:vAlign w:val="center"/>
                    <w:hideMark/>
                  </w:tcPr>
                  <w:p>
                    <w:pPr>
                      <w:rPr>
                        <w:sz w:val="20"/>
                      </w:rPr>
                    </w:pPr>
                    <w:r>
                      <w:rPr>
                        <w:sz w:val="20"/>
                      </w:rPr>
                      <w:t>VšĮ Šiaulių centro poliklinikos Psichikos sveikatos centras</w:t>
                    </w:r>
                  </w:p>
                </w:tc>
                <w:tc>
                  <w:tcPr>
                    <w:tcW w:w="1134" w:type="dxa"/>
                    <w:vAlign w:val="center"/>
                    <w:hideMark/>
                  </w:tcPr>
                  <w:p>
                    <w:pPr>
                      <w:jc w:val="center"/>
                      <w:rPr>
                        <w:sz w:val="20"/>
                      </w:rPr>
                    </w:pPr>
                    <w:r>
                      <w:rPr>
                        <w:sz w:val="20"/>
                      </w:rPr>
                      <w:t>SPĮ</w:t>
                    </w:r>
                  </w:p>
                </w:tc>
                <w:tc>
                  <w:tcPr>
                    <w:tcW w:w="1134" w:type="dxa"/>
                    <w:noWrap/>
                    <w:vAlign w:val="center"/>
                    <w:hideMark/>
                  </w:tcPr>
                  <w:p>
                    <w:pPr>
                      <w:jc w:val="center"/>
                      <w:rPr>
                        <w:sz w:val="20"/>
                      </w:rPr>
                    </w:pPr>
                    <w:r>
                      <w:rPr>
                        <w:sz w:val="20"/>
                      </w:rPr>
                      <w:t>8446 (2023)</w:t>
                    </w:r>
                  </w:p>
                </w:tc>
                <w:tc>
                  <w:tcPr>
                    <w:tcW w:w="1134" w:type="dxa"/>
                    <w:noWrap/>
                    <w:vAlign w:val="center"/>
                    <w:hideMark/>
                  </w:tcPr>
                  <w:p>
                    <w:pPr>
                      <w:jc w:val="center"/>
                      <w:rPr>
                        <w:sz w:val="20"/>
                      </w:rPr>
                    </w:pPr>
                    <w:r>
                      <w:rPr>
                        <w:sz w:val="20"/>
                      </w:rPr>
                      <w:t>9237 (2033)</w:t>
                    </w:r>
                  </w:p>
                </w:tc>
              </w:tr>
              <w:tr>
                <w:trPr>
                  <w:trHeight w:val="26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vMerge/>
                    <w:vAlign w:val="center"/>
                    <w:hideMark/>
                  </w:tcPr>
                  <w:p>
                    <w:pPr>
                      <w:rPr>
                        <w:sz w:val="20"/>
                      </w:rPr>
                    </w:pPr>
                  </w:p>
                </w:tc>
                <w:tc>
                  <w:tcPr>
                    <w:tcW w:w="4111" w:type="dxa"/>
                    <w:vAlign w:val="center"/>
                    <w:hideMark/>
                  </w:tcPr>
                  <w:p>
                    <w:pPr>
                      <w:rPr>
                        <w:sz w:val="20"/>
                      </w:rPr>
                    </w:pPr>
                    <w:r>
                      <w:rPr>
                        <w:sz w:val="20"/>
                      </w:rPr>
                      <w:t>VšĮ Dainų pirminės sveikatos priežiūros centras</w:t>
                    </w:r>
                  </w:p>
                </w:tc>
                <w:tc>
                  <w:tcPr>
                    <w:tcW w:w="1134" w:type="dxa"/>
                    <w:vAlign w:val="center"/>
                    <w:hideMark/>
                  </w:tcPr>
                  <w:p>
                    <w:pPr>
                      <w:jc w:val="center"/>
                      <w:rPr>
                        <w:sz w:val="20"/>
                      </w:rPr>
                    </w:pPr>
                    <w:r>
                      <w:rPr>
                        <w:sz w:val="20"/>
                      </w:rPr>
                      <w:t>SPĮ</w:t>
                    </w:r>
                  </w:p>
                </w:tc>
                <w:tc>
                  <w:tcPr>
                    <w:tcW w:w="1134" w:type="dxa"/>
                    <w:noWrap/>
                    <w:vAlign w:val="center"/>
                    <w:hideMark/>
                  </w:tcPr>
                  <w:p>
                    <w:pPr>
                      <w:jc w:val="center"/>
                      <w:rPr>
                        <w:sz w:val="20"/>
                      </w:rPr>
                    </w:pPr>
                    <w:r>
                      <w:rPr>
                        <w:sz w:val="20"/>
                      </w:rPr>
                      <w:t>25485 (2023)</w:t>
                    </w:r>
                  </w:p>
                </w:tc>
                <w:tc>
                  <w:tcPr>
                    <w:tcW w:w="1134" w:type="dxa"/>
                    <w:noWrap/>
                    <w:vAlign w:val="center"/>
                    <w:hideMark/>
                  </w:tcPr>
                  <w:p>
                    <w:pPr>
                      <w:jc w:val="center"/>
                      <w:rPr>
                        <w:sz w:val="20"/>
                      </w:rPr>
                    </w:pPr>
                    <w:r>
                      <w:rPr>
                        <w:sz w:val="20"/>
                      </w:rPr>
                      <w:t>27872 (2033)</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jc w:val="center"/>
                      <w:rPr>
                        <w:sz w:val="20"/>
                      </w:rPr>
                    </w:pPr>
                  </w:p>
                </w:tc>
                <w:tc>
                  <w:tcPr>
                    <w:tcW w:w="709" w:type="dxa"/>
                    <w:vMerge/>
                    <w:vAlign w:val="center"/>
                    <w:hideMark/>
                  </w:tcPr>
                  <w:p>
                    <w:pPr>
                      <w:jc w:val="center"/>
                      <w:rPr>
                        <w:sz w:val="20"/>
                      </w:rPr>
                    </w:pPr>
                  </w:p>
                </w:tc>
                <w:tc>
                  <w:tcPr>
                    <w:tcW w:w="709" w:type="dxa"/>
                    <w:vMerge/>
                    <w:vAlign w:val="center"/>
                    <w:hideMark/>
                  </w:tcPr>
                  <w:p>
                    <w:pPr>
                      <w:jc w:val="center"/>
                      <w:rPr>
                        <w:sz w:val="20"/>
                      </w:rPr>
                    </w:pPr>
                  </w:p>
                </w:tc>
                <w:tc>
                  <w:tcPr>
                    <w:tcW w:w="1417" w:type="dxa"/>
                    <w:noWrap/>
                    <w:vAlign w:val="center"/>
                    <w:hideMark/>
                  </w:tcPr>
                  <w:p>
                    <w:pPr>
                      <w:rPr>
                        <w:sz w:val="20"/>
                      </w:rPr>
                    </w:pPr>
                    <w:r>
                      <w:rPr>
                        <w:sz w:val="20"/>
                      </w:rPr>
                      <w:t>P-19-01-03-02</w:t>
                    </w:r>
                  </w:p>
                </w:tc>
                <w:tc>
                  <w:tcPr>
                    <w:tcW w:w="4111" w:type="dxa"/>
                    <w:vAlign w:val="center"/>
                    <w:hideMark/>
                  </w:tcPr>
                  <w:p>
                    <w:pPr>
                      <w:rPr>
                        <w:sz w:val="20"/>
                      </w:rPr>
                    </w:pPr>
                    <w:r>
                      <w:rPr>
                        <w:sz w:val="20"/>
                      </w:rPr>
                      <w:t>Asmenų, dalyvavusių Socialinio recepto iniciatyvoje (asm.)</w:t>
                    </w:r>
                  </w:p>
                </w:tc>
                <w:tc>
                  <w:tcPr>
                    <w:tcW w:w="1134" w:type="dxa"/>
                    <w:vAlign w:val="center"/>
                    <w:hideMark/>
                  </w:tcPr>
                  <w:p>
                    <w:pPr>
                      <w:jc w:val="center"/>
                      <w:rPr>
                        <w:sz w:val="20"/>
                      </w:rPr>
                    </w:pPr>
                    <w:r>
                      <w:rPr>
                        <w:sz w:val="20"/>
                      </w:rPr>
                      <w:t>ŠVSB</w:t>
                    </w:r>
                  </w:p>
                </w:tc>
                <w:tc>
                  <w:tcPr>
                    <w:tcW w:w="1134" w:type="dxa"/>
                    <w:noWrap/>
                    <w:vAlign w:val="center"/>
                    <w:hideMark/>
                  </w:tcPr>
                  <w:p>
                    <w:pPr>
                      <w:jc w:val="center"/>
                      <w:rPr>
                        <w:sz w:val="20"/>
                      </w:rPr>
                    </w:pPr>
                    <w:r>
                      <w:rPr>
                        <w:sz w:val="20"/>
                      </w:rPr>
                      <w:t>117 (2023)</w:t>
                    </w:r>
                  </w:p>
                </w:tc>
                <w:tc>
                  <w:tcPr>
                    <w:tcW w:w="1134" w:type="dxa"/>
                    <w:noWrap/>
                    <w:vAlign w:val="center"/>
                    <w:hideMark/>
                  </w:tcPr>
                  <w:p>
                    <w:pPr>
                      <w:jc w:val="center"/>
                      <w:rPr>
                        <w:sz w:val="20"/>
                      </w:rPr>
                    </w:pPr>
                    <w:r>
                      <w:rPr>
                        <w:sz w:val="20"/>
                      </w:rPr>
                      <w:t>1440 (2033)</w:t>
                    </w:r>
                  </w:p>
                </w:tc>
              </w:tr>
              <w:tr>
                <w:trPr>
                  <w:trHeight w:val="520"/>
                  <w:jc w:val="center"/>
                </w:trPr>
                <w:tc>
                  <w:tcPr>
                    <w:tcW w:w="988" w:type="dxa"/>
                    <w:vMerge w:val="restart"/>
                    <w:noWrap/>
                    <w:vAlign w:val="center"/>
                    <w:hideMark/>
                  </w:tcPr>
                  <w:p>
                    <w:pPr>
                      <w:rPr>
                        <w:sz w:val="20"/>
                      </w:rPr>
                    </w:pPr>
                    <w:r>
                      <w:rPr>
                        <w:sz w:val="20"/>
                      </w:rPr>
                      <w:t>19-01-04</w:t>
                    </w:r>
                  </w:p>
                </w:tc>
                <w:tc>
                  <w:tcPr>
                    <w:tcW w:w="2126" w:type="dxa"/>
                    <w:vMerge w:val="restart"/>
                    <w:vAlign w:val="center"/>
                    <w:hideMark/>
                  </w:tcPr>
                  <w:p>
                    <w:pPr>
                      <w:rPr>
                        <w:sz w:val="20"/>
                      </w:rPr>
                    </w:pPr>
                    <w:r>
                      <w:rPr>
                        <w:sz w:val="20"/>
                      </w:rPr>
                      <w:t>Medicinos srities įvaizdžio gerinimas visuomenėje</w:t>
                    </w:r>
                  </w:p>
                </w:tc>
                <w:tc>
                  <w:tcPr>
                    <w:tcW w:w="850" w:type="dxa"/>
                    <w:vMerge w:val="restart"/>
                    <w:vAlign w:val="center"/>
                    <w:hideMark/>
                  </w:tcPr>
                  <w:p>
                    <w:pPr>
                      <w:jc w:val="center"/>
                      <w:rPr>
                        <w:sz w:val="20"/>
                      </w:rPr>
                    </w:pPr>
                    <w:r>
                      <w:rPr>
                        <w:sz w:val="20"/>
                      </w:rPr>
                      <w:t>SvS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2033</w:t>
                    </w:r>
                  </w:p>
                </w:tc>
                <w:tc>
                  <w:tcPr>
                    <w:tcW w:w="1417" w:type="dxa"/>
                    <w:noWrap/>
                    <w:vAlign w:val="center"/>
                    <w:hideMark/>
                  </w:tcPr>
                  <w:p>
                    <w:pPr>
                      <w:rPr>
                        <w:sz w:val="20"/>
                      </w:rPr>
                    </w:pPr>
                    <w:r>
                      <w:rPr>
                        <w:sz w:val="20"/>
                      </w:rPr>
                      <w:t>P-19-01-04-01</w:t>
                    </w:r>
                  </w:p>
                </w:tc>
                <w:tc>
                  <w:tcPr>
                    <w:tcW w:w="4111" w:type="dxa"/>
                    <w:vAlign w:val="center"/>
                    <w:hideMark/>
                  </w:tcPr>
                  <w:p>
                    <w:pPr>
                      <w:rPr>
                        <w:sz w:val="20"/>
                      </w:rPr>
                    </w:pPr>
                    <w:r>
                      <w:rPr>
                        <w:sz w:val="20"/>
                      </w:rPr>
                      <w:t>Švietimo įstaigų, dalyvavusių sveikatos srities patrauklumo didinimo projektuose, skaičius (vnt.)</w:t>
                    </w:r>
                  </w:p>
                </w:tc>
                <w:tc>
                  <w:tcPr>
                    <w:tcW w:w="1134" w:type="dxa"/>
                    <w:vAlign w:val="center"/>
                    <w:hideMark/>
                  </w:tcPr>
                  <w:p>
                    <w:pPr>
                      <w:jc w:val="center"/>
                      <w:rPr>
                        <w:sz w:val="20"/>
                      </w:rPr>
                    </w:pPr>
                    <w:r>
                      <w:rPr>
                        <w:sz w:val="20"/>
                      </w:rPr>
                      <w:t>SPĮ / SvS, NVO ir kt.</w:t>
                    </w:r>
                  </w:p>
                </w:tc>
                <w:tc>
                  <w:tcPr>
                    <w:tcW w:w="1134" w:type="dxa"/>
                    <w:noWrap/>
                    <w:vAlign w:val="center"/>
                    <w:hideMark/>
                  </w:tcPr>
                  <w:p>
                    <w:pPr>
                      <w:jc w:val="center"/>
                      <w:rPr>
                        <w:sz w:val="20"/>
                      </w:rPr>
                    </w:pPr>
                    <w:r>
                      <w:rPr>
                        <w:sz w:val="20"/>
                      </w:rPr>
                      <w:t>0 (2023)</w:t>
                    </w:r>
                  </w:p>
                </w:tc>
                <w:tc>
                  <w:tcPr>
                    <w:tcW w:w="1134" w:type="dxa"/>
                    <w:noWrap/>
                    <w:vAlign w:val="center"/>
                    <w:hideMark/>
                  </w:tcPr>
                  <w:p>
                    <w:pPr>
                      <w:jc w:val="center"/>
                      <w:rPr>
                        <w:sz w:val="20"/>
                      </w:rPr>
                    </w:pPr>
                    <w:r>
                      <w:rPr>
                        <w:sz w:val="20"/>
                      </w:rPr>
                      <w:t>56 (2033)</w:t>
                    </w:r>
                  </w:p>
                </w:tc>
              </w:tr>
              <w:tr>
                <w:trPr>
                  <w:trHeight w:val="80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P-19-01-04-02</w:t>
                    </w:r>
                  </w:p>
                </w:tc>
                <w:tc>
                  <w:tcPr>
                    <w:tcW w:w="4111" w:type="dxa"/>
                    <w:vAlign w:val="center"/>
                    <w:hideMark/>
                  </w:tcPr>
                  <w:p>
                    <w:pPr>
                      <w:rPr>
                        <w:sz w:val="20"/>
                      </w:rPr>
                    </w:pPr>
                    <w:r>
                      <w:rPr>
                        <w:sz w:val="20"/>
                      </w:rPr>
                      <w:t>Sveikatos priežiūros įstaigų darbuotojų, dalyvavusių „Klientų aptarnavimo kokybės gerinimo“ ir pan. mokymuose, dalis nuo visų darbuotojų (proc.)</w:t>
                    </w:r>
                  </w:p>
                </w:tc>
                <w:tc>
                  <w:tcPr>
                    <w:tcW w:w="1134" w:type="dxa"/>
                    <w:vAlign w:val="center"/>
                    <w:hideMark/>
                  </w:tcPr>
                  <w:p>
                    <w:pPr>
                      <w:jc w:val="center"/>
                      <w:rPr>
                        <w:sz w:val="20"/>
                      </w:rPr>
                    </w:pPr>
                    <w:r>
                      <w:rPr>
                        <w:sz w:val="20"/>
                      </w:rPr>
                      <w:t>SPĮ / SvS</w:t>
                    </w:r>
                  </w:p>
                </w:tc>
                <w:tc>
                  <w:tcPr>
                    <w:tcW w:w="1134" w:type="dxa"/>
                    <w:noWrap/>
                    <w:vAlign w:val="center"/>
                    <w:hideMark/>
                  </w:tcPr>
                  <w:p>
                    <w:pPr>
                      <w:jc w:val="center"/>
                      <w:rPr>
                        <w:sz w:val="20"/>
                      </w:rPr>
                    </w:pPr>
                    <w:r>
                      <w:rPr>
                        <w:sz w:val="20"/>
                      </w:rPr>
                      <w:t>n.d. (2023)</w:t>
                    </w:r>
                  </w:p>
                </w:tc>
                <w:tc>
                  <w:tcPr>
                    <w:tcW w:w="1134" w:type="dxa"/>
                    <w:noWrap/>
                    <w:vAlign w:val="center"/>
                    <w:hideMark/>
                  </w:tcPr>
                  <w:p>
                    <w:pPr>
                      <w:jc w:val="center"/>
                      <w:rPr>
                        <w:sz w:val="20"/>
                      </w:rPr>
                    </w:pPr>
                    <w:r>
                      <w:rPr>
                        <w:sz w:val="20"/>
                      </w:rPr>
                      <w:t>15 (2033)</w:t>
                    </w:r>
                  </w:p>
                </w:tc>
              </w:tr>
              <w:tr>
                <w:trPr>
                  <w:trHeight w:val="53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P-19-01-04-03</w:t>
                    </w:r>
                  </w:p>
                </w:tc>
                <w:tc>
                  <w:tcPr>
                    <w:tcW w:w="4111" w:type="dxa"/>
                    <w:vAlign w:val="center"/>
                    <w:hideMark/>
                  </w:tcPr>
                  <w:p>
                    <w:pPr>
                      <w:rPr>
                        <w:sz w:val="20"/>
                      </w:rPr>
                    </w:pPr>
                    <w:r>
                      <w:rPr>
                        <w:sz w:val="20"/>
                      </w:rPr>
                      <w:t>Daugiašalių bendradarbiavimo iniciatyvų, siekiant gerinti medicinos srities įvaizdį, skaičius (vnt.)</w:t>
                    </w:r>
                  </w:p>
                </w:tc>
                <w:tc>
                  <w:tcPr>
                    <w:tcW w:w="1134" w:type="dxa"/>
                    <w:vAlign w:val="center"/>
                    <w:hideMark/>
                  </w:tcPr>
                  <w:p>
                    <w:pPr>
                      <w:jc w:val="center"/>
                      <w:rPr>
                        <w:sz w:val="20"/>
                      </w:rPr>
                    </w:pPr>
                    <w:r>
                      <w:rPr>
                        <w:sz w:val="20"/>
                      </w:rPr>
                      <w:t>SPĮ / SvS, ŠĮ ir kt.</w:t>
                    </w:r>
                  </w:p>
                </w:tc>
                <w:tc>
                  <w:tcPr>
                    <w:tcW w:w="1134" w:type="dxa"/>
                    <w:noWrap/>
                    <w:vAlign w:val="center"/>
                    <w:hideMark/>
                  </w:tcPr>
                  <w:p>
                    <w:pPr>
                      <w:jc w:val="center"/>
                      <w:rPr>
                        <w:sz w:val="20"/>
                      </w:rPr>
                    </w:pPr>
                    <w:r>
                      <w:rPr>
                        <w:sz w:val="20"/>
                      </w:rPr>
                      <w:t>1 (2024)</w:t>
                    </w:r>
                  </w:p>
                </w:tc>
                <w:tc>
                  <w:tcPr>
                    <w:tcW w:w="1134" w:type="dxa"/>
                    <w:noWrap/>
                    <w:vAlign w:val="center"/>
                    <w:hideMark/>
                  </w:tcPr>
                  <w:p>
                    <w:pPr>
                      <w:jc w:val="center"/>
                      <w:rPr>
                        <w:sz w:val="20"/>
                      </w:rPr>
                    </w:pPr>
                    <w:r>
                      <w:rPr>
                        <w:sz w:val="20"/>
                      </w:rPr>
                      <w:t>9 (2033)</w:t>
                    </w:r>
                  </w:p>
                </w:tc>
              </w:tr>
              <w:tr>
                <w:trPr>
                  <w:trHeight w:val="1325"/>
                  <w:jc w:val="center"/>
                </w:trPr>
                <w:tc>
                  <w:tcPr>
                    <w:tcW w:w="988" w:type="dxa"/>
                    <w:shd w:val="clear" w:color="auto" w:fill="FCE4D6"/>
                    <w:noWrap/>
                    <w:vAlign w:val="center"/>
                    <w:hideMark/>
                  </w:tcPr>
                  <w:p>
                    <w:pPr>
                      <w:rPr>
                        <w:b/>
                        <w:bCs/>
                        <w:sz w:val="20"/>
                      </w:rPr>
                    </w:pPr>
                    <w:r>
                      <w:rPr>
                        <w:b/>
                        <w:bCs/>
                        <w:sz w:val="20"/>
                      </w:rPr>
                      <w:t>19-02</w:t>
                    </w:r>
                  </w:p>
                </w:tc>
                <w:tc>
                  <w:tcPr>
                    <w:tcW w:w="2126" w:type="dxa"/>
                    <w:shd w:val="clear" w:color="auto" w:fill="FCE4D6"/>
                    <w:vAlign w:val="center"/>
                    <w:hideMark/>
                  </w:tcPr>
                  <w:p>
                    <w:pPr>
                      <w:rPr>
                        <w:b/>
                        <w:bCs/>
                        <w:sz w:val="20"/>
                      </w:rPr>
                    </w:pPr>
                    <w:r>
                      <w:rPr>
                        <w:b/>
                        <w:bCs/>
                        <w:sz w:val="20"/>
                      </w:rPr>
                      <w:t>Užtikrinti asmens sveikatos priežiūros paslaugų prieinamumą ir kokybę, atnaujinant esamą bei įrengiant naują infrastruktūrą</w:t>
                    </w:r>
                  </w:p>
                </w:tc>
                <w:tc>
                  <w:tcPr>
                    <w:tcW w:w="850" w:type="dxa"/>
                    <w:shd w:val="clear" w:color="auto" w:fill="FCE4D6"/>
                    <w:noWrap/>
                    <w:vAlign w:val="center"/>
                    <w:hideMark/>
                  </w:tcPr>
                  <w:p>
                    <w:pPr>
                      <w:jc w:val="center"/>
                      <w:rPr>
                        <w:sz w:val="20"/>
                      </w:rPr>
                    </w:pPr>
                    <w:r>
                      <w:rPr>
                        <w:sz w:val="20"/>
                      </w:rPr>
                      <w:t>SvS</w:t>
                    </w:r>
                  </w:p>
                </w:tc>
                <w:tc>
                  <w:tcPr>
                    <w:tcW w:w="709" w:type="dxa"/>
                    <w:shd w:val="clear" w:color="auto" w:fill="FCE4D6"/>
                    <w:noWrap/>
                    <w:vAlign w:val="center"/>
                    <w:hideMark/>
                  </w:tcPr>
                  <w:p>
                    <w:pPr>
                      <w:jc w:val="center"/>
                      <w:rPr>
                        <w:sz w:val="20"/>
                      </w:rPr>
                    </w:pPr>
                    <w:r>
                      <w:rPr>
                        <w:sz w:val="20"/>
                      </w:rPr>
                      <w:t>2025</w:t>
                    </w:r>
                  </w:p>
                </w:tc>
                <w:tc>
                  <w:tcPr>
                    <w:tcW w:w="709" w:type="dxa"/>
                    <w:shd w:val="clear" w:color="auto" w:fill="FCE4D6"/>
                    <w:noWrap/>
                    <w:vAlign w:val="center"/>
                    <w:hideMark/>
                  </w:tcPr>
                  <w:p>
                    <w:pPr>
                      <w:jc w:val="center"/>
                      <w:rPr>
                        <w:sz w:val="20"/>
                      </w:rPr>
                    </w:pPr>
                    <w:r>
                      <w:rPr>
                        <w:sz w:val="20"/>
                      </w:rPr>
                      <w:t>2033</w:t>
                    </w:r>
                  </w:p>
                </w:tc>
                <w:tc>
                  <w:tcPr>
                    <w:tcW w:w="1417" w:type="dxa"/>
                    <w:shd w:val="clear" w:color="auto" w:fill="FCE4D6"/>
                    <w:noWrap/>
                    <w:vAlign w:val="center"/>
                    <w:hideMark/>
                  </w:tcPr>
                  <w:p>
                    <w:pPr>
                      <w:rPr>
                        <w:sz w:val="20"/>
                      </w:rPr>
                    </w:pPr>
                    <w:r>
                      <w:rPr>
                        <w:sz w:val="20"/>
                      </w:rPr>
                      <w:t>R-19-02-01</w:t>
                    </w:r>
                  </w:p>
                </w:tc>
                <w:tc>
                  <w:tcPr>
                    <w:tcW w:w="4111" w:type="dxa"/>
                    <w:shd w:val="clear" w:color="auto" w:fill="FCE4D6"/>
                    <w:vAlign w:val="center"/>
                    <w:hideMark/>
                  </w:tcPr>
                  <w:p>
                    <w:pPr>
                      <w:rPr>
                        <w:sz w:val="20"/>
                      </w:rPr>
                    </w:pPr>
                    <w:r>
                      <w:rPr>
                        <w:sz w:val="20"/>
                      </w:rPr>
                      <w:t>Savivaldybės sveikatos įstaigų pastatų, kurie yra geros būklės, skaičius nuo visų sveikatos įstaigų pastatų skaičiaus (vnt. / vnt.)</w:t>
                    </w:r>
                  </w:p>
                </w:tc>
                <w:tc>
                  <w:tcPr>
                    <w:tcW w:w="1134" w:type="dxa"/>
                    <w:shd w:val="clear" w:color="auto" w:fill="FCE4D6"/>
                    <w:vAlign w:val="center"/>
                    <w:hideMark/>
                  </w:tcPr>
                  <w:p>
                    <w:pPr>
                      <w:jc w:val="center"/>
                      <w:rPr>
                        <w:sz w:val="20"/>
                      </w:rPr>
                    </w:pPr>
                    <w:r>
                      <w:rPr>
                        <w:sz w:val="20"/>
                      </w:rPr>
                      <w:t>ŠMSA (SvS)</w:t>
                    </w:r>
                  </w:p>
                </w:tc>
                <w:tc>
                  <w:tcPr>
                    <w:tcW w:w="1134" w:type="dxa"/>
                    <w:shd w:val="clear" w:color="auto" w:fill="FCE4D6"/>
                    <w:noWrap/>
                    <w:vAlign w:val="center"/>
                    <w:hideMark/>
                  </w:tcPr>
                  <w:p>
                    <w:pPr>
                      <w:jc w:val="center"/>
                      <w:rPr>
                        <w:sz w:val="20"/>
                      </w:rPr>
                    </w:pPr>
                    <w:r>
                      <w:rPr>
                        <w:sz w:val="20"/>
                      </w:rPr>
                      <w:t>2/9 (2024)</w:t>
                    </w:r>
                  </w:p>
                </w:tc>
                <w:tc>
                  <w:tcPr>
                    <w:tcW w:w="1134" w:type="dxa"/>
                    <w:shd w:val="clear" w:color="auto" w:fill="FCE4D6"/>
                    <w:noWrap/>
                    <w:vAlign w:val="center"/>
                    <w:hideMark/>
                  </w:tcPr>
                  <w:p>
                    <w:pPr>
                      <w:jc w:val="center"/>
                      <w:rPr>
                        <w:sz w:val="20"/>
                      </w:rPr>
                    </w:pPr>
                    <w:r>
                      <w:rPr>
                        <w:sz w:val="20"/>
                      </w:rPr>
                      <w:t>9/9 (2033)</w:t>
                    </w:r>
                  </w:p>
                </w:tc>
              </w:tr>
              <w:tr>
                <w:trPr>
                  <w:trHeight w:val="358"/>
                  <w:jc w:val="center"/>
                </w:trPr>
                <w:tc>
                  <w:tcPr>
                    <w:tcW w:w="988" w:type="dxa"/>
                    <w:vMerge w:val="restart"/>
                    <w:noWrap/>
                    <w:vAlign w:val="center"/>
                    <w:hideMark/>
                  </w:tcPr>
                  <w:p>
                    <w:pPr>
                      <w:rPr>
                        <w:sz w:val="20"/>
                      </w:rPr>
                    </w:pPr>
                    <w:r>
                      <w:rPr>
                        <w:sz w:val="20"/>
                      </w:rPr>
                      <w:t>19-02-01</w:t>
                    </w:r>
                  </w:p>
                </w:tc>
                <w:tc>
                  <w:tcPr>
                    <w:tcW w:w="2126" w:type="dxa"/>
                    <w:vMerge w:val="restart"/>
                    <w:vAlign w:val="center"/>
                    <w:hideMark/>
                  </w:tcPr>
                  <w:p>
                    <w:pPr>
                      <w:rPr>
                        <w:sz w:val="20"/>
                      </w:rPr>
                    </w:pPr>
                    <w:r>
                      <w:rPr>
                        <w:sz w:val="20"/>
                      </w:rPr>
                      <w:t>Atnaujinti ir modernizuoti asmens sveikatos priežiūros įstaigas</w:t>
                    </w:r>
                  </w:p>
                </w:tc>
                <w:tc>
                  <w:tcPr>
                    <w:tcW w:w="850" w:type="dxa"/>
                    <w:vMerge w:val="restart"/>
                    <w:noWrap/>
                    <w:vAlign w:val="center"/>
                    <w:hideMark/>
                  </w:tcPr>
                  <w:p>
                    <w:pPr>
                      <w:jc w:val="center"/>
                      <w:rPr>
                        <w:sz w:val="20"/>
                      </w:rPr>
                    </w:pPr>
                    <w:r>
                      <w:rPr>
                        <w:sz w:val="20"/>
                      </w:rPr>
                      <w:t>SvS</w:t>
                    </w:r>
                  </w:p>
                </w:tc>
                <w:tc>
                  <w:tcPr>
                    <w:tcW w:w="709" w:type="dxa"/>
                    <w:vMerge w:val="restart"/>
                    <w:noWrap/>
                    <w:vAlign w:val="center"/>
                    <w:hideMark/>
                  </w:tcPr>
                  <w:p>
                    <w:pPr>
                      <w:jc w:val="center"/>
                      <w:rPr>
                        <w:sz w:val="20"/>
                      </w:rPr>
                    </w:pPr>
                    <w:r>
                      <w:rPr>
                        <w:sz w:val="20"/>
                      </w:rPr>
                      <w:t>2025</w:t>
                    </w:r>
                  </w:p>
                </w:tc>
                <w:tc>
                  <w:tcPr>
                    <w:tcW w:w="709" w:type="dxa"/>
                    <w:vMerge w:val="restart"/>
                    <w:noWrap/>
                    <w:vAlign w:val="center"/>
                    <w:hideMark/>
                  </w:tcPr>
                  <w:p>
                    <w:pPr>
                      <w:jc w:val="center"/>
                      <w:rPr>
                        <w:sz w:val="20"/>
                      </w:rPr>
                    </w:pPr>
                    <w:r>
                      <w:rPr>
                        <w:sz w:val="20"/>
                      </w:rPr>
                      <w:t>2031</w:t>
                    </w:r>
                  </w:p>
                </w:tc>
                <w:tc>
                  <w:tcPr>
                    <w:tcW w:w="1417" w:type="dxa"/>
                    <w:noWrap/>
                    <w:vAlign w:val="center"/>
                    <w:hideMark/>
                  </w:tcPr>
                  <w:p>
                    <w:pPr>
                      <w:rPr>
                        <w:sz w:val="20"/>
                      </w:rPr>
                    </w:pPr>
                    <w:r>
                      <w:rPr>
                        <w:sz w:val="20"/>
                      </w:rPr>
                      <w:t>P-19-02-01-01</w:t>
                    </w:r>
                  </w:p>
                </w:tc>
                <w:tc>
                  <w:tcPr>
                    <w:tcW w:w="4111" w:type="dxa"/>
                    <w:vAlign w:val="center"/>
                    <w:hideMark/>
                  </w:tcPr>
                  <w:p>
                    <w:pPr>
                      <w:rPr>
                        <w:sz w:val="20"/>
                      </w:rPr>
                    </w:pPr>
                    <w:r>
                      <w:rPr>
                        <w:sz w:val="20"/>
                      </w:rPr>
                      <w:t>Renovuotų / modernizuotų sveikatos įstaigų, plečiant I ir II lygio paslaugas, skaičius (vnt.)</w:t>
                    </w:r>
                  </w:p>
                </w:tc>
                <w:tc>
                  <w:tcPr>
                    <w:tcW w:w="1134" w:type="dxa"/>
                    <w:vAlign w:val="center"/>
                    <w:hideMark/>
                  </w:tcPr>
                  <w:p>
                    <w:pPr>
                      <w:jc w:val="center"/>
                      <w:rPr>
                        <w:sz w:val="20"/>
                      </w:rPr>
                    </w:pPr>
                    <w:r>
                      <w:rPr>
                        <w:sz w:val="20"/>
                      </w:rPr>
                      <w:t>SvS / SPĮ</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8 (2027)</w:t>
                    </w:r>
                  </w:p>
                </w:tc>
              </w:tr>
              <w:tr>
                <w:trPr>
                  <w:trHeight w:val="393"/>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P-19-02-01-02</w:t>
                    </w:r>
                  </w:p>
                </w:tc>
                <w:tc>
                  <w:tcPr>
                    <w:tcW w:w="4111" w:type="dxa"/>
                    <w:vAlign w:val="center"/>
                    <w:hideMark/>
                  </w:tcPr>
                  <w:p>
                    <w:pPr>
                      <w:rPr>
                        <w:sz w:val="20"/>
                      </w:rPr>
                    </w:pPr>
                    <w:r>
                      <w:rPr>
                        <w:sz w:val="20"/>
                      </w:rPr>
                      <w:t>Įkurtas specializuotas dienos priežiūros centras (vnt.)</w:t>
                    </w:r>
                  </w:p>
                </w:tc>
                <w:tc>
                  <w:tcPr>
                    <w:tcW w:w="1134" w:type="dxa"/>
                    <w:vAlign w:val="center"/>
                    <w:hideMark/>
                  </w:tcPr>
                  <w:p>
                    <w:pPr>
                      <w:jc w:val="center"/>
                      <w:rPr>
                        <w:sz w:val="20"/>
                      </w:rPr>
                    </w:pPr>
                    <w:r>
                      <w:rPr>
                        <w:sz w:val="20"/>
                      </w:rPr>
                      <w:t>SvS / SPĮ</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1 (2025)</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P-19-02-01-03</w:t>
                    </w:r>
                  </w:p>
                </w:tc>
                <w:tc>
                  <w:tcPr>
                    <w:tcW w:w="4111" w:type="dxa"/>
                    <w:vAlign w:val="center"/>
                    <w:hideMark/>
                  </w:tcPr>
                  <w:p>
                    <w:pPr>
                      <w:rPr>
                        <w:sz w:val="20"/>
                      </w:rPr>
                    </w:pPr>
                    <w:r>
                      <w:rPr>
                        <w:sz w:val="20"/>
                      </w:rPr>
                      <w:t>Aprūpintų darbui reikiama įranga ir priemonėmis mobilių komandų skaičius (vnt.)</w:t>
                    </w:r>
                  </w:p>
                </w:tc>
                <w:tc>
                  <w:tcPr>
                    <w:tcW w:w="1134" w:type="dxa"/>
                    <w:vAlign w:val="center"/>
                    <w:hideMark/>
                  </w:tcPr>
                  <w:p>
                    <w:pPr>
                      <w:jc w:val="center"/>
                      <w:rPr>
                        <w:sz w:val="20"/>
                      </w:rPr>
                    </w:pPr>
                    <w:r>
                      <w:rPr>
                        <w:sz w:val="20"/>
                      </w:rPr>
                      <w:t>SvS / SPĮ</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4 (2025)</w:t>
                    </w:r>
                  </w:p>
                </w:tc>
              </w:tr>
              <w:tr>
                <w:trPr>
                  <w:trHeight w:val="52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P-19-02-01-04</w:t>
                    </w:r>
                  </w:p>
                </w:tc>
                <w:tc>
                  <w:tcPr>
                    <w:tcW w:w="4111" w:type="dxa"/>
                    <w:vAlign w:val="center"/>
                    <w:hideMark/>
                  </w:tcPr>
                  <w:p>
                    <w:pPr>
                      <w:rPr>
                        <w:sz w:val="20"/>
                      </w:rPr>
                    </w:pPr>
                    <w:r>
                      <w:rPr>
                        <w:sz w:val="20"/>
                      </w:rPr>
                      <w:t>Atlikta VšĮ Šiaulių ilgalaikio gydymo ir geriatrijos centro pastatų rekonstrukcija (vnt.)</w:t>
                    </w:r>
                  </w:p>
                </w:tc>
                <w:tc>
                  <w:tcPr>
                    <w:tcW w:w="1134" w:type="dxa"/>
                    <w:vAlign w:val="center"/>
                    <w:hideMark/>
                  </w:tcPr>
                  <w:p>
                    <w:pPr>
                      <w:jc w:val="center"/>
                      <w:rPr>
                        <w:sz w:val="20"/>
                      </w:rPr>
                    </w:pPr>
                    <w:r>
                      <w:rPr>
                        <w:sz w:val="20"/>
                      </w:rPr>
                      <w:t>SvS / SPĮ</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1 (2027)</w:t>
                    </w:r>
                  </w:p>
                </w:tc>
              </w:tr>
              <w:tr>
                <w:trPr>
                  <w:trHeight w:val="260"/>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P-19-02-01-05</w:t>
                    </w:r>
                  </w:p>
                </w:tc>
                <w:tc>
                  <w:tcPr>
                    <w:tcW w:w="4111" w:type="dxa"/>
                    <w:vAlign w:val="center"/>
                    <w:hideMark/>
                  </w:tcPr>
                  <w:p>
                    <w:pPr>
                      <w:rPr>
                        <w:sz w:val="20"/>
                      </w:rPr>
                    </w:pPr>
                    <w:r>
                      <w:rPr>
                        <w:sz w:val="20"/>
                      </w:rPr>
                      <w:t>Modernizuota VšĮ Šiaulių centro poliklinika (vnt.)</w:t>
                    </w:r>
                  </w:p>
                </w:tc>
                <w:tc>
                  <w:tcPr>
                    <w:tcW w:w="1134" w:type="dxa"/>
                    <w:vAlign w:val="center"/>
                    <w:hideMark/>
                  </w:tcPr>
                  <w:p>
                    <w:pPr>
                      <w:jc w:val="center"/>
                      <w:rPr>
                        <w:sz w:val="20"/>
                      </w:rPr>
                    </w:pPr>
                    <w:r>
                      <w:rPr>
                        <w:sz w:val="20"/>
                      </w:rPr>
                      <w:t>SvS / SPĮ</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1 (2030)</w:t>
                    </w:r>
                  </w:p>
                </w:tc>
              </w:tr>
              <w:tr>
                <w:trPr>
                  <w:trHeight w:val="138"/>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P-19-02-01-06</w:t>
                    </w:r>
                  </w:p>
                </w:tc>
                <w:tc>
                  <w:tcPr>
                    <w:tcW w:w="4111" w:type="dxa"/>
                    <w:vAlign w:val="center"/>
                    <w:hideMark/>
                  </w:tcPr>
                  <w:p>
                    <w:pPr>
                      <w:rPr>
                        <w:sz w:val="20"/>
                      </w:rPr>
                    </w:pPr>
                    <w:r>
                      <w:rPr>
                        <w:sz w:val="20"/>
                      </w:rPr>
                      <w:t>Modernizuotas VšĮ Dainų pirminės sveikatos priežiūros centras (vnt.)</w:t>
                    </w:r>
                  </w:p>
                </w:tc>
                <w:tc>
                  <w:tcPr>
                    <w:tcW w:w="1134" w:type="dxa"/>
                    <w:vAlign w:val="center"/>
                    <w:hideMark/>
                  </w:tcPr>
                  <w:p>
                    <w:pPr>
                      <w:jc w:val="center"/>
                      <w:rPr>
                        <w:sz w:val="20"/>
                      </w:rPr>
                    </w:pPr>
                    <w:r>
                      <w:rPr>
                        <w:sz w:val="20"/>
                      </w:rPr>
                      <w:t>SvS / SPĮ</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1 (2031)</w:t>
                    </w:r>
                  </w:p>
                </w:tc>
              </w:tr>
              <w:tr>
                <w:trPr>
                  <w:trHeight w:val="244"/>
                  <w:jc w:val="center"/>
                </w:trPr>
                <w:tc>
                  <w:tcPr>
                    <w:tcW w:w="988" w:type="dxa"/>
                    <w:vMerge/>
                    <w:vAlign w:val="center"/>
                    <w:hideMark/>
                  </w:tcPr>
                  <w:p>
                    <w:pPr>
                      <w:rPr>
                        <w:sz w:val="20"/>
                      </w:rPr>
                    </w:pPr>
                  </w:p>
                </w:tc>
                <w:tc>
                  <w:tcPr>
                    <w:tcW w:w="2126" w:type="dxa"/>
                    <w:vMerge/>
                    <w:vAlign w:val="center"/>
                    <w:hideMark/>
                  </w:tcPr>
                  <w:p>
                    <w:pPr>
                      <w:rPr>
                        <w:sz w:val="20"/>
                      </w:rPr>
                    </w:pPr>
                  </w:p>
                </w:tc>
                <w:tc>
                  <w:tcPr>
                    <w:tcW w:w="850" w:type="dxa"/>
                    <w:vMerge/>
                    <w:vAlign w:val="center"/>
                    <w:hideMark/>
                  </w:tcPr>
                  <w:p>
                    <w:pPr>
                      <w:rPr>
                        <w:sz w:val="20"/>
                      </w:rPr>
                    </w:pPr>
                  </w:p>
                </w:tc>
                <w:tc>
                  <w:tcPr>
                    <w:tcW w:w="709" w:type="dxa"/>
                    <w:vMerge/>
                    <w:vAlign w:val="center"/>
                    <w:hideMark/>
                  </w:tcPr>
                  <w:p>
                    <w:pPr>
                      <w:rPr>
                        <w:sz w:val="20"/>
                      </w:rPr>
                    </w:pPr>
                  </w:p>
                </w:tc>
                <w:tc>
                  <w:tcPr>
                    <w:tcW w:w="709" w:type="dxa"/>
                    <w:vMerge/>
                    <w:vAlign w:val="center"/>
                    <w:hideMark/>
                  </w:tcPr>
                  <w:p>
                    <w:pPr>
                      <w:rPr>
                        <w:sz w:val="20"/>
                      </w:rPr>
                    </w:pPr>
                  </w:p>
                </w:tc>
                <w:tc>
                  <w:tcPr>
                    <w:tcW w:w="1417" w:type="dxa"/>
                    <w:noWrap/>
                    <w:vAlign w:val="center"/>
                    <w:hideMark/>
                  </w:tcPr>
                  <w:p>
                    <w:pPr>
                      <w:rPr>
                        <w:sz w:val="20"/>
                      </w:rPr>
                    </w:pPr>
                    <w:r>
                      <w:rPr>
                        <w:sz w:val="20"/>
                      </w:rPr>
                      <w:t>P-19-02-01-07</w:t>
                    </w:r>
                  </w:p>
                </w:tc>
                <w:tc>
                  <w:tcPr>
                    <w:tcW w:w="4111" w:type="dxa"/>
                    <w:vAlign w:val="center"/>
                    <w:hideMark/>
                  </w:tcPr>
                  <w:p>
                    <w:pPr>
                      <w:rPr>
                        <w:sz w:val="20"/>
                      </w:rPr>
                    </w:pPr>
                    <w:r>
                      <w:rPr>
                        <w:sz w:val="20"/>
                      </w:rPr>
                      <w:t>Įsteigtas dienos stacionaras Šiaulių centro poliklinikos Psichikos sveikatos centre (vnt.)</w:t>
                    </w:r>
                  </w:p>
                </w:tc>
                <w:tc>
                  <w:tcPr>
                    <w:tcW w:w="1134" w:type="dxa"/>
                    <w:vAlign w:val="center"/>
                    <w:hideMark/>
                  </w:tcPr>
                  <w:p>
                    <w:pPr>
                      <w:jc w:val="center"/>
                      <w:rPr>
                        <w:sz w:val="20"/>
                      </w:rPr>
                    </w:pPr>
                    <w:r>
                      <w:rPr>
                        <w:sz w:val="20"/>
                      </w:rPr>
                      <w:t>SvS / SPĮ</w:t>
                    </w:r>
                  </w:p>
                </w:tc>
                <w:tc>
                  <w:tcPr>
                    <w:tcW w:w="1134" w:type="dxa"/>
                    <w:noWrap/>
                    <w:vAlign w:val="center"/>
                    <w:hideMark/>
                  </w:tcPr>
                  <w:p>
                    <w:pPr>
                      <w:jc w:val="center"/>
                      <w:rPr>
                        <w:sz w:val="20"/>
                      </w:rPr>
                    </w:pPr>
                    <w:r>
                      <w:rPr>
                        <w:sz w:val="20"/>
                      </w:rPr>
                      <w:t>0 (2024)</w:t>
                    </w:r>
                  </w:p>
                </w:tc>
                <w:tc>
                  <w:tcPr>
                    <w:tcW w:w="1134" w:type="dxa"/>
                    <w:noWrap/>
                    <w:vAlign w:val="center"/>
                    <w:hideMark/>
                  </w:tcPr>
                  <w:p>
                    <w:pPr>
                      <w:jc w:val="center"/>
                      <w:rPr>
                        <w:sz w:val="20"/>
                      </w:rPr>
                    </w:pPr>
                    <w:r>
                      <w:rPr>
                        <w:sz w:val="20"/>
                      </w:rPr>
                      <w:t>1 (2025)</w:t>
                    </w:r>
                  </w:p>
                </w:tc>
              </w:tr>
            </w:tbl>
            <w:p>
              <w:pPr>
                <w:spacing w:line="276" w:lineRule="auto"/>
                <w:rPr>
                  <w:b/>
                  <w:color w:val="000000"/>
                  <w:szCs w:val="24"/>
                </w:rPr>
                <w:sectPr>
                  <w:pgSz w:w="16838" w:h="11906" w:orient="landscape"/>
                  <w:pgMar w:top="1134" w:right="1134" w:bottom="568" w:left="1134" w:header="567" w:footer="567" w:gutter="0"/>
                  <w:cols w:space="1296"/>
                  <w:titlePg/>
                  <w:docGrid w:linePitch="360"/>
                </w:sectPr>
              </w:pPr>
            </w:p>
            <w:p>
              <w:pPr>
                <w:rPr>
                  <w:sz w:val="10"/>
                  <w:szCs w:val="10"/>
                </w:rPr>
              </w:pPr>
            </w:p>
            <w:p>
              <w:pPr>
                <w:tabs>
                  <w:tab w:val="center" w:pos="4819"/>
                  <w:tab w:val="right" w:pos="9638"/>
                </w:tabs>
                <w:ind w:left="284" w:right="142"/>
                <w:jc w:val="both"/>
                <w:rPr>
                  <w:rFonts w:eastAsia="MS Mincho"/>
                  <w:kern w:val="2"/>
                  <w:sz w:val="22"/>
                  <w:szCs w:val="24"/>
                </w:rPr>
              </w:pPr>
            </w:p>
          </w:sdtContent>
        </w:sdt>
        <w:sdt>
          <w:sdtPr>
            <w:alias w:val="skyrius"/>
            <w:tag w:val="part_b01f09e8c77944d38812e867e012c1d3"/>
            <w:lock w:val="sdtLocked"/>
            <w:richText/>
          </w:sdtPr>
          <w:sdtContent>
            <w:p>
              <w:pPr>
                <w:jc w:val="center"/>
                <w:rPr>
                  <w:b/>
                  <w:color w:val="000000"/>
                  <w:szCs w:val="24"/>
                </w:rPr>
              </w:pPr>
              <w:sdt>
                <w:sdtPr>
                  <w:alias w:val="Numeris"/>
                  <w:tag w:val="nr_b01f09e8c77944d38812e867e012c1d3"/>
                  <w:lock w:val="sdtLocked"/>
                  <w:richText/>
                </w:sdtPr>
                <w:sdtContent>
                  <w:r>
                    <w:rPr>
                      <w:b/>
                      <w:color w:val="000000"/>
                      <w:szCs w:val="24"/>
                    </w:rPr>
                    <w:t>VI</w:t>
                  </w:r>
                </w:sdtContent>
              </w:sdt>
              <w:r>
                <w:rPr>
                  <w:b/>
                  <w:color w:val="000000"/>
                  <w:szCs w:val="24"/>
                </w:rPr>
                <w:t xml:space="preserve"> SKYRIUS</w:t>
              </w:r>
            </w:p>
            <w:p>
              <w:pPr>
                <w:jc w:val="center"/>
                <w:rPr>
                  <w:b/>
                  <w:color w:val="000000"/>
                  <w:szCs w:val="24"/>
                </w:rPr>
              </w:pPr>
              <w:sdt>
                <w:sdtPr>
                  <w:alias w:val="Pavadinimas"/>
                  <w:tag w:val="title_b01f09e8c77944d38812e867e012c1d3"/>
                  <w:lock w:val="sdtLocked"/>
                  <w:richText/>
                </w:sdtPr>
                <w:sdtContent>
                  <w:r>
                    <w:rPr>
                      <w:b/>
                      <w:color w:val="000000"/>
                      <w:szCs w:val="24"/>
                    </w:rPr>
                    <w:t>FINANSAVIMO PLANAS</w:t>
                  </w:r>
                </w:sdtContent>
              </w:sdt>
            </w:p>
            <w:p>
              <w:pPr>
                <w:jc w:val="center"/>
                <w:rPr>
                  <w:sz w:val="22"/>
                  <w:szCs w:val="22"/>
                </w:rPr>
              </w:pPr>
            </w:p>
            <w:p>
              <w:pPr>
                <w:rPr>
                  <w:sz w:val="10"/>
                  <w:szCs w:val="10"/>
                </w:rPr>
              </w:pPr>
            </w:p>
            <w:p>
              <w:pPr>
                <w:ind w:firstLine="720"/>
                <w:jc w:val="both"/>
                <w:rPr>
                  <w:sz w:val="22"/>
                  <w:szCs w:val="22"/>
                </w:rPr>
              </w:pPr>
              <w:r>
                <w:rPr>
                  <w:sz w:val="22"/>
                  <w:szCs w:val="22"/>
                </w:rPr>
                <w:t xml:space="preserve">Siekiant įgyvendinti ŠSPP iki 2033 m. numatytą viziją, tikslus, uždavinius ir priemones, parengtas ilgalaikis 2025–2033 m. preliminarus finansavimo poreikio planas. Į finansavimo poreikio planą įtrauktas ne tik ŠSPP projektų įgyvendinimas, sietinas su investicijomis į infrastruktūrą ir turtą (svarbiausių investicinių projektų sąrašas pateikiamas lentelėje Nr. 2), tačiau ir savivaldybės SVP priemonių įgyvendinimas, kuris taip pat prisideda prie ŠSPP plėtros uždavinių pasiekimo.  </w:t>
              </w:r>
            </w:p>
            <w:p>
              <w:pPr>
                <w:rPr>
                  <w:sz w:val="10"/>
                  <w:szCs w:val="10"/>
                </w:rPr>
              </w:pPr>
            </w:p>
            <w:p>
              <w:pPr>
                <w:jc w:val="both"/>
                <w:rPr>
                  <w:sz w:val="22"/>
                  <w:szCs w:val="22"/>
                </w:rPr>
              </w:pPr>
              <w:r>
                <w:rPr>
                  <w:sz w:val="22"/>
                  <w:szCs w:val="22"/>
                </w:rPr>
                <w:t xml:space="preserve">Finansavimo planas parengtas: </w:t>
              </w:r>
            </w:p>
            <w:p>
              <w:pPr>
                <w:rPr>
                  <w:sz w:val="10"/>
                  <w:szCs w:val="10"/>
                </w:rPr>
              </w:pPr>
            </w:p>
            <w:p>
              <w:pPr>
                <w:ind w:left="720" w:hanging="360"/>
                <w:jc w:val="both"/>
                <w:rPr>
                  <w:sz w:val="22"/>
                  <w:szCs w:val="22"/>
                </w:rPr>
              </w:pPr>
              <w:r>
                <w:rPr>
                  <w:rFonts w:ascii="Arial" w:hAnsi="Arial"/>
                  <w:color w:val="EAB818"/>
                  <w:sz w:val="22"/>
                  <w:szCs w:val="22"/>
                </w:rPr>
                <w:t>►</w:t>
                <w:tab/>
              </w:r>
              <w:r>
                <w:rPr>
                  <w:sz w:val="22"/>
                  <w:szCs w:val="22"/>
                </w:rPr>
                <w:t>atlikus finansinę 2019–2023 m. SVP įgyvendinimo ataskaitų analizę, remiantis istoriniais duomenimis apie lėšų pasiskirstymą tarp programų, jų uždavinių ir nustačius santykį tarp lėšų, skirtą investicijoms ir veiklai vykdyti;</w:t>
              </w:r>
            </w:p>
            <w:p>
              <w:pPr>
                <w:ind w:left="720" w:hanging="360"/>
                <w:jc w:val="both"/>
                <w:rPr>
                  <w:sz w:val="22"/>
                  <w:szCs w:val="22"/>
                </w:rPr>
              </w:pPr>
              <w:r>
                <w:rPr>
                  <w:rFonts w:ascii="Arial" w:hAnsi="Arial"/>
                  <w:color w:val="EAB818"/>
                  <w:sz w:val="22"/>
                  <w:szCs w:val="22"/>
                </w:rPr>
                <w:t>►</w:t>
                <w:tab/>
              </w:r>
              <w:r>
                <w:rPr>
                  <w:sz w:val="22"/>
                  <w:szCs w:val="22"/>
                </w:rPr>
                <w:t>išanalizavus planuojamus įgyvendinti ŠSPP iki 2025–2033 m. projektus;</w:t>
              </w:r>
            </w:p>
            <w:p>
              <w:pPr>
                <w:ind w:left="720" w:hanging="360"/>
                <w:jc w:val="both"/>
                <w:rPr>
                  <w:sz w:val="22"/>
                  <w:szCs w:val="22"/>
                </w:rPr>
              </w:pPr>
              <w:r>
                <w:rPr>
                  <w:rFonts w:ascii="Arial" w:hAnsi="Arial"/>
                  <w:color w:val="EAB818"/>
                  <w:sz w:val="22"/>
                  <w:szCs w:val="22"/>
                </w:rPr>
                <w:t>►</w:t>
                <w:tab/>
              </w:r>
              <w:r>
                <w:rPr>
                  <w:sz w:val="22"/>
                  <w:szCs w:val="22"/>
                </w:rPr>
                <w:t>remiantis ekonominių rodiklių prognozėmis (realių pajamų, infliacijos ir pan.), kurių pagrindu prognozuojamas finansavimas.</w:t>
              </w:r>
            </w:p>
            <w:p>
              <w:pPr>
                <w:rPr>
                  <w:sz w:val="10"/>
                  <w:szCs w:val="10"/>
                </w:rPr>
              </w:pPr>
            </w:p>
            <w:p>
              <w:pPr>
                <w:ind w:firstLine="720"/>
                <w:jc w:val="both"/>
                <w:rPr>
                  <w:sz w:val="22"/>
                  <w:szCs w:val="22"/>
                </w:rPr>
              </w:pPr>
              <w:r>
                <w:rPr>
                  <w:sz w:val="22"/>
                  <w:szCs w:val="22"/>
                </w:rPr>
                <w:t>2 lentelėje pateikiama ŠSPP 2025–2033 m. finansavimo poreikio prognozė. Numatoma, kad didžiausias lėšų poreikis išliks įgyvendinant plėtros uždavinius švietimo, socialinių paslaugų teikimo, infrastruktūros gerinimo srityse, didelis dėmesys ir lėšų poreikis taip pat išliks įgyvendinant išsikeltus uždavinius valdymo ir sporto srityse:</w:t>
              </w:r>
            </w:p>
            <w:p>
              <w:pPr>
                <w:rPr>
                  <w:sz w:val="10"/>
                  <w:szCs w:val="10"/>
                </w:rPr>
              </w:pPr>
            </w:p>
            <w:p>
              <w:pPr>
                <w:keepNext/>
                <w:ind w:left="284" w:right="142"/>
                <w:jc w:val="both"/>
                <w:rPr>
                  <w:b/>
                  <w:bCs/>
                  <w:color w:val="FDB515"/>
                  <w:sz w:val="20"/>
                </w:rPr>
              </w:pPr>
              <w:r>
                <w:rPr>
                  <w:rFonts w:eastAsia="MS Mincho"/>
                  <w:b/>
                  <w:bCs/>
                  <w:color w:val="FDB515"/>
                  <w:kern w:val="2"/>
                  <w:sz w:val="20"/>
                </w:rPr>
                <w:t xml:space="preserve">Lentelė 2. </w:t>
              </w:r>
              <w:r>
                <w:rPr>
                  <w:b/>
                  <w:bCs/>
                  <w:color w:val="FDB515"/>
                  <w:sz w:val="20"/>
                </w:rPr>
                <w:t>Preliminarus finansavimo poreikis</w:t>
              </w:r>
            </w:p>
            <w:p>
              <w:pPr>
                <w:rPr>
                  <w:sz w:val="10"/>
                  <w:szCs w:val="10"/>
                </w:rPr>
              </w:pPr>
            </w:p>
            <w:tbl>
              <w:tblPr>
                <w:tblW w:w="9356" w:type="dxa"/>
                <w:tblInd w:w="-5" w:type="dxa"/>
                <w:tblLook w:val="04A0" w:firstRow="1" w:lastRow="0" w:firstColumn="1" w:lastColumn="0" w:noHBand="0" w:noVBand="1"/>
              </w:tblPr>
              <w:tblGrid>
                <w:gridCol w:w="4111"/>
                <w:gridCol w:w="1418"/>
                <w:gridCol w:w="3827"/>
              </w:tblGrid>
              <w:tr>
                <w:trPr>
                  <w:trHeight w:val="600"/>
                  <w:tblHeader/>
                </w:trPr>
                <w:tc>
                  <w:tcPr>
                    <w:tcW w:w="4111" w:type="dxa"/>
                    <w:tcBorders>
                      <w:top w:val="single" w:sz="4" w:space="0" w:color="auto"/>
                      <w:left w:val="single" w:sz="4" w:space="0" w:color="auto"/>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Savivaldybės plėtros uždaviniai</w:t>
                    </w:r>
                  </w:p>
                </w:tc>
                <w:tc>
                  <w:tcPr>
                    <w:tcW w:w="1418" w:type="dxa"/>
                    <w:tcBorders>
                      <w:top w:val="single" w:sz="4" w:space="0" w:color="auto"/>
                      <w:left w:val="nil"/>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Lėšų poreikis, tūkst. eurų</w:t>
                    </w:r>
                  </w:p>
                </w:tc>
                <w:tc>
                  <w:tcPr>
                    <w:tcW w:w="3827" w:type="dxa"/>
                    <w:tcBorders>
                      <w:top w:val="single" w:sz="4" w:space="0" w:color="auto"/>
                      <w:left w:val="nil"/>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Galimi finansavimo šaltiniai</w:t>
                    </w:r>
                  </w:p>
                </w:tc>
              </w:tr>
              <w:tr>
                <w:trPr>
                  <w:trHeight w:val="310"/>
                  <w:tblHeader/>
                </w:trPr>
                <w:tc>
                  <w:tcPr>
                    <w:tcW w:w="4111" w:type="dxa"/>
                    <w:tcBorders>
                      <w:top w:val="nil"/>
                      <w:left w:val="single" w:sz="4" w:space="0" w:color="auto"/>
                      <w:bottom w:val="single" w:sz="4" w:space="0" w:color="auto"/>
                      <w:right w:val="single" w:sz="4" w:space="0" w:color="auto"/>
                    </w:tcBorders>
                    <w:shd w:val="clear" w:color="000000" w:fill="DBE5F1"/>
                    <w:vAlign w:val="center"/>
                    <w:hideMark/>
                  </w:tcPr>
                  <w:p>
                    <w:pPr>
                      <w:jc w:val="center"/>
                      <w:rPr>
                        <w:color w:val="000000"/>
                        <w:sz w:val="20"/>
                        <w:lang w:eastAsia="lt-LT"/>
                      </w:rPr>
                    </w:pPr>
                    <w:r>
                      <w:rPr>
                        <w:color w:val="000000"/>
                        <w:sz w:val="20"/>
                        <w:lang w:eastAsia="lt-LT"/>
                      </w:rPr>
                      <w:t>1</w:t>
                    </w:r>
                  </w:p>
                </w:tc>
                <w:tc>
                  <w:tcPr>
                    <w:tcW w:w="1418" w:type="dxa"/>
                    <w:tcBorders>
                      <w:top w:val="nil"/>
                      <w:left w:val="nil"/>
                      <w:bottom w:val="single" w:sz="4" w:space="0" w:color="auto"/>
                      <w:right w:val="single" w:sz="4" w:space="0" w:color="auto"/>
                    </w:tcBorders>
                    <w:shd w:val="clear" w:color="000000" w:fill="DBE5F1"/>
                    <w:vAlign w:val="center"/>
                    <w:hideMark/>
                  </w:tcPr>
                  <w:p>
                    <w:pPr>
                      <w:jc w:val="center"/>
                      <w:rPr>
                        <w:color w:val="000000"/>
                        <w:sz w:val="20"/>
                        <w:lang w:eastAsia="lt-LT"/>
                      </w:rPr>
                    </w:pPr>
                    <w:r>
                      <w:rPr>
                        <w:color w:val="000000"/>
                        <w:sz w:val="20"/>
                        <w:lang w:eastAsia="lt-LT"/>
                      </w:rPr>
                      <w:t>2</w:t>
                    </w:r>
                  </w:p>
                </w:tc>
                <w:tc>
                  <w:tcPr>
                    <w:tcW w:w="3827" w:type="dxa"/>
                    <w:tcBorders>
                      <w:top w:val="nil"/>
                      <w:left w:val="nil"/>
                      <w:bottom w:val="single" w:sz="4" w:space="0" w:color="auto"/>
                      <w:right w:val="single" w:sz="4" w:space="0" w:color="auto"/>
                    </w:tcBorders>
                    <w:shd w:val="clear" w:color="000000" w:fill="DBE5F1"/>
                    <w:vAlign w:val="center"/>
                    <w:hideMark/>
                  </w:tcPr>
                  <w:p>
                    <w:pPr>
                      <w:jc w:val="center"/>
                      <w:rPr>
                        <w:color w:val="000000"/>
                        <w:sz w:val="20"/>
                        <w:lang w:eastAsia="lt-LT"/>
                      </w:rPr>
                    </w:pPr>
                    <w:r>
                      <w:rPr>
                        <w:color w:val="000000"/>
                        <w:sz w:val="20"/>
                        <w:lang w:eastAsia="lt-LT"/>
                      </w:rPr>
                      <w:t>3</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noWrap/>
                    <w:vAlign w:val="center"/>
                  </w:tcPr>
                  <w:p>
                    <w:pPr>
                      <w:rPr>
                        <w:color w:val="000000"/>
                        <w:sz w:val="20"/>
                        <w:lang w:eastAsia="lt-LT"/>
                      </w:rPr>
                    </w:pPr>
                    <w:r>
                      <w:rPr>
                        <w:color w:val="000000"/>
                        <w:sz w:val="20"/>
                        <w:lang w:eastAsia="lt-LT"/>
                      </w:rPr>
                      <w:t>11-01 Gerinti veiklos valdymą ir efektyviai išnaudoti pažangius skaitmeninius sprendimus paslaugų teikime</w:t>
                    </w:r>
                  </w:p>
                </w:tc>
                <w:tc>
                  <w:tcPr>
                    <w:tcW w:w="1418" w:type="dxa"/>
                    <w:tcBorders>
                      <w:top w:val="nil"/>
                      <w:left w:val="nil"/>
                      <w:bottom w:val="single" w:sz="4" w:space="0" w:color="auto"/>
                      <w:right w:val="single" w:sz="4" w:space="0" w:color="auto"/>
                    </w:tcBorders>
                    <w:shd w:val="clear" w:color="000000" w:fill="DCE6F1"/>
                    <w:noWrap/>
                    <w:vAlign w:val="center"/>
                  </w:tcPr>
                  <w:p>
                    <w:pPr>
                      <w:spacing w:line="259" w:lineRule="auto"/>
                      <w:jc w:val="center"/>
                      <w:rPr>
                        <w:rFonts w:eastAsia="Calibri"/>
                        <w:color w:val="000000"/>
                        <w:kern w:val="2"/>
                        <w:sz w:val="20"/>
                      </w:rPr>
                    </w:pPr>
                    <w:r>
                      <w:rPr>
                        <w:rFonts w:eastAsia="Calibri"/>
                        <w:color w:val="000000"/>
                        <w:kern w:val="2"/>
                        <w:sz w:val="20"/>
                      </w:rPr>
                      <w:t>247 217</w:t>
                    </w:r>
                  </w:p>
                </w:tc>
                <w:tc>
                  <w:tcPr>
                    <w:tcW w:w="3827" w:type="dxa"/>
                    <w:tcBorders>
                      <w:top w:val="nil"/>
                      <w:left w:val="nil"/>
                      <w:bottom w:val="single" w:sz="4" w:space="0" w:color="auto"/>
                      <w:right w:val="single" w:sz="4" w:space="0" w:color="auto"/>
                    </w:tcBorders>
                    <w:shd w:val="clear" w:color="auto" w:fill="auto"/>
                    <w:vAlign w:val="center"/>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noWrap/>
                    <w:vAlign w:val="center"/>
                  </w:tcPr>
                  <w:p>
                    <w:pPr>
                      <w:rPr>
                        <w:color w:val="000000"/>
                        <w:sz w:val="20"/>
                        <w:lang w:eastAsia="lt-LT"/>
                      </w:rPr>
                    </w:pPr>
                    <w:r>
                      <w:rPr>
                        <w:color w:val="000000"/>
                        <w:sz w:val="20"/>
                        <w:lang w:eastAsia="lt-LT"/>
                      </w:rPr>
                      <w:t>11-02 Skatinti įtraukų bendradarbiavimą su visuomene ir suinteresuotomis šalimis</w:t>
                    </w:r>
                  </w:p>
                </w:tc>
                <w:tc>
                  <w:tcPr>
                    <w:tcW w:w="1418" w:type="dxa"/>
                    <w:tcBorders>
                      <w:top w:val="nil"/>
                      <w:left w:val="nil"/>
                      <w:bottom w:val="single" w:sz="4" w:space="0" w:color="auto"/>
                      <w:right w:val="single" w:sz="4" w:space="0" w:color="auto"/>
                    </w:tcBorders>
                    <w:shd w:val="clear" w:color="000000" w:fill="DCE6F1"/>
                    <w:noWrap/>
                    <w:vAlign w:val="center"/>
                  </w:tcPr>
                  <w:p>
                    <w:pPr>
                      <w:jc w:val="center"/>
                      <w:rPr>
                        <w:color w:val="000000"/>
                        <w:sz w:val="20"/>
                        <w:lang w:eastAsia="lt-LT"/>
                      </w:rPr>
                    </w:pPr>
                    <w:r>
                      <w:rPr>
                        <w:color w:val="000000"/>
                        <w:sz w:val="20"/>
                        <w:lang w:eastAsia="lt-LT"/>
                      </w:rPr>
                      <w:t>7 643</w:t>
                    </w:r>
                  </w:p>
                </w:tc>
                <w:tc>
                  <w:tcPr>
                    <w:tcW w:w="3827" w:type="dxa"/>
                    <w:tcBorders>
                      <w:top w:val="nil"/>
                      <w:left w:val="nil"/>
                      <w:bottom w:val="single" w:sz="4" w:space="0" w:color="auto"/>
                      <w:right w:val="single" w:sz="4" w:space="0" w:color="auto"/>
                    </w:tcBorders>
                    <w:shd w:val="clear" w:color="auto" w:fill="auto"/>
                    <w:vAlign w:val="center"/>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noWrap/>
                    <w:vAlign w:val="center"/>
                  </w:tcPr>
                  <w:p>
                    <w:pPr>
                      <w:rPr>
                        <w:color w:val="000000"/>
                        <w:sz w:val="20"/>
                        <w:lang w:eastAsia="lt-LT"/>
                      </w:rPr>
                    </w:pPr>
                    <w:r>
                      <w:rPr>
                        <w:color w:val="000000"/>
                        <w:sz w:val="20"/>
                        <w:lang w:eastAsia="lt-LT"/>
                      </w:rPr>
                      <w:t>12-01 Stiprinti miesto kultūrinio gyvenimo aktyvumą</w:t>
                    </w:r>
                  </w:p>
                </w:tc>
                <w:tc>
                  <w:tcPr>
                    <w:tcW w:w="1418" w:type="dxa"/>
                    <w:tcBorders>
                      <w:top w:val="nil"/>
                      <w:left w:val="nil"/>
                      <w:bottom w:val="single" w:sz="4" w:space="0" w:color="auto"/>
                      <w:right w:val="single" w:sz="4" w:space="0" w:color="auto"/>
                    </w:tcBorders>
                    <w:shd w:val="clear" w:color="000000" w:fill="DCE6F1"/>
                    <w:noWrap/>
                    <w:vAlign w:val="center"/>
                  </w:tcPr>
                  <w:p>
                    <w:pPr>
                      <w:jc w:val="center"/>
                      <w:rPr>
                        <w:color w:val="000000"/>
                        <w:sz w:val="20"/>
                        <w:lang w:eastAsia="lt-LT"/>
                      </w:rPr>
                    </w:pPr>
                    <w:r>
                      <w:rPr>
                        <w:color w:val="000000"/>
                        <w:sz w:val="20"/>
                        <w:lang w:eastAsia="lt-LT"/>
                      </w:rPr>
                      <w:t>22 250</w:t>
                    </w:r>
                  </w:p>
                </w:tc>
                <w:tc>
                  <w:tcPr>
                    <w:tcW w:w="3827" w:type="dxa"/>
                    <w:tcBorders>
                      <w:top w:val="nil"/>
                      <w:left w:val="nil"/>
                      <w:bottom w:val="single" w:sz="4" w:space="0" w:color="auto"/>
                      <w:right w:val="single" w:sz="4" w:space="0" w:color="auto"/>
                    </w:tcBorders>
                    <w:shd w:val="clear" w:color="auto" w:fill="auto"/>
                    <w:vAlign w:val="center"/>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12-02 Išvystyti gyventojų poreikius atitinkančią kultūros įstaigų infrastruktūrą</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color w:val="000000"/>
                        <w:sz w:val="20"/>
                        <w:lang w:eastAsia="lt-LT"/>
                      </w:rPr>
                      <w:t>43 875</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 VPSP.</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13-01 Mažinti aplinkos taršą ir kurti miesto ekosistemą, siekiant didinti atsparumą klimato kaitos padariniams</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color w:val="000000"/>
                        <w:sz w:val="20"/>
                        <w:lang w:eastAsia="lt-LT"/>
                      </w:rPr>
                      <w:t>13 183</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13-02 Taikyti žiedinės ekonomikos principus komunalinių atliekų tvarkyme</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color w:val="000000"/>
                        <w:sz w:val="20"/>
                        <w:lang w:eastAsia="lt-LT"/>
                      </w:rPr>
                      <w:t>35 155</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14-01 Kompleksiškai planuoti gyvybingą ir nuoseklią miesto struktūrą</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color w:val="000000"/>
                        <w:sz w:val="20"/>
                        <w:lang w:eastAsia="lt-LT"/>
                      </w:rPr>
                      <w:t>109 109</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14-02 Formuoti darnias miesto jungtis, užtikrinančias tvarų ir saugų judėjimą mieste</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color w:val="000000"/>
                        <w:sz w:val="20"/>
                        <w:lang w:eastAsia="lt-LT"/>
                      </w:rPr>
                      <w:t>290 961</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14-03 Užtikrinti tvarią, kokybišką miesto ir infrastruktūros plėtrą</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color w:val="000000"/>
                        <w:sz w:val="20"/>
                        <w:lang w:eastAsia="lt-LT"/>
                      </w:rPr>
                      <w:t>14 994</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pPr>
                      <w:rPr>
                        <w:color w:val="000000"/>
                        <w:sz w:val="20"/>
                        <w:lang w:eastAsia="lt-LT"/>
                      </w:rPr>
                    </w:pPr>
                    <w:r>
                      <w:rPr>
                        <w:color w:val="000000"/>
                        <w:sz w:val="20"/>
                        <w:lang w:eastAsia="lt-LT"/>
                      </w:rPr>
                      <w:t xml:space="preserve">15-01 Pagerinti investicijų pritraukimo ir verslo plėtros sąlygas </w:t>
                    </w:r>
                  </w:p>
                </w:tc>
                <w:tc>
                  <w:tcPr>
                    <w:tcW w:w="1418" w:type="dxa"/>
                    <w:tcBorders>
                      <w:top w:val="nil"/>
                      <w:left w:val="nil"/>
                      <w:bottom w:val="single" w:sz="4" w:space="0" w:color="auto"/>
                      <w:right w:val="single" w:sz="4" w:space="0" w:color="auto"/>
                    </w:tcBorders>
                    <w:shd w:val="clear" w:color="000000" w:fill="DCE6F1"/>
                    <w:noWrap/>
                    <w:vAlign w:val="center"/>
                    <w:hideMark/>
                  </w:tcPr>
                  <w:p>
                    <w:pPr>
                      <w:spacing w:line="259" w:lineRule="auto"/>
                      <w:jc w:val="center"/>
                      <w:rPr>
                        <w:rFonts w:eastAsia="Calibri"/>
                        <w:color w:val="000000"/>
                        <w:kern w:val="2"/>
                        <w:sz w:val="20"/>
                      </w:rPr>
                    </w:pPr>
                    <w:r>
                      <w:rPr>
                        <w:color w:val="000000"/>
                        <w:sz w:val="20"/>
                        <w:lang w:eastAsia="lt-LT"/>
                      </w:rPr>
                      <w:t xml:space="preserve">15 528 </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pPr>
                      <w:rPr>
                        <w:color w:val="000000"/>
                        <w:sz w:val="20"/>
                        <w:lang w:eastAsia="lt-LT"/>
                      </w:rPr>
                    </w:pPr>
                    <w:r>
                      <w:rPr>
                        <w:color w:val="000000"/>
                        <w:sz w:val="20"/>
                        <w:lang w:eastAsia="lt-LT"/>
                      </w:rPr>
                      <w:t>15-02 Stiprinti miesto patrauklumą plėtojant turizmo sektorių</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rFonts w:eastAsia="Calibri"/>
                        <w:color w:val="000000"/>
                        <w:kern w:val="2"/>
                        <w:sz w:val="20"/>
                      </w:rPr>
                      <w:t>28 151</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 VPSP.</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15-03 Didinti Šiaulių miesto žinomumą ir teigiamą įvaizdį, stiprinant miesto identitetą ir rinkodarą</w:t>
                    </w:r>
                  </w:p>
                </w:tc>
                <w:tc>
                  <w:tcPr>
                    <w:tcW w:w="1418" w:type="dxa"/>
                    <w:tcBorders>
                      <w:top w:val="nil"/>
                      <w:left w:val="nil"/>
                      <w:bottom w:val="single" w:sz="4" w:space="0" w:color="auto"/>
                      <w:right w:val="single" w:sz="4" w:space="0" w:color="auto"/>
                    </w:tcBorders>
                    <w:shd w:val="clear" w:color="000000" w:fill="DCE6F1"/>
                    <w:noWrap/>
                    <w:vAlign w:val="center"/>
                    <w:hideMark/>
                  </w:tcPr>
                  <w:p>
                    <w:pPr>
                      <w:spacing w:line="259" w:lineRule="auto"/>
                      <w:jc w:val="center"/>
                      <w:rPr>
                        <w:rFonts w:eastAsia="Calibri"/>
                        <w:color w:val="000000"/>
                        <w:kern w:val="2"/>
                        <w:sz w:val="20"/>
                      </w:rPr>
                    </w:pPr>
                    <w:r>
                      <w:rPr>
                        <w:rFonts w:eastAsia="Calibri"/>
                        <w:color w:val="000000"/>
                        <w:kern w:val="2"/>
                        <w:sz w:val="20"/>
                      </w:rPr>
                      <w:t>3 389</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tcPr>
                  <w:p>
                    <w:pPr>
                      <w:rPr>
                        <w:color w:val="000000"/>
                        <w:sz w:val="20"/>
                        <w:lang w:eastAsia="lt-LT"/>
                      </w:rPr>
                    </w:pPr>
                    <w:r>
                      <w:rPr>
                        <w:color w:val="000000"/>
                        <w:sz w:val="20"/>
                        <w:lang w:eastAsia="lt-LT"/>
                      </w:rPr>
                      <w:t>16-01 Užtikrinti nuoseklų ir efektyvų socialinių paslaugų teikimą</w:t>
                    </w:r>
                  </w:p>
                </w:tc>
                <w:tc>
                  <w:tcPr>
                    <w:tcW w:w="1418" w:type="dxa"/>
                    <w:tcBorders>
                      <w:top w:val="nil"/>
                      <w:left w:val="nil"/>
                      <w:bottom w:val="single" w:sz="4" w:space="0" w:color="auto"/>
                      <w:right w:val="single" w:sz="4" w:space="0" w:color="auto"/>
                    </w:tcBorders>
                    <w:shd w:val="clear" w:color="000000" w:fill="DCE6F1"/>
                    <w:noWrap/>
                    <w:vAlign w:val="center"/>
                  </w:tcPr>
                  <w:p>
                    <w:pPr>
                      <w:jc w:val="center"/>
                      <w:rPr>
                        <w:color w:val="000000"/>
                        <w:sz w:val="20"/>
                        <w:lang w:eastAsia="lt-LT"/>
                      </w:rPr>
                    </w:pPr>
                    <w:r>
                      <w:rPr>
                        <w:color w:val="000000"/>
                        <w:sz w:val="20"/>
                        <w:lang w:eastAsia="lt-LT"/>
                      </w:rPr>
                      <w:t>607 540</w:t>
                    </w:r>
                  </w:p>
                </w:tc>
                <w:tc>
                  <w:tcPr>
                    <w:tcW w:w="3827" w:type="dxa"/>
                    <w:tcBorders>
                      <w:top w:val="nil"/>
                      <w:left w:val="nil"/>
                      <w:bottom w:val="single" w:sz="4" w:space="0" w:color="auto"/>
                      <w:right w:val="single" w:sz="4" w:space="0" w:color="auto"/>
                    </w:tcBorders>
                    <w:shd w:val="clear" w:color="auto" w:fill="auto"/>
                    <w:vAlign w:val="center"/>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tcPr>
                  <w:p>
                    <w:pPr>
                      <w:rPr>
                        <w:color w:val="000000"/>
                        <w:sz w:val="20"/>
                        <w:lang w:eastAsia="lt-LT"/>
                      </w:rPr>
                    </w:pPr>
                    <w:r>
                      <w:rPr>
                        <w:color w:val="000000"/>
                        <w:sz w:val="20"/>
                        <w:lang w:eastAsia="lt-LT"/>
                      </w:rPr>
                      <w:t>16-02 Užtikrinti socialinių paslaugų prieinamumą ir kokybę, plečiant, atnaujinant ir modernizuojant socialinių paslaugų infrastruktūrą</w:t>
                    </w:r>
                  </w:p>
                </w:tc>
                <w:tc>
                  <w:tcPr>
                    <w:tcW w:w="1418" w:type="dxa"/>
                    <w:tcBorders>
                      <w:top w:val="nil"/>
                      <w:left w:val="nil"/>
                      <w:bottom w:val="single" w:sz="4" w:space="0" w:color="auto"/>
                      <w:right w:val="single" w:sz="4" w:space="0" w:color="auto"/>
                    </w:tcBorders>
                    <w:shd w:val="clear" w:color="000000" w:fill="DCE6F1"/>
                    <w:noWrap/>
                    <w:vAlign w:val="center"/>
                  </w:tcPr>
                  <w:p>
                    <w:pPr>
                      <w:jc w:val="center"/>
                      <w:rPr>
                        <w:color w:val="000000"/>
                        <w:sz w:val="20"/>
                        <w:lang w:eastAsia="lt-LT"/>
                      </w:rPr>
                    </w:pPr>
                    <w:r>
                      <w:rPr>
                        <w:color w:val="000000"/>
                        <w:sz w:val="20"/>
                        <w:lang w:eastAsia="lt-LT"/>
                      </w:rPr>
                      <w:t>122 751</w:t>
                    </w:r>
                  </w:p>
                </w:tc>
                <w:tc>
                  <w:tcPr>
                    <w:tcW w:w="3827" w:type="dxa"/>
                    <w:tcBorders>
                      <w:top w:val="nil"/>
                      <w:left w:val="nil"/>
                      <w:bottom w:val="single" w:sz="4" w:space="0" w:color="auto"/>
                      <w:right w:val="single" w:sz="4" w:space="0" w:color="auto"/>
                    </w:tcBorders>
                    <w:shd w:val="clear" w:color="auto" w:fill="auto"/>
                    <w:vAlign w:val="center"/>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17-01 Skatinti gyventojų fizinio aktyvumo veiklas ir plėtoti aukšto meistriškumo sportininkų rengimo sistemą</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color w:val="000000"/>
                        <w:sz w:val="20"/>
                        <w:lang w:eastAsia="lt-LT"/>
                      </w:rPr>
                      <w:t>172 294</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17-02 Išvystyti gyventojų poreikius atitinkančią sporto ir fizinio aktyvumo infrastruktūrą</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color w:val="000000"/>
                        <w:sz w:val="20"/>
                        <w:lang w:eastAsia="lt-LT"/>
                      </w:rPr>
                      <w:t>30 966</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 VPSP.</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18-01 Plėtoti inovatyvią švietimo sistemą, ugdančią aktyvią ir kūrybingą asmenybę</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color w:val="000000"/>
                        <w:sz w:val="20"/>
                        <w:lang w:eastAsia="lt-LT"/>
                      </w:rPr>
                      <w:t>1 260 576</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18-02 Užtikrinti švietimo paslaugų prieinamumą ir kokybę, gerinant ugdymo (-si) aplinką</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color w:val="000000"/>
                        <w:sz w:val="20"/>
                        <w:lang w:eastAsia="lt-LT"/>
                      </w:rPr>
                      <w:t>122 669</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18-03 Sudaryti sąlygas jaunimo savirealizacijai jų poreikiams pritaikytoje aplinkoje</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color w:val="000000"/>
                        <w:sz w:val="20"/>
                        <w:lang w:eastAsia="lt-LT"/>
                      </w:rPr>
                      <w:t>5 662</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580"/>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19-01 Plėtoti asmens ir visuomenės sveikatos priežiūros paslaugas, ugdyti visuomenės poreikį sveikai gyventi</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color w:val="000000"/>
                        <w:sz w:val="20"/>
                        <w:lang w:eastAsia="lt-LT"/>
                      </w:rPr>
                      <w:t>22 012</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619"/>
                </w:trPr>
                <w:tc>
                  <w:tcPr>
                    <w:tcW w:w="4111"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19-02 Užtikrinti asmens sveikatos priežiūros paslaugų prieinamumą ir kokybę, atnaujinant esamą bei įrengiant naują infrastruktūrą</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color w:val="000000"/>
                        <w:sz w:val="20"/>
                        <w:lang w:eastAsia="lt-LT"/>
                      </w:rPr>
                    </w:pPr>
                    <w:r>
                      <w:rPr>
                        <w:color w:val="000000"/>
                        <w:sz w:val="20"/>
                        <w:lang w:eastAsia="lt-LT"/>
                      </w:rPr>
                      <w:t>16 358</w:t>
                    </w:r>
                  </w:p>
                </w:tc>
                <w:tc>
                  <w:tcPr>
                    <w:tcW w:w="382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Savivaldybės biudžetas; Valstybės biudžeto dotacijos; Europos Sąjungos finansinė parama ir kitos teisėtai gautos lėšos.</w:t>
                    </w:r>
                  </w:p>
                </w:tc>
              </w:tr>
              <w:tr>
                <w:trPr>
                  <w:trHeight w:val="290"/>
                </w:trPr>
                <w:tc>
                  <w:tcPr>
                    <w:tcW w:w="4111" w:type="dxa"/>
                    <w:tcBorders>
                      <w:top w:val="nil"/>
                      <w:left w:val="single" w:sz="4" w:space="0" w:color="auto"/>
                      <w:bottom w:val="single" w:sz="4" w:space="0" w:color="auto"/>
                      <w:right w:val="single" w:sz="4" w:space="0" w:color="auto"/>
                    </w:tcBorders>
                    <w:shd w:val="clear" w:color="auto" w:fill="auto"/>
                    <w:vAlign w:val="bottom"/>
                    <w:hideMark/>
                  </w:tcPr>
                  <w:p>
                    <w:pPr>
                      <w:rPr>
                        <w:b/>
                        <w:bCs/>
                        <w:color w:val="000000"/>
                        <w:sz w:val="20"/>
                        <w:lang w:eastAsia="lt-LT"/>
                      </w:rPr>
                    </w:pPr>
                    <w:r>
                      <w:rPr>
                        <w:b/>
                        <w:bCs/>
                        <w:color w:val="000000"/>
                        <w:sz w:val="20"/>
                        <w:lang w:eastAsia="lt-LT"/>
                      </w:rPr>
                      <w:t>IŠ VISO</w:t>
                    </w:r>
                  </w:p>
                </w:tc>
                <w:tc>
                  <w:tcPr>
                    <w:tcW w:w="1418" w:type="dxa"/>
                    <w:tcBorders>
                      <w:top w:val="nil"/>
                      <w:left w:val="nil"/>
                      <w:bottom w:val="single" w:sz="4" w:space="0" w:color="auto"/>
                      <w:right w:val="single" w:sz="4" w:space="0" w:color="auto"/>
                    </w:tcBorders>
                    <w:shd w:val="clear" w:color="000000" w:fill="DCE6F1"/>
                    <w:noWrap/>
                    <w:vAlign w:val="center"/>
                    <w:hideMark/>
                  </w:tcPr>
                  <w:p>
                    <w:pPr>
                      <w:jc w:val="center"/>
                      <w:rPr>
                        <w:b/>
                        <w:bCs/>
                        <w:color w:val="000000"/>
                        <w:sz w:val="20"/>
                        <w:lang w:eastAsia="lt-LT"/>
                      </w:rPr>
                    </w:pPr>
                    <w:r>
                      <w:rPr>
                        <w:b/>
                        <w:bCs/>
                        <w:color w:val="000000"/>
                        <w:sz w:val="20"/>
                        <w:lang w:eastAsia="lt-LT"/>
                      </w:rPr>
                      <w:t>3 192 281</w:t>
                    </w:r>
                  </w:p>
                </w:tc>
                <w:tc>
                  <w:tcPr>
                    <w:tcW w:w="3827" w:type="dxa"/>
                    <w:tcBorders>
                      <w:top w:val="nil"/>
                      <w:left w:val="nil"/>
                      <w:bottom w:val="single" w:sz="4" w:space="0" w:color="auto"/>
                      <w:right w:val="single" w:sz="4" w:space="0" w:color="auto"/>
                    </w:tcBorders>
                    <w:shd w:val="clear" w:color="auto" w:fill="auto"/>
                    <w:noWrap/>
                    <w:vAlign w:val="bottom"/>
                    <w:hideMark/>
                  </w:tcPr>
                  <w:p>
                    <w:pPr>
                      <w:ind w:firstLine="53"/>
                      <w:rPr>
                        <w:color w:val="000000"/>
                        <w:sz w:val="20"/>
                        <w:lang w:eastAsia="lt-LT"/>
                      </w:rPr>
                    </w:pPr>
                  </w:p>
                </w:tc>
              </w:tr>
            </w:tbl>
            <w:p>
              <w:pPr>
                <w:rPr>
                  <w:sz w:val="10"/>
                  <w:szCs w:val="10"/>
                </w:rPr>
              </w:pPr>
            </w:p>
            <w:p>
              <w:pPr>
                <w:spacing w:line="276" w:lineRule="auto"/>
                <w:ind w:right="142" w:firstLine="720"/>
                <w:jc w:val="both"/>
                <w:rPr>
                  <w:rFonts w:eastAsia="MS Mincho"/>
                  <w:kern w:val="2"/>
                  <w:sz w:val="22"/>
                  <w:szCs w:val="24"/>
                </w:rPr>
              </w:pPr>
              <w:r>
                <w:rPr>
                  <w:rFonts w:eastAsia="MS Mincho"/>
                  <w:kern w:val="2"/>
                  <w:sz w:val="22"/>
                  <w:szCs w:val="24"/>
                </w:rPr>
                <w:t>Planuojama, kad siekiant sėkmingai įgyvendinti ŠSPP iki 2033 m. plėtros uždavinius, t. y. užtikrinti ne tik svarbiausių investicinių ŠSPP projektų įgyvendinimą, bet ir visą Savivaldybės administracijos veiklos efektyvų funkcionavimą, visam ŠSPP įgyvendinimo laikotarpiui bus reikalinga apie 3 mlrd. Eur suma. Atsižvelgiant į praeities tendencijas, numatoma, kad apie 30 proc. visos sumos sudarys investicijos į naujos infrastruktūros sukūrimą ir turto įsigijimą.</w:t>
              </w:r>
            </w:p>
            <w:p>
              <w:pPr>
                <w:rPr>
                  <w:sz w:val="10"/>
                  <w:szCs w:val="10"/>
                </w:rPr>
              </w:pPr>
            </w:p>
            <w:p>
              <w:pPr>
                <w:jc w:val="center"/>
                <w:rPr>
                  <w:b/>
                  <w:color w:val="000000"/>
                  <w:szCs w:val="24"/>
                </w:rPr>
                <w:sectPr>
                  <w:pgSz w:w="11906" w:h="16838"/>
                  <w:pgMar w:top="1134" w:right="1134" w:bottom="1134" w:left="1418" w:header="567" w:footer="567" w:gutter="0"/>
                  <w:cols w:space="1296"/>
                  <w:titlePg/>
                  <w:docGrid w:linePitch="360"/>
                </w:sectPr>
              </w:pPr>
            </w:p>
            <w:p>
              <w:pPr>
                <w:tabs>
                  <w:tab w:val="center" w:pos="4819"/>
                  <w:tab w:val="right" w:pos="9638"/>
                </w:tabs>
                <w:ind w:left="284" w:right="142"/>
                <w:jc w:val="both"/>
                <w:rPr>
                  <w:rFonts w:eastAsia="MS Mincho"/>
                  <w:kern w:val="2"/>
                  <w:sz w:val="22"/>
                  <w:szCs w:val="24"/>
                </w:rPr>
              </w:pPr>
            </w:p>
          </w:sdtContent>
        </w:sdt>
        <w:sdt>
          <w:sdtPr>
            <w:alias w:val="skyrius"/>
            <w:tag w:val="part_c4d794f616244c1e91388535d5824c66"/>
            <w:lock w:val="sdtLocked"/>
            <w:richText/>
          </w:sdtPr>
          <w:sdtContent>
            <w:p>
              <w:pPr>
                <w:jc w:val="center"/>
                <w:rPr>
                  <w:b/>
                  <w:color w:val="000000"/>
                  <w:szCs w:val="24"/>
                </w:rPr>
              </w:pPr>
              <w:sdt>
                <w:sdtPr>
                  <w:alias w:val="Numeris"/>
                  <w:tag w:val="nr_c4d794f616244c1e91388535d5824c66"/>
                  <w:lock w:val="sdtLocked"/>
                  <w:richText/>
                </w:sdtPr>
                <w:sdtContent>
                  <w:r>
                    <w:rPr>
                      <w:b/>
                      <w:color w:val="000000"/>
                      <w:szCs w:val="24"/>
                    </w:rPr>
                    <w:t>VII</w:t>
                  </w:r>
                </w:sdtContent>
              </w:sdt>
              <w:r>
                <w:rPr>
                  <w:b/>
                  <w:color w:val="000000"/>
                  <w:szCs w:val="24"/>
                </w:rPr>
                <w:t xml:space="preserve"> SKYRIUS</w:t>
              </w:r>
            </w:p>
            <w:p>
              <w:pPr>
                <w:jc w:val="center"/>
                <w:rPr>
                  <w:b/>
                  <w:color w:val="000000"/>
                  <w:szCs w:val="24"/>
                </w:rPr>
              </w:pPr>
              <w:sdt>
                <w:sdtPr>
                  <w:alias w:val="Pavadinimas"/>
                  <w:tag w:val="title_c4d794f616244c1e91388535d5824c66"/>
                  <w:lock w:val="sdtLocked"/>
                  <w:richText/>
                </w:sdtPr>
                <w:sdtContent>
                  <w:r>
                    <w:rPr>
                      <w:b/>
                      <w:color w:val="000000"/>
                      <w:szCs w:val="24"/>
                    </w:rPr>
                    <w:t>SVARBIAUSI SAVIVALDYBĖS PROJEKTAI</w:t>
                  </w:r>
                </w:sdtContent>
              </w:sdt>
            </w:p>
            <w:p>
              <w:pPr>
                <w:jc w:val="both"/>
                <w:rPr>
                  <w:i/>
                  <w:iCs/>
                  <w:color w:val="808080"/>
                </w:rPr>
              </w:pPr>
            </w:p>
            <w:p>
              <w:pPr>
                <w:rPr>
                  <w:sz w:val="10"/>
                  <w:szCs w:val="10"/>
                </w:rPr>
              </w:pPr>
            </w:p>
            <w:p>
              <w:pPr>
                <w:ind w:firstLine="720"/>
                <w:jc w:val="both"/>
                <w:rPr>
                  <w:sz w:val="22"/>
                  <w:szCs w:val="22"/>
                </w:rPr>
              </w:pPr>
              <w:r>
                <w:rPr>
                  <w:sz w:val="22"/>
                  <w:szCs w:val="22"/>
                </w:rPr>
                <w:t xml:space="preserve">3 lentelėje pateikiami svarbiausi (prioritetiniai) įgyvendinami ir (arba) planuojami įgyvendinti investiciniai projektai, kuriais siekiama ŠSPP nustatytų plėtros tikslų ir uždavinių (įgyvendinant priemones). </w:t>
              </w:r>
            </w:p>
            <w:p>
              <w:pPr>
                <w:rPr>
                  <w:sz w:val="10"/>
                  <w:szCs w:val="10"/>
                </w:rPr>
              </w:pPr>
            </w:p>
            <w:p>
              <w:pPr>
                <w:keepNext/>
                <w:ind w:left="284" w:right="142"/>
                <w:jc w:val="both"/>
                <w:rPr>
                  <w:b/>
                  <w:bCs/>
                  <w:color w:val="FDB515"/>
                  <w:sz w:val="20"/>
                </w:rPr>
              </w:pPr>
              <w:r>
                <w:rPr>
                  <w:rFonts w:eastAsia="MS Mincho"/>
                  <w:b/>
                  <w:bCs/>
                  <w:color w:val="FDB515"/>
                  <w:kern w:val="2"/>
                  <w:sz w:val="20"/>
                </w:rPr>
                <w:t xml:space="preserve">Lentelė 3. </w:t>
              </w:r>
              <w:r>
                <w:rPr>
                  <w:b/>
                  <w:bCs/>
                  <w:color w:val="FDB515"/>
                  <w:sz w:val="20"/>
                </w:rPr>
                <w:t>Svarbiausi savivaldybės investiciniai projektai</w:t>
              </w:r>
            </w:p>
            <w:p>
              <w:pPr>
                <w:rPr>
                  <w:sz w:val="10"/>
                  <w:szCs w:val="10"/>
                </w:rPr>
              </w:pPr>
            </w:p>
            <w:tbl>
              <w:tblPr>
                <w:tblW w:w="13986" w:type="dxa"/>
                <w:tblLook w:val="04A0" w:firstRow="1" w:lastRow="0" w:firstColumn="1" w:lastColumn="0" w:noHBand="0" w:noVBand="1"/>
              </w:tblPr>
              <w:tblGrid>
                <w:gridCol w:w="1538"/>
                <w:gridCol w:w="1328"/>
                <w:gridCol w:w="961"/>
                <w:gridCol w:w="1587"/>
                <w:gridCol w:w="3228"/>
                <w:gridCol w:w="872"/>
                <w:gridCol w:w="895"/>
                <w:gridCol w:w="1166"/>
                <w:gridCol w:w="1295"/>
                <w:gridCol w:w="1116"/>
              </w:tblGrid>
              <w:tr>
                <w:trPr>
                  <w:trHeight w:val="460"/>
                  <w:tblHeader/>
                </w:trPr>
                <w:tc>
                  <w:tcPr>
                    <w:tcW w:w="15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Regiono plėtros plano pažangos priemonės pavadinimas</w:t>
                    </w:r>
                    <w:r>
                      <w:rPr>
                        <w:b/>
                        <w:bCs/>
                        <w:color w:val="000000"/>
                        <w:sz w:val="20"/>
                        <w:vertAlign w:val="superscript"/>
                        <w:lang w:eastAsia="lt-LT"/>
                      </w:rPr>
                      <w:footnoteReference w:id="5"/>
                    </w:r>
                  </w:p>
                </w:tc>
                <w:tc>
                  <w:tcPr>
                    <w:tcW w:w="132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Savivaldybės strateginio plėtros plano priemonės kodas</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 xml:space="preserve">Projekto numeris </w:t>
                      <w:br/>
                      <w:t>(jei žinoma)</w:t>
                    </w:r>
                  </w:p>
                </w:tc>
                <w:tc>
                  <w:tcPr>
                    <w:tcW w:w="158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Projekto vykdytojo pavadinimas</w:t>
                    </w:r>
                  </w:p>
                </w:tc>
                <w:tc>
                  <w:tcPr>
                    <w:tcW w:w="322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Projekto pavadinimas</w:t>
                    </w:r>
                  </w:p>
                </w:tc>
                <w:tc>
                  <w:tcPr>
                    <w:tcW w:w="1767" w:type="dxa"/>
                    <w:gridSpan w:val="2"/>
                    <w:tcBorders>
                      <w:top w:val="single" w:sz="4" w:space="0" w:color="auto"/>
                      <w:left w:val="nil"/>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Įgyvendinimo terminai (metais)</w:t>
                    </w:r>
                  </w:p>
                </w:tc>
                <w:tc>
                  <w:tcPr>
                    <w:tcW w:w="3577" w:type="dxa"/>
                    <w:gridSpan w:val="3"/>
                    <w:tcBorders>
                      <w:top w:val="single" w:sz="4" w:space="0" w:color="auto"/>
                      <w:left w:val="nil"/>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Bendra projekto vertė, eurais</w:t>
                    </w:r>
                  </w:p>
                </w:tc>
              </w:tr>
              <w:tr>
                <w:trPr>
                  <w:trHeight w:val="370"/>
                  <w:tblHeader/>
                </w:trPr>
                <w:tc>
                  <w:tcPr>
                    <w:tcW w:w="1538" w:type="dxa"/>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lang w:eastAsia="lt-LT"/>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lang w:eastAsia="lt-LT"/>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lang w:eastAsia="lt-LT"/>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lang w:eastAsia="lt-LT"/>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lang w:eastAsia="lt-LT"/>
                      </w:rPr>
                    </w:pPr>
                  </w:p>
                </w:tc>
                <w:tc>
                  <w:tcPr>
                    <w:tcW w:w="872" w:type="dxa"/>
                    <w:vMerge w:val="restart"/>
                    <w:tcBorders>
                      <w:top w:val="nil"/>
                      <w:left w:val="single" w:sz="4" w:space="0" w:color="auto"/>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pradžia</w:t>
                    </w:r>
                  </w:p>
                </w:tc>
                <w:tc>
                  <w:tcPr>
                    <w:tcW w:w="895" w:type="dxa"/>
                    <w:vMerge w:val="restart"/>
                    <w:tcBorders>
                      <w:top w:val="nil"/>
                      <w:left w:val="single" w:sz="4" w:space="0" w:color="auto"/>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pabaiga</w:t>
                    </w:r>
                  </w:p>
                </w:tc>
                <w:tc>
                  <w:tcPr>
                    <w:tcW w:w="1166" w:type="dxa"/>
                    <w:vMerge w:val="restart"/>
                    <w:tcBorders>
                      <w:top w:val="nil"/>
                      <w:left w:val="single" w:sz="4" w:space="0" w:color="auto"/>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Iš viso</w:t>
                    </w:r>
                  </w:p>
                </w:tc>
                <w:tc>
                  <w:tcPr>
                    <w:tcW w:w="1295" w:type="dxa"/>
                    <w:vMerge w:val="restart"/>
                    <w:tcBorders>
                      <w:top w:val="nil"/>
                      <w:left w:val="single" w:sz="4" w:space="0" w:color="auto"/>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Iš jų: savivaldybės biudžeto lėšos</w:t>
                    </w:r>
                  </w:p>
                </w:tc>
                <w:tc>
                  <w:tcPr>
                    <w:tcW w:w="1116" w:type="dxa"/>
                    <w:tcBorders>
                      <w:top w:val="nil"/>
                      <w:left w:val="nil"/>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 xml:space="preserve">Iš jų: </w:t>
                    </w:r>
                  </w:p>
                </w:tc>
              </w:tr>
              <w:tr>
                <w:trPr>
                  <w:trHeight w:val="510"/>
                  <w:tblHeader/>
                </w:trPr>
                <w:tc>
                  <w:tcPr>
                    <w:tcW w:w="1538" w:type="dxa"/>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lang w:eastAsia="lt-LT"/>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lang w:eastAsia="lt-LT"/>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lang w:eastAsia="lt-LT"/>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lang w:eastAsia="lt-LT"/>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pPr>
                      <w:rPr>
                        <w:b/>
                        <w:bCs/>
                        <w:color w:val="000000"/>
                        <w:sz w:val="20"/>
                        <w:lang w:eastAsia="lt-LT"/>
                      </w:rPr>
                    </w:pPr>
                  </w:p>
                </w:tc>
                <w:tc>
                  <w:tcPr>
                    <w:tcW w:w="872" w:type="dxa"/>
                    <w:vMerge/>
                    <w:tcBorders>
                      <w:top w:val="nil"/>
                      <w:left w:val="single" w:sz="4" w:space="0" w:color="auto"/>
                      <w:bottom w:val="single" w:sz="4" w:space="0" w:color="auto"/>
                      <w:right w:val="single" w:sz="4" w:space="0" w:color="auto"/>
                    </w:tcBorders>
                    <w:vAlign w:val="center"/>
                    <w:hideMark/>
                  </w:tcPr>
                  <w:p>
                    <w:pPr>
                      <w:rPr>
                        <w:b/>
                        <w:bCs/>
                        <w:color w:val="000000"/>
                        <w:sz w:val="20"/>
                        <w:lang w:eastAsia="lt-LT"/>
                      </w:rPr>
                    </w:pPr>
                  </w:p>
                </w:tc>
                <w:tc>
                  <w:tcPr>
                    <w:tcW w:w="895" w:type="dxa"/>
                    <w:vMerge/>
                    <w:tcBorders>
                      <w:top w:val="nil"/>
                      <w:left w:val="single" w:sz="4" w:space="0" w:color="auto"/>
                      <w:bottom w:val="single" w:sz="4" w:space="0" w:color="auto"/>
                      <w:right w:val="single" w:sz="4" w:space="0" w:color="auto"/>
                    </w:tcBorders>
                    <w:vAlign w:val="center"/>
                    <w:hideMark/>
                  </w:tcPr>
                  <w:p>
                    <w:pPr>
                      <w:rPr>
                        <w:b/>
                        <w:bCs/>
                        <w:color w:val="000000"/>
                        <w:sz w:val="20"/>
                        <w:lang w:eastAsia="lt-LT"/>
                      </w:rPr>
                    </w:pPr>
                  </w:p>
                </w:tc>
                <w:tc>
                  <w:tcPr>
                    <w:tcW w:w="1166" w:type="dxa"/>
                    <w:vMerge/>
                    <w:tcBorders>
                      <w:top w:val="nil"/>
                      <w:left w:val="single" w:sz="4" w:space="0" w:color="auto"/>
                      <w:bottom w:val="single" w:sz="4" w:space="0" w:color="auto"/>
                      <w:right w:val="single" w:sz="4" w:space="0" w:color="auto"/>
                    </w:tcBorders>
                    <w:vAlign w:val="center"/>
                    <w:hideMark/>
                  </w:tcPr>
                  <w:p>
                    <w:pPr>
                      <w:rPr>
                        <w:b/>
                        <w:bCs/>
                        <w:color w:val="000000"/>
                        <w:sz w:val="20"/>
                        <w:lang w:eastAsia="lt-LT"/>
                      </w:rPr>
                    </w:pPr>
                  </w:p>
                </w:tc>
                <w:tc>
                  <w:tcPr>
                    <w:tcW w:w="1295" w:type="dxa"/>
                    <w:vMerge/>
                    <w:tcBorders>
                      <w:top w:val="nil"/>
                      <w:left w:val="single" w:sz="4" w:space="0" w:color="auto"/>
                      <w:bottom w:val="single" w:sz="4" w:space="0" w:color="auto"/>
                      <w:right w:val="single" w:sz="4" w:space="0" w:color="auto"/>
                    </w:tcBorders>
                    <w:vAlign w:val="center"/>
                    <w:hideMark/>
                  </w:tcPr>
                  <w:p>
                    <w:pPr>
                      <w:rPr>
                        <w:b/>
                        <w:bCs/>
                        <w:color w:val="000000"/>
                        <w:sz w:val="20"/>
                        <w:lang w:eastAsia="lt-LT"/>
                      </w:rPr>
                    </w:pPr>
                  </w:p>
                </w:tc>
                <w:tc>
                  <w:tcPr>
                    <w:tcW w:w="1116" w:type="dxa"/>
                    <w:tcBorders>
                      <w:top w:val="nil"/>
                      <w:left w:val="nil"/>
                      <w:bottom w:val="single" w:sz="4" w:space="0" w:color="auto"/>
                      <w:right w:val="single" w:sz="4" w:space="0" w:color="auto"/>
                    </w:tcBorders>
                    <w:shd w:val="clear" w:color="000000" w:fill="DBE5F1"/>
                    <w:vAlign w:val="center"/>
                    <w:hideMark/>
                  </w:tcPr>
                  <w:p>
                    <w:pPr>
                      <w:jc w:val="center"/>
                      <w:rPr>
                        <w:b/>
                        <w:bCs/>
                        <w:color w:val="000000"/>
                        <w:sz w:val="20"/>
                        <w:lang w:eastAsia="lt-LT"/>
                      </w:rPr>
                    </w:pPr>
                    <w:r>
                      <w:rPr>
                        <w:b/>
                        <w:bCs/>
                        <w:color w:val="000000"/>
                        <w:sz w:val="20"/>
                        <w:lang w:eastAsia="lt-LT"/>
                      </w:rPr>
                      <w:t>kiti šaltiniai</w:t>
                    </w:r>
                  </w:p>
                </w:tc>
              </w:tr>
              <w:tr>
                <w:trPr>
                  <w:trHeight w:val="63"/>
                  <w:tblHeader/>
                </w:trPr>
                <w:tc>
                  <w:tcPr>
                    <w:tcW w:w="1538" w:type="dxa"/>
                    <w:tcBorders>
                      <w:top w:val="nil"/>
                      <w:left w:val="single" w:sz="4" w:space="0" w:color="auto"/>
                      <w:bottom w:val="single" w:sz="4" w:space="0" w:color="auto"/>
                      <w:right w:val="single" w:sz="4" w:space="0" w:color="auto"/>
                    </w:tcBorders>
                    <w:shd w:val="clear" w:color="000000" w:fill="DBE5F1"/>
                    <w:vAlign w:val="center"/>
                    <w:hideMark/>
                  </w:tcPr>
                  <w:p>
                    <w:pPr>
                      <w:jc w:val="center"/>
                      <w:rPr>
                        <w:color w:val="000000"/>
                        <w:sz w:val="20"/>
                        <w:lang w:eastAsia="lt-LT"/>
                      </w:rPr>
                    </w:pPr>
                    <w:r>
                      <w:rPr>
                        <w:color w:val="000000"/>
                        <w:sz w:val="20"/>
                        <w:lang w:eastAsia="lt-LT"/>
                      </w:rPr>
                      <w:t>1</w:t>
                    </w:r>
                  </w:p>
                </w:tc>
                <w:tc>
                  <w:tcPr>
                    <w:tcW w:w="1328" w:type="dxa"/>
                    <w:tcBorders>
                      <w:top w:val="nil"/>
                      <w:left w:val="nil"/>
                      <w:bottom w:val="single" w:sz="4" w:space="0" w:color="auto"/>
                      <w:right w:val="single" w:sz="4" w:space="0" w:color="auto"/>
                    </w:tcBorders>
                    <w:shd w:val="clear" w:color="000000" w:fill="DBE5F1"/>
                    <w:vAlign w:val="center"/>
                    <w:hideMark/>
                  </w:tcPr>
                  <w:p>
                    <w:pPr>
                      <w:jc w:val="center"/>
                      <w:rPr>
                        <w:color w:val="000000"/>
                        <w:sz w:val="20"/>
                        <w:lang w:eastAsia="lt-LT"/>
                      </w:rPr>
                    </w:pPr>
                    <w:r>
                      <w:rPr>
                        <w:color w:val="000000"/>
                        <w:sz w:val="20"/>
                        <w:lang w:eastAsia="lt-LT"/>
                      </w:rPr>
                      <w:t>2</w:t>
                    </w:r>
                  </w:p>
                </w:tc>
                <w:tc>
                  <w:tcPr>
                    <w:tcW w:w="961" w:type="dxa"/>
                    <w:tcBorders>
                      <w:top w:val="nil"/>
                      <w:left w:val="nil"/>
                      <w:bottom w:val="single" w:sz="4" w:space="0" w:color="auto"/>
                      <w:right w:val="single" w:sz="4" w:space="0" w:color="auto"/>
                    </w:tcBorders>
                    <w:shd w:val="clear" w:color="000000" w:fill="DBE5F1"/>
                    <w:noWrap/>
                    <w:vAlign w:val="center"/>
                    <w:hideMark/>
                  </w:tcPr>
                  <w:p>
                    <w:pPr>
                      <w:jc w:val="center"/>
                      <w:rPr>
                        <w:color w:val="000000"/>
                        <w:sz w:val="20"/>
                        <w:lang w:eastAsia="lt-LT"/>
                      </w:rPr>
                    </w:pPr>
                    <w:r>
                      <w:rPr>
                        <w:color w:val="000000"/>
                        <w:sz w:val="20"/>
                        <w:lang w:eastAsia="lt-LT"/>
                      </w:rPr>
                      <w:t>3</w:t>
                    </w:r>
                  </w:p>
                </w:tc>
                <w:tc>
                  <w:tcPr>
                    <w:tcW w:w="1587" w:type="dxa"/>
                    <w:tcBorders>
                      <w:top w:val="nil"/>
                      <w:left w:val="nil"/>
                      <w:bottom w:val="single" w:sz="4" w:space="0" w:color="auto"/>
                      <w:right w:val="single" w:sz="4" w:space="0" w:color="auto"/>
                    </w:tcBorders>
                    <w:shd w:val="clear" w:color="000000" w:fill="DBE5F1"/>
                    <w:vAlign w:val="center"/>
                    <w:hideMark/>
                  </w:tcPr>
                  <w:p>
                    <w:pPr>
                      <w:jc w:val="center"/>
                      <w:rPr>
                        <w:color w:val="000000"/>
                        <w:sz w:val="20"/>
                        <w:lang w:eastAsia="lt-LT"/>
                      </w:rPr>
                    </w:pPr>
                    <w:r>
                      <w:rPr>
                        <w:color w:val="000000"/>
                        <w:sz w:val="20"/>
                        <w:lang w:eastAsia="lt-LT"/>
                      </w:rPr>
                      <w:t>4</w:t>
                    </w:r>
                  </w:p>
                </w:tc>
                <w:tc>
                  <w:tcPr>
                    <w:tcW w:w="3228" w:type="dxa"/>
                    <w:tcBorders>
                      <w:top w:val="nil"/>
                      <w:left w:val="nil"/>
                      <w:bottom w:val="single" w:sz="4" w:space="0" w:color="auto"/>
                      <w:right w:val="single" w:sz="4" w:space="0" w:color="auto"/>
                    </w:tcBorders>
                    <w:shd w:val="clear" w:color="000000" w:fill="DBE5F1"/>
                    <w:vAlign w:val="center"/>
                    <w:hideMark/>
                  </w:tcPr>
                  <w:p>
                    <w:pPr>
                      <w:jc w:val="center"/>
                      <w:rPr>
                        <w:color w:val="000000"/>
                        <w:sz w:val="20"/>
                        <w:lang w:eastAsia="lt-LT"/>
                      </w:rPr>
                    </w:pPr>
                    <w:r>
                      <w:rPr>
                        <w:color w:val="000000"/>
                        <w:sz w:val="20"/>
                        <w:lang w:eastAsia="lt-LT"/>
                      </w:rPr>
                      <w:t>5</w:t>
                    </w:r>
                  </w:p>
                </w:tc>
                <w:tc>
                  <w:tcPr>
                    <w:tcW w:w="872" w:type="dxa"/>
                    <w:tcBorders>
                      <w:top w:val="nil"/>
                      <w:left w:val="nil"/>
                      <w:bottom w:val="single" w:sz="4" w:space="0" w:color="auto"/>
                      <w:right w:val="single" w:sz="4" w:space="0" w:color="auto"/>
                    </w:tcBorders>
                    <w:shd w:val="clear" w:color="000000" w:fill="DBE5F1"/>
                    <w:noWrap/>
                    <w:vAlign w:val="center"/>
                    <w:hideMark/>
                  </w:tcPr>
                  <w:p>
                    <w:pPr>
                      <w:jc w:val="center"/>
                      <w:rPr>
                        <w:color w:val="000000"/>
                        <w:sz w:val="20"/>
                        <w:lang w:eastAsia="lt-LT"/>
                      </w:rPr>
                    </w:pPr>
                    <w:r>
                      <w:rPr>
                        <w:color w:val="000000"/>
                        <w:sz w:val="20"/>
                        <w:lang w:eastAsia="lt-LT"/>
                      </w:rPr>
                      <w:t>6</w:t>
                    </w:r>
                  </w:p>
                </w:tc>
                <w:tc>
                  <w:tcPr>
                    <w:tcW w:w="895" w:type="dxa"/>
                    <w:tcBorders>
                      <w:top w:val="nil"/>
                      <w:left w:val="nil"/>
                      <w:bottom w:val="single" w:sz="4" w:space="0" w:color="auto"/>
                      <w:right w:val="single" w:sz="4" w:space="0" w:color="auto"/>
                    </w:tcBorders>
                    <w:shd w:val="clear" w:color="000000" w:fill="DBE5F1"/>
                    <w:noWrap/>
                    <w:vAlign w:val="center"/>
                    <w:hideMark/>
                  </w:tcPr>
                  <w:p>
                    <w:pPr>
                      <w:jc w:val="center"/>
                      <w:rPr>
                        <w:color w:val="000000"/>
                        <w:sz w:val="20"/>
                        <w:lang w:eastAsia="lt-LT"/>
                      </w:rPr>
                    </w:pPr>
                    <w:r>
                      <w:rPr>
                        <w:color w:val="000000"/>
                        <w:sz w:val="20"/>
                        <w:lang w:eastAsia="lt-LT"/>
                      </w:rPr>
                      <w:t>7</w:t>
                    </w:r>
                  </w:p>
                </w:tc>
                <w:tc>
                  <w:tcPr>
                    <w:tcW w:w="1166" w:type="dxa"/>
                    <w:tcBorders>
                      <w:top w:val="nil"/>
                      <w:left w:val="nil"/>
                      <w:bottom w:val="single" w:sz="4" w:space="0" w:color="auto"/>
                      <w:right w:val="single" w:sz="4" w:space="0" w:color="auto"/>
                    </w:tcBorders>
                    <w:shd w:val="clear" w:color="000000" w:fill="DBE5F1"/>
                    <w:vAlign w:val="center"/>
                    <w:hideMark/>
                  </w:tcPr>
                  <w:p>
                    <w:pPr>
                      <w:jc w:val="center"/>
                      <w:rPr>
                        <w:color w:val="000000"/>
                        <w:sz w:val="20"/>
                        <w:lang w:eastAsia="lt-LT"/>
                      </w:rPr>
                    </w:pPr>
                    <w:r>
                      <w:rPr>
                        <w:color w:val="000000"/>
                        <w:sz w:val="20"/>
                        <w:lang w:eastAsia="lt-LT"/>
                      </w:rPr>
                      <w:t>8</w:t>
                    </w:r>
                  </w:p>
                </w:tc>
                <w:tc>
                  <w:tcPr>
                    <w:tcW w:w="1295" w:type="dxa"/>
                    <w:tcBorders>
                      <w:top w:val="nil"/>
                      <w:left w:val="nil"/>
                      <w:bottom w:val="single" w:sz="4" w:space="0" w:color="auto"/>
                      <w:right w:val="single" w:sz="4" w:space="0" w:color="auto"/>
                    </w:tcBorders>
                    <w:shd w:val="clear" w:color="000000" w:fill="DBE5F1"/>
                    <w:vAlign w:val="center"/>
                    <w:hideMark/>
                  </w:tcPr>
                  <w:p>
                    <w:pPr>
                      <w:jc w:val="center"/>
                      <w:rPr>
                        <w:color w:val="000000"/>
                        <w:sz w:val="20"/>
                        <w:lang w:eastAsia="lt-LT"/>
                      </w:rPr>
                    </w:pPr>
                    <w:r>
                      <w:rPr>
                        <w:color w:val="000000"/>
                        <w:sz w:val="20"/>
                        <w:lang w:eastAsia="lt-LT"/>
                      </w:rPr>
                      <w:t>9</w:t>
                    </w:r>
                  </w:p>
                </w:tc>
                <w:tc>
                  <w:tcPr>
                    <w:tcW w:w="1116" w:type="dxa"/>
                    <w:tcBorders>
                      <w:top w:val="nil"/>
                      <w:left w:val="nil"/>
                      <w:bottom w:val="single" w:sz="4" w:space="0" w:color="auto"/>
                      <w:right w:val="single" w:sz="4" w:space="0" w:color="auto"/>
                    </w:tcBorders>
                    <w:shd w:val="clear" w:color="000000" w:fill="DBE5F1"/>
                    <w:vAlign w:val="center"/>
                    <w:hideMark/>
                  </w:tcPr>
                  <w:p>
                    <w:pPr>
                      <w:jc w:val="center"/>
                      <w:rPr>
                        <w:color w:val="000000"/>
                        <w:sz w:val="20"/>
                        <w:lang w:eastAsia="lt-LT"/>
                      </w:rPr>
                    </w:pPr>
                    <w:r>
                      <w:rPr>
                        <w:color w:val="000000"/>
                        <w:sz w:val="20"/>
                        <w:lang w:eastAsia="lt-LT"/>
                      </w:rPr>
                      <w:t>10</w:t>
                    </w: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12-02-01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(KS, SRS)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Atnaujinta / modernizuota Šiaulių dailės galerija</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2028</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2033</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800000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120000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680000</w:t>
                    </w: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12-02-02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(KS)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Pastatyta šiuolaikinė koncertų salė</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2030</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2033</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30000000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4500000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25500000</w:t>
                    </w: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12-02-03</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(KS, MPPS, AS, TVS, SRS)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Perimti, sutvarkyti ir įveiklinti Šiaulių dvaro sodybos, vad. Didždvario, rūmai (Zubovų rūmai)</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2027</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2030</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3000000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450000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2550000</w:t>
                    </w: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13-01-04</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(CSP, SRS)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Įrengta slėptuvė Savivaldybės ekstremaliųjų situacijų operacijų centro veiklai, darbui</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800000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800000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13-01-02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(TVS)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Sukurtas pažangus Savivaldybės įmonių ir įstaigų turto valdymo sprendimas</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vMerge w:val="restart"/>
                    <w:tcBorders>
                      <w:top w:val="nil"/>
                      <w:left w:val="single" w:sz="4" w:space="0" w:color="auto"/>
                      <w:bottom w:val="single" w:sz="4" w:space="0" w:color="000000"/>
                      <w:right w:val="single" w:sz="4" w:space="0" w:color="auto"/>
                    </w:tcBorders>
                    <w:shd w:val="clear" w:color="auto" w:fill="auto"/>
                    <w:vAlign w:val="center"/>
                    <w:hideMark/>
                  </w:tcPr>
                  <w:p>
                    <w:pPr>
                      <w:jc w:val="center"/>
                      <w:rPr>
                        <w:color w:val="000000"/>
                        <w:sz w:val="20"/>
                        <w:lang w:eastAsia="lt-LT"/>
                      </w:rPr>
                    </w:pPr>
                    <w:r>
                      <w:rPr>
                        <w:color w:val="000000"/>
                        <w:sz w:val="20"/>
                        <w:lang w:eastAsia="lt-LT"/>
                      </w:rPr>
                      <w:t>850879</w:t>
                    </w:r>
                  </w:p>
                </w:tc>
                <w:tc>
                  <w:tcPr>
                    <w:tcW w:w="1295" w:type="dxa"/>
                    <w:vMerge w:val="restart"/>
                    <w:tcBorders>
                      <w:top w:val="nil"/>
                      <w:left w:val="single" w:sz="4" w:space="0" w:color="auto"/>
                      <w:bottom w:val="single" w:sz="4" w:space="0" w:color="000000"/>
                      <w:right w:val="single" w:sz="4" w:space="0" w:color="auto"/>
                    </w:tcBorders>
                    <w:shd w:val="clear" w:color="auto" w:fill="auto"/>
                    <w:vAlign w:val="center"/>
                    <w:hideMark/>
                  </w:tcPr>
                  <w:p>
                    <w:pPr>
                      <w:ind w:firstLine="53"/>
                      <w:jc w:val="center"/>
                      <w:rPr>
                        <w:color w:val="000000"/>
                        <w:sz w:val="20"/>
                        <w:lang w:eastAsia="lt-LT"/>
                      </w:rPr>
                    </w:pPr>
                  </w:p>
                </w:tc>
                <w:tc>
                  <w:tcPr>
                    <w:tcW w:w="1116" w:type="dxa"/>
                    <w:vMerge w:val="restart"/>
                    <w:tcBorders>
                      <w:top w:val="nil"/>
                      <w:left w:val="single" w:sz="4" w:space="0" w:color="auto"/>
                      <w:bottom w:val="single" w:sz="4" w:space="0" w:color="000000"/>
                      <w:right w:val="single" w:sz="4" w:space="0" w:color="auto"/>
                    </w:tcBorders>
                    <w:shd w:val="clear" w:color="auto" w:fill="auto"/>
                    <w:vAlign w:val="center"/>
                    <w:hideMark/>
                  </w:tcPr>
                  <w:p>
                    <w:pPr>
                      <w:jc w:val="center"/>
                      <w:rPr>
                        <w:color w:val="000000"/>
                        <w:sz w:val="20"/>
                        <w:lang w:eastAsia="lt-LT"/>
                      </w:rPr>
                    </w:pPr>
                    <w:r>
                      <w:rPr>
                        <w:color w:val="000000"/>
                        <w:sz w:val="20"/>
                        <w:lang w:eastAsia="lt-LT"/>
                      </w:rPr>
                      <w:t>850879</w:t>
                    </w: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14-02-04</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(TVS)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Sukurtas automatizuotas, interaktyvus Šiaulių NT žemėlapis</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vMerge/>
                    <w:tcBorders>
                      <w:top w:val="nil"/>
                      <w:left w:val="single" w:sz="4" w:space="0" w:color="auto"/>
                      <w:bottom w:val="single" w:sz="4" w:space="0" w:color="000000"/>
                      <w:right w:val="single" w:sz="4" w:space="0" w:color="auto"/>
                    </w:tcBorders>
                    <w:vAlign w:val="center"/>
                    <w:hideMark/>
                  </w:tcPr>
                  <w:p>
                    <w:pPr>
                      <w:rPr>
                        <w:color w:val="000000"/>
                        <w:sz w:val="20"/>
                        <w:lang w:eastAsia="lt-LT"/>
                      </w:rPr>
                    </w:pPr>
                  </w:p>
                </w:tc>
                <w:tc>
                  <w:tcPr>
                    <w:tcW w:w="1295" w:type="dxa"/>
                    <w:vMerge/>
                    <w:tcBorders>
                      <w:top w:val="nil"/>
                      <w:left w:val="single" w:sz="4" w:space="0" w:color="auto"/>
                      <w:bottom w:val="single" w:sz="4" w:space="0" w:color="000000"/>
                      <w:right w:val="single" w:sz="4" w:space="0" w:color="auto"/>
                    </w:tcBorders>
                    <w:vAlign w:val="center"/>
                    <w:hideMark/>
                  </w:tcPr>
                  <w:p>
                    <w:pPr>
                      <w:rPr>
                        <w:color w:val="000000"/>
                        <w:sz w:val="20"/>
                        <w:lang w:eastAsia="lt-LT"/>
                      </w:rPr>
                    </w:pPr>
                  </w:p>
                </w:tc>
                <w:tc>
                  <w:tcPr>
                    <w:tcW w:w="1116" w:type="dxa"/>
                    <w:vMerge/>
                    <w:tcBorders>
                      <w:top w:val="nil"/>
                      <w:left w:val="single" w:sz="4" w:space="0" w:color="auto"/>
                      <w:bottom w:val="single" w:sz="4" w:space="0" w:color="000000"/>
                      <w:right w:val="single" w:sz="4" w:space="0" w:color="auto"/>
                    </w:tcBorders>
                    <w:vAlign w:val="center"/>
                    <w:hideMark/>
                  </w:tcPr>
                  <w:p>
                    <w:pPr>
                      <w:rPr>
                        <w:color w:val="000000"/>
                        <w:sz w:val="20"/>
                        <w:lang w:eastAsia="lt-LT"/>
                      </w:rPr>
                    </w:pP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Šiaulių miesto integruota plėtra</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13-01-01 / 14-01-03</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(AS, PVS, MPPS, MŪAS)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 xml:space="preserve">Lieporių parko atgaivinimas ir pritaikymas bendruomenės veiklai </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2027</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3000000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450000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2550000 (ES)</w:t>
                    </w: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Šiaulių miesto integruota plėtra</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14-01-01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(PVS, MŪAS)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Tankiai apgyvendintos Šiaulių miesto urbanizuotos teritorijos atgaivinimas, žalinimas ir funkcionalumo didinimas</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4200000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630000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3570000 (ES)</w:t>
                    </w: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14-01-01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(MŪAS)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Remontuoti daugiabučių namų kiemų dangą</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800000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800000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Darnaus judumo skatinimas</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14-02-01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(PVS, MŪAS)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Vientiso dviračių takų tinklo kūrimas integruojant bevariklį transportą į bendrą transporto sistemą</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2023</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2029</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22000000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3300000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 xml:space="preserve">18700000 (ES)  </w:t>
                    </w: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14-02-04</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(MŪAS)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Rekonstruoti Tilžės g. viaduką per geležinkelį</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17947500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17947500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14-02-04</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(AS, MPPS, SRS)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Vykdyti naujų magistralinių gatvių suprojektavimo ir nutiesimo, susisiekimo komunikacijų įrengimo, rekonstravimo ir remonto darbus</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39460100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18580000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14468900 (KPPP)</w:t>
                    </w: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14-02-04</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(MŪAS)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Suprojektuoti, nutiesti, išasfaltuoti ar rekonstruoti žvyruotas gatves</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8506200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5006200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3000000 (KPPP)</w:t>
                    </w: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14-02-06</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(MKS)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Vykdyti vaizdo stebėjimo kamerų sistemos plėtrą</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300000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Darnaus judumo skatinimas</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14-02-06</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(PVS, MŪAS)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Eismo saugumo priemonių įdiegimas Šiaulių mieste</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1100000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250000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850000 (ES)</w:t>
                    </w: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tcPr>
                  <w:p>
                    <w:pPr>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tcPr>
                  <w:p>
                    <w:pPr>
                      <w:jc w:val="center"/>
                      <w:rPr>
                        <w:color w:val="000000"/>
                        <w:sz w:val="20"/>
                        <w:lang w:eastAsia="lt-LT"/>
                      </w:rPr>
                    </w:pPr>
                    <w:r>
                      <w:rPr>
                        <w:color w:val="000000"/>
                        <w:sz w:val="20"/>
                        <w:lang w:eastAsia="lt-LT"/>
                      </w:rPr>
                      <w:t>15-01-02</w:t>
                    </w:r>
                  </w:p>
                </w:tc>
                <w:tc>
                  <w:tcPr>
                    <w:tcW w:w="961" w:type="dxa"/>
                    <w:tcBorders>
                      <w:top w:val="nil"/>
                      <w:left w:val="nil"/>
                      <w:bottom w:val="single" w:sz="4" w:space="0" w:color="auto"/>
                      <w:right w:val="single" w:sz="4" w:space="0" w:color="auto"/>
                    </w:tcBorders>
                    <w:shd w:val="clear" w:color="auto" w:fill="auto"/>
                    <w:noWrap/>
                    <w:vAlign w:val="center"/>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tcPr>
                  <w:p>
                    <w:pPr>
                      <w:rPr>
                        <w:color w:val="000000"/>
                        <w:sz w:val="20"/>
                        <w:lang w:eastAsia="lt-LT"/>
                      </w:rPr>
                    </w:pPr>
                    <w:r>
                      <w:rPr>
                        <w:color w:val="000000"/>
                        <w:sz w:val="20"/>
                        <w:lang w:eastAsia="lt-LT"/>
                      </w:rPr>
                      <w:t>ŠMSA (PVS, EIS, MŪAS)</w:t>
                    </w:r>
                  </w:p>
                </w:tc>
                <w:tc>
                  <w:tcPr>
                    <w:tcW w:w="3228" w:type="dxa"/>
                    <w:tcBorders>
                      <w:top w:val="nil"/>
                      <w:left w:val="nil"/>
                      <w:bottom w:val="single" w:sz="4" w:space="0" w:color="auto"/>
                      <w:right w:val="single" w:sz="4" w:space="0" w:color="auto"/>
                    </w:tcBorders>
                    <w:shd w:val="clear" w:color="auto" w:fill="auto"/>
                    <w:vAlign w:val="center"/>
                  </w:tcPr>
                  <w:p>
                    <w:pPr>
                      <w:rPr>
                        <w:color w:val="000000"/>
                        <w:sz w:val="20"/>
                        <w:lang w:eastAsia="lt-LT"/>
                      </w:rPr>
                    </w:pPr>
                    <w:r>
                      <w:rPr>
                        <w:color w:val="000000"/>
                        <w:sz w:val="20"/>
                        <w:lang w:eastAsia="lt-LT"/>
                      </w:rPr>
                      <w:t xml:space="preserve">Vystyti Šiaulių pramoninio  parko (ŠPP) ir Šiaulių laisvosios ekonominės zonos (Šiaulių LEZ) infrastruktūrą</w:t>
                    </w:r>
                  </w:p>
                </w:tc>
                <w:tc>
                  <w:tcPr>
                    <w:tcW w:w="872" w:type="dxa"/>
                    <w:tcBorders>
                      <w:top w:val="nil"/>
                      <w:left w:val="nil"/>
                      <w:bottom w:val="single" w:sz="4" w:space="0" w:color="auto"/>
                      <w:right w:val="single" w:sz="4" w:space="0" w:color="auto"/>
                    </w:tcBorders>
                    <w:shd w:val="clear" w:color="auto" w:fill="auto"/>
                    <w:vAlign w:val="center"/>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tcPr>
                  <w:p>
                    <w:pPr>
                      <w:jc w:val="center"/>
                      <w:rPr>
                        <w:color w:val="000000"/>
                        <w:sz w:val="20"/>
                        <w:lang w:eastAsia="lt-LT"/>
                      </w:rPr>
                    </w:pPr>
                    <w:r>
                      <w:rPr>
                        <w:color w:val="000000"/>
                        <w:sz w:val="20"/>
                        <w:lang w:eastAsia="lt-LT"/>
                      </w:rPr>
                      <w:t>4131600</w:t>
                    </w:r>
                  </w:p>
                </w:tc>
                <w:tc>
                  <w:tcPr>
                    <w:tcW w:w="1295" w:type="dxa"/>
                    <w:tcBorders>
                      <w:top w:val="nil"/>
                      <w:left w:val="nil"/>
                      <w:bottom w:val="single" w:sz="4" w:space="0" w:color="auto"/>
                      <w:right w:val="single" w:sz="4" w:space="0" w:color="auto"/>
                    </w:tcBorders>
                    <w:shd w:val="clear" w:color="auto" w:fill="auto"/>
                    <w:vAlign w:val="center"/>
                  </w:tcPr>
                  <w:p>
                    <w:pPr>
                      <w:jc w:val="center"/>
                      <w:rPr>
                        <w:color w:val="000000"/>
                        <w:sz w:val="20"/>
                        <w:lang w:eastAsia="lt-LT"/>
                      </w:rPr>
                    </w:pPr>
                    <w:r>
                      <w:rPr>
                        <w:color w:val="000000"/>
                        <w:sz w:val="20"/>
                        <w:lang w:eastAsia="lt-LT"/>
                      </w:rPr>
                      <w:t>4131600</w:t>
                    </w:r>
                  </w:p>
                </w:tc>
                <w:tc>
                  <w:tcPr>
                    <w:tcW w:w="1116" w:type="dxa"/>
                    <w:tcBorders>
                      <w:top w:val="nil"/>
                      <w:left w:val="nil"/>
                      <w:bottom w:val="single" w:sz="4" w:space="0" w:color="auto"/>
                      <w:right w:val="single" w:sz="4" w:space="0" w:color="auto"/>
                    </w:tcBorders>
                    <w:shd w:val="clear" w:color="auto" w:fill="auto"/>
                    <w:vAlign w:val="center"/>
                  </w:tcPr>
                  <w:p>
                    <w:pPr>
                      <w:ind w:firstLine="53"/>
                      <w:jc w:val="center"/>
                      <w:rPr>
                        <w:color w:val="000000"/>
                        <w:sz w:val="20"/>
                        <w:lang w:eastAsia="lt-LT"/>
                      </w:rPr>
                    </w:pP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tcPr>
                  <w:p>
                    <w:pPr>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tcPr>
                  <w:p>
                    <w:pPr>
                      <w:jc w:val="center"/>
                      <w:rPr>
                        <w:color w:val="000000"/>
                        <w:sz w:val="20"/>
                        <w:lang w:eastAsia="lt-LT"/>
                      </w:rPr>
                    </w:pPr>
                    <w:r>
                      <w:rPr>
                        <w:sz w:val="20"/>
                        <w:lang w:eastAsia="lt-LT"/>
                      </w:rPr>
                      <w:t>15-01-03</w:t>
                    </w:r>
                  </w:p>
                </w:tc>
                <w:tc>
                  <w:tcPr>
                    <w:tcW w:w="961" w:type="dxa"/>
                    <w:tcBorders>
                      <w:top w:val="nil"/>
                      <w:left w:val="nil"/>
                      <w:bottom w:val="single" w:sz="4" w:space="0" w:color="auto"/>
                      <w:right w:val="single" w:sz="4" w:space="0" w:color="auto"/>
                    </w:tcBorders>
                    <w:shd w:val="clear" w:color="auto" w:fill="auto"/>
                    <w:noWrap/>
                    <w:vAlign w:val="center"/>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tcPr>
                  <w:p>
                    <w:pPr>
                      <w:rPr>
                        <w:color w:val="000000"/>
                        <w:sz w:val="20"/>
                        <w:lang w:eastAsia="lt-LT"/>
                      </w:rPr>
                    </w:pPr>
                    <w:r>
                      <w:rPr>
                        <w:color w:val="000000"/>
                        <w:sz w:val="20"/>
                        <w:lang w:eastAsia="lt-LT"/>
                      </w:rPr>
                      <w:t>ŠMSA (EIS, MŪAS)</w:t>
                    </w:r>
                  </w:p>
                </w:tc>
                <w:tc>
                  <w:tcPr>
                    <w:tcW w:w="3228" w:type="dxa"/>
                    <w:tcBorders>
                      <w:top w:val="nil"/>
                      <w:left w:val="nil"/>
                      <w:bottom w:val="single" w:sz="4" w:space="0" w:color="auto"/>
                      <w:right w:val="single" w:sz="4" w:space="0" w:color="auto"/>
                    </w:tcBorders>
                    <w:shd w:val="clear" w:color="auto" w:fill="auto"/>
                    <w:vAlign w:val="center"/>
                  </w:tcPr>
                  <w:p>
                    <w:pPr>
                      <w:rPr>
                        <w:color w:val="000000"/>
                        <w:sz w:val="20"/>
                        <w:lang w:eastAsia="lt-LT"/>
                      </w:rPr>
                    </w:pPr>
                    <w:r>
                      <w:rPr>
                        <w:color w:val="000000"/>
                        <w:sz w:val="20"/>
                        <w:lang w:eastAsia="lt-LT"/>
                      </w:rPr>
                      <w:t>Įrengti ekonominės veiklos centro infrastruktūrą</w:t>
                    </w:r>
                  </w:p>
                </w:tc>
                <w:tc>
                  <w:tcPr>
                    <w:tcW w:w="872" w:type="dxa"/>
                    <w:tcBorders>
                      <w:top w:val="nil"/>
                      <w:left w:val="nil"/>
                      <w:bottom w:val="single" w:sz="4" w:space="0" w:color="auto"/>
                      <w:right w:val="single" w:sz="4" w:space="0" w:color="auto"/>
                    </w:tcBorders>
                    <w:shd w:val="clear" w:color="auto" w:fill="auto"/>
                    <w:vAlign w:val="center"/>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tcPr>
                  <w:p>
                    <w:pPr>
                      <w:jc w:val="center"/>
                      <w:rPr>
                        <w:color w:val="000000"/>
                        <w:sz w:val="20"/>
                        <w:lang w:eastAsia="lt-LT"/>
                      </w:rPr>
                    </w:pPr>
                    <w:r>
                      <w:rPr>
                        <w:color w:val="000000"/>
                        <w:sz w:val="20"/>
                        <w:lang w:eastAsia="lt-LT"/>
                      </w:rPr>
                      <w:t>1200000</w:t>
                    </w:r>
                  </w:p>
                </w:tc>
                <w:tc>
                  <w:tcPr>
                    <w:tcW w:w="1295" w:type="dxa"/>
                    <w:tcBorders>
                      <w:top w:val="nil"/>
                      <w:left w:val="nil"/>
                      <w:bottom w:val="single" w:sz="4" w:space="0" w:color="auto"/>
                      <w:right w:val="single" w:sz="4" w:space="0" w:color="auto"/>
                    </w:tcBorders>
                    <w:shd w:val="clear" w:color="auto" w:fill="auto"/>
                    <w:vAlign w:val="center"/>
                  </w:tcPr>
                  <w:p>
                    <w:pPr>
                      <w:jc w:val="center"/>
                      <w:rPr>
                        <w:color w:val="000000"/>
                        <w:sz w:val="20"/>
                        <w:lang w:eastAsia="lt-LT"/>
                      </w:rPr>
                    </w:pPr>
                    <w:r>
                      <w:rPr>
                        <w:color w:val="000000"/>
                        <w:sz w:val="20"/>
                        <w:lang w:eastAsia="lt-LT"/>
                      </w:rPr>
                      <w:t>1200000</w:t>
                    </w:r>
                  </w:p>
                </w:tc>
                <w:tc>
                  <w:tcPr>
                    <w:tcW w:w="1116" w:type="dxa"/>
                    <w:tcBorders>
                      <w:top w:val="nil"/>
                      <w:left w:val="nil"/>
                      <w:bottom w:val="single" w:sz="4" w:space="0" w:color="auto"/>
                      <w:right w:val="single" w:sz="4" w:space="0" w:color="auto"/>
                    </w:tcBorders>
                    <w:shd w:val="clear" w:color="auto" w:fill="auto"/>
                    <w:vAlign w:val="center"/>
                  </w:tcPr>
                  <w:p>
                    <w:pPr>
                      <w:ind w:firstLine="53"/>
                      <w:jc w:val="center"/>
                      <w:rPr>
                        <w:color w:val="000000"/>
                        <w:sz w:val="20"/>
                        <w:lang w:eastAsia="lt-LT"/>
                      </w:rPr>
                    </w:pP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15-0</w:t>
                    </w:r>
                    <w:r>
                      <w:rPr>
                        <w:color w:val="000000"/>
                        <w:sz w:val="20"/>
                        <w:lang w:val="en-US" w:eastAsia="lt-LT"/>
                      </w:rPr>
                      <w:t>2</w:t>
                    </w:r>
                    <w:r>
                      <w:rPr>
                        <w:color w:val="000000"/>
                        <w:sz w:val="20"/>
                        <w:lang w:eastAsia="lt-LT"/>
                      </w:rPr>
                      <w:t>-01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(KS, TIC)</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Įrengti nauji turizmui ir rekreacijai pritaikyti reikšmingi traukos objektai</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2033</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5000000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1600000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3400000</w:t>
                    </w:r>
                  </w:p>
                </w:tc>
              </w:tr>
              <w:tr>
                <w:trPr>
                  <w:trHeight w:val="51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15-02-01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(KS, TIC)</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 xml:space="preserve">Turizmui ir rekreacijai pritaikyti Talkšos ir Salduvės parkai </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2028</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5000000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15000000</w:t>
                    </w:r>
                  </w:p>
                </w:tc>
              </w:tr>
              <w:tr>
                <w:trPr>
                  <w:trHeight w:val="52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Socialinių paslaugų ir jų infrastruktūros plėtra</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16-01-07</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(PVS, TVS)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Socialinio būsto fondo plėtra Šiaulių miesto savivaldybėje</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2029</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2352940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352941</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1999999 (ES)</w:t>
                    </w:r>
                  </w:p>
                </w:tc>
              </w:tr>
              <w:tr>
                <w:trPr>
                  <w:trHeight w:val="104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Socialinių paslaugų ir jų infrastruktūros plėtra</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16-02-01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(SPS)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Rekonstruoti Šiaulių miesto savivaldybės socialinių paslaugų centro Paramos tarnybos pastatą (Stoties g.)</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2029</w:t>
                    </w:r>
                  </w:p>
                </w:tc>
                <w:tc>
                  <w:tcPr>
                    <w:tcW w:w="116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r>
                      <w:rPr>
                        <w:color w:val="000000"/>
                        <w:sz w:val="20"/>
                        <w:lang w:eastAsia="lt-LT"/>
                      </w:rPr>
                      <w:t>1606750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241012,5 </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1365737,5 </w:t>
                    </w:r>
                  </w:p>
                </w:tc>
              </w:tr>
              <w:tr>
                <w:trPr>
                  <w:trHeight w:val="52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16-02-01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(SS)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Renovuotos / pastatytos naujos patalpos VŠĮ Šiaulių krepšinio akademijai „Saulė“</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2027</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2029</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4500000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3000000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1500000</w:t>
                    </w:r>
                  </w:p>
                </w:tc>
              </w:tr>
              <w:tr>
                <w:trPr>
                  <w:trHeight w:val="52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Socialinių paslaugų ir jų infrastruktūros plėtra</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16-02-02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(SPS, PVS, SRS)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Šeimoje ir bendruomenėje teikiamų paslaugų, asmenims su proto ir intelekto negalia, plėtra</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3000000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450000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2550000 (ES)</w:t>
                    </w:r>
                  </w:p>
                </w:tc>
              </w:tr>
              <w:tr>
                <w:trPr>
                  <w:trHeight w:val="52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17-02-01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(SS)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Suremontuoti Šiaulių m. stadioną ir pastatų patalpas (S. Daukanto g. 23)</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484200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484200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26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17-02-01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(SS), ŠTA</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Didinti Šiaulių teniso akademijos pastato funkcionalumą</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750000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750000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26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17-02-02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(SS, SRS)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Pastatyti irklavimo sporto bazę (Žvyro g. 34)</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2674000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2674000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52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17-02-02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(SS, MPPS, AS, SRS)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Suprojektuoti ir pastatyti buriavimo elingą prie Rėkyvos ežero</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230000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230000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78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Šiaulių miesto integruota plėtra</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17-02-02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(SS, PVS, MPPS, AS, SRS)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Bendrojo ugdymo, neformaliojo ugdymo ir kitų viešųjų paslaugų teikimui trūkstamos infrastruktūros sukūrimas, adresu J. Jablonskio g. 14, Šiauliai</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2023</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23636364</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8636363,64</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13000000 (ES)</w:t>
                      <w:br/>
                      <w:t>2000000 (VIP)</w:t>
                    </w:r>
                  </w:p>
                </w:tc>
              </w:tr>
              <w:tr>
                <w:trPr>
                  <w:trHeight w:val="78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18-01-02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 xml:space="preserve">ŠMSA (ŠS, PVS), Šiaulių Vinco Kudirkos progimnazija </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Atvirų klasių sukūrimas Šiaulių Vinco Kudirkos progimnazijoje</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99300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22300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77000 (VB)</w:t>
                    </w:r>
                  </w:p>
                </w:tc>
              </w:tr>
              <w:tr>
                <w:trPr>
                  <w:trHeight w:val="78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Ikimokyklinio ir bendrojo ugdymo aplinkos modernizavimas</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18-01-02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(ŠS, SRS, PVS)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Edukacinių erdvių įrengimas Šiaulių miesto ugdymo įstaigose, plėtojant visos dienos mokyklos veiklas</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2023</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1764706</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264705,88</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1500000 (ES)</w:t>
                    </w:r>
                  </w:p>
                </w:tc>
              </w:tr>
              <w:tr>
                <w:trPr>
                  <w:trHeight w:val="104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Ikimokyklinio ir bendrojo ugdymo aplinkos modernizavimas</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18-02-01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(ŠS, SRS, PVS)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Ikimokyklinio ugdymo paslaugų prieinamumo didinimas Šiaulių miesto savivaldybėje (Ikimokyklinio ugdymo paslaugų teikimui pritaikomas pastatas, adresu Pabalių g. 53)</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2023</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2941176,47</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441176,47</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2500000 (ES)</w:t>
                    </w:r>
                  </w:p>
                </w:tc>
              </w:tr>
              <w:tr>
                <w:trPr>
                  <w:trHeight w:val="78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Šiaulių miesto integruota plėtra</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(ŠS, SRS, PVS)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 Daukanto inžinerijos gimnazijos (S. Daukanto g. 71, Šiauliai) pritaikymas specializuotų inžinerinio ugdymo programų vykdymui</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2023</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300000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1700000 (ES)</w:t>
                    </w:r>
                  </w:p>
                </w:tc>
              </w:tr>
              <w:tr>
                <w:trPr>
                  <w:trHeight w:val="78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Šiaulių miesto integruota plėtra</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(ŠS, SRS, PVS)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 xml:space="preserve">Bendrojo ugdymo paslaugų  kokybės gerinimas ir prieinamumo didinimas Šiaulių mieste, modernizuojant  Vinco Kudirkos progimnaziją </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2023</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3000000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450000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2550000 (ES)</w:t>
                    </w:r>
                  </w:p>
                </w:tc>
              </w:tr>
              <w:tr>
                <w:trPr>
                  <w:trHeight w:val="78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Šiaulių miesto integruota plėtra</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(ŠS, SRS, PVS)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 xml:space="preserve">Bendrojo ugdymo paslaugų  kokybės gerinimas ir prieinamumo didinimas Šiaulių mieste, modernizuojant Šiaulių Ragainės progimnaziją </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2023</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3000000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450000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2550000 (ES)</w:t>
                    </w:r>
                  </w:p>
                </w:tc>
              </w:tr>
              <w:tr>
                <w:trPr>
                  <w:trHeight w:val="104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Šiaulių miesto integruota plėtra</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(ŠS, SRS, PVS)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 xml:space="preserve">Šiaulių miesto „Romuvos“,  „Dainų“ ir  Salduvės  progimnazijų bei Didždvario ir Lieporių gimnazijų lauko infrastruktūros atnaujinimas, pritaikymas ugdymo poreikiams ir funkcionalumo didinimas</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4676471</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701470,59</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3975000 (ES)</w:t>
                    </w:r>
                  </w:p>
                </w:tc>
              </w:tr>
              <w:tr>
                <w:trPr>
                  <w:trHeight w:val="52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(ŠS, PVS, SRS)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Šiaulių Sporto gimnazijos (Vilniaus g. 297) modernizavimas</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1119700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1119700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26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(ŠS, SRS)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Santarvės gimnazijos rekonstravimas</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1457300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1457300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52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Šiaulių miesto integruota plėtra</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(ŠS, SRS)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Rekonstruoti miesto gimnazijų ir mokyklų sporto aikštynus</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4038200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4038200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52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(ŠS, SRS)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Atnaujinti švietimo įstaigų pastatus, patalpas, įrangą ir komunikacijas</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9704200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9704200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26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(ŠS, SRS)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Įgyvendinti švietimo įstaigų modernizavimo projektą</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3570000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3570000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234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18-02-02</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(ŠS, SRS, PVS), Šiaulių universitetinė gimnazija; Šiaulių S. Šalkauskio gimnazija; Šiaulių Salduvės progimnazija; Šiaulių Ragainės progimnazija; Šiaulių Gytarių progimnazija</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Įgyvendinti bendrojo ugdymo mokyklų projektą „Tūkstantmečio mokyklos I“</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6378900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528600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4835300 (ES)</w:t>
                      <w:br/>
                      <w:t>1015000 (VB)</w:t>
                    </w:r>
                  </w:p>
                </w:tc>
              </w:tr>
              <w:tr>
                <w:trPr>
                  <w:trHeight w:val="120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Šiaulių miesto integruota plėtra</w:t>
                    </w: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18-02-03</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(ŠS, SRS, PVS), Šiaulių jaunųjų gamtininkų centras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Šiaulių jaunųjų gamtininkų centro jojimo skyriaus modernizavimas, sukuriant tinkamas sąlygas visuomenės sveikatos stiprinimo, neformaliojo švietimo viešųjų paslaugų teikimui, gyventojų poilsio organizavimui</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2023</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2027</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10675656</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3000000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7675656 (ES)</w:t>
                    </w:r>
                  </w:p>
                </w:tc>
              </w:tr>
              <w:tr>
                <w:trPr>
                  <w:trHeight w:val="104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19-02-01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(SvS, SRS), VšĮ Šiaulių ilgalaikio gydymo ir geriatrijos centras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VšĮ Šiaulių ilgalaikio gydymo ir geriatrijos centro pastatų rekonstravimas, aktyvios ventiliacijos įrengimas, kiemo gerbūvio sutvarkymas ir maisto gamybos skyriaus modernizavimas</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1307600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1307600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52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19-02-01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(SvS), VšĮ Šiaulių centro poliklinika</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Modernizuoti VšĮ Šiaulių centro polikliniką</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1000500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1000500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78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19-02-01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(SvS), VšĮ Dainų pirminės sveikatos priežiūros centras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Didinti VšĮ Dainų pirminės sveikatos priežiūros centro funkcionalumą</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1673000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1673000</w:t>
                    </w:r>
                  </w:p>
                </w:tc>
                <w:tc>
                  <w:tcPr>
                    <w:tcW w:w="1116" w:type="dxa"/>
                    <w:tcBorders>
                      <w:top w:val="nil"/>
                      <w:left w:val="nil"/>
                      <w:bottom w:val="single" w:sz="4" w:space="0" w:color="auto"/>
                      <w:right w:val="single" w:sz="4" w:space="0" w:color="auto"/>
                    </w:tcBorders>
                    <w:shd w:val="clear" w:color="auto" w:fill="auto"/>
                    <w:vAlign w:val="center"/>
                    <w:hideMark/>
                  </w:tcPr>
                  <w:p>
                    <w:pPr>
                      <w:ind w:firstLine="53"/>
                      <w:jc w:val="center"/>
                      <w:rPr>
                        <w:color w:val="000000"/>
                        <w:sz w:val="20"/>
                        <w:lang w:eastAsia="lt-LT"/>
                      </w:rPr>
                    </w:pPr>
                  </w:p>
                </w:tc>
              </w:tr>
              <w:tr>
                <w:trPr>
                  <w:trHeight w:val="78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19-02-01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(SvS, PVS)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Sveikatos centrų sudėtyje teikiamų sveikatos priežiūros paslaugų infrastruktūros modernizavimas Šiaulių miesto savivaldybėje</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2026</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2999700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2999700 (ES)</w:t>
                    </w:r>
                  </w:p>
                </w:tc>
              </w:tr>
              <w:tr>
                <w:trPr>
                  <w:trHeight w:val="520"/>
                </w:trPr>
                <w:tc>
                  <w:tcPr>
                    <w:tcW w:w="1538" w:type="dxa"/>
                    <w:tcBorders>
                      <w:top w:val="nil"/>
                      <w:left w:val="single" w:sz="4" w:space="0" w:color="auto"/>
                      <w:bottom w:val="single" w:sz="4" w:space="0" w:color="auto"/>
                      <w:right w:val="single" w:sz="4" w:space="0" w:color="auto"/>
                    </w:tcBorders>
                    <w:shd w:val="clear" w:color="auto" w:fill="auto"/>
                    <w:vAlign w:val="center"/>
                    <w:hideMark/>
                  </w:tcPr>
                  <w:p>
                    <w:pPr>
                      <w:ind w:firstLine="53"/>
                      <w:rPr>
                        <w:color w:val="000000"/>
                        <w:sz w:val="20"/>
                        <w:lang w:eastAsia="lt-LT"/>
                      </w:rPr>
                    </w:pPr>
                  </w:p>
                </w:tc>
                <w:tc>
                  <w:tcPr>
                    <w:tcW w:w="1328"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19-02-01</w:t>
                    </w:r>
                  </w:p>
                </w:tc>
                <w:tc>
                  <w:tcPr>
                    <w:tcW w:w="961" w:type="dxa"/>
                    <w:tcBorders>
                      <w:top w:val="nil"/>
                      <w:left w:val="nil"/>
                      <w:bottom w:val="single" w:sz="4" w:space="0" w:color="auto"/>
                      <w:right w:val="single" w:sz="4" w:space="0" w:color="auto"/>
                    </w:tcBorders>
                    <w:shd w:val="clear" w:color="auto" w:fill="auto"/>
                    <w:noWrap/>
                    <w:vAlign w:val="center"/>
                    <w:hideMark/>
                  </w:tcPr>
                  <w:p>
                    <w:pPr>
                      <w:ind w:firstLine="53"/>
                      <w:jc w:val="center"/>
                      <w:rPr>
                        <w:b/>
                        <w:bCs/>
                        <w:color w:val="000000"/>
                        <w:sz w:val="20"/>
                        <w:lang w:eastAsia="lt-LT"/>
                      </w:rPr>
                    </w:pPr>
                  </w:p>
                </w:tc>
                <w:tc>
                  <w:tcPr>
                    <w:tcW w:w="1587"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ŠMSA (SvS, PVS)</w:t>
                    </w:r>
                  </w:p>
                </w:tc>
                <w:tc>
                  <w:tcPr>
                    <w:tcW w:w="3228" w:type="dxa"/>
                    <w:tcBorders>
                      <w:top w:val="nil"/>
                      <w:left w:val="nil"/>
                      <w:bottom w:val="single" w:sz="4" w:space="0" w:color="auto"/>
                      <w:right w:val="single" w:sz="4" w:space="0" w:color="auto"/>
                    </w:tcBorders>
                    <w:shd w:val="clear" w:color="auto" w:fill="auto"/>
                    <w:vAlign w:val="center"/>
                    <w:hideMark/>
                  </w:tcPr>
                  <w:p>
                    <w:pPr>
                      <w:rPr>
                        <w:color w:val="000000"/>
                        <w:sz w:val="20"/>
                        <w:lang w:eastAsia="lt-LT"/>
                      </w:rPr>
                    </w:pPr>
                    <w:r>
                      <w:rPr>
                        <w:color w:val="000000"/>
                        <w:sz w:val="20"/>
                        <w:lang w:eastAsia="lt-LT"/>
                      </w:rPr>
                      <w:t>Ilgalaikės priežiūros dienos centrų įrengimas, mobilių komandų aprūpinimas įranga ir transporto priemonėmis</w:t>
                    </w:r>
                  </w:p>
                </w:tc>
                <w:tc>
                  <w:tcPr>
                    <w:tcW w:w="872"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2024</w:t>
                    </w:r>
                  </w:p>
                </w:tc>
                <w:tc>
                  <w:tcPr>
                    <w:tcW w:w="8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2025</w:t>
                    </w:r>
                  </w:p>
                </w:tc>
                <w:tc>
                  <w:tcPr>
                    <w:tcW w:w="116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857100</w:t>
                    </w:r>
                  </w:p>
                </w:tc>
                <w:tc>
                  <w:tcPr>
                    <w:tcW w:w="1295"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125300</w:t>
                    </w:r>
                  </w:p>
                </w:tc>
                <w:tc>
                  <w:tcPr>
                    <w:tcW w:w="1116" w:type="dxa"/>
                    <w:tcBorders>
                      <w:top w:val="nil"/>
                      <w:left w:val="nil"/>
                      <w:bottom w:val="single" w:sz="4" w:space="0" w:color="auto"/>
                      <w:right w:val="single" w:sz="4" w:space="0" w:color="auto"/>
                    </w:tcBorders>
                    <w:shd w:val="clear" w:color="auto" w:fill="auto"/>
                    <w:vAlign w:val="center"/>
                    <w:hideMark/>
                  </w:tcPr>
                  <w:p>
                    <w:pPr>
                      <w:jc w:val="center"/>
                      <w:rPr>
                        <w:color w:val="000000"/>
                        <w:sz w:val="20"/>
                        <w:lang w:eastAsia="lt-LT"/>
                      </w:rPr>
                    </w:pPr>
                    <w:r>
                      <w:rPr>
                        <w:color w:val="000000"/>
                        <w:sz w:val="20"/>
                        <w:lang w:eastAsia="lt-LT"/>
                      </w:rPr>
                      <w:t>731800 (ES)</w:t>
                    </w:r>
                  </w:p>
                </w:tc>
              </w:tr>
            </w:tbl>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22"/>
                  <w:szCs w:val="24"/>
                </w:rPr>
              </w:pPr>
            </w:p>
            <w:p>
              <w:pPr>
                <w:spacing w:before="120" w:after="120" w:line="276" w:lineRule="auto"/>
                <w:ind w:left="284" w:right="142"/>
                <w:jc w:val="both"/>
                <w:rPr>
                  <w:rFonts w:eastAsia="MS Mincho"/>
                  <w:kern w:val="2"/>
                  <w:sz w:val="10"/>
                  <w:szCs w:val="10"/>
                </w:rPr>
              </w:pPr>
            </w:p>
            <w:p>
              <w:pPr>
                <w:spacing w:line="276" w:lineRule="auto"/>
                <w:ind w:left="284" w:right="142"/>
                <w:jc w:val="both"/>
                <w:rPr>
                  <w:rFonts w:eastAsia="MS Mincho"/>
                  <w:kern w:val="2"/>
                  <w:sz w:val="22"/>
                  <w:szCs w:val="24"/>
                </w:rPr>
                <w:sectPr>
                  <w:pgSz w:w="16838" w:h="11906" w:orient="landscape"/>
                  <w:pgMar w:top="1134" w:right="1134" w:bottom="1134" w:left="1418" w:header="567" w:footer="567" w:gutter="0"/>
                  <w:cols w:space="1296"/>
                  <w:titlePg/>
                  <w:docGrid w:linePitch="360"/>
                </w:sectPr>
              </w:pPr>
            </w:p>
            <w:p>
              <w:pPr>
                <w:rPr>
                  <w:sz w:val="10"/>
                  <w:szCs w:val="10"/>
                </w:rPr>
              </w:pPr>
            </w:p>
            <w:p>
              <w:pPr>
                <w:tabs>
                  <w:tab w:val="center" w:pos="4819"/>
                  <w:tab w:val="right" w:pos="9638"/>
                </w:tabs>
                <w:ind w:left="284" w:right="142"/>
                <w:jc w:val="both"/>
                <w:rPr>
                  <w:rFonts w:eastAsia="MS Mincho"/>
                  <w:kern w:val="2"/>
                  <w:sz w:val="22"/>
                  <w:szCs w:val="24"/>
                </w:rPr>
              </w:pPr>
            </w:p>
          </w:sdtContent>
        </w:sdt>
        <w:sdt>
          <w:sdtPr>
            <w:alias w:val="skyrius"/>
            <w:tag w:val="part_f99943acf1dd4807806e85598ec98321"/>
            <w:lock w:val="sdtLocked"/>
            <w:richText/>
          </w:sdtPr>
          <w:sdtContent>
            <w:p>
              <w:pPr>
                <w:jc w:val="center"/>
                <w:rPr>
                  <w:b/>
                  <w:bCs/>
                  <w:szCs w:val="24"/>
                </w:rPr>
              </w:pPr>
              <w:sdt>
                <w:sdtPr>
                  <w:alias w:val="Numeris"/>
                  <w:tag w:val="nr_f99943acf1dd4807806e85598ec98321"/>
                  <w:lock w:val="sdtLocked"/>
                  <w:richText/>
                </w:sdtPr>
                <w:sdtContent>
                  <w:r>
                    <w:rPr>
                      <w:b/>
                      <w:bCs/>
                      <w:szCs w:val="24"/>
                    </w:rPr>
                    <w:t>VIII</w:t>
                  </w:r>
                </w:sdtContent>
              </w:sdt>
              <w:r>
                <w:rPr>
                  <w:b/>
                  <w:bCs/>
                  <w:szCs w:val="24"/>
                </w:rPr>
                <w:t xml:space="preserve"> SKYRIUS</w:t>
              </w:r>
            </w:p>
            <w:p>
              <w:pPr>
                <w:jc w:val="center"/>
                <w:rPr>
                  <w:rFonts w:eastAsia="Calibri"/>
                  <w:b/>
                  <w:bCs/>
                  <w:szCs w:val="24"/>
                </w:rPr>
              </w:pPr>
              <w:sdt>
                <w:sdtPr>
                  <w:alias w:val="Pavadinimas"/>
                  <w:tag w:val="title_f99943acf1dd4807806e85598ec98321"/>
                  <w:lock w:val="sdtLocked"/>
                  <w:richText/>
                </w:sdtPr>
                <w:sdtContent>
                  <w:r>
                    <w:rPr>
                      <w:rFonts w:eastAsia="Calibri"/>
                      <w:b/>
                      <w:bCs/>
                      <w:szCs w:val="24"/>
                    </w:rPr>
                    <w:t xml:space="preserve">PLANO ĮGYVENDINIMO IR STEBĖSENOS NUOSTATOS </w:t>
                  </w:r>
                </w:sdtContent>
              </w:sdt>
            </w:p>
            <w:p>
              <w:pPr>
                <w:jc w:val="center"/>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trPr>
                  <w:trHeight w:val="573"/>
                </w:trPr>
                <w:tc>
                  <w:tcPr>
                    <w:tcW w:w="5000" w:type="pct"/>
                    <w:tcBorders>
                      <w:top w:val="single" w:sz="4" w:space="0" w:color="auto"/>
                      <w:left w:val="single" w:sz="4" w:space="0" w:color="auto"/>
                      <w:bottom w:val="single" w:sz="4" w:space="0" w:color="auto"/>
                      <w:right w:val="single" w:sz="4" w:space="0" w:color="auto"/>
                    </w:tcBorders>
                  </w:tcPr>
                  <w:p>
                    <w:pPr>
                      <w:rPr>
                        <w:sz w:val="10"/>
                        <w:szCs w:val="10"/>
                      </w:rPr>
                    </w:pPr>
                  </w:p>
                  <w:p>
                    <w:pPr>
                      <w:jc w:val="both"/>
                      <w:rPr>
                        <w:rFonts w:eastAsia="Calibri"/>
                        <w:bCs/>
                        <w:sz w:val="22"/>
                        <w:szCs w:val="24"/>
                      </w:rPr>
                    </w:pPr>
                    <w:r>
                      <w:rPr>
                        <w:rFonts w:eastAsia="Calibri"/>
                        <w:bCs/>
                        <w:sz w:val="22"/>
                        <w:szCs w:val="24"/>
                      </w:rPr>
                      <w:t>ŠSPP rengimas, svarstymas, stebėsena ir koregavimas atliekami vadovaujantis Savivaldybės tarybos patvirtintu Strateginio planavimo organizavimo Šiaulių miesto savivaldybėje tvarkos aprašu. Šiose ŠSPP įgyvendinimo ir stebėsenos nuostatose plačiau detalizuojami Strateginio planavimo organizavimo Šiaulių miesto savivaldybėje tvarkos apraše įvardinti įgyvendinimo, koregavimo ir stebėsenos procesai.</w:t>
                    </w:r>
                  </w:p>
                  <w:p>
                    <w:pPr>
                      <w:rPr>
                        <w:sz w:val="10"/>
                        <w:szCs w:val="10"/>
                      </w:rPr>
                    </w:pPr>
                  </w:p>
                  <w:p>
                    <w:pPr>
                      <w:jc w:val="both"/>
                      <w:rPr>
                        <w:rFonts w:eastAsia="Calibri"/>
                        <w:b/>
                        <w:sz w:val="22"/>
                        <w:szCs w:val="24"/>
                      </w:rPr>
                    </w:pPr>
                    <w:r>
                      <w:rPr>
                        <w:rFonts w:eastAsia="Calibri"/>
                        <w:b/>
                        <w:sz w:val="22"/>
                        <w:szCs w:val="24"/>
                      </w:rPr>
                      <w:t>Savivaldybės strateginio plėtros plano įgyvendinimas</w:t>
                    </w:r>
                  </w:p>
                  <w:p>
                    <w:pPr>
                      <w:rPr>
                        <w:sz w:val="10"/>
                        <w:szCs w:val="10"/>
                      </w:rPr>
                    </w:pPr>
                  </w:p>
                  <w:p>
                    <w:pPr>
                      <w:jc w:val="both"/>
                      <w:rPr>
                        <w:rFonts w:eastAsia="Calibri"/>
                        <w:bCs/>
                        <w:sz w:val="22"/>
                        <w:szCs w:val="24"/>
                      </w:rPr>
                    </w:pPr>
                    <w:r>
                      <w:rPr>
                        <w:rFonts w:eastAsia="Calibri"/>
                        <w:bCs/>
                        <w:sz w:val="22"/>
                        <w:szCs w:val="24"/>
                      </w:rPr>
                      <w:t>Žemiau pateikiami ŠSPP įgyvendinimo dalyviai ir jų funkcijos.</w:t>
                    </w:r>
                  </w:p>
                  <w:p>
                    <w:pPr>
                      <w:rPr>
                        <w:sz w:val="10"/>
                        <w:szCs w:val="10"/>
                      </w:rPr>
                    </w:pPr>
                  </w:p>
                  <w:p>
                    <w:pPr>
                      <w:jc w:val="both"/>
                      <w:rPr>
                        <w:rFonts w:eastAsia="Calibri"/>
                        <w:bCs/>
                        <w:sz w:val="22"/>
                        <w:szCs w:val="24"/>
                      </w:rPr>
                    </w:pPr>
                    <w:r>
                      <w:rPr>
                        <w:rFonts w:eastAsia="Calibri"/>
                        <w:bCs/>
                        <w:sz w:val="22"/>
                        <w:szCs w:val="24"/>
                      </w:rPr>
                      <w:t>1. SPT yra Savivaldybės tarybos patariamasis organas, kuris koordinuoja ŠSPP įgyvendinimą, svarsto ŠSPP įgyvendinimo ataskaitas, rengia pasiūlymus Savivaldybės tarybai ir Savivaldybės administracijai dėl vykdomos ŠSPP įgyvendinimo politikos strategijos, jos strateginių tikslų, prioritetų ir jų įgyvendinimo.</w:t>
                    </w:r>
                  </w:p>
                  <w:p>
                    <w:pPr>
                      <w:rPr>
                        <w:sz w:val="10"/>
                        <w:szCs w:val="10"/>
                      </w:rPr>
                    </w:pPr>
                  </w:p>
                  <w:p>
                    <w:pPr>
                      <w:jc w:val="both"/>
                      <w:rPr>
                        <w:rFonts w:eastAsia="Calibri"/>
                        <w:bCs/>
                        <w:sz w:val="22"/>
                        <w:szCs w:val="24"/>
                      </w:rPr>
                    </w:pPr>
                    <w:r>
                      <w:rPr>
                        <w:rFonts w:eastAsia="Calibri"/>
                        <w:bCs/>
                        <w:sz w:val="22"/>
                        <w:szCs w:val="24"/>
                      </w:rPr>
                      <w:t>2. Strateginio planavimo ir finansų skyrius organizuoja ŠSPP įgyvendinimo ir stebėsenos proceso koordinavimą.</w:t>
                    </w:r>
                  </w:p>
                  <w:p>
                    <w:pPr>
                      <w:rPr>
                        <w:sz w:val="10"/>
                        <w:szCs w:val="10"/>
                      </w:rPr>
                    </w:pPr>
                  </w:p>
                  <w:p>
                    <w:pPr>
                      <w:jc w:val="both"/>
                      <w:rPr>
                        <w:rFonts w:eastAsia="Calibri"/>
                        <w:bCs/>
                        <w:sz w:val="22"/>
                        <w:szCs w:val="24"/>
                      </w:rPr>
                    </w:pPr>
                    <w:r>
                      <w:rPr>
                        <w:rFonts w:eastAsia="Calibri"/>
                        <w:bCs/>
                        <w:sz w:val="22"/>
                        <w:szCs w:val="24"/>
                      </w:rPr>
                      <w:t>3. Kiti atsakingi, dalyvaujantys įgyvendinant ŠSPP:</w:t>
                    </w:r>
                  </w:p>
                  <w:p>
                    <w:pPr>
                      <w:rPr>
                        <w:sz w:val="10"/>
                        <w:szCs w:val="10"/>
                      </w:rPr>
                    </w:pPr>
                  </w:p>
                  <w:p>
                    <w:pPr>
                      <w:jc w:val="both"/>
                      <w:rPr>
                        <w:rFonts w:eastAsia="Calibri"/>
                        <w:bCs/>
                        <w:sz w:val="22"/>
                        <w:szCs w:val="24"/>
                      </w:rPr>
                    </w:pPr>
                    <w:r>
                      <w:rPr>
                        <w:rFonts w:eastAsia="Calibri"/>
                        <w:bCs/>
                        <w:sz w:val="22"/>
                        <w:szCs w:val="24"/>
                      </w:rPr>
                      <w:t>3.1. Tikslo / uždavinio / priemonės koordinatoriai – padaliniai, atsakingi už tam tikros ŠSPP elemento: tikslo, uždavinio, priemonės įgyvendinimo koordinavimą ir atsiskaitymą už pasiektus rezultatus. Padalinių vedėjai skiria specialistus, atsakingus už ŠSPP rengimą pagal skyriaus atsakomybės sritis, duomenų apie ŠSPP priemonių, uždavinių ir tikslų įgyvendinimą pateikimą į informacinę sistemą „Strapis“;</w:t>
                    </w:r>
                  </w:p>
                  <w:p>
                    <w:pPr>
                      <w:rPr>
                        <w:sz w:val="10"/>
                        <w:szCs w:val="10"/>
                      </w:rPr>
                    </w:pPr>
                  </w:p>
                  <w:p>
                    <w:pPr>
                      <w:jc w:val="both"/>
                      <w:rPr>
                        <w:rFonts w:eastAsia="Calibri"/>
                        <w:bCs/>
                        <w:sz w:val="22"/>
                        <w:szCs w:val="24"/>
                      </w:rPr>
                    </w:pPr>
                    <w:r>
                      <w:rPr>
                        <w:rFonts w:eastAsia="Calibri"/>
                        <w:bCs/>
                        <w:sz w:val="22"/>
                        <w:szCs w:val="24"/>
                      </w:rPr>
                      <w:t>3.2. Tikslo / uždavinio rodiklio šaltiniai – nurodomi duomenų šaltiniai, iš kur gaunama informacija ir atsakingi padaliniai už informacijos surinkimą, jos pateikimą;</w:t>
                    </w:r>
                  </w:p>
                  <w:p>
                    <w:pPr>
                      <w:rPr>
                        <w:sz w:val="10"/>
                        <w:szCs w:val="10"/>
                      </w:rPr>
                    </w:pPr>
                  </w:p>
                  <w:p>
                    <w:pPr>
                      <w:jc w:val="both"/>
                      <w:rPr>
                        <w:rFonts w:eastAsia="Calibri"/>
                        <w:bCs/>
                        <w:sz w:val="22"/>
                        <w:szCs w:val="24"/>
                      </w:rPr>
                    </w:pPr>
                    <w:r>
                      <w:rPr>
                        <w:rFonts w:eastAsia="Calibri"/>
                        <w:bCs/>
                        <w:sz w:val="22"/>
                        <w:szCs w:val="24"/>
                      </w:rPr>
                      <w:t>3.3. Priemonės rodiklio šaltiniai – atsakingi padaliniai, Savivaldybės valdomos įmonės, viešosios, biudžetinės įstaigos, už įvykdymo duomenų (rodikliai ir jų reikšmės) pateikimą priemonės koordinatoriui.</w:t>
                    </w:r>
                  </w:p>
                  <w:p>
                    <w:pPr>
                      <w:rPr>
                        <w:sz w:val="10"/>
                        <w:szCs w:val="10"/>
                      </w:rPr>
                    </w:pPr>
                  </w:p>
                  <w:p>
                    <w:pPr>
                      <w:jc w:val="both"/>
                      <w:rPr>
                        <w:rFonts w:eastAsia="Calibri"/>
                        <w:b/>
                        <w:sz w:val="22"/>
                        <w:szCs w:val="24"/>
                      </w:rPr>
                    </w:pPr>
                    <w:r>
                      <w:rPr>
                        <w:rFonts w:eastAsia="Calibri"/>
                        <w:b/>
                        <w:sz w:val="22"/>
                        <w:szCs w:val="24"/>
                      </w:rPr>
                      <w:t>Savivaldybės strateginio plėtros plano koregavimas</w:t>
                    </w:r>
                  </w:p>
                  <w:p>
                    <w:pPr>
                      <w:rPr>
                        <w:sz w:val="10"/>
                        <w:szCs w:val="10"/>
                      </w:rPr>
                    </w:pPr>
                  </w:p>
                  <w:p>
                    <w:pPr>
                      <w:jc w:val="both"/>
                      <w:rPr>
                        <w:rFonts w:eastAsia="Calibri"/>
                        <w:bCs/>
                        <w:sz w:val="22"/>
                        <w:szCs w:val="24"/>
                      </w:rPr>
                    </w:pPr>
                    <w:r>
                      <w:rPr>
                        <w:rFonts w:eastAsia="Calibri"/>
                        <w:bCs/>
                        <w:sz w:val="22"/>
                        <w:szCs w:val="24"/>
                      </w:rPr>
                      <w:t>1. ŠSPP gali būti atnaujinamas kas metus. Plėtros uždaviniai, priemonės ir jų rodikliai, esant poreikiui, gali būti peržiūrimi ir keičiami vieną kartą per kalendorinius metus.</w:t>
                    </w:r>
                  </w:p>
                  <w:p>
                    <w:pPr>
                      <w:rPr>
                        <w:sz w:val="10"/>
                        <w:szCs w:val="10"/>
                      </w:rPr>
                    </w:pPr>
                  </w:p>
                  <w:p>
                    <w:pPr>
                      <w:jc w:val="both"/>
                      <w:rPr>
                        <w:rFonts w:eastAsia="Calibri"/>
                        <w:bCs/>
                        <w:sz w:val="22"/>
                        <w:szCs w:val="24"/>
                      </w:rPr>
                    </w:pPr>
                    <w:r>
                      <w:rPr>
                        <w:rFonts w:eastAsia="Calibri"/>
                        <w:bCs/>
                        <w:sz w:val="22"/>
                        <w:szCs w:val="24"/>
                      </w:rPr>
                      <w:t>2. Pasiūlymus dėl ŠSPP pakeitimų gali teikti Savivaldybės tarybos nariai, padalinių vedėjai, kiti suinteresuoti juridiniai bei fiziniai asmenys.</w:t>
                    </w:r>
                  </w:p>
                  <w:p>
                    <w:pPr>
                      <w:rPr>
                        <w:sz w:val="10"/>
                        <w:szCs w:val="10"/>
                      </w:rPr>
                    </w:pPr>
                  </w:p>
                  <w:p>
                    <w:pPr>
                      <w:jc w:val="both"/>
                      <w:rPr>
                        <w:rFonts w:eastAsia="Calibri"/>
                        <w:bCs/>
                        <w:sz w:val="22"/>
                        <w:szCs w:val="24"/>
                      </w:rPr>
                    </w:pPr>
                    <w:r>
                      <w:rPr>
                        <w:rFonts w:eastAsia="Calibri"/>
                        <w:bCs/>
                        <w:sz w:val="22"/>
                        <w:szCs w:val="24"/>
                      </w:rPr>
                      <w:t xml:space="preserve">3. Pasiūlymai dėl ŠSPP pakeitimų pateikiami merui. </w:t>
                    </w:r>
                  </w:p>
                  <w:p>
                    <w:pPr>
                      <w:rPr>
                        <w:sz w:val="10"/>
                        <w:szCs w:val="10"/>
                      </w:rPr>
                    </w:pPr>
                  </w:p>
                  <w:p>
                    <w:pPr>
                      <w:jc w:val="both"/>
                      <w:rPr>
                        <w:rFonts w:eastAsia="Calibri"/>
                        <w:bCs/>
                        <w:sz w:val="22"/>
                        <w:szCs w:val="24"/>
                      </w:rPr>
                    </w:pPr>
                    <w:r>
                      <w:rPr>
                        <w:rFonts w:eastAsia="Calibri"/>
                        <w:bCs/>
                        <w:sz w:val="22"/>
                        <w:szCs w:val="24"/>
                      </w:rPr>
                      <w:t>4. Strateginio planavimo ir finansų skyrius organizuoja ir koordinuoja pasiūlymų susisteminimą. Apibendrintus pasiūlymus Strateginio planavimo ir finansų skyrius pristato SPT.</w:t>
                    </w:r>
                  </w:p>
                  <w:p>
                    <w:pPr>
                      <w:rPr>
                        <w:sz w:val="10"/>
                        <w:szCs w:val="10"/>
                      </w:rPr>
                    </w:pPr>
                  </w:p>
                  <w:p>
                    <w:pPr>
                      <w:jc w:val="both"/>
                      <w:rPr>
                        <w:rFonts w:eastAsia="Calibri"/>
                        <w:bCs/>
                        <w:sz w:val="22"/>
                        <w:szCs w:val="24"/>
                      </w:rPr>
                    </w:pPr>
                    <w:r>
                      <w:rPr>
                        <w:rFonts w:eastAsia="Calibri"/>
                        <w:bCs/>
                        <w:sz w:val="22"/>
                        <w:szCs w:val="24"/>
                      </w:rPr>
                      <w:t>5. SPT, įvertinusi gautus pasiūlymus dėl ŠSPP pakeitimų, pateikia nuomonę ar pastabas, pagal kurias Strateginio planavimo ir finansų skyrius pakoreguoja ŠSPP ir pateikia svarstyti Savivaldybės tarybai.</w:t>
                    </w:r>
                  </w:p>
                  <w:p>
                    <w:pPr>
                      <w:rPr>
                        <w:sz w:val="10"/>
                        <w:szCs w:val="10"/>
                      </w:rPr>
                    </w:pPr>
                  </w:p>
                  <w:p>
                    <w:pPr>
                      <w:jc w:val="both"/>
                      <w:rPr>
                        <w:rFonts w:eastAsia="Calibri"/>
                        <w:bCs/>
                        <w:sz w:val="22"/>
                        <w:szCs w:val="24"/>
                      </w:rPr>
                    </w:pPr>
                    <w:r>
                      <w:rPr>
                        <w:rFonts w:eastAsia="Calibri"/>
                        <w:bCs/>
                        <w:sz w:val="22"/>
                        <w:szCs w:val="24"/>
                      </w:rPr>
                      <w:t>6. ŠSPP pakeitimai ar papildymai tvirtinami Savivaldybės tarybos sprendimu.</w:t>
                    </w:r>
                  </w:p>
                  <w:p>
                    <w:pPr>
                      <w:rPr>
                        <w:sz w:val="10"/>
                        <w:szCs w:val="10"/>
                      </w:rPr>
                    </w:pPr>
                  </w:p>
                  <w:p>
                    <w:pPr>
                      <w:jc w:val="both"/>
                      <w:rPr>
                        <w:rFonts w:eastAsia="Calibri"/>
                        <w:bCs/>
                        <w:sz w:val="22"/>
                        <w:szCs w:val="24"/>
                      </w:rPr>
                    </w:pPr>
                    <w:r>
                      <w:rPr>
                        <w:rFonts w:eastAsia="Calibri"/>
                        <w:bCs/>
                        <w:sz w:val="22"/>
                        <w:szCs w:val="24"/>
                      </w:rPr>
                      <w:t>7. Pakoreguoto ŠSPP paskelbimą Savivaldybės administracijos interneto svetainėje organizuoja Strateginio planavimo ir finansų skyrius.</w:t>
                    </w:r>
                  </w:p>
                </w:tc>
              </w:tr>
              <w:tr>
                <w:trPr>
                  <w:trHeight w:val="573"/>
                </w:trPr>
                <w:tc>
                  <w:tcPr>
                    <w:tcW w:w="5000" w:type="pct"/>
                    <w:tcBorders>
                      <w:top w:val="single" w:sz="4" w:space="0" w:color="auto"/>
                      <w:left w:val="single" w:sz="4" w:space="0" w:color="auto"/>
                      <w:bottom w:val="single" w:sz="4" w:space="0" w:color="auto"/>
                      <w:right w:val="single" w:sz="4" w:space="0" w:color="auto"/>
                    </w:tcBorders>
                  </w:tcPr>
                  <w:p>
                    <w:pPr>
                      <w:rPr>
                        <w:sz w:val="10"/>
                        <w:szCs w:val="10"/>
                      </w:rPr>
                    </w:pPr>
                  </w:p>
                  <w:p>
                    <w:pPr>
                      <w:jc w:val="both"/>
                      <w:rPr>
                        <w:rFonts w:eastAsia="Calibri"/>
                        <w:b/>
                        <w:sz w:val="22"/>
                        <w:szCs w:val="24"/>
                      </w:rPr>
                    </w:pPr>
                    <w:r>
                      <w:rPr>
                        <w:rFonts w:eastAsia="Calibri"/>
                        <w:b/>
                        <w:sz w:val="22"/>
                        <w:szCs w:val="24"/>
                      </w:rPr>
                      <w:t>Savivaldybės strateginio plėtros plano įgyvendinimo stebėsena</w:t>
                    </w:r>
                  </w:p>
                  <w:p>
                    <w:pPr>
                      <w:rPr>
                        <w:sz w:val="10"/>
                        <w:szCs w:val="10"/>
                      </w:rPr>
                    </w:pPr>
                  </w:p>
                  <w:p>
                    <w:pPr>
                      <w:jc w:val="both"/>
                      <w:rPr>
                        <w:rFonts w:eastAsia="Calibri"/>
                        <w:bCs/>
                        <w:sz w:val="22"/>
                        <w:szCs w:val="24"/>
                      </w:rPr>
                    </w:pPr>
                    <w:r>
                      <w:rPr>
                        <w:rFonts w:eastAsia="Calibri"/>
                        <w:bCs/>
                        <w:sz w:val="22"/>
                        <w:szCs w:val="24"/>
                      </w:rPr>
                      <w:t>1. ŠSPP įgyvendinimo rezultatai (rodiklių reikšmės) pagal atsakomybes (rodiklio šaltinis) į informacinę sistemą „Strapis“ suvedami kasmet iki rugsėjo 15 d.</w:t>
                    </w:r>
                  </w:p>
                  <w:p>
                    <w:pPr>
                      <w:rPr>
                        <w:sz w:val="10"/>
                        <w:szCs w:val="10"/>
                      </w:rPr>
                    </w:pPr>
                  </w:p>
                  <w:p>
                    <w:pPr>
                      <w:jc w:val="both"/>
                      <w:rPr>
                        <w:rFonts w:eastAsia="Calibri"/>
                        <w:bCs/>
                        <w:sz w:val="22"/>
                        <w:szCs w:val="24"/>
                      </w:rPr>
                    </w:pPr>
                    <w:r>
                      <w:rPr>
                        <w:rFonts w:eastAsia="Calibri"/>
                        <w:bCs/>
                        <w:sz w:val="22"/>
                        <w:szCs w:val="24"/>
                      </w:rPr>
                      <w:t>2. ŠSPP įgyvendinimo ataskaita rengiama kas trejus metus ir teikiama Savivaldybės tarybai tvirtinti.</w:t>
                    </w:r>
                  </w:p>
                  <w:p>
                    <w:pPr>
                      <w:rPr>
                        <w:sz w:val="10"/>
                        <w:szCs w:val="10"/>
                      </w:rPr>
                    </w:pPr>
                  </w:p>
                  <w:p>
                    <w:pPr>
                      <w:jc w:val="both"/>
                      <w:rPr>
                        <w:rFonts w:eastAsia="Calibri"/>
                        <w:bCs/>
                        <w:sz w:val="22"/>
                        <w:szCs w:val="24"/>
                      </w:rPr>
                    </w:pPr>
                    <w:r>
                      <w:rPr>
                        <w:rFonts w:eastAsia="Calibri"/>
                        <w:bCs/>
                        <w:sz w:val="22"/>
                        <w:szCs w:val="24"/>
                      </w:rPr>
                      <w:t>3. ŠSPP ataskaitos rengimas:</w:t>
                    </w:r>
                  </w:p>
                  <w:p>
                    <w:pPr>
                      <w:rPr>
                        <w:sz w:val="10"/>
                        <w:szCs w:val="10"/>
                      </w:rPr>
                    </w:pPr>
                  </w:p>
                  <w:p>
                    <w:pPr>
                      <w:jc w:val="both"/>
                      <w:rPr>
                        <w:rFonts w:eastAsia="Calibri"/>
                        <w:bCs/>
                        <w:sz w:val="22"/>
                        <w:szCs w:val="24"/>
                      </w:rPr>
                    </w:pPr>
                    <w:r>
                      <w:rPr>
                        <w:rFonts w:eastAsia="Calibri"/>
                        <w:bCs/>
                        <w:sz w:val="22"/>
                        <w:szCs w:val="24"/>
                      </w:rPr>
                      <w:t>3.1. ŠSPP ataskaitos rengimas inicijuojamas mero potvarkiu;</w:t>
                    </w:r>
                  </w:p>
                  <w:p>
                    <w:pPr>
                      <w:rPr>
                        <w:sz w:val="10"/>
                        <w:szCs w:val="10"/>
                      </w:rPr>
                    </w:pPr>
                  </w:p>
                  <w:p>
                    <w:pPr>
                      <w:jc w:val="both"/>
                      <w:rPr>
                        <w:rFonts w:eastAsia="Calibri"/>
                        <w:bCs/>
                        <w:sz w:val="22"/>
                        <w:szCs w:val="24"/>
                      </w:rPr>
                    </w:pPr>
                    <w:r>
                      <w:rPr>
                        <w:rFonts w:eastAsia="Calibri"/>
                        <w:bCs/>
                        <w:sz w:val="22"/>
                        <w:szCs w:val="24"/>
                      </w:rPr>
                      <w:t>3.2. Strateginio planavimo ir finansų skyrius parengia ŠSPP ataskaitos projektą iki spalio 15 d.;</w:t>
                    </w:r>
                  </w:p>
                  <w:p>
                    <w:pPr>
                      <w:rPr>
                        <w:sz w:val="10"/>
                        <w:szCs w:val="10"/>
                      </w:rPr>
                    </w:pPr>
                  </w:p>
                  <w:p>
                    <w:pPr>
                      <w:jc w:val="both"/>
                      <w:rPr>
                        <w:rFonts w:eastAsia="Calibri"/>
                        <w:bCs/>
                        <w:sz w:val="22"/>
                        <w:szCs w:val="24"/>
                      </w:rPr>
                    </w:pPr>
                    <w:r>
                      <w:rPr>
                        <w:rFonts w:eastAsia="Calibri"/>
                        <w:bCs/>
                        <w:sz w:val="22"/>
                        <w:szCs w:val="24"/>
                      </w:rPr>
                      <w:t>3.3. Strateginio planavimo ir finansų skyrius ŠSPP ataskaitos projektą pateikia SPT iki lapkričio 15 d.;</w:t>
                    </w:r>
                  </w:p>
                  <w:p>
                    <w:pPr>
                      <w:rPr>
                        <w:sz w:val="10"/>
                        <w:szCs w:val="10"/>
                      </w:rPr>
                    </w:pPr>
                  </w:p>
                  <w:p>
                    <w:pPr>
                      <w:jc w:val="both"/>
                      <w:rPr>
                        <w:rFonts w:eastAsia="Calibri"/>
                        <w:bCs/>
                        <w:sz w:val="22"/>
                        <w:szCs w:val="24"/>
                      </w:rPr>
                    </w:pPr>
                    <w:r>
                      <w:rPr>
                        <w:rFonts w:eastAsia="Calibri"/>
                        <w:bCs/>
                        <w:sz w:val="22"/>
                        <w:szCs w:val="24"/>
                      </w:rPr>
                      <w:t>3.4. SPT, įvertinusi gautą ŠSPP ataskaitos projektą, pateikia nuomonę ar pastabas, pagal kurias Strateginio planavimo ir finansų skyrius atnaujina ŠSPP ataskaitos projektą ir pateikia svarstyti Savivaldybės tarybai;</w:t>
                    </w:r>
                  </w:p>
                  <w:p>
                    <w:pPr>
                      <w:rPr>
                        <w:sz w:val="10"/>
                        <w:szCs w:val="10"/>
                      </w:rPr>
                    </w:pPr>
                  </w:p>
                  <w:p>
                    <w:pPr>
                      <w:jc w:val="both"/>
                      <w:rPr>
                        <w:rFonts w:eastAsia="Calibri"/>
                        <w:bCs/>
                        <w:sz w:val="22"/>
                        <w:szCs w:val="24"/>
                      </w:rPr>
                    </w:pPr>
                    <w:r>
                      <w:rPr>
                        <w:rFonts w:eastAsia="Calibri"/>
                        <w:bCs/>
                        <w:sz w:val="22"/>
                        <w:szCs w:val="24"/>
                      </w:rPr>
                      <w:t>3.5. ŠSPP ataskaita tvirtinama Savivaldybės tarybos sprendimu;</w:t>
                    </w:r>
                  </w:p>
                  <w:p>
                    <w:pPr>
                      <w:rPr>
                        <w:sz w:val="10"/>
                        <w:szCs w:val="10"/>
                      </w:rPr>
                    </w:pPr>
                  </w:p>
                  <w:p>
                    <w:pPr>
                      <w:jc w:val="both"/>
                      <w:rPr>
                        <w:rFonts w:eastAsia="Calibri"/>
                        <w:bCs/>
                        <w:sz w:val="22"/>
                        <w:szCs w:val="24"/>
                      </w:rPr>
                    </w:pPr>
                    <w:r>
                      <w:rPr>
                        <w:rFonts w:eastAsia="Calibri"/>
                        <w:bCs/>
                        <w:sz w:val="22"/>
                        <w:szCs w:val="24"/>
                      </w:rPr>
                      <w:t>3.6. ŠSPP ataskaitos paskelbimą Savivaldybės administracijos interneto svetainėje organizuoja Strateginio planavimo ir finansų skyrius.</w:t>
                    </w:r>
                  </w:p>
                </w:tc>
              </w:tr>
            </w:tbl>
            <w:p>
              <w:pPr>
                <w:jc w:val="center"/>
                <w:rPr>
                  <w:b/>
                  <w:bCs/>
                  <w:szCs w:val="24"/>
                </w:rPr>
              </w:pPr>
            </w:p>
            <w:p>
              <w:pPr>
                <w:jc w:val="center"/>
                <w:rPr>
                  <w:b/>
                  <w:bCs/>
                  <w:szCs w:val="24"/>
                </w:rPr>
              </w:pPr>
            </w:p>
          </w:sdtContent>
        </w:sdt>
      </w:sdtContent>
    </w:sdt>
    <w:sectPr>
      <w:pgSz w:w="11906" w:h="16838"/>
      <w:pgMar w:top="1134" w:right="1134" w:bottom="1134" w:left="1418" w:header="567" w:footer="567" w:gutter="0"/>
      <w:cols w:space="1296"/>
      <w:titlePg/>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ind w:left="284" w:right="142"/>
        <w:jc w:val="both"/>
        <w:rPr>
          <w:rFonts w:eastAsia="MS Mincho"/>
          <w:kern w:val="2"/>
          <w:sz w:val="22"/>
          <w:szCs w:val="24"/>
        </w:rPr>
      </w:pPr>
      <w:r>
        <w:rPr>
          <w:rFonts w:eastAsia="MS Mincho"/>
          <w:kern w:val="2"/>
          <w:sz w:val="22"/>
          <w:szCs w:val="24"/>
        </w:rPr>
        <w:separator/>
      </w:r>
    </w:p>
  </w:endnote>
  <w:endnote w:type="continuationSeparator" w:id="0">
    <w:p>
      <w:pPr>
        <w:ind w:left="284" w:right="142"/>
        <w:jc w:val="both"/>
        <w:rPr>
          <w:rFonts w:eastAsia="MS Mincho"/>
          <w:kern w:val="2"/>
          <w:sz w:val="22"/>
          <w:szCs w:val="24"/>
        </w:rPr>
      </w:pPr>
      <w:r>
        <w:rPr>
          <w:rFonts w:eastAsia="MS Mincho"/>
          <w:kern w:val="2"/>
          <w:sz w:val="22"/>
          <w:szCs w:val="24"/>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Bahnschrift SemiBold SemiConden">
    <w:altName w:val="Segoe UI Light"/>
    <w:charset w:val="BA"/>
    <w:family w:val="swiss"/>
    <w:pitch w:val="variable"/>
    <w:sig w:usb0="00000001" w:usb1="00000002" w:usb2="00000000" w:usb3="00000000" w:csb0="0000019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Bahnschrift Light SemiCondensed">
    <w:altName w:val="Segoe UI Light"/>
    <w:charset w:val="BA"/>
    <w:family w:val="swiss"/>
    <w:pitch w:val="variable"/>
    <w:sig w:usb0="00000001" w:usb1="00000002" w:usb2="00000000" w:usb3="00000000" w:csb0="0000019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ind w:left="284" w:right="142"/>
      <w:jc w:val="both"/>
      <w:rPr>
        <w:rFonts w:eastAsia="MS Mincho"/>
        <w:kern w:val="2"/>
        <w:sz w:val="22"/>
        <w:szCs w:val="24"/>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ind w:left="284" w:right="142"/>
      <w:jc w:val="right"/>
      <w:rPr>
        <w:rFonts w:eastAsia="MS Mincho"/>
        <w:kern w:val="2"/>
        <w:sz w:val="22"/>
        <w:szCs w:val="24"/>
      </w:rPr>
    </w:pPr>
    <w:r>
      <w:rPr>
        <w:rFonts w:eastAsia="MS Mincho"/>
        <w:kern w:val="2"/>
        <w:sz w:val="22"/>
        <w:szCs w:val="24"/>
      </w:rPr>
      <w:fldChar w:fldCharType="begin"/>
    </w:r>
    <w:r>
      <w:rPr>
        <w:rFonts w:eastAsia="MS Mincho"/>
        <w:kern w:val="2"/>
        <w:sz w:val="22"/>
        <w:szCs w:val="24"/>
      </w:rPr>
      <w:instrText>PAGE   \* MERGEFORMAT</w:instrText>
    </w:r>
    <w:r>
      <w:rPr>
        <w:rFonts w:eastAsia="MS Mincho"/>
        <w:kern w:val="2"/>
        <w:sz w:val="22"/>
        <w:szCs w:val="24"/>
      </w:rPr>
      <w:fldChar w:fldCharType="separate"/>
    </w:r>
    <w:r>
      <w:rPr>
        <w:rFonts w:eastAsia="MS Mincho"/>
        <w:kern w:val="2"/>
        <w:sz w:val="22"/>
        <w:szCs w:val="24"/>
      </w:rPr>
      <w:t>2</w:t>
    </w:r>
    <w:r>
      <w:rPr>
        <w:rFonts w:eastAsia="MS Mincho"/>
        <w:kern w:val="2"/>
        <w:sz w:val="22"/>
        <w:szCs w:val="24"/>
      </w:rPr>
      <w:fldChar w:fldCharType="end"/>
    </w:r>
  </w:p>
  <w:p>
    <w:pPr>
      <w:tabs>
        <w:tab w:val="center" w:pos="4819"/>
        <w:tab w:val="right" w:pos="9638"/>
      </w:tabs>
      <w:ind w:left="284" w:right="142"/>
      <w:jc w:val="both"/>
      <w:rPr>
        <w:rFonts w:eastAsia="MS Mincho"/>
        <w:kern w:val="2"/>
        <w:sz w:val="22"/>
        <w:szCs w:val="24"/>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ind w:left="284" w:right="142"/>
      <w:jc w:val="both"/>
      <w:rPr>
        <w:rFonts w:eastAsia="MS Mincho"/>
        <w:kern w:val="2"/>
        <w:sz w:val="22"/>
        <w:szCs w:val="24"/>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ind w:left="284" w:right="142"/>
        <w:jc w:val="both"/>
        <w:rPr>
          <w:rFonts w:eastAsia="MS Mincho"/>
          <w:kern w:val="2"/>
          <w:sz w:val="22"/>
          <w:szCs w:val="24"/>
        </w:rPr>
      </w:pPr>
      <w:r>
        <w:rPr>
          <w:rFonts w:eastAsia="MS Mincho"/>
          <w:kern w:val="2"/>
          <w:sz w:val="22"/>
          <w:szCs w:val="24"/>
        </w:rPr>
        <w:separator/>
      </w:r>
    </w:p>
  </w:footnote>
  <w:footnote w:type="continuationSeparator" w:id="0">
    <w:p>
      <w:pPr>
        <w:ind w:left="284" w:right="142"/>
        <w:jc w:val="both"/>
        <w:rPr>
          <w:rFonts w:eastAsia="MS Mincho"/>
          <w:kern w:val="2"/>
          <w:sz w:val="22"/>
          <w:szCs w:val="24"/>
        </w:rPr>
      </w:pPr>
      <w:r>
        <w:rPr>
          <w:rFonts w:eastAsia="MS Mincho"/>
          <w:kern w:val="2"/>
          <w:sz w:val="22"/>
          <w:szCs w:val="24"/>
        </w:rPr>
        <w:continuationSeparator/>
      </w:r>
    </w:p>
  </w:footnote>
  <w:footnote w:id="1">
    <w:p>
      <w:pPr>
        <w:ind w:left="284" w:right="142"/>
        <w:jc w:val="both"/>
        <w:rPr>
          <w:rFonts w:eastAsia="MS Mincho"/>
          <w:kern w:val="2"/>
          <w:sz w:val="20"/>
        </w:rPr>
      </w:pPr>
      <w:r>
        <w:rPr>
          <w:rFonts w:eastAsia="MS Mincho"/>
          <w:kern w:val="2"/>
          <w:sz w:val="20"/>
          <w:vertAlign w:val="superscript"/>
        </w:rPr>
        <w:footnoteRef/>
      </w:r>
      <w:r>
        <w:rPr>
          <w:rFonts w:eastAsia="MS Mincho"/>
          <w:kern w:val="2"/>
          <w:sz w:val="20"/>
        </w:rPr>
        <w:t xml:space="preserve"> 2015–2018 m. nebuvo sekamas</w:t>
      </w:r>
    </w:p>
  </w:footnote>
  <w:footnote w:id="2">
    <w:p>
      <w:pPr>
        <w:ind w:left="284" w:right="142"/>
        <w:jc w:val="both"/>
        <w:rPr>
          <w:rFonts w:eastAsia="MS Mincho"/>
          <w:kern w:val="2"/>
          <w:sz w:val="16"/>
          <w:szCs w:val="16"/>
        </w:rPr>
      </w:pPr>
      <w:r>
        <w:rPr>
          <w:rFonts w:eastAsia="MS Mincho"/>
          <w:kern w:val="2"/>
          <w:sz w:val="16"/>
          <w:szCs w:val="16"/>
          <w:vertAlign w:val="superscript"/>
        </w:rPr>
        <w:footnoteRef/>
      </w:r>
      <w:r>
        <w:rPr>
          <w:rFonts w:eastAsia="MS Mincho"/>
          <w:kern w:val="2"/>
          <w:sz w:val="16"/>
          <w:szCs w:val="16"/>
        </w:rPr>
        <w:t xml:space="preserve"> Pastatų, statinių gera būklė apibrėžiama tuomet, kai esama infrastruktūra užtikrina tinkamas sąlygas darbui ir paslaugų teikimui, pastatui nustatyta A++, A+, A, B, C energetinio naudingumo klasė. Bloga pastato, statinio būklė apibrėžiama tuomet, kai infrastruktūra yra stipriai nusidėvėjusi, reikalinga pastato, statinio renovacija, neužtikrinamos tinkamos darbo ir paslaugų teikimo sąlygos arba nustatyta pastato D, E, F arba G energetinio naudingumo klasė.</w:t>
      </w:r>
    </w:p>
  </w:footnote>
  <w:footnote w:id="3">
    <w:p>
      <w:pPr>
        <w:ind w:left="284" w:right="142"/>
        <w:jc w:val="both"/>
        <w:rPr>
          <w:rFonts w:eastAsia="MS Mincho"/>
          <w:kern w:val="2"/>
          <w:sz w:val="20"/>
        </w:rPr>
      </w:pPr>
      <w:r>
        <w:rPr>
          <w:rFonts w:eastAsia="MS Mincho"/>
          <w:kern w:val="2"/>
          <w:sz w:val="20"/>
          <w:vertAlign w:val="superscript"/>
        </w:rPr>
        <w:footnoteRef/>
      </w:r>
      <w:r>
        <w:rPr>
          <w:rFonts w:eastAsia="MS Mincho"/>
          <w:kern w:val="2"/>
          <w:sz w:val="20"/>
        </w:rPr>
        <w:t xml:space="preserve"> </w:t>
      </w:r>
      <w:r>
        <w:rPr>
          <w:rFonts w:eastAsia="MS Mincho"/>
          <w:kern w:val="2"/>
          <w:sz w:val="16"/>
          <w:szCs w:val="16"/>
        </w:rPr>
        <w:t>Turimo laikotarpio faktinė reikšmė.</w:t>
      </w:r>
    </w:p>
  </w:footnote>
  <w:footnote w:id="4">
    <w:p>
      <w:pPr>
        <w:ind w:left="284" w:right="142"/>
        <w:jc w:val="both"/>
        <w:rPr>
          <w:rFonts w:eastAsia="MS Mincho"/>
          <w:kern w:val="2"/>
          <w:sz w:val="16"/>
          <w:szCs w:val="16"/>
        </w:rPr>
      </w:pPr>
      <w:r>
        <w:rPr>
          <w:rFonts w:eastAsia="MS Mincho"/>
          <w:kern w:val="2"/>
          <w:sz w:val="16"/>
          <w:szCs w:val="16"/>
          <w:vertAlign w:val="superscript"/>
        </w:rPr>
        <w:footnoteRef/>
      </w:r>
      <w:r>
        <w:rPr>
          <w:rFonts w:eastAsia="MS Mincho"/>
          <w:kern w:val="2"/>
          <w:sz w:val="16"/>
          <w:szCs w:val="16"/>
        </w:rPr>
        <w:t xml:space="preserve"> Siekiama suminė reikšmė per 2025-2033 m. laikotarpį arba siekiama metinė reikšmė 2033 m. pabaigoje, jei prie rodiklio matavimo vieneto nurodoma „per metus“.</w:t>
      </w:r>
    </w:p>
  </w:footnote>
  <w:footnote w:id="5">
    <w:p>
      <w:pPr>
        <w:ind w:left="284" w:right="142"/>
        <w:jc w:val="both"/>
        <w:rPr>
          <w:rFonts w:eastAsia="MS Mincho"/>
          <w:kern w:val="2"/>
          <w:sz w:val="20"/>
        </w:rPr>
      </w:pPr>
      <w:r>
        <w:rPr>
          <w:rFonts w:eastAsia="MS Mincho"/>
          <w:kern w:val="2"/>
          <w:sz w:val="20"/>
          <w:vertAlign w:val="superscript"/>
        </w:rPr>
        <w:footnoteRef/>
      </w:r>
      <w:r>
        <w:rPr>
          <w:rFonts w:eastAsia="MS Mincho"/>
          <w:kern w:val="2"/>
          <w:sz w:val="20"/>
        </w:rPr>
        <w:t xml:space="preserve"> Nurodoma RPP pažangos priemonė, prie kurios įgyvendinimo prisideda ar prisidės projektas, skiriant jam dalį lėšų iš RPP.</w:t>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ind w:left="284" w:right="142"/>
      <w:jc w:val="both"/>
      <w:rPr>
        <w:rFonts w:eastAsia="MS Mincho"/>
        <w:kern w:val="2"/>
        <w:sz w:val="22"/>
        <w:szCs w:val="24"/>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ind w:left="284" w:right="142"/>
      <w:jc w:val="both"/>
      <w:rPr>
        <w:rFonts w:eastAsia="MS Mincho"/>
        <w:kern w:val="2"/>
        <w:sz w:val="22"/>
        <w:szCs w:val="24"/>
      </w:rPr>
    </w:pP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ind w:left="284" w:right="142"/>
      <w:jc w:val="both"/>
      <w:rPr>
        <w:rFonts w:eastAsia="MS Mincho"/>
        <w:kern w:val="2"/>
        <w:sz w:val="22"/>
        <w:szCs w:val="24"/>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hyphenationZone w:val="396"/>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22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FAF8EF7-3B73-42D9-BD96-810B7F1E54A9}"/>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9652248">
      <w:bodyDiv w:val="1"/>
      <w:marLeft w:val="0"/>
      <w:marRight w:val="0"/>
      <w:marTop w:val="0"/>
      <w:marBottom w:val="0"/>
      <w:divBdr>
        <w:top w:val="none" w:sz="0" w:space="0" w:color="auto"/>
        <w:left w:val="none" w:sz="0" w:space="0" w:color="auto"/>
        <w:bottom w:val="none" w:sz="0" w:space="0" w:color="auto"/>
        <w:right w:val="none" w:sz="0" w:space="0" w:color="auto"/>
      </w:divBdr>
    </w:div>
    <w:div w:id="18941880">
      <w:bodyDiv w:val="1"/>
      <w:marLeft w:val="0"/>
      <w:marRight w:val="0"/>
      <w:marTop w:val="0"/>
      <w:marBottom w:val="0"/>
      <w:divBdr>
        <w:top w:val="none" w:sz="0" w:space="0" w:color="auto"/>
        <w:left w:val="none" w:sz="0" w:space="0" w:color="auto"/>
        <w:bottom w:val="none" w:sz="0" w:space="0" w:color="auto"/>
        <w:right w:val="none" w:sz="0" w:space="0" w:color="auto"/>
      </w:divBdr>
    </w:div>
    <w:div w:id="31735614">
      <w:bodyDiv w:val="1"/>
      <w:marLeft w:val="0"/>
      <w:marRight w:val="0"/>
      <w:marTop w:val="0"/>
      <w:marBottom w:val="0"/>
      <w:divBdr>
        <w:top w:val="none" w:sz="0" w:space="0" w:color="auto"/>
        <w:left w:val="none" w:sz="0" w:space="0" w:color="auto"/>
        <w:bottom w:val="none" w:sz="0" w:space="0" w:color="auto"/>
        <w:right w:val="none" w:sz="0" w:space="0" w:color="auto"/>
      </w:divBdr>
    </w:div>
    <w:div w:id="39786331">
      <w:bodyDiv w:val="1"/>
      <w:marLeft w:val="0"/>
      <w:marRight w:val="0"/>
      <w:marTop w:val="0"/>
      <w:marBottom w:val="0"/>
      <w:divBdr>
        <w:top w:val="none" w:sz="0" w:space="0" w:color="auto"/>
        <w:left w:val="none" w:sz="0" w:space="0" w:color="auto"/>
        <w:bottom w:val="none" w:sz="0" w:space="0" w:color="auto"/>
        <w:right w:val="none" w:sz="0" w:space="0" w:color="auto"/>
      </w:divBdr>
    </w:div>
    <w:div w:id="58750211">
      <w:bodyDiv w:val="1"/>
      <w:marLeft w:val="0"/>
      <w:marRight w:val="0"/>
      <w:marTop w:val="0"/>
      <w:marBottom w:val="0"/>
      <w:divBdr>
        <w:top w:val="none" w:sz="0" w:space="0" w:color="auto"/>
        <w:left w:val="none" w:sz="0" w:space="0" w:color="auto"/>
        <w:bottom w:val="none" w:sz="0" w:space="0" w:color="auto"/>
        <w:right w:val="none" w:sz="0" w:space="0" w:color="auto"/>
      </w:divBdr>
    </w:div>
    <w:div w:id="58788317">
      <w:bodyDiv w:val="1"/>
      <w:marLeft w:val="0"/>
      <w:marRight w:val="0"/>
      <w:marTop w:val="0"/>
      <w:marBottom w:val="0"/>
      <w:divBdr>
        <w:top w:val="none" w:sz="0" w:space="0" w:color="auto"/>
        <w:left w:val="none" w:sz="0" w:space="0" w:color="auto"/>
        <w:bottom w:val="none" w:sz="0" w:space="0" w:color="auto"/>
        <w:right w:val="none" w:sz="0" w:space="0" w:color="auto"/>
      </w:divBdr>
    </w:div>
    <w:div w:id="61754073">
      <w:bodyDiv w:val="1"/>
      <w:marLeft w:val="0"/>
      <w:marRight w:val="0"/>
      <w:marTop w:val="0"/>
      <w:marBottom w:val="0"/>
      <w:divBdr>
        <w:top w:val="none" w:sz="0" w:space="0" w:color="auto"/>
        <w:left w:val="none" w:sz="0" w:space="0" w:color="auto"/>
        <w:bottom w:val="none" w:sz="0" w:space="0" w:color="auto"/>
        <w:right w:val="none" w:sz="0" w:space="0" w:color="auto"/>
      </w:divBdr>
    </w:div>
    <w:div w:id="71590375">
      <w:bodyDiv w:val="1"/>
      <w:marLeft w:val="0"/>
      <w:marRight w:val="0"/>
      <w:marTop w:val="0"/>
      <w:marBottom w:val="0"/>
      <w:divBdr>
        <w:top w:val="none" w:sz="0" w:space="0" w:color="auto"/>
        <w:left w:val="none" w:sz="0" w:space="0" w:color="auto"/>
        <w:bottom w:val="none" w:sz="0" w:space="0" w:color="auto"/>
        <w:right w:val="none" w:sz="0" w:space="0" w:color="auto"/>
      </w:divBdr>
    </w:div>
    <w:div w:id="78988506">
      <w:bodyDiv w:val="1"/>
      <w:marLeft w:val="0"/>
      <w:marRight w:val="0"/>
      <w:marTop w:val="0"/>
      <w:marBottom w:val="0"/>
      <w:divBdr>
        <w:top w:val="none" w:sz="0" w:space="0" w:color="auto"/>
        <w:left w:val="none" w:sz="0" w:space="0" w:color="auto"/>
        <w:bottom w:val="none" w:sz="0" w:space="0" w:color="auto"/>
        <w:right w:val="none" w:sz="0" w:space="0" w:color="auto"/>
      </w:divBdr>
    </w:div>
    <w:div w:id="87888902">
      <w:bodyDiv w:val="1"/>
      <w:marLeft w:val="0"/>
      <w:marRight w:val="0"/>
      <w:marTop w:val="0"/>
      <w:marBottom w:val="0"/>
      <w:divBdr>
        <w:top w:val="none" w:sz="0" w:space="0" w:color="auto"/>
        <w:left w:val="none" w:sz="0" w:space="0" w:color="auto"/>
        <w:bottom w:val="none" w:sz="0" w:space="0" w:color="auto"/>
        <w:right w:val="none" w:sz="0" w:space="0" w:color="auto"/>
      </w:divBdr>
      <w:divsChild>
        <w:div w:id="1137919621">
          <w:marLeft w:val="0"/>
          <w:marRight w:val="0"/>
          <w:marTop w:val="0"/>
          <w:marBottom w:val="0"/>
          <w:divBdr>
            <w:top w:val="none" w:sz="0" w:space="0" w:color="auto"/>
            <w:left w:val="none" w:sz="0" w:space="0" w:color="auto"/>
            <w:bottom w:val="none" w:sz="0" w:space="0" w:color="auto"/>
            <w:right w:val="none" w:sz="0" w:space="0" w:color="auto"/>
          </w:divBdr>
        </w:div>
        <w:div w:id="2032293937">
          <w:marLeft w:val="0"/>
          <w:marRight w:val="0"/>
          <w:marTop w:val="0"/>
          <w:marBottom w:val="0"/>
          <w:divBdr>
            <w:top w:val="none" w:sz="0" w:space="0" w:color="auto"/>
            <w:left w:val="none" w:sz="0" w:space="0" w:color="auto"/>
            <w:bottom w:val="none" w:sz="0" w:space="0" w:color="auto"/>
            <w:right w:val="none" w:sz="0" w:space="0" w:color="auto"/>
          </w:divBdr>
        </w:div>
      </w:divsChild>
    </w:div>
    <w:div w:id="95486653">
      <w:bodyDiv w:val="1"/>
      <w:marLeft w:val="0"/>
      <w:marRight w:val="0"/>
      <w:marTop w:val="0"/>
      <w:marBottom w:val="0"/>
      <w:divBdr>
        <w:top w:val="none" w:sz="0" w:space="0" w:color="auto"/>
        <w:left w:val="none" w:sz="0" w:space="0" w:color="auto"/>
        <w:bottom w:val="none" w:sz="0" w:space="0" w:color="auto"/>
        <w:right w:val="none" w:sz="0" w:space="0" w:color="auto"/>
      </w:divBdr>
    </w:div>
    <w:div w:id="116722149">
      <w:bodyDiv w:val="1"/>
      <w:marLeft w:val="0"/>
      <w:marRight w:val="0"/>
      <w:marTop w:val="0"/>
      <w:marBottom w:val="0"/>
      <w:divBdr>
        <w:top w:val="none" w:sz="0" w:space="0" w:color="auto"/>
        <w:left w:val="none" w:sz="0" w:space="0" w:color="auto"/>
        <w:bottom w:val="none" w:sz="0" w:space="0" w:color="auto"/>
        <w:right w:val="none" w:sz="0" w:space="0" w:color="auto"/>
      </w:divBdr>
    </w:div>
    <w:div w:id="125196302">
      <w:bodyDiv w:val="1"/>
      <w:marLeft w:val="0"/>
      <w:marRight w:val="0"/>
      <w:marTop w:val="0"/>
      <w:marBottom w:val="0"/>
      <w:divBdr>
        <w:top w:val="none" w:sz="0" w:space="0" w:color="auto"/>
        <w:left w:val="none" w:sz="0" w:space="0" w:color="auto"/>
        <w:bottom w:val="none" w:sz="0" w:space="0" w:color="auto"/>
        <w:right w:val="none" w:sz="0" w:space="0" w:color="auto"/>
      </w:divBdr>
    </w:div>
    <w:div w:id="139270842">
      <w:bodyDiv w:val="1"/>
      <w:marLeft w:val="0"/>
      <w:marRight w:val="0"/>
      <w:marTop w:val="0"/>
      <w:marBottom w:val="0"/>
      <w:divBdr>
        <w:top w:val="none" w:sz="0" w:space="0" w:color="auto"/>
        <w:left w:val="none" w:sz="0" w:space="0" w:color="auto"/>
        <w:bottom w:val="none" w:sz="0" w:space="0" w:color="auto"/>
        <w:right w:val="none" w:sz="0" w:space="0" w:color="auto"/>
      </w:divBdr>
    </w:div>
    <w:div w:id="142549779">
      <w:bodyDiv w:val="1"/>
      <w:marLeft w:val="0"/>
      <w:marRight w:val="0"/>
      <w:marTop w:val="0"/>
      <w:marBottom w:val="0"/>
      <w:divBdr>
        <w:top w:val="none" w:sz="0" w:space="0" w:color="auto"/>
        <w:left w:val="none" w:sz="0" w:space="0" w:color="auto"/>
        <w:bottom w:val="none" w:sz="0" w:space="0" w:color="auto"/>
        <w:right w:val="none" w:sz="0" w:space="0" w:color="auto"/>
      </w:divBdr>
    </w:div>
    <w:div w:id="150489885">
      <w:bodyDiv w:val="1"/>
      <w:marLeft w:val="0"/>
      <w:marRight w:val="0"/>
      <w:marTop w:val="0"/>
      <w:marBottom w:val="0"/>
      <w:divBdr>
        <w:top w:val="none" w:sz="0" w:space="0" w:color="auto"/>
        <w:left w:val="none" w:sz="0" w:space="0" w:color="auto"/>
        <w:bottom w:val="none" w:sz="0" w:space="0" w:color="auto"/>
        <w:right w:val="none" w:sz="0" w:space="0" w:color="auto"/>
      </w:divBdr>
    </w:div>
    <w:div w:id="158354856">
      <w:bodyDiv w:val="1"/>
      <w:marLeft w:val="0"/>
      <w:marRight w:val="0"/>
      <w:marTop w:val="0"/>
      <w:marBottom w:val="0"/>
      <w:divBdr>
        <w:top w:val="none" w:sz="0" w:space="0" w:color="auto"/>
        <w:left w:val="none" w:sz="0" w:space="0" w:color="auto"/>
        <w:bottom w:val="none" w:sz="0" w:space="0" w:color="auto"/>
        <w:right w:val="none" w:sz="0" w:space="0" w:color="auto"/>
      </w:divBdr>
    </w:div>
    <w:div w:id="169758496">
      <w:bodyDiv w:val="1"/>
      <w:marLeft w:val="0"/>
      <w:marRight w:val="0"/>
      <w:marTop w:val="0"/>
      <w:marBottom w:val="0"/>
      <w:divBdr>
        <w:top w:val="none" w:sz="0" w:space="0" w:color="auto"/>
        <w:left w:val="none" w:sz="0" w:space="0" w:color="auto"/>
        <w:bottom w:val="none" w:sz="0" w:space="0" w:color="auto"/>
        <w:right w:val="none" w:sz="0" w:space="0" w:color="auto"/>
      </w:divBdr>
    </w:div>
    <w:div w:id="174806576">
      <w:bodyDiv w:val="1"/>
      <w:marLeft w:val="0"/>
      <w:marRight w:val="0"/>
      <w:marTop w:val="0"/>
      <w:marBottom w:val="0"/>
      <w:divBdr>
        <w:top w:val="none" w:sz="0" w:space="0" w:color="auto"/>
        <w:left w:val="none" w:sz="0" w:space="0" w:color="auto"/>
        <w:bottom w:val="none" w:sz="0" w:space="0" w:color="auto"/>
        <w:right w:val="none" w:sz="0" w:space="0" w:color="auto"/>
      </w:divBdr>
    </w:div>
    <w:div w:id="176430546">
      <w:bodyDiv w:val="1"/>
      <w:marLeft w:val="0"/>
      <w:marRight w:val="0"/>
      <w:marTop w:val="0"/>
      <w:marBottom w:val="0"/>
      <w:divBdr>
        <w:top w:val="none" w:sz="0" w:space="0" w:color="auto"/>
        <w:left w:val="none" w:sz="0" w:space="0" w:color="auto"/>
        <w:bottom w:val="none" w:sz="0" w:space="0" w:color="auto"/>
        <w:right w:val="none" w:sz="0" w:space="0" w:color="auto"/>
      </w:divBdr>
    </w:div>
    <w:div w:id="199244664">
      <w:bodyDiv w:val="1"/>
      <w:marLeft w:val="0"/>
      <w:marRight w:val="0"/>
      <w:marTop w:val="0"/>
      <w:marBottom w:val="0"/>
      <w:divBdr>
        <w:top w:val="none" w:sz="0" w:space="0" w:color="auto"/>
        <w:left w:val="none" w:sz="0" w:space="0" w:color="auto"/>
        <w:bottom w:val="none" w:sz="0" w:space="0" w:color="auto"/>
        <w:right w:val="none" w:sz="0" w:space="0" w:color="auto"/>
      </w:divBdr>
    </w:div>
    <w:div w:id="201796432">
      <w:bodyDiv w:val="1"/>
      <w:marLeft w:val="0"/>
      <w:marRight w:val="0"/>
      <w:marTop w:val="0"/>
      <w:marBottom w:val="0"/>
      <w:divBdr>
        <w:top w:val="none" w:sz="0" w:space="0" w:color="auto"/>
        <w:left w:val="none" w:sz="0" w:space="0" w:color="auto"/>
        <w:bottom w:val="none" w:sz="0" w:space="0" w:color="auto"/>
        <w:right w:val="none" w:sz="0" w:space="0" w:color="auto"/>
      </w:divBdr>
    </w:div>
    <w:div w:id="236138585">
      <w:bodyDiv w:val="1"/>
      <w:marLeft w:val="0"/>
      <w:marRight w:val="0"/>
      <w:marTop w:val="0"/>
      <w:marBottom w:val="0"/>
      <w:divBdr>
        <w:top w:val="none" w:sz="0" w:space="0" w:color="auto"/>
        <w:left w:val="none" w:sz="0" w:space="0" w:color="auto"/>
        <w:bottom w:val="none" w:sz="0" w:space="0" w:color="auto"/>
        <w:right w:val="none" w:sz="0" w:space="0" w:color="auto"/>
      </w:divBdr>
    </w:div>
    <w:div w:id="251941434">
      <w:bodyDiv w:val="1"/>
      <w:marLeft w:val="0"/>
      <w:marRight w:val="0"/>
      <w:marTop w:val="0"/>
      <w:marBottom w:val="0"/>
      <w:divBdr>
        <w:top w:val="none" w:sz="0" w:space="0" w:color="auto"/>
        <w:left w:val="none" w:sz="0" w:space="0" w:color="auto"/>
        <w:bottom w:val="none" w:sz="0" w:space="0" w:color="auto"/>
        <w:right w:val="none" w:sz="0" w:space="0" w:color="auto"/>
      </w:divBdr>
    </w:div>
    <w:div w:id="268390065">
      <w:bodyDiv w:val="1"/>
      <w:marLeft w:val="0"/>
      <w:marRight w:val="0"/>
      <w:marTop w:val="0"/>
      <w:marBottom w:val="0"/>
      <w:divBdr>
        <w:top w:val="none" w:sz="0" w:space="0" w:color="auto"/>
        <w:left w:val="none" w:sz="0" w:space="0" w:color="auto"/>
        <w:bottom w:val="none" w:sz="0" w:space="0" w:color="auto"/>
        <w:right w:val="none" w:sz="0" w:space="0" w:color="auto"/>
      </w:divBdr>
    </w:div>
    <w:div w:id="276106100">
      <w:bodyDiv w:val="1"/>
      <w:marLeft w:val="0"/>
      <w:marRight w:val="0"/>
      <w:marTop w:val="0"/>
      <w:marBottom w:val="0"/>
      <w:divBdr>
        <w:top w:val="none" w:sz="0" w:space="0" w:color="auto"/>
        <w:left w:val="none" w:sz="0" w:space="0" w:color="auto"/>
        <w:bottom w:val="none" w:sz="0" w:space="0" w:color="auto"/>
        <w:right w:val="none" w:sz="0" w:space="0" w:color="auto"/>
      </w:divBdr>
    </w:div>
    <w:div w:id="278416843">
      <w:bodyDiv w:val="1"/>
      <w:marLeft w:val="0"/>
      <w:marRight w:val="0"/>
      <w:marTop w:val="0"/>
      <w:marBottom w:val="0"/>
      <w:divBdr>
        <w:top w:val="none" w:sz="0" w:space="0" w:color="auto"/>
        <w:left w:val="none" w:sz="0" w:space="0" w:color="auto"/>
        <w:bottom w:val="none" w:sz="0" w:space="0" w:color="auto"/>
        <w:right w:val="none" w:sz="0" w:space="0" w:color="auto"/>
      </w:divBdr>
    </w:div>
    <w:div w:id="286355568">
      <w:bodyDiv w:val="1"/>
      <w:marLeft w:val="0"/>
      <w:marRight w:val="0"/>
      <w:marTop w:val="0"/>
      <w:marBottom w:val="0"/>
      <w:divBdr>
        <w:top w:val="none" w:sz="0" w:space="0" w:color="auto"/>
        <w:left w:val="none" w:sz="0" w:space="0" w:color="auto"/>
        <w:bottom w:val="none" w:sz="0" w:space="0" w:color="auto"/>
        <w:right w:val="none" w:sz="0" w:space="0" w:color="auto"/>
      </w:divBdr>
    </w:div>
    <w:div w:id="289559655">
      <w:bodyDiv w:val="1"/>
      <w:marLeft w:val="0"/>
      <w:marRight w:val="0"/>
      <w:marTop w:val="0"/>
      <w:marBottom w:val="0"/>
      <w:divBdr>
        <w:top w:val="none" w:sz="0" w:space="0" w:color="auto"/>
        <w:left w:val="none" w:sz="0" w:space="0" w:color="auto"/>
        <w:bottom w:val="none" w:sz="0" w:space="0" w:color="auto"/>
        <w:right w:val="none" w:sz="0" w:space="0" w:color="auto"/>
      </w:divBdr>
    </w:div>
    <w:div w:id="327557747">
      <w:bodyDiv w:val="1"/>
      <w:marLeft w:val="0"/>
      <w:marRight w:val="0"/>
      <w:marTop w:val="0"/>
      <w:marBottom w:val="0"/>
      <w:divBdr>
        <w:top w:val="none" w:sz="0" w:space="0" w:color="auto"/>
        <w:left w:val="none" w:sz="0" w:space="0" w:color="auto"/>
        <w:bottom w:val="none" w:sz="0" w:space="0" w:color="auto"/>
        <w:right w:val="none" w:sz="0" w:space="0" w:color="auto"/>
      </w:divBdr>
    </w:div>
    <w:div w:id="330985431">
      <w:bodyDiv w:val="1"/>
      <w:marLeft w:val="0"/>
      <w:marRight w:val="0"/>
      <w:marTop w:val="0"/>
      <w:marBottom w:val="0"/>
      <w:divBdr>
        <w:top w:val="none" w:sz="0" w:space="0" w:color="auto"/>
        <w:left w:val="none" w:sz="0" w:space="0" w:color="auto"/>
        <w:bottom w:val="none" w:sz="0" w:space="0" w:color="auto"/>
        <w:right w:val="none" w:sz="0" w:space="0" w:color="auto"/>
      </w:divBdr>
    </w:div>
    <w:div w:id="369960903">
      <w:bodyDiv w:val="1"/>
      <w:marLeft w:val="0"/>
      <w:marRight w:val="0"/>
      <w:marTop w:val="0"/>
      <w:marBottom w:val="0"/>
      <w:divBdr>
        <w:top w:val="none" w:sz="0" w:space="0" w:color="auto"/>
        <w:left w:val="none" w:sz="0" w:space="0" w:color="auto"/>
        <w:bottom w:val="none" w:sz="0" w:space="0" w:color="auto"/>
        <w:right w:val="none" w:sz="0" w:space="0" w:color="auto"/>
      </w:divBdr>
    </w:div>
    <w:div w:id="376665062">
      <w:bodyDiv w:val="1"/>
      <w:marLeft w:val="0"/>
      <w:marRight w:val="0"/>
      <w:marTop w:val="0"/>
      <w:marBottom w:val="0"/>
      <w:divBdr>
        <w:top w:val="none" w:sz="0" w:space="0" w:color="auto"/>
        <w:left w:val="none" w:sz="0" w:space="0" w:color="auto"/>
        <w:bottom w:val="none" w:sz="0" w:space="0" w:color="auto"/>
        <w:right w:val="none" w:sz="0" w:space="0" w:color="auto"/>
      </w:divBdr>
    </w:div>
    <w:div w:id="376704263">
      <w:bodyDiv w:val="1"/>
      <w:marLeft w:val="0"/>
      <w:marRight w:val="0"/>
      <w:marTop w:val="0"/>
      <w:marBottom w:val="0"/>
      <w:divBdr>
        <w:top w:val="none" w:sz="0" w:space="0" w:color="auto"/>
        <w:left w:val="none" w:sz="0" w:space="0" w:color="auto"/>
        <w:bottom w:val="none" w:sz="0" w:space="0" w:color="auto"/>
        <w:right w:val="none" w:sz="0" w:space="0" w:color="auto"/>
      </w:divBdr>
    </w:div>
    <w:div w:id="382094571">
      <w:bodyDiv w:val="1"/>
      <w:marLeft w:val="0"/>
      <w:marRight w:val="0"/>
      <w:marTop w:val="0"/>
      <w:marBottom w:val="0"/>
      <w:divBdr>
        <w:top w:val="none" w:sz="0" w:space="0" w:color="auto"/>
        <w:left w:val="none" w:sz="0" w:space="0" w:color="auto"/>
        <w:bottom w:val="none" w:sz="0" w:space="0" w:color="auto"/>
        <w:right w:val="none" w:sz="0" w:space="0" w:color="auto"/>
      </w:divBdr>
    </w:div>
    <w:div w:id="400561185">
      <w:bodyDiv w:val="1"/>
      <w:marLeft w:val="0"/>
      <w:marRight w:val="0"/>
      <w:marTop w:val="0"/>
      <w:marBottom w:val="0"/>
      <w:divBdr>
        <w:top w:val="none" w:sz="0" w:space="0" w:color="auto"/>
        <w:left w:val="none" w:sz="0" w:space="0" w:color="auto"/>
        <w:bottom w:val="none" w:sz="0" w:space="0" w:color="auto"/>
        <w:right w:val="none" w:sz="0" w:space="0" w:color="auto"/>
      </w:divBdr>
    </w:div>
    <w:div w:id="411392291">
      <w:bodyDiv w:val="1"/>
      <w:marLeft w:val="0"/>
      <w:marRight w:val="0"/>
      <w:marTop w:val="0"/>
      <w:marBottom w:val="0"/>
      <w:divBdr>
        <w:top w:val="none" w:sz="0" w:space="0" w:color="auto"/>
        <w:left w:val="none" w:sz="0" w:space="0" w:color="auto"/>
        <w:bottom w:val="none" w:sz="0" w:space="0" w:color="auto"/>
        <w:right w:val="none" w:sz="0" w:space="0" w:color="auto"/>
      </w:divBdr>
    </w:div>
    <w:div w:id="419716093">
      <w:bodyDiv w:val="1"/>
      <w:marLeft w:val="0"/>
      <w:marRight w:val="0"/>
      <w:marTop w:val="0"/>
      <w:marBottom w:val="0"/>
      <w:divBdr>
        <w:top w:val="none" w:sz="0" w:space="0" w:color="auto"/>
        <w:left w:val="none" w:sz="0" w:space="0" w:color="auto"/>
        <w:bottom w:val="none" w:sz="0" w:space="0" w:color="auto"/>
        <w:right w:val="none" w:sz="0" w:space="0" w:color="auto"/>
      </w:divBdr>
    </w:div>
    <w:div w:id="421419006">
      <w:bodyDiv w:val="1"/>
      <w:marLeft w:val="0"/>
      <w:marRight w:val="0"/>
      <w:marTop w:val="0"/>
      <w:marBottom w:val="0"/>
      <w:divBdr>
        <w:top w:val="none" w:sz="0" w:space="0" w:color="auto"/>
        <w:left w:val="none" w:sz="0" w:space="0" w:color="auto"/>
        <w:bottom w:val="none" w:sz="0" w:space="0" w:color="auto"/>
        <w:right w:val="none" w:sz="0" w:space="0" w:color="auto"/>
      </w:divBdr>
    </w:div>
    <w:div w:id="422070330">
      <w:bodyDiv w:val="1"/>
      <w:marLeft w:val="0"/>
      <w:marRight w:val="0"/>
      <w:marTop w:val="0"/>
      <w:marBottom w:val="0"/>
      <w:divBdr>
        <w:top w:val="none" w:sz="0" w:space="0" w:color="auto"/>
        <w:left w:val="none" w:sz="0" w:space="0" w:color="auto"/>
        <w:bottom w:val="none" w:sz="0" w:space="0" w:color="auto"/>
        <w:right w:val="none" w:sz="0" w:space="0" w:color="auto"/>
      </w:divBdr>
    </w:div>
    <w:div w:id="437023471">
      <w:bodyDiv w:val="1"/>
      <w:marLeft w:val="0"/>
      <w:marRight w:val="0"/>
      <w:marTop w:val="0"/>
      <w:marBottom w:val="0"/>
      <w:divBdr>
        <w:top w:val="none" w:sz="0" w:space="0" w:color="auto"/>
        <w:left w:val="none" w:sz="0" w:space="0" w:color="auto"/>
        <w:bottom w:val="none" w:sz="0" w:space="0" w:color="auto"/>
        <w:right w:val="none" w:sz="0" w:space="0" w:color="auto"/>
      </w:divBdr>
    </w:div>
    <w:div w:id="446051237">
      <w:bodyDiv w:val="1"/>
      <w:marLeft w:val="0"/>
      <w:marRight w:val="0"/>
      <w:marTop w:val="0"/>
      <w:marBottom w:val="0"/>
      <w:divBdr>
        <w:top w:val="none" w:sz="0" w:space="0" w:color="auto"/>
        <w:left w:val="none" w:sz="0" w:space="0" w:color="auto"/>
        <w:bottom w:val="none" w:sz="0" w:space="0" w:color="auto"/>
        <w:right w:val="none" w:sz="0" w:space="0" w:color="auto"/>
      </w:divBdr>
    </w:div>
    <w:div w:id="446588933">
      <w:bodyDiv w:val="1"/>
      <w:marLeft w:val="0"/>
      <w:marRight w:val="0"/>
      <w:marTop w:val="0"/>
      <w:marBottom w:val="0"/>
      <w:divBdr>
        <w:top w:val="none" w:sz="0" w:space="0" w:color="auto"/>
        <w:left w:val="none" w:sz="0" w:space="0" w:color="auto"/>
        <w:bottom w:val="none" w:sz="0" w:space="0" w:color="auto"/>
        <w:right w:val="none" w:sz="0" w:space="0" w:color="auto"/>
      </w:divBdr>
    </w:div>
    <w:div w:id="447898210">
      <w:bodyDiv w:val="1"/>
      <w:marLeft w:val="0"/>
      <w:marRight w:val="0"/>
      <w:marTop w:val="0"/>
      <w:marBottom w:val="0"/>
      <w:divBdr>
        <w:top w:val="none" w:sz="0" w:space="0" w:color="auto"/>
        <w:left w:val="none" w:sz="0" w:space="0" w:color="auto"/>
        <w:bottom w:val="none" w:sz="0" w:space="0" w:color="auto"/>
        <w:right w:val="none" w:sz="0" w:space="0" w:color="auto"/>
      </w:divBdr>
    </w:div>
    <w:div w:id="448278507">
      <w:bodyDiv w:val="1"/>
      <w:marLeft w:val="0"/>
      <w:marRight w:val="0"/>
      <w:marTop w:val="0"/>
      <w:marBottom w:val="0"/>
      <w:divBdr>
        <w:top w:val="none" w:sz="0" w:space="0" w:color="auto"/>
        <w:left w:val="none" w:sz="0" w:space="0" w:color="auto"/>
        <w:bottom w:val="none" w:sz="0" w:space="0" w:color="auto"/>
        <w:right w:val="none" w:sz="0" w:space="0" w:color="auto"/>
      </w:divBdr>
    </w:div>
    <w:div w:id="472865913">
      <w:bodyDiv w:val="1"/>
      <w:marLeft w:val="0"/>
      <w:marRight w:val="0"/>
      <w:marTop w:val="0"/>
      <w:marBottom w:val="0"/>
      <w:divBdr>
        <w:top w:val="none" w:sz="0" w:space="0" w:color="auto"/>
        <w:left w:val="none" w:sz="0" w:space="0" w:color="auto"/>
        <w:bottom w:val="none" w:sz="0" w:space="0" w:color="auto"/>
        <w:right w:val="none" w:sz="0" w:space="0" w:color="auto"/>
      </w:divBdr>
    </w:div>
    <w:div w:id="483399260">
      <w:bodyDiv w:val="1"/>
      <w:marLeft w:val="0"/>
      <w:marRight w:val="0"/>
      <w:marTop w:val="0"/>
      <w:marBottom w:val="0"/>
      <w:divBdr>
        <w:top w:val="none" w:sz="0" w:space="0" w:color="auto"/>
        <w:left w:val="none" w:sz="0" w:space="0" w:color="auto"/>
        <w:bottom w:val="none" w:sz="0" w:space="0" w:color="auto"/>
        <w:right w:val="none" w:sz="0" w:space="0" w:color="auto"/>
      </w:divBdr>
    </w:div>
    <w:div w:id="487789847">
      <w:bodyDiv w:val="1"/>
      <w:marLeft w:val="0"/>
      <w:marRight w:val="0"/>
      <w:marTop w:val="0"/>
      <w:marBottom w:val="0"/>
      <w:divBdr>
        <w:top w:val="none" w:sz="0" w:space="0" w:color="auto"/>
        <w:left w:val="none" w:sz="0" w:space="0" w:color="auto"/>
        <w:bottom w:val="none" w:sz="0" w:space="0" w:color="auto"/>
        <w:right w:val="none" w:sz="0" w:space="0" w:color="auto"/>
      </w:divBdr>
    </w:div>
    <w:div w:id="490026658">
      <w:bodyDiv w:val="1"/>
      <w:marLeft w:val="0"/>
      <w:marRight w:val="0"/>
      <w:marTop w:val="0"/>
      <w:marBottom w:val="0"/>
      <w:divBdr>
        <w:top w:val="none" w:sz="0" w:space="0" w:color="auto"/>
        <w:left w:val="none" w:sz="0" w:space="0" w:color="auto"/>
        <w:bottom w:val="none" w:sz="0" w:space="0" w:color="auto"/>
        <w:right w:val="none" w:sz="0" w:space="0" w:color="auto"/>
      </w:divBdr>
    </w:div>
    <w:div w:id="496729175">
      <w:bodyDiv w:val="1"/>
      <w:marLeft w:val="0"/>
      <w:marRight w:val="0"/>
      <w:marTop w:val="0"/>
      <w:marBottom w:val="0"/>
      <w:divBdr>
        <w:top w:val="none" w:sz="0" w:space="0" w:color="auto"/>
        <w:left w:val="none" w:sz="0" w:space="0" w:color="auto"/>
        <w:bottom w:val="none" w:sz="0" w:space="0" w:color="auto"/>
        <w:right w:val="none" w:sz="0" w:space="0" w:color="auto"/>
      </w:divBdr>
    </w:div>
    <w:div w:id="505823717">
      <w:bodyDiv w:val="1"/>
      <w:marLeft w:val="0"/>
      <w:marRight w:val="0"/>
      <w:marTop w:val="0"/>
      <w:marBottom w:val="0"/>
      <w:divBdr>
        <w:top w:val="none" w:sz="0" w:space="0" w:color="auto"/>
        <w:left w:val="none" w:sz="0" w:space="0" w:color="auto"/>
        <w:bottom w:val="none" w:sz="0" w:space="0" w:color="auto"/>
        <w:right w:val="none" w:sz="0" w:space="0" w:color="auto"/>
      </w:divBdr>
    </w:div>
    <w:div w:id="513498414">
      <w:bodyDiv w:val="1"/>
      <w:marLeft w:val="0"/>
      <w:marRight w:val="0"/>
      <w:marTop w:val="0"/>
      <w:marBottom w:val="0"/>
      <w:divBdr>
        <w:top w:val="none" w:sz="0" w:space="0" w:color="auto"/>
        <w:left w:val="none" w:sz="0" w:space="0" w:color="auto"/>
        <w:bottom w:val="none" w:sz="0" w:space="0" w:color="auto"/>
        <w:right w:val="none" w:sz="0" w:space="0" w:color="auto"/>
      </w:divBdr>
    </w:div>
    <w:div w:id="526335802">
      <w:bodyDiv w:val="1"/>
      <w:marLeft w:val="0"/>
      <w:marRight w:val="0"/>
      <w:marTop w:val="0"/>
      <w:marBottom w:val="0"/>
      <w:divBdr>
        <w:top w:val="none" w:sz="0" w:space="0" w:color="auto"/>
        <w:left w:val="none" w:sz="0" w:space="0" w:color="auto"/>
        <w:bottom w:val="none" w:sz="0" w:space="0" w:color="auto"/>
        <w:right w:val="none" w:sz="0" w:space="0" w:color="auto"/>
      </w:divBdr>
    </w:div>
    <w:div w:id="559444104">
      <w:bodyDiv w:val="1"/>
      <w:marLeft w:val="0"/>
      <w:marRight w:val="0"/>
      <w:marTop w:val="0"/>
      <w:marBottom w:val="0"/>
      <w:divBdr>
        <w:top w:val="none" w:sz="0" w:space="0" w:color="auto"/>
        <w:left w:val="none" w:sz="0" w:space="0" w:color="auto"/>
        <w:bottom w:val="none" w:sz="0" w:space="0" w:color="auto"/>
        <w:right w:val="none" w:sz="0" w:space="0" w:color="auto"/>
      </w:divBdr>
    </w:div>
    <w:div w:id="564800579">
      <w:bodyDiv w:val="1"/>
      <w:marLeft w:val="0"/>
      <w:marRight w:val="0"/>
      <w:marTop w:val="0"/>
      <w:marBottom w:val="0"/>
      <w:divBdr>
        <w:top w:val="none" w:sz="0" w:space="0" w:color="auto"/>
        <w:left w:val="none" w:sz="0" w:space="0" w:color="auto"/>
        <w:bottom w:val="none" w:sz="0" w:space="0" w:color="auto"/>
        <w:right w:val="none" w:sz="0" w:space="0" w:color="auto"/>
      </w:divBdr>
    </w:div>
    <w:div w:id="567957662">
      <w:bodyDiv w:val="1"/>
      <w:marLeft w:val="0"/>
      <w:marRight w:val="0"/>
      <w:marTop w:val="0"/>
      <w:marBottom w:val="0"/>
      <w:divBdr>
        <w:top w:val="none" w:sz="0" w:space="0" w:color="auto"/>
        <w:left w:val="none" w:sz="0" w:space="0" w:color="auto"/>
        <w:bottom w:val="none" w:sz="0" w:space="0" w:color="auto"/>
        <w:right w:val="none" w:sz="0" w:space="0" w:color="auto"/>
      </w:divBdr>
    </w:div>
    <w:div w:id="575751705">
      <w:bodyDiv w:val="1"/>
      <w:marLeft w:val="0"/>
      <w:marRight w:val="0"/>
      <w:marTop w:val="0"/>
      <w:marBottom w:val="0"/>
      <w:divBdr>
        <w:top w:val="none" w:sz="0" w:space="0" w:color="auto"/>
        <w:left w:val="none" w:sz="0" w:space="0" w:color="auto"/>
        <w:bottom w:val="none" w:sz="0" w:space="0" w:color="auto"/>
        <w:right w:val="none" w:sz="0" w:space="0" w:color="auto"/>
      </w:divBdr>
    </w:div>
    <w:div w:id="576478027">
      <w:bodyDiv w:val="1"/>
      <w:marLeft w:val="0"/>
      <w:marRight w:val="0"/>
      <w:marTop w:val="0"/>
      <w:marBottom w:val="0"/>
      <w:divBdr>
        <w:top w:val="none" w:sz="0" w:space="0" w:color="auto"/>
        <w:left w:val="none" w:sz="0" w:space="0" w:color="auto"/>
        <w:bottom w:val="none" w:sz="0" w:space="0" w:color="auto"/>
        <w:right w:val="none" w:sz="0" w:space="0" w:color="auto"/>
      </w:divBdr>
    </w:div>
    <w:div w:id="578446091">
      <w:bodyDiv w:val="1"/>
      <w:marLeft w:val="0"/>
      <w:marRight w:val="0"/>
      <w:marTop w:val="0"/>
      <w:marBottom w:val="0"/>
      <w:divBdr>
        <w:top w:val="none" w:sz="0" w:space="0" w:color="auto"/>
        <w:left w:val="none" w:sz="0" w:space="0" w:color="auto"/>
        <w:bottom w:val="none" w:sz="0" w:space="0" w:color="auto"/>
        <w:right w:val="none" w:sz="0" w:space="0" w:color="auto"/>
      </w:divBdr>
    </w:div>
    <w:div w:id="584412676">
      <w:bodyDiv w:val="1"/>
      <w:marLeft w:val="0"/>
      <w:marRight w:val="0"/>
      <w:marTop w:val="0"/>
      <w:marBottom w:val="0"/>
      <w:divBdr>
        <w:top w:val="none" w:sz="0" w:space="0" w:color="auto"/>
        <w:left w:val="none" w:sz="0" w:space="0" w:color="auto"/>
        <w:bottom w:val="none" w:sz="0" w:space="0" w:color="auto"/>
        <w:right w:val="none" w:sz="0" w:space="0" w:color="auto"/>
      </w:divBdr>
    </w:div>
    <w:div w:id="594676927">
      <w:bodyDiv w:val="1"/>
      <w:marLeft w:val="0"/>
      <w:marRight w:val="0"/>
      <w:marTop w:val="0"/>
      <w:marBottom w:val="0"/>
      <w:divBdr>
        <w:top w:val="none" w:sz="0" w:space="0" w:color="auto"/>
        <w:left w:val="none" w:sz="0" w:space="0" w:color="auto"/>
        <w:bottom w:val="none" w:sz="0" w:space="0" w:color="auto"/>
        <w:right w:val="none" w:sz="0" w:space="0" w:color="auto"/>
      </w:divBdr>
    </w:div>
    <w:div w:id="614680381">
      <w:bodyDiv w:val="1"/>
      <w:marLeft w:val="0"/>
      <w:marRight w:val="0"/>
      <w:marTop w:val="0"/>
      <w:marBottom w:val="0"/>
      <w:divBdr>
        <w:top w:val="none" w:sz="0" w:space="0" w:color="auto"/>
        <w:left w:val="none" w:sz="0" w:space="0" w:color="auto"/>
        <w:bottom w:val="none" w:sz="0" w:space="0" w:color="auto"/>
        <w:right w:val="none" w:sz="0" w:space="0" w:color="auto"/>
      </w:divBdr>
    </w:div>
    <w:div w:id="617684476">
      <w:bodyDiv w:val="1"/>
      <w:marLeft w:val="0"/>
      <w:marRight w:val="0"/>
      <w:marTop w:val="0"/>
      <w:marBottom w:val="0"/>
      <w:divBdr>
        <w:top w:val="none" w:sz="0" w:space="0" w:color="auto"/>
        <w:left w:val="none" w:sz="0" w:space="0" w:color="auto"/>
        <w:bottom w:val="none" w:sz="0" w:space="0" w:color="auto"/>
        <w:right w:val="none" w:sz="0" w:space="0" w:color="auto"/>
      </w:divBdr>
    </w:div>
    <w:div w:id="619842485">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857791">
      <w:bodyDiv w:val="1"/>
      <w:marLeft w:val="0"/>
      <w:marRight w:val="0"/>
      <w:marTop w:val="0"/>
      <w:marBottom w:val="0"/>
      <w:divBdr>
        <w:top w:val="none" w:sz="0" w:space="0" w:color="auto"/>
        <w:left w:val="none" w:sz="0" w:space="0" w:color="auto"/>
        <w:bottom w:val="none" w:sz="0" w:space="0" w:color="auto"/>
        <w:right w:val="none" w:sz="0" w:space="0" w:color="auto"/>
      </w:divBdr>
    </w:div>
    <w:div w:id="628511156">
      <w:bodyDiv w:val="1"/>
      <w:marLeft w:val="0"/>
      <w:marRight w:val="0"/>
      <w:marTop w:val="0"/>
      <w:marBottom w:val="0"/>
      <w:divBdr>
        <w:top w:val="none" w:sz="0" w:space="0" w:color="auto"/>
        <w:left w:val="none" w:sz="0" w:space="0" w:color="auto"/>
        <w:bottom w:val="none" w:sz="0" w:space="0" w:color="auto"/>
        <w:right w:val="none" w:sz="0" w:space="0" w:color="auto"/>
      </w:divBdr>
    </w:div>
    <w:div w:id="640499542">
      <w:bodyDiv w:val="1"/>
      <w:marLeft w:val="0"/>
      <w:marRight w:val="0"/>
      <w:marTop w:val="0"/>
      <w:marBottom w:val="0"/>
      <w:divBdr>
        <w:top w:val="none" w:sz="0" w:space="0" w:color="auto"/>
        <w:left w:val="none" w:sz="0" w:space="0" w:color="auto"/>
        <w:bottom w:val="none" w:sz="0" w:space="0" w:color="auto"/>
        <w:right w:val="none" w:sz="0" w:space="0" w:color="auto"/>
      </w:divBdr>
    </w:div>
    <w:div w:id="641732677">
      <w:bodyDiv w:val="1"/>
      <w:marLeft w:val="0"/>
      <w:marRight w:val="0"/>
      <w:marTop w:val="0"/>
      <w:marBottom w:val="0"/>
      <w:divBdr>
        <w:top w:val="none" w:sz="0" w:space="0" w:color="auto"/>
        <w:left w:val="none" w:sz="0" w:space="0" w:color="auto"/>
        <w:bottom w:val="none" w:sz="0" w:space="0" w:color="auto"/>
        <w:right w:val="none" w:sz="0" w:space="0" w:color="auto"/>
      </w:divBdr>
    </w:div>
    <w:div w:id="664161766">
      <w:bodyDiv w:val="1"/>
      <w:marLeft w:val="0"/>
      <w:marRight w:val="0"/>
      <w:marTop w:val="0"/>
      <w:marBottom w:val="0"/>
      <w:divBdr>
        <w:top w:val="none" w:sz="0" w:space="0" w:color="auto"/>
        <w:left w:val="none" w:sz="0" w:space="0" w:color="auto"/>
        <w:bottom w:val="none" w:sz="0" w:space="0" w:color="auto"/>
        <w:right w:val="none" w:sz="0" w:space="0" w:color="auto"/>
      </w:divBdr>
    </w:div>
    <w:div w:id="664937250">
      <w:bodyDiv w:val="1"/>
      <w:marLeft w:val="0"/>
      <w:marRight w:val="0"/>
      <w:marTop w:val="0"/>
      <w:marBottom w:val="0"/>
      <w:divBdr>
        <w:top w:val="none" w:sz="0" w:space="0" w:color="auto"/>
        <w:left w:val="none" w:sz="0" w:space="0" w:color="auto"/>
        <w:bottom w:val="none" w:sz="0" w:space="0" w:color="auto"/>
        <w:right w:val="none" w:sz="0" w:space="0" w:color="auto"/>
      </w:divBdr>
    </w:div>
    <w:div w:id="671949397">
      <w:bodyDiv w:val="1"/>
      <w:marLeft w:val="0"/>
      <w:marRight w:val="0"/>
      <w:marTop w:val="0"/>
      <w:marBottom w:val="0"/>
      <w:divBdr>
        <w:top w:val="none" w:sz="0" w:space="0" w:color="auto"/>
        <w:left w:val="none" w:sz="0" w:space="0" w:color="auto"/>
        <w:bottom w:val="none" w:sz="0" w:space="0" w:color="auto"/>
        <w:right w:val="none" w:sz="0" w:space="0" w:color="auto"/>
      </w:divBdr>
    </w:div>
    <w:div w:id="672030945">
      <w:bodyDiv w:val="1"/>
      <w:marLeft w:val="0"/>
      <w:marRight w:val="0"/>
      <w:marTop w:val="0"/>
      <w:marBottom w:val="0"/>
      <w:divBdr>
        <w:top w:val="none" w:sz="0" w:space="0" w:color="auto"/>
        <w:left w:val="none" w:sz="0" w:space="0" w:color="auto"/>
        <w:bottom w:val="none" w:sz="0" w:space="0" w:color="auto"/>
        <w:right w:val="none" w:sz="0" w:space="0" w:color="auto"/>
      </w:divBdr>
    </w:div>
    <w:div w:id="694041308">
      <w:bodyDiv w:val="1"/>
      <w:marLeft w:val="0"/>
      <w:marRight w:val="0"/>
      <w:marTop w:val="0"/>
      <w:marBottom w:val="0"/>
      <w:divBdr>
        <w:top w:val="none" w:sz="0" w:space="0" w:color="auto"/>
        <w:left w:val="none" w:sz="0" w:space="0" w:color="auto"/>
        <w:bottom w:val="none" w:sz="0" w:space="0" w:color="auto"/>
        <w:right w:val="none" w:sz="0" w:space="0" w:color="auto"/>
      </w:divBdr>
    </w:div>
    <w:div w:id="702750194">
      <w:bodyDiv w:val="1"/>
      <w:marLeft w:val="0"/>
      <w:marRight w:val="0"/>
      <w:marTop w:val="0"/>
      <w:marBottom w:val="0"/>
      <w:divBdr>
        <w:top w:val="none" w:sz="0" w:space="0" w:color="auto"/>
        <w:left w:val="none" w:sz="0" w:space="0" w:color="auto"/>
        <w:bottom w:val="none" w:sz="0" w:space="0" w:color="auto"/>
        <w:right w:val="none" w:sz="0" w:space="0" w:color="auto"/>
      </w:divBdr>
    </w:div>
    <w:div w:id="733743352">
      <w:bodyDiv w:val="1"/>
      <w:marLeft w:val="0"/>
      <w:marRight w:val="0"/>
      <w:marTop w:val="0"/>
      <w:marBottom w:val="0"/>
      <w:divBdr>
        <w:top w:val="none" w:sz="0" w:space="0" w:color="auto"/>
        <w:left w:val="none" w:sz="0" w:space="0" w:color="auto"/>
        <w:bottom w:val="none" w:sz="0" w:space="0" w:color="auto"/>
        <w:right w:val="none" w:sz="0" w:space="0" w:color="auto"/>
      </w:divBdr>
    </w:div>
    <w:div w:id="734157753">
      <w:bodyDiv w:val="1"/>
      <w:marLeft w:val="0"/>
      <w:marRight w:val="0"/>
      <w:marTop w:val="0"/>
      <w:marBottom w:val="0"/>
      <w:divBdr>
        <w:top w:val="none" w:sz="0" w:space="0" w:color="auto"/>
        <w:left w:val="none" w:sz="0" w:space="0" w:color="auto"/>
        <w:bottom w:val="none" w:sz="0" w:space="0" w:color="auto"/>
        <w:right w:val="none" w:sz="0" w:space="0" w:color="auto"/>
      </w:divBdr>
    </w:div>
    <w:div w:id="740099165">
      <w:bodyDiv w:val="1"/>
      <w:marLeft w:val="0"/>
      <w:marRight w:val="0"/>
      <w:marTop w:val="0"/>
      <w:marBottom w:val="0"/>
      <w:divBdr>
        <w:top w:val="none" w:sz="0" w:space="0" w:color="auto"/>
        <w:left w:val="none" w:sz="0" w:space="0" w:color="auto"/>
        <w:bottom w:val="none" w:sz="0" w:space="0" w:color="auto"/>
        <w:right w:val="none" w:sz="0" w:space="0" w:color="auto"/>
      </w:divBdr>
    </w:div>
    <w:div w:id="748233986">
      <w:bodyDiv w:val="1"/>
      <w:marLeft w:val="0"/>
      <w:marRight w:val="0"/>
      <w:marTop w:val="0"/>
      <w:marBottom w:val="0"/>
      <w:divBdr>
        <w:top w:val="none" w:sz="0" w:space="0" w:color="auto"/>
        <w:left w:val="none" w:sz="0" w:space="0" w:color="auto"/>
        <w:bottom w:val="none" w:sz="0" w:space="0" w:color="auto"/>
        <w:right w:val="none" w:sz="0" w:space="0" w:color="auto"/>
      </w:divBdr>
    </w:div>
    <w:div w:id="755782581">
      <w:bodyDiv w:val="1"/>
      <w:marLeft w:val="0"/>
      <w:marRight w:val="0"/>
      <w:marTop w:val="0"/>
      <w:marBottom w:val="0"/>
      <w:divBdr>
        <w:top w:val="none" w:sz="0" w:space="0" w:color="auto"/>
        <w:left w:val="none" w:sz="0" w:space="0" w:color="auto"/>
        <w:bottom w:val="none" w:sz="0" w:space="0" w:color="auto"/>
        <w:right w:val="none" w:sz="0" w:space="0" w:color="auto"/>
      </w:divBdr>
    </w:div>
    <w:div w:id="793334052">
      <w:bodyDiv w:val="1"/>
      <w:marLeft w:val="0"/>
      <w:marRight w:val="0"/>
      <w:marTop w:val="0"/>
      <w:marBottom w:val="0"/>
      <w:divBdr>
        <w:top w:val="none" w:sz="0" w:space="0" w:color="auto"/>
        <w:left w:val="none" w:sz="0" w:space="0" w:color="auto"/>
        <w:bottom w:val="none" w:sz="0" w:space="0" w:color="auto"/>
        <w:right w:val="none" w:sz="0" w:space="0" w:color="auto"/>
      </w:divBdr>
    </w:div>
    <w:div w:id="824662470">
      <w:bodyDiv w:val="1"/>
      <w:marLeft w:val="0"/>
      <w:marRight w:val="0"/>
      <w:marTop w:val="0"/>
      <w:marBottom w:val="0"/>
      <w:divBdr>
        <w:top w:val="none" w:sz="0" w:space="0" w:color="auto"/>
        <w:left w:val="none" w:sz="0" w:space="0" w:color="auto"/>
        <w:bottom w:val="none" w:sz="0" w:space="0" w:color="auto"/>
        <w:right w:val="none" w:sz="0" w:space="0" w:color="auto"/>
      </w:divBdr>
    </w:div>
    <w:div w:id="835414343">
      <w:bodyDiv w:val="1"/>
      <w:marLeft w:val="0"/>
      <w:marRight w:val="0"/>
      <w:marTop w:val="0"/>
      <w:marBottom w:val="0"/>
      <w:divBdr>
        <w:top w:val="none" w:sz="0" w:space="0" w:color="auto"/>
        <w:left w:val="none" w:sz="0" w:space="0" w:color="auto"/>
        <w:bottom w:val="none" w:sz="0" w:space="0" w:color="auto"/>
        <w:right w:val="none" w:sz="0" w:space="0" w:color="auto"/>
      </w:divBdr>
    </w:div>
    <w:div w:id="862130959">
      <w:bodyDiv w:val="1"/>
      <w:marLeft w:val="0"/>
      <w:marRight w:val="0"/>
      <w:marTop w:val="0"/>
      <w:marBottom w:val="0"/>
      <w:divBdr>
        <w:top w:val="none" w:sz="0" w:space="0" w:color="auto"/>
        <w:left w:val="none" w:sz="0" w:space="0" w:color="auto"/>
        <w:bottom w:val="none" w:sz="0" w:space="0" w:color="auto"/>
        <w:right w:val="none" w:sz="0" w:space="0" w:color="auto"/>
      </w:divBdr>
    </w:div>
    <w:div w:id="862549959">
      <w:bodyDiv w:val="1"/>
      <w:marLeft w:val="0"/>
      <w:marRight w:val="0"/>
      <w:marTop w:val="0"/>
      <w:marBottom w:val="0"/>
      <w:divBdr>
        <w:top w:val="none" w:sz="0" w:space="0" w:color="auto"/>
        <w:left w:val="none" w:sz="0" w:space="0" w:color="auto"/>
        <w:bottom w:val="none" w:sz="0" w:space="0" w:color="auto"/>
        <w:right w:val="none" w:sz="0" w:space="0" w:color="auto"/>
      </w:divBdr>
    </w:div>
    <w:div w:id="865601858">
      <w:bodyDiv w:val="1"/>
      <w:marLeft w:val="0"/>
      <w:marRight w:val="0"/>
      <w:marTop w:val="0"/>
      <w:marBottom w:val="0"/>
      <w:divBdr>
        <w:top w:val="none" w:sz="0" w:space="0" w:color="auto"/>
        <w:left w:val="none" w:sz="0" w:space="0" w:color="auto"/>
        <w:bottom w:val="none" w:sz="0" w:space="0" w:color="auto"/>
        <w:right w:val="none" w:sz="0" w:space="0" w:color="auto"/>
      </w:divBdr>
    </w:div>
    <w:div w:id="869538516">
      <w:bodyDiv w:val="1"/>
      <w:marLeft w:val="0"/>
      <w:marRight w:val="0"/>
      <w:marTop w:val="0"/>
      <w:marBottom w:val="0"/>
      <w:divBdr>
        <w:top w:val="none" w:sz="0" w:space="0" w:color="auto"/>
        <w:left w:val="none" w:sz="0" w:space="0" w:color="auto"/>
        <w:bottom w:val="none" w:sz="0" w:space="0" w:color="auto"/>
        <w:right w:val="none" w:sz="0" w:space="0" w:color="auto"/>
      </w:divBdr>
    </w:div>
    <w:div w:id="876816188">
      <w:bodyDiv w:val="1"/>
      <w:marLeft w:val="0"/>
      <w:marRight w:val="0"/>
      <w:marTop w:val="0"/>
      <w:marBottom w:val="0"/>
      <w:divBdr>
        <w:top w:val="none" w:sz="0" w:space="0" w:color="auto"/>
        <w:left w:val="none" w:sz="0" w:space="0" w:color="auto"/>
        <w:bottom w:val="none" w:sz="0" w:space="0" w:color="auto"/>
        <w:right w:val="none" w:sz="0" w:space="0" w:color="auto"/>
      </w:divBdr>
    </w:div>
    <w:div w:id="878475563">
      <w:bodyDiv w:val="1"/>
      <w:marLeft w:val="0"/>
      <w:marRight w:val="0"/>
      <w:marTop w:val="0"/>
      <w:marBottom w:val="0"/>
      <w:divBdr>
        <w:top w:val="none" w:sz="0" w:space="0" w:color="auto"/>
        <w:left w:val="none" w:sz="0" w:space="0" w:color="auto"/>
        <w:bottom w:val="none" w:sz="0" w:space="0" w:color="auto"/>
        <w:right w:val="none" w:sz="0" w:space="0" w:color="auto"/>
      </w:divBdr>
    </w:div>
    <w:div w:id="887954022">
      <w:bodyDiv w:val="1"/>
      <w:marLeft w:val="0"/>
      <w:marRight w:val="0"/>
      <w:marTop w:val="0"/>
      <w:marBottom w:val="0"/>
      <w:divBdr>
        <w:top w:val="none" w:sz="0" w:space="0" w:color="auto"/>
        <w:left w:val="none" w:sz="0" w:space="0" w:color="auto"/>
        <w:bottom w:val="none" w:sz="0" w:space="0" w:color="auto"/>
        <w:right w:val="none" w:sz="0" w:space="0" w:color="auto"/>
      </w:divBdr>
    </w:div>
    <w:div w:id="892471802">
      <w:bodyDiv w:val="1"/>
      <w:marLeft w:val="0"/>
      <w:marRight w:val="0"/>
      <w:marTop w:val="0"/>
      <w:marBottom w:val="0"/>
      <w:divBdr>
        <w:top w:val="none" w:sz="0" w:space="0" w:color="auto"/>
        <w:left w:val="none" w:sz="0" w:space="0" w:color="auto"/>
        <w:bottom w:val="none" w:sz="0" w:space="0" w:color="auto"/>
        <w:right w:val="none" w:sz="0" w:space="0" w:color="auto"/>
      </w:divBdr>
    </w:div>
    <w:div w:id="904605537">
      <w:bodyDiv w:val="1"/>
      <w:marLeft w:val="0"/>
      <w:marRight w:val="0"/>
      <w:marTop w:val="0"/>
      <w:marBottom w:val="0"/>
      <w:divBdr>
        <w:top w:val="none" w:sz="0" w:space="0" w:color="auto"/>
        <w:left w:val="none" w:sz="0" w:space="0" w:color="auto"/>
        <w:bottom w:val="none" w:sz="0" w:space="0" w:color="auto"/>
        <w:right w:val="none" w:sz="0" w:space="0" w:color="auto"/>
      </w:divBdr>
    </w:div>
    <w:div w:id="904880512">
      <w:bodyDiv w:val="1"/>
      <w:marLeft w:val="0"/>
      <w:marRight w:val="0"/>
      <w:marTop w:val="0"/>
      <w:marBottom w:val="0"/>
      <w:divBdr>
        <w:top w:val="none" w:sz="0" w:space="0" w:color="auto"/>
        <w:left w:val="none" w:sz="0" w:space="0" w:color="auto"/>
        <w:bottom w:val="none" w:sz="0" w:space="0" w:color="auto"/>
        <w:right w:val="none" w:sz="0" w:space="0" w:color="auto"/>
      </w:divBdr>
    </w:div>
    <w:div w:id="929004492">
      <w:bodyDiv w:val="1"/>
      <w:marLeft w:val="0"/>
      <w:marRight w:val="0"/>
      <w:marTop w:val="0"/>
      <w:marBottom w:val="0"/>
      <w:divBdr>
        <w:top w:val="none" w:sz="0" w:space="0" w:color="auto"/>
        <w:left w:val="none" w:sz="0" w:space="0" w:color="auto"/>
        <w:bottom w:val="none" w:sz="0" w:space="0" w:color="auto"/>
        <w:right w:val="none" w:sz="0" w:space="0" w:color="auto"/>
      </w:divBdr>
    </w:div>
    <w:div w:id="957299510">
      <w:bodyDiv w:val="1"/>
      <w:marLeft w:val="0"/>
      <w:marRight w:val="0"/>
      <w:marTop w:val="0"/>
      <w:marBottom w:val="0"/>
      <w:divBdr>
        <w:top w:val="none" w:sz="0" w:space="0" w:color="auto"/>
        <w:left w:val="none" w:sz="0" w:space="0" w:color="auto"/>
        <w:bottom w:val="none" w:sz="0" w:space="0" w:color="auto"/>
        <w:right w:val="none" w:sz="0" w:space="0" w:color="auto"/>
      </w:divBdr>
    </w:div>
    <w:div w:id="957562668">
      <w:bodyDiv w:val="1"/>
      <w:marLeft w:val="0"/>
      <w:marRight w:val="0"/>
      <w:marTop w:val="0"/>
      <w:marBottom w:val="0"/>
      <w:divBdr>
        <w:top w:val="none" w:sz="0" w:space="0" w:color="auto"/>
        <w:left w:val="none" w:sz="0" w:space="0" w:color="auto"/>
        <w:bottom w:val="none" w:sz="0" w:space="0" w:color="auto"/>
        <w:right w:val="none" w:sz="0" w:space="0" w:color="auto"/>
      </w:divBdr>
    </w:div>
    <w:div w:id="958298708">
      <w:bodyDiv w:val="1"/>
      <w:marLeft w:val="0"/>
      <w:marRight w:val="0"/>
      <w:marTop w:val="0"/>
      <w:marBottom w:val="0"/>
      <w:divBdr>
        <w:top w:val="none" w:sz="0" w:space="0" w:color="auto"/>
        <w:left w:val="none" w:sz="0" w:space="0" w:color="auto"/>
        <w:bottom w:val="none" w:sz="0" w:space="0" w:color="auto"/>
        <w:right w:val="none" w:sz="0" w:space="0" w:color="auto"/>
      </w:divBdr>
    </w:div>
    <w:div w:id="959263204">
      <w:bodyDiv w:val="1"/>
      <w:marLeft w:val="0"/>
      <w:marRight w:val="0"/>
      <w:marTop w:val="0"/>
      <w:marBottom w:val="0"/>
      <w:divBdr>
        <w:top w:val="none" w:sz="0" w:space="0" w:color="auto"/>
        <w:left w:val="none" w:sz="0" w:space="0" w:color="auto"/>
        <w:bottom w:val="none" w:sz="0" w:space="0" w:color="auto"/>
        <w:right w:val="none" w:sz="0" w:space="0" w:color="auto"/>
      </w:divBdr>
    </w:div>
    <w:div w:id="962463059">
      <w:bodyDiv w:val="1"/>
      <w:marLeft w:val="0"/>
      <w:marRight w:val="0"/>
      <w:marTop w:val="0"/>
      <w:marBottom w:val="0"/>
      <w:divBdr>
        <w:top w:val="none" w:sz="0" w:space="0" w:color="auto"/>
        <w:left w:val="none" w:sz="0" w:space="0" w:color="auto"/>
        <w:bottom w:val="none" w:sz="0" w:space="0" w:color="auto"/>
        <w:right w:val="none" w:sz="0" w:space="0" w:color="auto"/>
      </w:divBdr>
    </w:div>
    <w:div w:id="962660655">
      <w:bodyDiv w:val="1"/>
      <w:marLeft w:val="0"/>
      <w:marRight w:val="0"/>
      <w:marTop w:val="0"/>
      <w:marBottom w:val="0"/>
      <w:divBdr>
        <w:top w:val="none" w:sz="0" w:space="0" w:color="auto"/>
        <w:left w:val="none" w:sz="0" w:space="0" w:color="auto"/>
        <w:bottom w:val="none" w:sz="0" w:space="0" w:color="auto"/>
        <w:right w:val="none" w:sz="0" w:space="0" w:color="auto"/>
      </w:divBdr>
    </w:div>
    <w:div w:id="971908854">
      <w:bodyDiv w:val="1"/>
      <w:marLeft w:val="0"/>
      <w:marRight w:val="0"/>
      <w:marTop w:val="0"/>
      <w:marBottom w:val="0"/>
      <w:divBdr>
        <w:top w:val="none" w:sz="0" w:space="0" w:color="auto"/>
        <w:left w:val="none" w:sz="0" w:space="0" w:color="auto"/>
        <w:bottom w:val="none" w:sz="0" w:space="0" w:color="auto"/>
        <w:right w:val="none" w:sz="0" w:space="0" w:color="auto"/>
      </w:divBdr>
    </w:div>
    <w:div w:id="979960566">
      <w:bodyDiv w:val="1"/>
      <w:marLeft w:val="0"/>
      <w:marRight w:val="0"/>
      <w:marTop w:val="0"/>
      <w:marBottom w:val="0"/>
      <w:divBdr>
        <w:top w:val="none" w:sz="0" w:space="0" w:color="auto"/>
        <w:left w:val="none" w:sz="0" w:space="0" w:color="auto"/>
        <w:bottom w:val="none" w:sz="0" w:space="0" w:color="auto"/>
        <w:right w:val="none" w:sz="0" w:space="0" w:color="auto"/>
      </w:divBdr>
    </w:div>
    <w:div w:id="983117285">
      <w:bodyDiv w:val="1"/>
      <w:marLeft w:val="0"/>
      <w:marRight w:val="0"/>
      <w:marTop w:val="0"/>
      <w:marBottom w:val="0"/>
      <w:divBdr>
        <w:top w:val="none" w:sz="0" w:space="0" w:color="auto"/>
        <w:left w:val="none" w:sz="0" w:space="0" w:color="auto"/>
        <w:bottom w:val="none" w:sz="0" w:space="0" w:color="auto"/>
        <w:right w:val="none" w:sz="0" w:space="0" w:color="auto"/>
      </w:divBdr>
    </w:div>
    <w:div w:id="990672591">
      <w:bodyDiv w:val="1"/>
      <w:marLeft w:val="0"/>
      <w:marRight w:val="0"/>
      <w:marTop w:val="0"/>
      <w:marBottom w:val="0"/>
      <w:divBdr>
        <w:top w:val="none" w:sz="0" w:space="0" w:color="auto"/>
        <w:left w:val="none" w:sz="0" w:space="0" w:color="auto"/>
        <w:bottom w:val="none" w:sz="0" w:space="0" w:color="auto"/>
        <w:right w:val="none" w:sz="0" w:space="0" w:color="auto"/>
      </w:divBdr>
    </w:div>
    <w:div w:id="1002203160">
      <w:bodyDiv w:val="1"/>
      <w:marLeft w:val="0"/>
      <w:marRight w:val="0"/>
      <w:marTop w:val="0"/>
      <w:marBottom w:val="0"/>
      <w:divBdr>
        <w:top w:val="none" w:sz="0" w:space="0" w:color="auto"/>
        <w:left w:val="none" w:sz="0" w:space="0" w:color="auto"/>
        <w:bottom w:val="none" w:sz="0" w:space="0" w:color="auto"/>
        <w:right w:val="none" w:sz="0" w:space="0" w:color="auto"/>
      </w:divBdr>
    </w:div>
    <w:div w:id="1018508442">
      <w:bodyDiv w:val="1"/>
      <w:marLeft w:val="0"/>
      <w:marRight w:val="0"/>
      <w:marTop w:val="0"/>
      <w:marBottom w:val="0"/>
      <w:divBdr>
        <w:top w:val="none" w:sz="0" w:space="0" w:color="auto"/>
        <w:left w:val="none" w:sz="0" w:space="0" w:color="auto"/>
        <w:bottom w:val="none" w:sz="0" w:space="0" w:color="auto"/>
        <w:right w:val="none" w:sz="0" w:space="0" w:color="auto"/>
      </w:divBdr>
    </w:div>
    <w:div w:id="1018697994">
      <w:bodyDiv w:val="1"/>
      <w:marLeft w:val="0"/>
      <w:marRight w:val="0"/>
      <w:marTop w:val="0"/>
      <w:marBottom w:val="0"/>
      <w:divBdr>
        <w:top w:val="none" w:sz="0" w:space="0" w:color="auto"/>
        <w:left w:val="none" w:sz="0" w:space="0" w:color="auto"/>
        <w:bottom w:val="none" w:sz="0" w:space="0" w:color="auto"/>
        <w:right w:val="none" w:sz="0" w:space="0" w:color="auto"/>
      </w:divBdr>
    </w:div>
    <w:div w:id="1030911832">
      <w:bodyDiv w:val="1"/>
      <w:marLeft w:val="0"/>
      <w:marRight w:val="0"/>
      <w:marTop w:val="0"/>
      <w:marBottom w:val="0"/>
      <w:divBdr>
        <w:top w:val="none" w:sz="0" w:space="0" w:color="auto"/>
        <w:left w:val="none" w:sz="0" w:space="0" w:color="auto"/>
        <w:bottom w:val="none" w:sz="0" w:space="0" w:color="auto"/>
        <w:right w:val="none" w:sz="0" w:space="0" w:color="auto"/>
      </w:divBdr>
    </w:div>
    <w:div w:id="1046374292">
      <w:bodyDiv w:val="1"/>
      <w:marLeft w:val="0"/>
      <w:marRight w:val="0"/>
      <w:marTop w:val="0"/>
      <w:marBottom w:val="0"/>
      <w:divBdr>
        <w:top w:val="none" w:sz="0" w:space="0" w:color="auto"/>
        <w:left w:val="none" w:sz="0" w:space="0" w:color="auto"/>
        <w:bottom w:val="none" w:sz="0" w:space="0" w:color="auto"/>
        <w:right w:val="none" w:sz="0" w:space="0" w:color="auto"/>
      </w:divBdr>
    </w:div>
    <w:div w:id="1065643156">
      <w:bodyDiv w:val="1"/>
      <w:marLeft w:val="0"/>
      <w:marRight w:val="0"/>
      <w:marTop w:val="0"/>
      <w:marBottom w:val="0"/>
      <w:divBdr>
        <w:top w:val="none" w:sz="0" w:space="0" w:color="auto"/>
        <w:left w:val="none" w:sz="0" w:space="0" w:color="auto"/>
        <w:bottom w:val="none" w:sz="0" w:space="0" w:color="auto"/>
        <w:right w:val="none" w:sz="0" w:space="0" w:color="auto"/>
      </w:divBdr>
    </w:div>
    <w:div w:id="1070999868">
      <w:bodyDiv w:val="1"/>
      <w:marLeft w:val="0"/>
      <w:marRight w:val="0"/>
      <w:marTop w:val="0"/>
      <w:marBottom w:val="0"/>
      <w:divBdr>
        <w:top w:val="none" w:sz="0" w:space="0" w:color="auto"/>
        <w:left w:val="none" w:sz="0" w:space="0" w:color="auto"/>
        <w:bottom w:val="none" w:sz="0" w:space="0" w:color="auto"/>
        <w:right w:val="none" w:sz="0" w:space="0" w:color="auto"/>
      </w:divBdr>
    </w:div>
    <w:div w:id="1073970732">
      <w:bodyDiv w:val="1"/>
      <w:marLeft w:val="0"/>
      <w:marRight w:val="0"/>
      <w:marTop w:val="0"/>
      <w:marBottom w:val="0"/>
      <w:divBdr>
        <w:top w:val="none" w:sz="0" w:space="0" w:color="auto"/>
        <w:left w:val="none" w:sz="0" w:space="0" w:color="auto"/>
        <w:bottom w:val="none" w:sz="0" w:space="0" w:color="auto"/>
        <w:right w:val="none" w:sz="0" w:space="0" w:color="auto"/>
      </w:divBdr>
    </w:div>
    <w:div w:id="1080298564">
      <w:bodyDiv w:val="1"/>
      <w:marLeft w:val="0"/>
      <w:marRight w:val="0"/>
      <w:marTop w:val="0"/>
      <w:marBottom w:val="0"/>
      <w:divBdr>
        <w:top w:val="none" w:sz="0" w:space="0" w:color="auto"/>
        <w:left w:val="none" w:sz="0" w:space="0" w:color="auto"/>
        <w:bottom w:val="none" w:sz="0" w:space="0" w:color="auto"/>
        <w:right w:val="none" w:sz="0" w:space="0" w:color="auto"/>
      </w:divBdr>
    </w:div>
    <w:div w:id="1087386957">
      <w:bodyDiv w:val="1"/>
      <w:marLeft w:val="0"/>
      <w:marRight w:val="0"/>
      <w:marTop w:val="0"/>
      <w:marBottom w:val="0"/>
      <w:divBdr>
        <w:top w:val="none" w:sz="0" w:space="0" w:color="auto"/>
        <w:left w:val="none" w:sz="0" w:space="0" w:color="auto"/>
        <w:bottom w:val="none" w:sz="0" w:space="0" w:color="auto"/>
        <w:right w:val="none" w:sz="0" w:space="0" w:color="auto"/>
      </w:divBdr>
    </w:div>
    <w:div w:id="1093628530">
      <w:bodyDiv w:val="1"/>
      <w:marLeft w:val="0"/>
      <w:marRight w:val="0"/>
      <w:marTop w:val="0"/>
      <w:marBottom w:val="0"/>
      <w:divBdr>
        <w:top w:val="none" w:sz="0" w:space="0" w:color="auto"/>
        <w:left w:val="none" w:sz="0" w:space="0" w:color="auto"/>
        <w:bottom w:val="none" w:sz="0" w:space="0" w:color="auto"/>
        <w:right w:val="none" w:sz="0" w:space="0" w:color="auto"/>
      </w:divBdr>
    </w:div>
    <w:div w:id="1096561037">
      <w:bodyDiv w:val="1"/>
      <w:marLeft w:val="0"/>
      <w:marRight w:val="0"/>
      <w:marTop w:val="0"/>
      <w:marBottom w:val="0"/>
      <w:divBdr>
        <w:top w:val="none" w:sz="0" w:space="0" w:color="auto"/>
        <w:left w:val="none" w:sz="0" w:space="0" w:color="auto"/>
        <w:bottom w:val="none" w:sz="0" w:space="0" w:color="auto"/>
        <w:right w:val="none" w:sz="0" w:space="0" w:color="auto"/>
      </w:divBdr>
    </w:div>
    <w:div w:id="1113936031">
      <w:bodyDiv w:val="1"/>
      <w:marLeft w:val="0"/>
      <w:marRight w:val="0"/>
      <w:marTop w:val="0"/>
      <w:marBottom w:val="0"/>
      <w:divBdr>
        <w:top w:val="none" w:sz="0" w:space="0" w:color="auto"/>
        <w:left w:val="none" w:sz="0" w:space="0" w:color="auto"/>
        <w:bottom w:val="none" w:sz="0" w:space="0" w:color="auto"/>
        <w:right w:val="none" w:sz="0" w:space="0" w:color="auto"/>
      </w:divBdr>
    </w:div>
    <w:div w:id="1146897568">
      <w:bodyDiv w:val="1"/>
      <w:marLeft w:val="0"/>
      <w:marRight w:val="0"/>
      <w:marTop w:val="0"/>
      <w:marBottom w:val="0"/>
      <w:divBdr>
        <w:top w:val="none" w:sz="0" w:space="0" w:color="auto"/>
        <w:left w:val="none" w:sz="0" w:space="0" w:color="auto"/>
        <w:bottom w:val="none" w:sz="0" w:space="0" w:color="auto"/>
        <w:right w:val="none" w:sz="0" w:space="0" w:color="auto"/>
      </w:divBdr>
    </w:div>
    <w:div w:id="1167285079">
      <w:bodyDiv w:val="1"/>
      <w:marLeft w:val="0"/>
      <w:marRight w:val="0"/>
      <w:marTop w:val="0"/>
      <w:marBottom w:val="0"/>
      <w:divBdr>
        <w:top w:val="none" w:sz="0" w:space="0" w:color="auto"/>
        <w:left w:val="none" w:sz="0" w:space="0" w:color="auto"/>
        <w:bottom w:val="none" w:sz="0" w:space="0" w:color="auto"/>
        <w:right w:val="none" w:sz="0" w:space="0" w:color="auto"/>
      </w:divBdr>
    </w:div>
    <w:div w:id="1168523891">
      <w:bodyDiv w:val="1"/>
      <w:marLeft w:val="0"/>
      <w:marRight w:val="0"/>
      <w:marTop w:val="0"/>
      <w:marBottom w:val="0"/>
      <w:divBdr>
        <w:top w:val="none" w:sz="0" w:space="0" w:color="auto"/>
        <w:left w:val="none" w:sz="0" w:space="0" w:color="auto"/>
        <w:bottom w:val="none" w:sz="0" w:space="0" w:color="auto"/>
        <w:right w:val="none" w:sz="0" w:space="0" w:color="auto"/>
      </w:divBdr>
    </w:div>
    <w:div w:id="1175653302">
      <w:bodyDiv w:val="1"/>
      <w:marLeft w:val="0"/>
      <w:marRight w:val="0"/>
      <w:marTop w:val="0"/>
      <w:marBottom w:val="0"/>
      <w:divBdr>
        <w:top w:val="none" w:sz="0" w:space="0" w:color="auto"/>
        <w:left w:val="none" w:sz="0" w:space="0" w:color="auto"/>
        <w:bottom w:val="none" w:sz="0" w:space="0" w:color="auto"/>
        <w:right w:val="none" w:sz="0" w:space="0" w:color="auto"/>
      </w:divBdr>
    </w:div>
    <w:div w:id="1176843532">
      <w:bodyDiv w:val="1"/>
      <w:marLeft w:val="0"/>
      <w:marRight w:val="0"/>
      <w:marTop w:val="0"/>
      <w:marBottom w:val="0"/>
      <w:divBdr>
        <w:top w:val="none" w:sz="0" w:space="0" w:color="auto"/>
        <w:left w:val="none" w:sz="0" w:space="0" w:color="auto"/>
        <w:bottom w:val="none" w:sz="0" w:space="0" w:color="auto"/>
        <w:right w:val="none" w:sz="0" w:space="0" w:color="auto"/>
      </w:divBdr>
    </w:div>
    <w:div w:id="1184054069">
      <w:bodyDiv w:val="1"/>
      <w:marLeft w:val="0"/>
      <w:marRight w:val="0"/>
      <w:marTop w:val="0"/>
      <w:marBottom w:val="0"/>
      <w:divBdr>
        <w:top w:val="none" w:sz="0" w:space="0" w:color="auto"/>
        <w:left w:val="none" w:sz="0" w:space="0" w:color="auto"/>
        <w:bottom w:val="none" w:sz="0" w:space="0" w:color="auto"/>
        <w:right w:val="none" w:sz="0" w:space="0" w:color="auto"/>
      </w:divBdr>
    </w:div>
    <w:div w:id="1190142579">
      <w:bodyDiv w:val="1"/>
      <w:marLeft w:val="0"/>
      <w:marRight w:val="0"/>
      <w:marTop w:val="0"/>
      <w:marBottom w:val="0"/>
      <w:divBdr>
        <w:top w:val="none" w:sz="0" w:space="0" w:color="auto"/>
        <w:left w:val="none" w:sz="0" w:space="0" w:color="auto"/>
        <w:bottom w:val="none" w:sz="0" w:space="0" w:color="auto"/>
        <w:right w:val="none" w:sz="0" w:space="0" w:color="auto"/>
      </w:divBdr>
    </w:div>
    <w:div w:id="1196189322">
      <w:bodyDiv w:val="1"/>
      <w:marLeft w:val="0"/>
      <w:marRight w:val="0"/>
      <w:marTop w:val="0"/>
      <w:marBottom w:val="0"/>
      <w:divBdr>
        <w:top w:val="none" w:sz="0" w:space="0" w:color="auto"/>
        <w:left w:val="none" w:sz="0" w:space="0" w:color="auto"/>
        <w:bottom w:val="none" w:sz="0" w:space="0" w:color="auto"/>
        <w:right w:val="none" w:sz="0" w:space="0" w:color="auto"/>
      </w:divBdr>
    </w:div>
    <w:div w:id="1230001007">
      <w:bodyDiv w:val="1"/>
      <w:marLeft w:val="0"/>
      <w:marRight w:val="0"/>
      <w:marTop w:val="0"/>
      <w:marBottom w:val="0"/>
      <w:divBdr>
        <w:top w:val="none" w:sz="0" w:space="0" w:color="auto"/>
        <w:left w:val="none" w:sz="0" w:space="0" w:color="auto"/>
        <w:bottom w:val="none" w:sz="0" w:space="0" w:color="auto"/>
        <w:right w:val="none" w:sz="0" w:space="0" w:color="auto"/>
      </w:divBdr>
    </w:div>
    <w:div w:id="1230727991">
      <w:bodyDiv w:val="1"/>
      <w:marLeft w:val="0"/>
      <w:marRight w:val="0"/>
      <w:marTop w:val="0"/>
      <w:marBottom w:val="0"/>
      <w:divBdr>
        <w:top w:val="none" w:sz="0" w:space="0" w:color="auto"/>
        <w:left w:val="none" w:sz="0" w:space="0" w:color="auto"/>
        <w:bottom w:val="none" w:sz="0" w:space="0" w:color="auto"/>
        <w:right w:val="none" w:sz="0" w:space="0" w:color="auto"/>
      </w:divBdr>
    </w:div>
    <w:div w:id="1239360954">
      <w:bodyDiv w:val="1"/>
      <w:marLeft w:val="0"/>
      <w:marRight w:val="0"/>
      <w:marTop w:val="0"/>
      <w:marBottom w:val="0"/>
      <w:divBdr>
        <w:top w:val="none" w:sz="0" w:space="0" w:color="auto"/>
        <w:left w:val="none" w:sz="0" w:space="0" w:color="auto"/>
        <w:bottom w:val="none" w:sz="0" w:space="0" w:color="auto"/>
        <w:right w:val="none" w:sz="0" w:space="0" w:color="auto"/>
      </w:divBdr>
    </w:div>
    <w:div w:id="1255438979">
      <w:bodyDiv w:val="1"/>
      <w:marLeft w:val="0"/>
      <w:marRight w:val="0"/>
      <w:marTop w:val="0"/>
      <w:marBottom w:val="0"/>
      <w:divBdr>
        <w:top w:val="none" w:sz="0" w:space="0" w:color="auto"/>
        <w:left w:val="none" w:sz="0" w:space="0" w:color="auto"/>
        <w:bottom w:val="none" w:sz="0" w:space="0" w:color="auto"/>
        <w:right w:val="none" w:sz="0" w:space="0" w:color="auto"/>
      </w:divBdr>
    </w:div>
    <w:div w:id="1256283105">
      <w:bodyDiv w:val="1"/>
      <w:marLeft w:val="0"/>
      <w:marRight w:val="0"/>
      <w:marTop w:val="0"/>
      <w:marBottom w:val="0"/>
      <w:divBdr>
        <w:top w:val="none" w:sz="0" w:space="0" w:color="auto"/>
        <w:left w:val="none" w:sz="0" w:space="0" w:color="auto"/>
        <w:bottom w:val="none" w:sz="0" w:space="0" w:color="auto"/>
        <w:right w:val="none" w:sz="0" w:space="0" w:color="auto"/>
      </w:divBdr>
    </w:div>
    <w:div w:id="1284536091">
      <w:bodyDiv w:val="1"/>
      <w:marLeft w:val="0"/>
      <w:marRight w:val="0"/>
      <w:marTop w:val="0"/>
      <w:marBottom w:val="0"/>
      <w:divBdr>
        <w:top w:val="none" w:sz="0" w:space="0" w:color="auto"/>
        <w:left w:val="none" w:sz="0" w:space="0" w:color="auto"/>
        <w:bottom w:val="none" w:sz="0" w:space="0" w:color="auto"/>
        <w:right w:val="none" w:sz="0" w:space="0" w:color="auto"/>
      </w:divBdr>
    </w:div>
    <w:div w:id="1298992835">
      <w:bodyDiv w:val="1"/>
      <w:marLeft w:val="0"/>
      <w:marRight w:val="0"/>
      <w:marTop w:val="0"/>
      <w:marBottom w:val="0"/>
      <w:divBdr>
        <w:top w:val="none" w:sz="0" w:space="0" w:color="auto"/>
        <w:left w:val="none" w:sz="0" w:space="0" w:color="auto"/>
        <w:bottom w:val="none" w:sz="0" w:space="0" w:color="auto"/>
        <w:right w:val="none" w:sz="0" w:space="0" w:color="auto"/>
      </w:divBdr>
    </w:div>
    <w:div w:id="1306357660">
      <w:bodyDiv w:val="1"/>
      <w:marLeft w:val="0"/>
      <w:marRight w:val="0"/>
      <w:marTop w:val="0"/>
      <w:marBottom w:val="0"/>
      <w:divBdr>
        <w:top w:val="none" w:sz="0" w:space="0" w:color="auto"/>
        <w:left w:val="none" w:sz="0" w:space="0" w:color="auto"/>
        <w:bottom w:val="none" w:sz="0" w:space="0" w:color="auto"/>
        <w:right w:val="none" w:sz="0" w:space="0" w:color="auto"/>
      </w:divBdr>
    </w:div>
    <w:div w:id="1317035116">
      <w:bodyDiv w:val="1"/>
      <w:marLeft w:val="0"/>
      <w:marRight w:val="0"/>
      <w:marTop w:val="0"/>
      <w:marBottom w:val="0"/>
      <w:divBdr>
        <w:top w:val="none" w:sz="0" w:space="0" w:color="auto"/>
        <w:left w:val="none" w:sz="0" w:space="0" w:color="auto"/>
        <w:bottom w:val="none" w:sz="0" w:space="0" w:color="auto"/>
        <w:right w:val="none" w:sz="0" w:space="0" w:color="auto"/>
      </w:divBdr>
    </w:div>
    <w:div w:id="1317958303">
      <w:bodyDiv w:val="1"/>
      <w:marLeft w:val="0"/>
      <w:marRight w:val="0"/>
      <w:marTop w:val="0"/>
      <w:marBottom w:val="0"/>
      <w:divBdr>
        <w:top w:val="none" w:sz="0" w:space="0" w:color="auto"/>
        <w:left w:val="none" w:sz="0" w:space="0" w:color="auto"/>
        <w:bottom w:val="none" w:sz="0" w:space="0" w:color="auto"/>
        <w:right w:val="none" w:sz="0" w:space="0" w:color="auto"/>
      </w:divBdr>
    </w:div>
    <w:div w:id="1327245225">
      <w:bodyDiv w:val="1"/>
      <w:marLeft w:val="0"/>
      <w:marRight w:val="0"/>
      <w:marTop w:val="0"/>
      <w:marBottom w:val="0"/>
      <w:divBdr>
        <w:top w:val="none" w:sz="0" w:space="0" w:color="auto"/>
        <w:left w:val="none" w:sz="0" w:space="0" w:color="auto"/>
        <w:bottom w:val="none" w:sz="0" w:space="0" w:color="auto"/>
        <w:right w:val="none" w:sz="0" w:space="0" w:color="auto"/>
      </w:divBdr>
    </w:div>
    <w:div w:id="1350255652">
      <w:bodyDiv w:val="1"/>
      <w:marLeft w:val="0"/>
      <w:marRight w:val="0"/>
      <w:marTop w:val="0"/>
      <w:marBottom w:val="0"/>
      <w:divBdr>
        <w:top w:val="none" w:sz="0" w:space="0" w:color="auto"/>
        <w:left w:val="none" w:sz="0" w:space="0" w:color="auto"/>
        <w:bottom w:val="none" w:sz="0" w:space="0" w:color="auto"/>
        <w:right w:val="none" w:sz="0" w:space="0" w:color="auto"/>
      </w:divBdr>
    </w:div>
    <w:div w:id="1357540367">
      <w:bodyDiv w:val="1"/>
      <w:marLeft w:val="0"/>
      <w:marRight w:val="0"/>
      <w:marTop w:val="0"/>
      <w:marBottom w:val="0"/>
      <w:divBdr>
        <w:top w:val="none" w:sz="0" w:space="0" w:color="auto"/>
        <w:left w:val="none" w:sz="0" w:space="0" w:color="auto"/>
        <w:bottom w:val="none" w:sz="0" w:space="0" w:color="auto"/>
        <w:right w:val="none" w:sz="0" w:space="0" w:color="auto"/>
      </w:divBdr>
    </w:div>
    <w:div w:id="1378311759">
      <w:bodyDiv w:val="1"/>
      <w:marLeft w:val="0"/>
      <w:marRight w:val="0"/>
      <w:marTop w:val="0"/>
      <w:marBottom w:val="0"/>
      <w:divBdr>
        <w:top w:val="none" w:sz="0" w:space="0" w:color="auto"/>
        <w:left w:val="none" w:sz="0" w:space="0" w:color="auto"/>
        <w:bottom w:val="none" w:sz="0" w:space="0" w:color="auto"/>
        <w:right w:val="none" w:sz="0" w:space="0" w:color="auto"/>
      </w:divBdr>
    </w:div>
    <w:div w:id="1379554507">
      <w:bodyDiv w:val="1"/>
      <w:marLeft w:val="0"/>
      <w:marRight w:val="0"/>
      <w:marTop w:val="0"/>
      <w:marBottom w:val="0"/>
      <w:divBdr>
        <w:top w:val="none" w:sz="0" w:space="0" w:color="auto"/>
        <w:left w:val="none" w:sz="0" w:space="0" w:color="auto"/>
        <w:bottom w:val="none" w:sz="0" w:space="0" w:color="auto"/>
        <w:right w:val="none" w:sz="0" w:space="0" w:color="auto"/>
      </w:divBdr>
    </w:div>
    <w:div w:id="1382483028">
      <w:bodyDiv w:val="1"/>
      <w:marLeft w:val="0"/>
      <w:marRight w:val="0"/>
      <w:marTop w:val="0"/>
      <w:marBottom w:val="0"/>
      <w:divBdr>
        <w:top w:val="none" w:sz="0" w:space="0" w:color="auto"/>
        <w:left w:val="none" w:sz="0" w:space="0" w:color="auto"/>
        <w:bottom w:val="none" w:sz="0" w:space="0" w:color="auto"/>
        <w:right w:val="none" w:sz="0" w:space="0" w:color="auto"/>
      </w:divBdr>
    </w:div>
    <w:div w:id="1385760374">
      <w:bodyDiv w:val="1"/>
      <w:marLeft w:val="0"/>
      <w:marRight w:val="0"/>
      <w:marTop w:val="0"/>
      <w:marBottom w:val="0"/>
      <w:divBdr>
        <w:top w:val="none" w:sz="0" w:space="0" w:color="auto"/>
        <w:left w:val="none" w:sz="0" w:space="0" w:color="auto"/>
        <w:bottom w:val="none" w:sz="0" w:space="0" w:color="auto"/>
        <w:right w:val="none" w:sz="0" w:space="0" w:color="auto"/>
      </w:divBdr>
    </w:div>
    <w:div w:id="1390108856">
      <w:bodyDiv w:val="1"/>
      <w:marLeft w:val="0"/>
      <w:marRight w:val="0"/>
      <w:marTop w:val="0"/>
      <w:marBottom w:val="0"/>
      <w:divBdr>
        <w:top w:val="none" w:sz="0" w:space="0" w:color="auto"/>
        <w:left w:val="none" w:sz="0" w:space="0" w:color="auto"/>
        <w:bottom w:val="none" w:sz="0" w:space="0" w:color="auto"/>
        <w:right w:val="none" w:sz="0" w:space="0" w:color="auto"/>
      </w:divBdr>
    </w:div>
    <w:div w:id="1393381758">
      <w:bodyDiv w:val="1"/>
      <w:marLeft w:val="0"/>
      <w:marRight w:val="0"/>
      <w:marTop w:val="0"/>
      <w:marBottom w:val="0"/>
      <w:divBdr>
        <w:top w:val="none" w:sz="0" w:space="0" w:color="auto"/>
        <w:left w:val="none" w:sz="0" w:space="0" w:color="auto"/>
        <w:bottom w:val="none" w:sz="0" w:space="0" w:color="auto"/>
        <w:right w:val="none" w:sz="0" w:space="0" w:color="auto"/>
      </w:divBdr>
    </w:div>
    <w:div w:id="1395666490">
      <w:bodyDiv w:val="1"/>
      <w:marLeft w:val="0"/>
      <w:marRight w:val="0"/>
      <w:marTop w:val="0"/>
      <w:marBottom w:val="0"/>
      <w:divBdr>
        <w:top w:val="none" w:sz="0" w:space="0" w:color="auto"/>
        <w:left w:val="none" w:sz="0" w:space="0" w:color="auto"/>
        <w:bottom w:val="none" w:sz="0" w:space="0" w:color="auto"/>
        <w:right w:val="none" w:sz="0" w:space="0" w:color="auto"/>
      </w:divBdr>
    </w:div>
    <w:div w:id="1396779431">
      <w:bodyDiv w:val="1"/>
      <w:marLeft w:val="0"/>
      <w:marRight w:val="0"/>
      <w:marTop w:val="0"/>
      <w:marBottom w:val="0"/>
      <w:divBdr>
        <w:top w:val="none" w:sz="0" w:space="0" w:color="auto"/>
        <w:left w:val="none" w:sz="0" w:space="0" w:color="auto"/>
        <w:bottom w:val="none" w:sz="0" w:space="0" w:color="auto"/>
        <w:right w:val="none" w:sz="0" w:space="0" w:color="auto"/>
      </w:divBdr>
    </w:div>
    <w:div w:id="1420827319">
      <w:bodyDiv w:val="1"/>
      <w:marLeft w:val="0"/>
      <w:marRight w:val="0"/>
      <w:marTop w:val="0"/>
      <w:marBottom w:val="0"/>
      <w:divBdr>
        <w:top w:val="none" w:sz="0" w:space="0" w:color="auto"/>
        <w:left w:val="none" w:sz="0" w:space="0" w:color="auto"/>
        <w:bottom w:val="none" w:sz="0" w:space="0" w:color="auto"/>
        <w:right w:val="none" w:sz="0" w:space="0" w:color="auto"/>
      </w:divBdr>
    </w:div>
    <w:div w:id="1446119846">
      <w:bodyDiv w:val="1"/>
      <w:marLeft w:val="0"/>
      <w:marRight w:val="0"/>
      <w:marTop w:val="0"/>
      <w:marBottom w:val="0"/>
      <w:divBdr>
        <w:top w:val="none" w:sz="0" w:space="0" w:color="auto"/>
        <w:left w:val="none" w:sz="0" w:space="0" w:color="auto"/>
        <w:bottom w:val="none" w:sz="0" w:space="0" w:color="auto"/>
        <w:right w:val="none" w:sz="0" w:space="0" w:color="auto"/>
      </w:divBdr>
    </w:div>
    <w:div w:id="1452359599">
      <w:bodyDiv w:val="1"/>
      <w:marLeft w:val="0"/>
      <w:marRight w:val="0"/>
      <w:marTop w:val="0"/>
      <w:marBottom w:val="0"/>
      <w:divBdr>
        <w:top w:val="none" w:sz="0" w:space="0" w:color="auto"/>
        <w:left w:val="none" w:sz="0" w:space="0" w:color="auto"/>
        <w:bottom w:val="none" w:sz="0" w:space="0" w:color="auto"/>
        <w:right w:val="none" w:sz="0" w:space="0" w:color="auto"/>
      </w:divBdr>
    </w:div>
    <w:div w:id="1455560560">
      <w:bodyDiv w:val="1"/>
      <w:marLeft w:val="0"/>
      <w:marRight w:val="0"/>
      <w:marTop w:val="0"/>
      <w:marBottom w:val="0"/>
      <w:divBdr>
        <w:top w:val="none" w:sz="0" w:space="0" w:color="auto"/>
        <w:left w:val="none" w:sz="0" w:space="0" w:color="auto"/>
        <w:bottom w:val="none" w:sz="0" w:space="0" w:color="auto"/>
        <w:right w:val="none" w:sz="0" w:space="0" w:color="auto"/>
      </w:divBdr>
    </w:div>
    <w:div w:id="1466506314">
      <w:bodyDiv w:val="1"/>
      <w:marLeft w:val="0"/>
      <w:marRight w:val="0"/>
      <w:marTop w:val="0"/>
      <w:marBottom w:val="0"/>
      <w:divBdr>
        <w:top w:val="none" w:sz="0" w:space="0" w:color="auto"/>
        <w:left w:val="none" w:sz="0" w:space="0" w:color="auto"/>
        <w:bottom w:val="none" w:sz="0" w:space="0" w:color="auto"/>
        <w:right w:val="none" w:sz="0" w:space="0" w:color="auto"/>
      </w:divBdr>
    </w:div>
    <w:div w:id="1466659156">
      <w:bodyDiv w:val="1"/>
      <w:marLeft w:val="0"/>
      <w:marRight w:val="0"/>
      <w:marTop w:val="0"/>
      <w:marBottom w:val="0"/>
      <w:divBdr>
        <w:top w:val="none" w:sz="0" w:space="0" w:color="auto"/>
        <w:left w:val="none" w:sz="0" w:space="0" w:color="auto"/>
        <w:bottom w:val="none" w:sz="0" w:space="0" w:color="auto"/>
        <w:right w:val="none" w:sz="0" w:space="0" w:color="auto"/>
      </w:divBdr>
    </w:div>
    <w:div w:id="1472285963">
      <w:bodyDiv w:val="1"/>
      <w:marLeft w:val="0"/>
      <w:marRight w:val="0"/>
      <w:marTop w:val="0"/>
      <w:marBottom w:val="0"/>
      <w:divBdr>
        <w:top w:val="none" w:sz="0" w:space="0" w:color="auto"/>
        <w:left w:val="none" w:sz="0" w:space="0" w:color="auto"/>
        <w:bottom w:val="none" w:sz="0" w:space="0" w:color="auto"/>
        <w:right w:val="none" w:sz="0" w:space="0" w:color="auto"/>
      </w:divBdr>
    </w:div>
    <w:div w:id="1496064898">
      <w:bodyDiv w:val="1"/>
      <w:marLeft w:val="0"/>
      <w:marRight w:val="0"/>
      <w:marTop w:val="0"/>
      <w:marBottom w:val="0"/>
      <w:divBdr>
        <w:top w:val="none" w:sz="0" w:space="0" w:color="auto"/>
        <w:left w:val="none" w:sz="0" w:space="0" w:color="auto"/>
        <w:bottom w:val="none" w:sz="0" w:space="0" w:color="auto"/>
        <w:right w:val="none" w:sz="0" w:space="0" w:color="auto"/>
      </w:divBdr>
    </w:div>
    <w:div w:id="1506624607">
      <w:bodyDiv w:val="1"/>
      <w:marLeft w:val="0"/>
      <w:marRight w:val="0"/>
      <w:marTop w:val="0"/>
      <w:marBottom w:val="0"/>
      <w:divBdr>
        <w:top w:val="none" w:sz="0" w:space="0" w:color="auto"/>
        <w:left w:val="none" w:sz="0" w:space="0" w:color="auto"/>
        <w:bottom w:val="none" w:sz="0" w:space="0" w:color="auto"/>
        <w:right w:val="none" w:sz="0" w:space="0" w:color="auto"/>
      </w:divBdr>
    </w:div>
    <w:div w:id="1520199931">
      <w:bodyDiv w:val="1"/>
      <w:marLeft w:val="0"/>
      <w:marRight w:val="0"/>
      <w:marTop w:val="0"/>
      <w:marBottom w:val="0"/>
      <w:divBdr>
        <w:top w:val="none" w:sz="0" w:space="0" w:color="auto"/>
        <w:left w:val="none" w:sz="0" w:space="0" w:color="auto"/>
        <w:bottom w:val="none" w:sz="0" w:space="0" w:color="auto"/>
        <w:right w:val="none" w:sz="0" w:space="0" w:color="auto"/>
      </w:divBdr>
    </w:div>
    <w:div w:id="1524174222">
      <w:bodyDiv w:val="1"/>
      <w:marLeft w:val="0"/>
      <w:marRight w:val="0"/>
      <w:marTop w:val="0"/>
      <w:marBottom w:val="0"/>
      <w:divBdr>
        <w:top w:val="none" w:sz="0" w:space="0" w:color="auto"/>
        <w:left w:val="none" w:sz="0" w:space="0" w:color="auto"/>
        <w:bottom w:val="none" w:sz="0" w:space="0" w:color="auto"/>
        <w:right w:val="none" w:sz="0" w:space="0" w:color="auto"/>
      </w:divBdr>
    </w:div>
    <w:div w:id="1527253800">
      <w:bodyDiv w:val="1"/>
      <w:marLeft w:val="0"/>
      <w:marRight w:val="0"/>
      <w:marTop w:val="0"/>
      <w:marBottom w:val="0"/>
      <w:divBdr>
        <w:top w:val="none" w:sz="0" w:space="0" w:color="auto"/>
        <w:left w:val="none" w:sz="0" w:space="0" w:color="auto"/>
        <w:bottom w:val="none" w:sz="0" w:space="0" w:color="auto"/>
        <w:right w:val="none" w:sz="0" w:space="0" w:color="auto"/>
      </w:divBdr>
    </w:div>
    <w:div w:id="1571887226">
      <w:bodyDiv w:val="1"/>
      <w:marLeft w:val="0"/>
      <w:marRight w:val="0"/>
      <w:marTop w:val="0"/>
      <w:marBottom w:val="0"/>
      <w:divBdr>
        <w:top w:val="none" w:sz="0" w:space="0" w:color="auto"/>
        <w:left w:val="none" w:sz="0" w:space="0" w:color="auto"/>
        <w:bottom w:val="none" w:sz="0" w:space="0" w:color="auto"/>
        <w:right w:val="none" w:sz="0" w:space="0" w:color="auto"/>
      </w:divBdr>
    </w:div>
    <w:div w:id="1572806802">
      <w:bodyDiv w:val="1"/>
      <w:marLeft w:val="0"/>
      <w:marRight w:val="0"/>
      <w:marTop w:val="0"/>
      <w:marBottom w:val="0"/>
      <w:divBdr>
        <w:top w:val="none" w:sz="0" w:space="0" w:color="auto"/>
        <w:left w:val="none" w:sz="0" w:space="0" w:color="auto"/>
        <w:bottom w:val="none" w:sz="0" w:space="0" w:color="auto"/>
        <w:right w:val="none" w:sz="0" w:space="0" w:color="auto"/>
      </w:divBdr>
    </w:div>
    <w:div w:id="1577548763">
      <w:bodyDiv w:val="1"/>
      <w:marLeft w:val="0"/>
      <w:marRight w:val="0"/>
      <w:marTop w:val="0"/>
      <w:marBottom w:val="0"/>
      <w:divBdr>
        <w:top w:val="none" w:sz="0" w:space="0" w:color="auto"/>
        <w:left w:val="none" w:sz="0" w:space="0" w:color="auto"/>
        <w:bottom w:val="none" w:sz="0" w:space="0" w:color="auto"/>
        <w:right w:val="none" w:sz="0" w:space="0" w:color="auto"/>
      </w:divBdr>
    </w:div>
    <w:div w:id="1584336185">
      <w:bodyDiv w:val="1"/>
      <w:marLeft w:val="0"/>
      <w:marRight w:val="0"/>
      <w:marTop w:val="0"/>
      <w:marBottom w:val="0"/>
      <w:divBdr>
        <w:top w:val="none" w:sz="0" w:space="0" w:color="auto"/>
        <w:left w:val="none" w:sz="0" w:space="0" w:color="auto"/>
        <w:bottom w:val="none" w:sz="0" w:space="0" w:color="auto"/>
        <w:right w:val="none" w:sz="0" w:space="0" w:color="auto"/>
      </w:divBdr>
    </w:div>
    <w:div w:id="1586065702">
      <w:bodyDiv w:val="1"/>
      <w:marLeft w:val="0"/>
      <w:marRight w:val="0"/>
      <w:marTop w:val="0"/>
      <w:marBottom w:val="0"/>
      <w:divBdr>
        <w:top w:val="none" w:sz="0" w:space="0" w:color="auto"/>
        <w:left w:val="none" w:sz="0" w:space="0" w:color="auto"/>
        <w:bottom w:val="none" w:sz="0" w:space="0" w:color="auto"/>
        <w:right w:val="none" w:sz="0" w:space="0" w:color="auto"/>
      </w:divBdr>
    </w:div>
    <w:div w:id="1590655635">
      <w:bodyDiv w:val="1"/>
      <w:marLeft w:val="0"/>
      <w:marRight w:val="0"/>
      <w:marTop w:val="0"/>
      <w:marBottom w:val="0"/>
      <w:divBdr>
        <w:top w:val="none" w:sz="0" w:space="0" w:color="auto"/>
        <w:left w:val="none" w:sz="0" w:space="0" w:color="auto"/>
        <w:bottom w:val="none" w:sz="0" w:space="0" w:color="auto"/>
        <w:right w:val="none" w:sz="0" w:space="0" w:color="auto"/>
      </w:divBdr>
    </w:div>
    <w:div w:id="1595628420">
      <w:bodyDiv w:val="1"/>
      <w:marLeft w:val="0"/>
      <w:marRight w:val="0"/>
      <w:marTop w:val="0"/>
      <w:marBottom w:val="0"/>
      <w:divBdr>
        <w:top w:val="none" w:sz="0" w:space="0" w:color="auto"/>
        <w:left w:val="none" w:sz="0" w:space="0" w:color="auto"/>
        <w:bottom w:val="none" w:sz="0" w:space="0" w:color="auto"/>
        <w:right w:val="none" w:sz="0" w:space="0" w:color="auto"/>
      </w:divBdr>
    </w:div>
    <w:div w:id="1616861621">
      <w:bodyDiv w:val="1"/>
      <w:marLeft w:val="0"/>
      <w:marRight w:val="0"/>
      <w:marTop w:val="0"/>
      <w:marBottom w:val="0"/>
      <w:divBdr>
        <w:top w:val="none" w:sz="0" w:space="0" w:color="auto"/>
        <w:left w:val="none" w:sz="0" w:space="0" w:color="auto"/>
        <w:bottom w:val="none" w:sz="0" w:space="0" w:color="auto"/>
        <w:right w:val="none" w:sz="0" w:space="0" w:color="auto"/>
      </w:divBdr>
    </w:div>
    <w:div w:id="1650859290">
      <w:bodyDiv w:val="1"/>
      <w:marLeft w:val="0"/>
      <w:marRight w:val="0"/>
      <w:marTop w:val="0"/>
      <w:marBottom w:val="0"/>
      <w:divBdr>
        <w:top w:val="none" w:sz="0" w:space="0" w:color="auto"/>
        <w:left w:val="none" w:sz="0" w:space="0" w:color="auto"/>
        <w:bottom w:val="none" w:sz="0" w:space="0" w:color="auto"/>
        <w:right w:val="none" w:sz="0" w:space="0" w:color="auto"/>
      </w:divBdr>
    </w:div>
    <w:div w:id="1652447120">
      <w:bodyDiv w:val="1"/>
      <w:marLeft w:val="0"/>
      <w:marRight w:val="0"/>
      <w:marTop w:val="0"/>
      <w:marBottom w:val="0"/>
      <w:divBdr>
        <w:top w:val="none" w:sz="0" w:space="0" w:color="auto"/>
        <w:left w:val="none" w:sz="0" w:space="0" w:color="auto"/>
        <w:bottom w:val="none" w:sz="0" w:space="0" w:color="auto"/>
        <w:right w:val="none" w:sz="0" w:space="0" w:color="auto"/>
      </w:divBdr>
    </w:div>
    <w:div w:id="1658879568">
      <w:bodyDiv w:val="1"/>
      <w:marLeft w:val="0"/>
      <w:marRight w:val="0"/>
      <w:marTop w:val="0"/>
      <w:marBottom w:val="0"/>
      <w:divBdr>
        <w:top w:val="none" w:sz="0" w:space="0" w:color="auto"/>
        <w:left w:val="none" w:sz="0" w:space="0" w:color="auto"/>
        <w:bottom w:val="none" w:sz="0" w:space="0" w:color="auto"/>
        <w:right w:val="none" w:sz="0" w:space="0" w:color="auto"/>
      </w:divBdr>
    </w:div>
    <w:div w:id="1661156442">
      <w:bodyDiv w:val="1"/>
      <w:marLeft w:val="0"/>
      <w:marRight w:val="0"/>
      <w:marTop w:val="0"/>
      <w:marBottom w:val="0"/>
      <w:divBdr>
        <w:top w:val="none" w:sz="0" w:space="0" w:color="auto"/>
        <w:left w:val="none" w:sz="0" w:space="0" w:color="auto"/>
        <w:bottom w:val="none" w:sz="0" w:space="0" w:color="auto"/>
        <w:right w:val="none" w:sz="0" w:space="0" w:color="auto"/>
      </w:divBdr>
    </w:div>
    <w:div w:id="1667977572">
      <w:bodyDiv w:val="1"/>
      <w:marLeft w:val="0"/>
      <w:marRight w:val="0"/>
      <w:marTop w:val="0"/>
      <w:marBottom w:val="0"/>
      <w:divBdr>
        <w:top w:val="none" w:sz="0" w:space="0" w:color="auto"/>
        <w:left w:val="none" w:sz="0" w:space="0" w:color="auto"/>
        <w:bottom w:val="none" w:sz="0" w:space="0" w:color="auto"/>
        <w:right w:val="none" w:sz="0" w:space="0" w:color="auto"/>
      </w:divBdr>
    </w:div>
    <w:div w:id="1670713975">
      <w:bodyDiv w:val="1"/>
      <w:marLeft w:val="0"/>
      <w:marRight w:val="0"/>
      <w:marTop w:val="0"/>
      <w:marBottom w:val="0"/>
      <w:divBdr>
        <w:top w:val="none" w:sz="0" w:space="0" w:color="auto"/>
        <w:left w:val="none" w:sz="0" w:space="0" w:color="auto"/>
        <w:bottom w:val="none" w:sz="0" w:space="0" w:color="auto"/>
        <w:right w:val="none" w:sz="0" w:space="0" w:color="auto"/>
      </w:divBdr>
    </w:div>
    <w:div w:id="1696421143">
      <w:bodyDiv w:val="1"/>
      <w:marLeft w:val="0"/>
      <w:marRight w:val="0"/>
      <w:marTop w:val="0"/>
      <w:marBottom w:val="0"/>
      <w:divBdr>
        <w:top w:val="none" w:sz="0" w:space="0" w:color="auto"/>
        <w:left w:val="none" w:sz="0" w:space="0" w:color="auto"/>
        <w:bottom w:val="none" w:sz="0" w:space="0" w:color="auto"/>
        <w:right w:val="none" w:sz="0" w:space="0" w:color="auto"/>
      </w:divBdr>
    </w:div>
    <w:div w:id="1703702189">
      <w:bodyDiv w:val="1"/>
      <w:marLeft w:val="0"/>
      <w:marRight w:val="0"/>
      <w:marTop w:val="0"/>
      <w:marBottom w:val="0"/>
      <w:divBdr>
        <w:top w:val="none" w:sz="0" w:space="0" w:color="auto"/>
        <w:left w:val="none" w:sz="0" w:space="0" w:color="auto"/>
        <w:bottom w:val="none" w:sz="0" w:space="0" w:color="auto"/>
        <w:right w:val="none" w:sz="0" w:space="0" w:color="auto"/>
      </w:divBdr>
    </w:div>
    <w:div w:id="1712261683">
      <w:bodyDiv w:val="1"/>
      <w:marLeft w:val="0"/>
      <w:marRight w:val="0"/>
      <w:marTop w:val="0"/>
      <w:marBottom w:val="0"/>
      <w:divBdr>
        <w:top w:val="none" w:sz="0" w:space="0" w:color="auto"/>
        <w:left w:val="none" w:sz="0" w:space="0" w:color="auto"/>
        <w:bottom w:val="none" w:sz="0" w:space="0" w:color="auto"/>
        <w:right w:val="none" w:sz="0" w:space="0" w:color="auto"/>
      </w:divBdr>
    </w:div>
    <w:div w:id="1718049807">
      <w:bodyDiv w:val="1"/>
      <w:marLeft w:val="0"/>
      <w:marRight w:val="0"/>
      <w:marTop w:val="0"/>
      <w:marBottom w:val="0"/>
      <w:divBdr>
        <w:top w:val="none" w:sz="0" w:space="0" w:color="auto"/>
        <w:left w:val="none" w:sz="0" w:space="0" w:color="auto"/>
        <w:bottom w:val="none" w:sz="0" w:space="0" w:color="auto"/>
        <w:right w:val="none" w:sz="0" w:space="0" w:color="auto"/>
      </w:divBdr>
    </w:div>
    <w:div w:id="1722097583">
      <w:bodyDiv w:val="1"/>
      <w:marLeft w:val="0"/>
      <w:marRight w:val="0"/>
      <w:marTop w:val="0"/>
      <w:marBottom w:val="0"/>
      <w:divBdr>
        <w:top w:val="none" w:sz="0" w:space="0" w:color="auto"/>
        <w:left w:val="none" w:sz="0" w:space="0" w:color="auto"/>
        <w:bottom w:val="none" w:sz="0" w:space="0" w:color="auto"/>
        <w:right w:val="none" w:sz="0" w:space="0" w:color="auto"/>
      </w:divBdr>
    </w:div>
    <w:div w:id="1722172333">
      <w:bodyDiv w:val="1"/>
      <w:marLeft w:val="0"/>
      <w:marRight w:val="0"/>
      <w:marTop w:val="0"/>
      <w:marBottom w:val="0"/>
      <w:divBdr>
        <w:top w:val="none" w:sz="0" w:space="0" w:color="auto"/>
        <w:left w:val="none" w:sz="0" w:space="0" w:color="auto"/>
        <w:bottom w:val="none" w:sz="0" w:space="0" w:color="auto"/>
        <w:right w:val="none" w:sz="0" w:space="0" w:color="auto"/>
      </w:divBdr>
    </w:div>
    <w:div w:id="1739203304">
      <w:bodyDiv w:val="1"/>
      <w:marLeft w:val="0"/>
      <w:marRight w:val="0"/>
      <w:marTop w:val="0"/>
      <w:marBottom w:val="0"/>
      <w:divBdr>
        <w:top w:val="none" w:sz="0" w:space="0" w:color="auto"/>
        <w:left w:val="none" w:sz="0" w:space="0" w:color="auto"/>
        <w:bottom w:val="none" w:sz="0" w:space="0" w:color="auto"/>
        <w:right w:val="none" w:sz="0" w:space="0" w:color="auto"/>
      </w:divBdr>
    </w:div>
    <w:div w:id="1745879545">
      <w:bodyDiv w:val="1"/>
      <w:marLeft w:val="0"/>
      <w:marRight w:val="0"/>
      <w:marTop w:val="0"/>
      <w:marBottom w:val="0"/>
      <w:divBdr>
        <w:top w:val="none" w:sz="0" w:space="0" w:color="auto"/>
        <w:left w:val="none" w:sz="0" w:space="0" w:color="auto"/>
        <w:bottom w:val="none" w:sz="0" w:space="0" w:color="auto"/>
        <w:right w:val="none" w:sz="0" w:space="0" w:color="auto"/>
      </w:divBdr>
    </w:div>
    <w:div w:id="1755318868">
      <w:bodyDiv w:val="1"/>
      <w:marLeft w:val="0"/>
      <w:marRight w:val="0"/>
      <w:marTop w:val="0"/>
      <w:marBottom w:val="0"/>
      <w:divBdr>
        <w:top w:val="none" w:sz="0" w:space="0" w:color="auto"/>
        <w:left w:val="none" w:sz="0" w:space="0" w:color="auto"/>
        <w:bottom w:val="none" w:sz="0" w:space="0" w:color="auto"/>
        <w:right w:val="none" w:sz="0" w:space="0" w:color="auto"/>
      </w:divBdr>
    </w:div>
    <w:div w:id="1764496384">
      <w:bodyDiv w:val="1"/>
      <w:marLeft w:val="0"/>
      <w:marRight w:val="0"/>
      <w:marTop w:val="0"/>
      <w:marBottom w:val="0"/>
      <w:divBdr>
        <w:top w:val="none" w:sz="0" w:space="0" w:color="auto"/>
        <w:left w:val="none" w:sz="0" w:space="0" w:color="auto"/>
        <w:bottom w:val="none" w:sz="0" w:space="0" w:color="auto"/>
        <w:right w:val="none" w:sz="0" w:space="0" w:color="auto"/>
      </w:divBdr>
    </w:div>
    <w:div w:id="1766268426">
      <w:bodyDiv w:val="1"/>
      <w:marLeft w:val="0"/>
      <w:marRight w:val="0"/>
      <w:marTop w:val="0"/>
      <w:marBottom w:val="0"/>
      <w:divBdr>
        <w:top w:val="none" w:sz="0" w:space="0" w:color="auto"/>
        <w:left w:val="none" w:sz="0" w:space="0" w:color="auto"/>
        <w:bottom w:val="none" w:sz="0" w:space="0" w:color="auto"/>
        <w:right w:val="none" w:sz="0" w:space="0" w:color="auto"/>
      </w:divBdr>
    </w:div>
    <w:div w:id="1771580663">
      <w:bodyDiv w:val="1"/>
      <w:marLeft w:val="0"/>
      <w:marRight w:val="0"/>
      <w:marTop w:val="0"/>
      <w:marBottom w:val="0"/>
      <w:divBdr>
        <w:top w:val="none" w:sz="0" w:space="0" w:color="auto"/>
        <w:left w:val="none" w:sz="0" w:space="0" w:color="auto"/>
        <w:bottom w:val="none" w:sz="0" w:space="0" w:color="auto"/>
        <w:right w:val="none" w:sz="0" w:space="0" w:color="auto"/>
      </w:divBdr>
    </w:div>
    <w:div w:id="1773546210">
      <w:bodyDiv w:val="1"/>
      <w:marLeft w:val="0"/>
      <w:marRight w:val="0"/>
      <w:marTop w:val="0"/>
      <w:marBottom w:val="0"/>
      <w:divBdr>
        <w:top w:val="none" w:sz="0" w:space="0" w:color="auto"/>
        <w:left w:val="none" w:sz="0" w:space="0" w:color="auto"/>
        <w:bottom w:val="none" w:sz="0" w:space="0" w:color="auto"/>
        <w:right w:val="none" w:sz="0" w:space="0" w:color="auto"/>
      </w:divBdr>
    </w:div>
    <w:div w:id="1786805493">
      <w:bodyDiv w:val="1"/>
      <w:marLeft w:val="0"/>
      <w:marRight w:val="0"/>
      <w:marTop w:val="0"/>
      <w:marBottom w:val="0"/>
      <w:divBdr>
        <w:top w:val="none" w:sz="0" w:space="0" w:color="auto"/>
        <w:left w:val="none" w:sz="0" w:space="0" w:color="auto"/>
        <w:bottom w:val="none" w:sz="0" w:space="0" w:color="auto"/>
        <w:right w:val="none" w:sz="0" w:space="0" w:color="auto"/>
      </w:divBdr>
    </w:div>
    <w:div w:id="1810397115">
      <w:bodyDiv w:val="1"/>
      <w:marLeft w:val="0"/>
      <w:marRight w:val="0"/>
      <w:marTop w:val="0"/>
      <w:marBottom w:val="0"/>
      <w:divBdr>
        <w:top w:val="none" w:sz="0" w:space="0" w:color="auto"/>
        <w:left w:val="none" w:sz="0" w:space="0" w:color="auto"/>
        <w:bottom w:val="none" w:sz="0" w:space="0" w:color="auto"/>
        <w:right w:val="none" w:sz="0" w:space="0" w:color="auto"/>
      </w:divBdr>
    </w:div>
    <w:div w:id="1815678768">
      <w:bodyDiv w:val="1"/>
      <w:marLeft w:val="0"/>
      <w:marRight w:val="0"/>
      <w:marTop w:val="0"/>
      <w:marBottom w:val="0"/>
      <w:divBdr>
        <w:top w:val="none" w:sz="0" w:space="0" w:color="auto"/>
        <w:left w:val="none" w:sz="0" w:space="0" w:color="auto"/>
        <w:bottom w:val="none" w:sz="0" w:space="0" w:color="auto"/>
        <w:right w:val="none" w:sz="0" w:space="0" w:color="auto"/>
      </w:divBdr>
    </w:div>
    <w:div w:id="1823961889">
      <w:bodyDiv w:val="1"/>
      <w:marLeft w:val="0"/>
      <w:marRight w:val="0"/>
      <w:marTop w:val="0"/>
      <w:marBottom w:val="0"/>
      <w:divBdr>
        <w:top w:val="none" w:sz="0" w:space="0" w:color="auto"/>
        <w:left w:val="none" w:sz="0" w:space="0" w:color="auto"/>
        <w:bottom w:val="none" w:sz="0" w:space="0" w:color="auto"/>
        <w:right w:val="none" w:sz="0" w:space="0" w:color="auto"/>
      </w:divBdr>
    </w:div>
    <w:div w:id="1837112819">
      <w:bodyDiv w:val="1"/>
      <w:marLeft w:val="0"/>
      <w:marRight w:val="0"/>
      <w:marTop w:val="0"/>
      <w:marBottom w:val="0"/>
      <w:divBdr>
        <w:top w:val="none" w:sz="0" w:space="0" w:color="auto"/>
        <w:left w:val="none" w:sz="0" w:space="0" w:color="auto"/>
        <w:bottom w:val="none" w:sz="0" w:space="0" w:color="auto"/>
        <w:right w:val="none" w:sz="0" w:space="0" w:color="auto"/>
      </w:divBdr>
    </w:div>
    <w:div w:id="1840079281">
      <w:bodyDiv w:val="1"/>
      <w:marLeft w:val="0"/>
      <w:marRight w:val="0"/>
      <w:marTop w:val="0"/>
      <w:marBottom w:val="0"/>
      <w:divBdr>
        <w:top w:val="none" w:sz="0" w:space="0" w:color="auto"/>
        <w:left w:val="none" w:sz="0" w:space="0" w:color="auto"/>
        <w:bottom w:val="none" w:sz="0" w:space="0" w:color="auto"/>
        <w:right w:val="none" w:sz="0" w:space="0" w:color="auto"/>
      </w:divBdr>
    </w:div>
    <w:div w:id="1850213076">
      <w:bodyDiv w:val="1"/>
      <w:marLeft w:val="0"/>
      <w:marRight w:val="0"/>
      <w:marTop w:val="0"/>
      <w:marBottom w:val="0"/>
      <w:divBdr>
        <w:top w:val="none" w:sz="0" w:space="0" w:color="auto"/>
        <w:left w:val="none" w:sz="0" w:space="0" w:color="auto"/>
        <w:bottom w:val="none" w:sz="0" w:space="0" w:color="auto"/>
        <w:right w:val="none" w:sz="0" w:space="0" w:color="auto"/>
      </w:divBdr>
    </w:div>
    <w:div w:id="1859272334">
      <w:bodyDiv w:val="1"/>
      <w:marLeft w:val="0"/>
      <w:marRight w:val="0"/>
      <w:marTop w:val="0"/>
      <w:marBottom w:val="0"/>
      <w:divBdr>
        <w:top w:val="none" w:sz="0" w:space="0" w:color="auto"/>
        <w:left w:val="none" w:sz="0" w:space="0" w:color="auto"/>
        <w:bottom w:val="none" w:sz="0" w:space="0" w:color="auto"/>
        <w:right w:val="none" w:sz="0" w:space="0" w:color="auto"/>
      </w:divBdr>
    </w:div>
    <w:div w:id="1864786777">
      <w:bodyDiv w:val="1"/>
      <w:marLeft w:val="0"/>
      <w:marRight w:val="0"/>
      <w:marTop w:val="0"/>
      <w:marBottom w:val="0"/>
      <w:divBdr>
        <w:top w:val="none" w:sz="0" w:space="0" w:color="auto"/>
        <w:left w:val="none" w:sz="0" w:space="0" w:color="auto"/>
        <w:bottom w:val="none" w:sz="0" w:space="0" w:color="auto"/>
        <w:right w:val="none" w:sz="0" w:space="0" w:color="auto"/>
      </w:divBdr>
    </w:div>
    <w:div w:id="1879660557">
      <w:bodyDiv w:val="1"/>
      <w:marLeft w:val="0"/>
      <w:marRight w:val="0"/>
      <w:marTop w:val="0"/>
      <w:marBottom w:val="0"/>
      <w:divBdr>
        <w:top w:val="none" w:sz="0" w:space="0" w:color="auto"/>
        <w:left w:val="none" w:sz="0" w:space="0" w:color="auto"/>
        <w:bottom w:val="none" w:sz="0" w:space="0" w:color="auto"/>
        <w:right w:val="none" w:sz="0" w:space="0" w:color="auto"/>
      </w:divBdr>
    </w:div>
    <w:div w:id="1887175964">
      <w:bodyDiv w:val="1"/>
      <w:marLeft w:val="0"/>
      <w:marRight w:val="0"/>
      <w:marTop w:val="0"/>
      <w:marBottom w:val="0"/>
      <w:divBdr>
        <w:top w:val="none" w:sz="0" w:space="0" w:color="auto"/>
        <w:left w:val="none" w:sz="0" w:space="0" w:color="auto"/>
        <w:bottom w:val="none" w:sz="0" w:space="0" w:color="auto"/>
        <w:right w:val="none" w:sz="0" w:space="0" w:color="auto"/>
      </w:divBdr>
    </w:div>
    <w:div w:id="1888639740">
      <w:bodyDiv w:val="1"/>
      <w:marLeft w:val="0"/>
      <w:marRight w:val="0"/>
      <w:marTop w:val="0"/>
      <w:marBottom w:val="0"/>
      <w:divBdr>
        <w:top w:val="none" w:sz="0" w:space="0" w:color="auto"/>
        <w:left w:val="none" w:sz="0" w:space="0" w:color="auto"/>
        <w:bottom w:val="none" w:sz="0" w:space="0" w:color="auto"/>
        <w:right w:val="none" w:sz="0" w:space="0" w:color="auto"/>
      </w:divBdr>
    </w:div>
    <w:div w:id="1907377046">
      <w:bodyDiv w:val="1"/>
      <w:marLeft w:val="0"/>
      <w:marRight w:val="0"/>
      <w:marTop w:val="0"/>
      <w:marBottom w:val="0"/>
      <w:divBdr>
        <w:top w:val="none" w:sz="0" w:space="0" w:color="auto"/>
        <w:left w:val="none" w:sz="0" w:space="0" w:color="auto"/>
        <w:bottom w:val="none" w:sz="0" w:space="0" w:color="auto"/>
        <w:right w:val="none" w:sz="0" w:space="0" w:color="auto"/>
      </w:divBdr>
    </w:div>
    <w:div w:id="1924758520">
      <w:bodyDiv w:val="1"/>
      <w:marLeft w:val="0"/>
      <w:marRight w:val="0"/>
      <w:marTop w:val="0"/>
      <w:marBottom w:val="0"/>
      <w:divBdr>
        <w:top w:val="none" w:sz="0" w:space="0" w:color="auto"/>
        <w:left w:val="none" w:sz="0" w:space="0" w:color="auto"/>
        <w:bottom w:val="none" w:sz="0" w:space="0" w:color="auto"/>
        <w:right w:val="none" w:sz="0" w:space="0" w:color="auto"/>
      </w:divBdr>
    </w:div>
    <w:div w:id="1925721412">
      <w:bodyDiv w:val="1"/>
      <w:marLeft w:val="0"/>
      <w:marRight w:val="0"/>
      <w:marTop w:val="0"/>
      <w:marBottom w:val="0"/>
      <w:divBdr>
        <w:top w:val="none" w:sz="0" w:space="0" w:color="auto"/>
        <w:left w:val="none" w:sz="0" w:space="0" w:color="auto"/>
        <w:bottom w:val="none" w:sz="0" w:space="0" w:color="auto"/>
        <w:right w:val="none" w:sz="0" w:space="0" w:color="auto"/>
      </w:divBdr>
    </w:div>
    <w:div w:id="1927686246">
      <w:bodyDiv w:val="1"/>
      <w:marLeft w:val="0"/>
      <w:marRight w:val="0"/>
      <w:marTop w:val="0"/>
      <w:marBottom w:val="0"/>
      <w:divBdr>
        <w:top w:val="none" w:sz="0" w:space="0" w:color="auto"/>
        <w:left w:val="none" w:sz="0" w:space="0" w:color="auto"/>
        <w:bottom w:val="none" w:sz="0" w:space="0" w:color="auto"/>
        <w:right w:val="none" w:sz="0" w:space="0" w:color="auto"/>
      </w:divBdr>
    </w:div>
    <w:div w:id="1929726293">
      <w:bodyDiv w:val="1"/>
      <w:marLeft w:val="0"/>
      <w:marRight w:val="0"/>
      <w:marTop w:val="0"/>
      <w:marBottom w:val="0"/>
      <w:divBdr>
        <w:top w:val="none" w:sz="0" w:space="0" w:color="auto"/>
        <w:left w:val="none" w:sz="0" w:space="0" w:color="auto"/>
        <w:bottom w:val="none" w:sz="0" w:space="0" w:color="auto"/>
        <w:right w:val="none" w:sz="0" w:space="0" w:color="auto"/>
      </w:divBdr>
    </w:div>
    <w:div w:id="1930000694">
      <w:bodyDiv w:val="1"/>
      <w:marLeft w:val="0"/>
      <w:marRight w:val="0"/>
      <w:marTop w:val="0"/>
      <w:marBottom w:val="0"/>
      <w:divBdr>
        <w:top w:val="none" w:sz="0" w:space="0" w:color="auto"/>
        <w:left w:val="none" w:sz="0" w:space="0" w:color="auto"/>
        <w:bottom w:val="none" w:sz="0" w:space="0" w:color="auto"/>
        <w:right w:val="none" w:sz="0" w:space="0" w:color="auto"/>
      </w:divBdr>
    </w:div>
    <w:div w:id="1939677421">
      <w:bodyDiv w:val="1"/>
      <w:marLeft w:val="0"/>
      <w:marRight w:val="0"/>
      <w:marTop w:val="0"/>
      <w:marBottom w:val="0"/>
      <w:divBdr>
        <w:top w:val="none" w:sz="0" w:space="0" w:color="auto"/>
        <w:left w:val="none" w:sz="0" w:space="0" w:color="auto"/>
        <w:bottom w:val="none" w:sz="0" w:space="0" w:color="auto"/>
        <w:right w:val="none" w:sz="0" w:space="0" w:color="auto"/>
      </w:divBdr>
    </w:div>
    <w:div w:id="1962951755">
      <w:bodyDiv w:val="1"/>
      <w:marLeft w:val="0"/>
      <w:marRight w:val="0"/>
      <w:marTop w:val="0"/>
      <w:marBottom w:val="0"/>
      <w:divBdr>
        <w:top w:val="none" w:sz="0" w:space="0" w:color="auto"/>
        <w:left w:val="none" w:sz="0" w:space="0" w:color="auto"/>
        <w:bottom w:val="none" w:sz="0" w:space="0" w:color="auto"/>
        <w:right w:val="none" w:sz="0" w:space="0" w:color="auto"/>
      </w:divBdr>
    </w:div>
    <w:div w:id="1987735513">
      <w:bodyDiv w:val="1"/>
      <w:marLeft w:val="0"/>
      <w:marRight w:val="0"/>
      <w:marTop w:val="0"/>
      <w:marBottom w:val="0"/>
      <w:divBdr>
        <w:top w:val="none" w:sz="0" w:space="0" w:color="auto"/>
        <w:left w:val="none" w:sz="0" w:space="0" w:color="auto"/>
        <w:bottom w:val="none" w:sz="0" w:space="0" w:color="auto"/>
        <w:right w:val="none" w:sz="0" w:space="0" w:color="auto"/>
      </w:divBdr>
    </w:div>
    <w:div w:id="2010673452">
      <w:bodyDiv w:val="1"/>
      <w:marLeft w:val="0"/>
      <w:marRight w:val="0"/>
      <w:marTop w:val="0"/>
      <w:marBottom w:val="0"/>
      <w:divBdr>
        <w:top w:val="none" w:sz="0" w:space="0" w:color="auto"/>
        <w:left w:val="none" w:sz="0" w:space="0" w:color="auto"/>
        <w:bottom w:val="none" w:sz="0" w:space="0" w:color="auto"/>
        <w:right w:val="none" w:sz="0" w:space="0" w:color="auto"/>
      </w:divBdr>
    </w:div>
    <w:div w:id="2016303188">
      <w:bodyDiv w:val="1"/>
      <w:marLeft w:val="0"/>
      <w:marRight w:val="0"/>
      <w:marTop w:val="0"/>
      <w:marBottom w:val="0"/>
      <w:divBdr>
        <w:top w:val="none" w:sz="0" w:space="0" w:color="auto"/>
        <w:left w:val="none" w:sz="0" w:space="0" w:color="auto"/>
        <w:bottom w:val="none" w:sz="0" w:space="0" w:color="auto"/>
        <w:right w:val="none" w:sz="0" w:space="0" w:color="auto"/>
      </w:divBdr>
    </w:div>
    <w:div w:id="2024814967">
      <w:bodyDiv w:val="1"/>
      <w:marLeft w:val="0"/>
      <w:marRight w:val="0"/>
      <w:marTop w:val="0"/>
      <w:marBottom w:val="0"/>
      <w:divBdr>
        <w:top w:val="none" w:sz="0" w:space="0" w:color="auto"/>
        <w:left w:val="none" w:sz="0" w:space="0" w:color="auto"/>
        <w:bottom w:val="none" w:sz="0" w:space="0" w:color="auto"/>
        <w:right w:val="none" w:sz="0" w:space="0" w:color="auto"/>
      </w:divBdr>
    </w:div>
    <w:div w:id="2032873286">
      <w:bodyDiv w:val="1"/>
      <w:marLeft w:val="0"/>
      <w:marRight w:val="0"/>
      <w:marTop w:val="0"/>
      <w:marBottom w:val="0"/>
      <w:divBdr>
        <w:top w:val="none" w:sz="0" w:space="0" w:color="auto"/>
        <w:left w:val="none" w:sz="0" w:space="0" w:color="auto"/>
        <w:bottom w:val="none" w:sz="0" w:space="0" w:color="auto"/>
        <w:right w:val="none" w:sz="0" w:space="0" w:color="auto"/>
      </w:divBdr>
    </w:div>
    <w:div w:id="2038965286">
      <w:bodyDiv w:val="1"/>
      <w:marLeft w:val="0"/>
      <w:marRight w:val="0"/>
      <w:marTop w:val="0"/>
      <w:marBottom w:val="0"/>
      <w:divBdr>
        <w:top w:val="none" w:sz="0" w:space="0" w:color="auto"/>
        <w:left w:val="none" w:sz="0" w:space="0" w:color="auto"/>
        <w:bottom w:val="none" w:sz="0" w:space="0" w:color="auto"/>
        <w:right w:val="none" w:sz="0" w:space="0" w:color="auto"/>
      </w:divBdr>
    </w:div>
    <w:div w:id="2039618327">
      <w:bodyDiv w:val="1"/>
      <w:marLeft w:val="0"/>
      <w:marRight w:val="0"/>
      <w:marTop w:val="0"/>
      <w:marBottom w:val="0"/>
      <w:divBdr>
        <w:top w:val="none" w:sz="0" w:space="0" w:color="auto"/>
        <w:left w:val="none" w:sz="0" w:space="0" w:color="auto"/>
        <w:bottom w:val="none" w:sz="0" w:space="0" w:color="auto"/>
        <w:right w:val="none" w:sz="0" w:space="0" w:color="auto"/>
      </w:divBdr>
    </w:div>
    <w:div w:id="2053193840">
      <w:bodyDiv w:val="1"/>
      <w:marLeft w:val="0"/>
      <w:marRight w:val="0"/>
      <w:marTop w:val="0"/>
      <w:marBottom w:val="0"/>
      <w:divBdr>
        <w:top w:val="none" w:sz="0" w:space="0" w:color="auto"/>
        <w:left w:val="none" w:sz="0" w:space="0" w:color="auto"/>
        <w:bottom w:val="none" w:sz="0" w:space="0" w:color="auto"/>
        <w:right w:val="none" w:sz="0" w:space="0" w:color="auto"/>
      </w:divBdr>
    </w:div>
    <w:div w:id="2055426805">
      <w:bodyDiv w:val="1"/>
      <w:marLeft w:val="0"/>
      <w:marRight w:val="0"/>
      <w:marTop w:val="0"/>
      <w:marBottom w:val="0"/>
      <w:divBdr>
        <w:top w:val="none" w:sz="0" w:space="0" w:color="auto"/>
        <w:left w:val="none" w:sz="0" w:space="0" w:color="auto"/>
        <w:bottom w:val="none" w:sz="0" w:space="0" w:color="auto"/>
        <w:right w:val="none" w:sz="0" w:space="0" w:color="auto"/>
      </w:divBdr>
    </w:div>
    <w:div w:id="2101441298">
      <w:bodyDiv w:val="1"/>
      <w:marLeft w:val="0"/>
      <w:marRight w:val="0"/>
      <w:marTop w:val="0"/>
      <w:marBottom w:val="0"/>
      <w:divBdr>
        <w:top w:val="none" w:sz="0" w:space="0" w:color="auto"/>
        <w:left w:val="none" w:sz="0" w:space="0" w:color="auto"/>
        <w:bottom w:val="none" w:sz="0" w:space="0" w:color="auto"/>
        <w:right w:val="none" w:sz="0" w:space="0" w:color="auto"/>
      </w:divBdr>
    </w:div>
    <w:div w:id="2109278413">
      <w:bodyDiv w:val="1"/>
      <w:marLeft w:val="0"/>
      <w:marRight w:val="0"/>
      <w:marTop w:val="0"/>
      <w:marBottom w:val="0"/>
      <w:divBdr>
        <w:top w:val="none" w:sz="0" w:space="0" w:color="auto"/>
        <w:left w:val="none" w:sz="0" w:space="0" w:color="auto"/>
        <w:bottom w:val="none" w:sz="0" w:space="0" w:color="auto"/>
        <w:right w:val="none" w:sz="0" w:space="0" w:color="auto"/>
      </w:divBdr>
    </w:div>
    <w:div w:id="2119443701">
      <w:bodyDiv w:val="1"/>
      <w:marLeft w:val="0"/>
      <w:marRight w:val="0"/>
      <w:marTop w:val="0"/>
      <w:marBottom w:val="0"/>
      <w:divBdr>
        <w:top w:val="none" w:sz="0" w:space="0" w:color="auto"/>
        <w:left w:val="none" w:sz="0" w:space="0" w:color="auto"/>
        <w:bottom w:val="none" w:sz="0" w:space="0" w:color="auto"/>
        <w:right w:val="none" w:sz="0" w:space="0" w:color="auto"/>
      </w:divBdr>
    </w:div>
    <w:div w:id="2123648070">
      <w:bodyDiv w:val="1"/>
      <w:marLeft w:val="0"/>
      <w:marRight w:val="0"/>
      <w:marTop w:val="0"/>
      <w:marBottom w:val="0"/>
      <w:divBdr>
        <w:top w:val="none" w:sz="0" w:space="0" w:color="auto"/>
        <w:left w:val="none" w:sz="0" w:space="0" w:color="auto"/>
        <w:bottom w:val="none" w:sz="0" w:space="0" w:color="auto"/>
        <w:right w:val="none" w:sz="0" w:space="0" w:color="auto"/>
      </w:divBdr>
    </w:div>
    <w:div w:id="2125490531">
      <w:bodyDiv w:val="1"/>
      <w:marLeft w:val="0"/>
      <w:marRight w:val="0"/>
      <w:marTop w:val="0"/>
      <w:marBottom w:val="0"/>
      <w:divBdr>
        <w:top w:val="none" w:sz="0" w:space="0" w:color="auto"/>
        <w:left w:val="none" w:sz="0" w:space="0" w:color="auto"/>
        <w:bottom w:val="none" w:sz="0" w:space="0" w:color="auto"/>
        <w:right w:val="none" w:sz="0" w:space="0" w:color="auto"/>
      </w:divBdr>
    </w:div>
    <w:div w:id="213471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microsoft.com/office/2007/relationships/hdphoto" Target="media/hdphoto2.wdp"/>
  <Relationship Id="rId11" Type="http://schemas.openxmlformats.org/officeDocument/2006/relationships/image" Target="media/image3.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styles" Target="styles.xml"/>
  <Relationship Id="rId20" Type="http://schemas.openxmlformats.org/officeDocument/2006/relationships/customXml" Target="../customXml/item2.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png"/>
  <Relationship Id="rId8" Type="http://schemas.microsoft.com/office/2007/relationships/hdphoto" Target="media/hdphoto1.wdp"/>
  <Relationship Id="rId9" Type="http://schemas.openxmlformats.org/officeDocument/2006/relationships/image" Target="media/image2.png"/>
</Relationships>

</file>

<file path=word/theme/theme1.xml><?xml version="1.0" encoding="utf-8"?>
<a:theme xmlns:a="http://schemas.openxmlformats.org/drawingml/2006/main" name="„Office“ tema">
  <a:themeElements>
    <a:clrScheme name="Šiauliai_">
      <a:dk1>
        <a:srgbClr val="2B2A28"/>
      </a:dk1>
      <a:lt1>
        <a:srgbClr val="F2F2F2"/>
      </a:lt1>
      <a:dk2>
        <a:srgbClr val="666666"/>
      </a:dk2>
      <a:lt2>
        <a:srgbClr val="FFFFFF"/>
      </a:lt2>
      <a:accent1>
        <a:srgbClr val="FDB515"/>
      </a:accent1>
      <a:accent2>
        <a:srgbClr val="E86700"/>
      </a:accent2>
      <a:accent3>
        <a:srgbClr val="A17C67"/>
      </a:accent3>
      <a:accent4>
        <a:srgbClr val="FDB515"/>
      </a:accent4>
      <a:accent5>
        <a:srgbClr val="FDD272"/>
      </a:accent5>
      <a:accent6>
        <a:srgbClr val="FDB515"/>
      </a:accent6>
      <a:hlink>
        <a:srgbClr val="FDB515"/>
      </a:hlink>
      <a:folHlink>
        <a:srgbClr val="666666"/>
      </a:folHlink>
    </a:clrScheme>
    <a:fontScheme name="Šiauliai">
      <a:majorFont>
        <a:latin typeface="Bahnschrift SemiBold SemiConden"/>
        <a:ea typeface=""/>
        <a:cs typeface=""/>
      </a:majorFont>
      <a:minorFont>
        <a:latin typeface="Bahnschrift Light SemiCondens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arts xmlns="http://lrs.lt/TAIS/DocParts">
  <Part Type="pagrindine" DocPartId="f108a9a5f7c94febb987ccbe881325e8" PartId="36504ae8d86b4824893e35cbdd2b2f2e"/>
  <Part Type="patvirtinta" Title="ŠIAULIŲ MIESTO SAVIVALDYBĖS" DocPartId="84c0a6df4d384346b38ce2d2281e2901" PartId="898f1279a6e8467695ca648f7a8f8b3a">
    <Part Type="skirsnis" Title="2025 –2033 METŲ STRATEGINIS PLĖTROS PLANAS" DocPartId="4bd28f31f43b496794357f64ed0d40d6" PartId="0e8def11602a465f9704945a5a2a45cf"/>
    <Part Type="skyrius" Nr="1" Title="BENDROJI INFORMACIJA" DocPartId="21aae772ca894dfeb4e3cb2bd96f0705" PartId="fc5fec956d354fbcbc08e4f0d782cb56"/>
    <Part Type="skyrius" Nr="2" Title="SAVIVALDYBĖS ESAMOS SITUACIJOS ANALIZĖ" DocPartId="8a836f8e24df4d07a5460ec02b4c4732" PartId="d40b60b48b404502a023bfaafe5d61c2"/>
    <Part Type="skyrius" Nr="3" Title="SAVIVALDYBĖS PLĖTROS VIZIJA" DocPartId="f4121822482445158a039598e358abcd" PartId="1e748474b75b464f8e4ef1599da86338"/>
    <Part Type="skyrius" Nr="4" Title="SAVIVALDYBĖS PLĖTROS TIKSLAI IR UŽDAVINIAI" DocPartId="7686bb8443e94acd9fa921049aa51704" PartId="c487f833e22446fb82b58aaea9026f8c"/>
    <Part Type="skyrius" Nr="5" Title="PRIEMONIŲ PLANAS" DocPartId="fec6947cee8b49a790a14e5070da5f67" PartId="6eb1156e546f462d9998e59d84226307"/>
    <Part Type="skyrius" Nr="6" Title="FINANSAVIMO PLANAS" DocPartId="1a8346f141994995b82ce3386a022bad" PartId="b01f09e8c77944d38812e867e012c1d3"/>
    <Part Type="skyrius" Nr="7" Title="SVARBIAUSI SAVIVALDYBĖS PROJEKTAI" DocPartId="7c2ed191b21948b78475f87b24b75b49" PartId="c4d794f616244c1e91388535d5824c66"/>
    <Part Type="skyrius" Nr="8" Title="PLANO ĮGYVENDINIMO IR STEBĖSENOS NUOSTATOS" DocPartId="acf9af42165240a79c61fe4f9ac79aae" PartId="f99943acf1dd4807806e85598ec98321"/>
  </Part>
</Parts>
</file>

<file path=customXml/itemProps1.xml><?xml version="1.0" encoding="utf-8"?>
<ds:datastoreItem xmlns:ds="http://schemas.openxmlformats.org/officeDocument/2006/customXml" ds:itemID="{7A9B74AE-0275-4390-9220-4840C2121B99}">
  <ds:schemaRefs>
    <ds:schemaRef ds:uri="http://schemas.openxmlformats.org/officeDocument/2006/bibliography"/>
  </ds:schemaRefs>
</ds:datastoreItem>
</file>

<file path=customXml/itemProps2.xml><?xml version="1.0" encoding="utf-8"?>
<ds:datastoreItem xmlns:ds="http://schemas.openxmlformats.org/officeDocument/2006/customXml" ds:itemID="{54F50733-5225-4673-A925-E62C84C8D4DA}">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16395</Words>
  <Characters>112636</Characters>
  <Application>Microsoft Office Word</Application>
  <DocSecurity>4</DocSecurity>
  <Lines>7039</Lines>
  <Paragraphs>3910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125121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2024-05-21T14:18:00Z</dcterms:created>
  <dc:creator>Giedrė Skairytė</dc:creator>
  <lastModifiedBy>adlibuser</lastModifiedBy>
  <lastPrinted>2024-05-15T09:10:00Z</lastPrinted>
  <dcterms:modified xsi:type="dcterms:W3CDTF">2024-05-21T14:18:00Z</dcterms:modified>
  <revision>2</revision>
</coreProperties>
</file>