
<file path=[Content_Types].xml><?xml version="1.0" encoding="utf-8"?>
<Types xmlns="http://schemas.openxmlformats.org/package/2006/content-types">
  <Default Extension="png" ContentType="image/png"/>
  <Default Extension="rels" ContentType="application/vnd.openxmlformats-package.relationships+xml"/>
  <Default Extension="wdp" ContentType="image/vnd.ms-photo"/>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ackground w:color="F2F2F2" w:themeColor="background1"/>
  <w:body>
    <w:sdt>
      <w:sdtPr>
        <w:alias w:val="pagrindine"/>
        <w:tag w:val="part_36504ae8d86b4824893e35cbdd2b2f2e"/>
        <w:lock w:val="sdtLocked"/>
        <w:richText/>
      </w:sdtPr>
      <w:sdtContent>
        <w:p>
          <w:pPr>
            <w:tabs>
              <w:tab w:val="center" w:pos="4819"/>
              <w:tab w:val="right" w:pos="9638"/>
            </w:tabs>
            <w:ind w:left="284" w:right="142"/>
            <w:jc w:val="both"/>
            <w:rPr>
              <w:rFonts w:eastAsia="MS Mincho"/>
              <w:kern w:val="2"/>
              <w:sz w:val="22"/>
              <w:szCs w:val="24"/>
            </w:rPr>
          </w:pPr>
        </w:p>
        <w:p>
          <w:pPr>
            <w:spacing w:line="276" w:lineRule="auto"/>
            <w:ind w:left="284"/>
            <w:rPr>
              <w:rFonts w:eastAsia="MS Mincho"/>
              <w:kern w:val="2"/>
              <w:sz w:val="22"/>
              <w:szCs w:val="24"/>
            </w:rPr>
          </w:pPr>
          <w:r>
            <w:rPr>
              <w:rFonts w:eastAsia="MS Mincho"/>
              <w:kern w:val="2"/>
              <w:sz w:val="22"/>
              <w:szCs w:val="24"/>
              <w:lang w:val="en-US"/>
            </w:rPr>
            <w:drawing>
              <wp:anchor distT="0" distB="0" distL="114300" distR="114300" simplePos="0" relativeHeight="251660288" behindDoc="0" locked="0" layoutInCell="1" allowOverlap="1" wp14:anchorId="5A94CE79" wp14:editId="506E3B7C">
                <wp:simplePos x="0" y="0"/>
                <wp:positionH relativeFrom="column">
                  <wp:posOffset>279885</wp:posOffset>
                </wp:positionH>
                <wp:positionV relativeFrom="paragraph">
                  <wp:posOffset>8778</wp:posOffset>
                </wp:positionV>
                <wp:extent cx="2286000" cy="2234436"/>
                <wp:effectExtent l="0" t="0" r="0" b="0"/>
                <wp:wrapNone/>
                <wp:docPr id="2" name="Paveikslėlis 1">
                  <a:extLst xmlns:a="http://schemas.openxmlformats.org/drawingml/2006/main">
                    <a:ext uri="{FF2B5EF4-FFF2-40B4-BE49-F238E27FC236}">
                      <a16:creationId xmlns:a16="http://schemas.microsoft.com/office/drawing/2014/main" id="{2D6AF2A2-4CBC-FA6A-77E6-BB6520EC5E0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aveikslėlis 1">
                          <a:extLst>
                            <a:ext uri="{FF2B5EF4-FFF2-40B4-BE49-F238E27FC236}">
                              <a16:creationId xmlns:a16="http://schemas.microsoft.com/office/drawing/2014/main" id="{2D6AF2A2-4CBC-FA6A-77E6-BB6520EC5E06}"/>
                            </a:ext>
                          </a:extLst>
                        </pic:cNvPr>
                        <pic:cNvPicPr>
                          <a:picLocks noChangeAspect="1"/>
                        </pic:cNvPicPr>
                      </pic:nvPicPr>
                      <pic:blipFill rotWithShape="1">
                        <a:blip r:embed="rId7" cstate="print">
                          <a:extLst>
                            <a:ext uri="{BEBA8EAE-BF5A-486C-A8C5-ECC9F3942E4B}">
                              <a14:imgProps xmlns:a14="http://schemas.microsoft.com/office/drawing/2010/main">
                                <a14:imgLayer r:embed="rId8">
                                  <a14:imgEffect>
                                    <a14:backgroundRemoval t="11268" b="72144" l="19875" r="80595">
                                      <a14:foregroundMark x1="45383" y1="11268" x2="45383" y2="11268"/>
                                      <a14:foregroundMark x1="19875" y1="40845" x2="19875" y2="40845"/>
                                      <a14:foregroundMark x1="45383" y1="72300" x2="45383" y2="72300"/>
                                      <a14:foregroundMark x1="80595" y1="36776" x2="80595" y2="36776"/>
                                    </a14:backgroundRemoval>
                                  </a14:imgEffect>
                                </a14:imgLayer>
                              </a14:imgProps>
                            </a:ext>
                            <a:ext uri="{28A0092B-C50C-407E-A947-70E740481C1C}">
                              <a14:useLocalDpi xmlns:a14="http://schemas.microsoft.com/office/drawing/2010/main" val="0"/>
                            </a:ext>
                          </a:extLst>
                        </a:blip>
                        <a:srcRect l="13958" t="6072" r="12857" b="22390"/>
                        <a:stretch/>
                      </pic:blipFill>
                      <pic:spPr>
                        <a:xfrm>
                          <a:off x="0" y="0"/>
                          <a:ext cx="2286000" cy="2234436"/>
                        </a:xfrm>
                        <a:prstGeom prst="rect">
                          <a:avLst/>
                        </a:prstGeom>
                      </pic:spPr>
                    </pic:pic>
                  </a:graphicData>
                </a:graphic>
                <wp14:sizeRelH relativeFrom="margin">
                  <wp14:pctWidth>0</wp14:pctWidth>
                </wp14:sizeRelH>
                <wp14:sizeRelV relativeFrom="margin">
                  <wp14:pctHeight>0</wp14:pctHeight>
                </wp14:sizeRelV>
              </wp:anchor>
            </w:drawing>
            <w:drawing>
              <wp:anchor distT="0" distB="0" distL="114300" distR="114300" simplePos="0" relativeHeight="251645952" behindDoc="0" locked="0" layoutInCell="1" allowOverlap="1" wp14:anchorId="0E35F9DC" wp14:editId="0456B54F">
                <wp:simplePos x="0" y="0"/>
                <wp:positionH relativeFrom="column">
                  <wp:posOffset>-8568</wp:posOffset>
                </wp:positionH>
                <wp:positionV relativeFrom="paragraph">
                  <wp:posOffset>-534016</wp:posOffset>
                </wp:positionV>
                <wp:extent cx="6496335" cy="9712325"/>
                <wp:effectExtent l="0" t="0" r="0" b="0"/>
                <wp:wrapNone/>
                <wp:docPr id="93436127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4361275" name="Picture 934361275"/>
                        <pic:cNvPicPr/>
                      </pic:nvPicPr>
                      <pic:blipFill rotWithShape="1">
                        <a:blip r:embed="rId9">
                          <a:duotone>
                            <a:prstClr val="black"/>
                            <a:schemeClr val="bg2">
                              <a:tint val="45000"/>
                              <a:satMod val="400000"/>
                            </a:schemeClr>
                          </a:duotone>
                          <a:extLst>
                            <a:ext uri="{BEBA8EAE-BF5A-486C-A8C5-ECC9F3942E4B}">
                              <a14:imgProps xmlns:a14="http://schemas.microsoft.com/office/drawing/2010/main">
                                <a14:imgLayer r:embed="rId10">
                                  <a14:imgEffect>
                                    <a14:saturation sat="0"/>
                                  </a14:imgEffect>
                                </a14:imgLayer>
                              </a14:imgProps>
                            </a:ext>
                            <a:ext uri="{28A0092B-C50C-407E-A947-70E740481C1C}">
                              <a14:useLocalDpi xmlns:a14="http://schemas.microsoft.com/office/drawing/2010/main" val="0"/>
                            </a:ext>
                          </a:extLst>
                        </a:blip>
                        <a:srcRect l="23908" t="-4" r="38463" b="4"/>
                        <a:stretch/>
                      </pic:blipFill>
                      <pic:spPr bwMode="auto">
                        <a:xfrm>
                          <a:off x="0" y="0"/>
                          <a:ext cx="6496335" cy="971232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pPr>
            <w:rPr>
              <w:sz w:val="10"/>
              <w:szCs w:val="10"/>
            </w:rPr>
          </w:pPr>
        </w:p>
        <w:p>
          <w:pPr>
            <w:spacing w:line="276" w:lineRule="auto"/>
            <w:rPr>
              <w:rFonts w:eastAsia="MS Mincho"/>
              <w:kern w:val="2"/>
              <w:sz w:val="22"/>
              <w:szCs w:val="24"/>
            </w:rPr>
          </w:pPr>
          <w:r>
            <w:rPr>
              <w:rFonts w:eastAsia="MS Mincho"/>
              <w:kern w:val="2"/>
              <w:sz w:val="22"/>
              <w:szCs w:val="24"/>
              <w:lang w:val="en-US"/>
            </w:rPr>
            <mc:AlternateContent>
              <mc:Choice Requires="wps">
                <w:drawing>
                  <wp:anchor distT="0" distB="0" distL="114300" distR="114300" simplePos="0" relativeHeight="251663360" behindDoc="0" locked="0" layoutInCell="1" allowOverlap="1" wp14:anchorId="2A58F781" wp14:editId="0F08BE24">
                    <wp:simplePos x="0" y="0"/>
                    <wp:positionH relativeFrom="margin">
                      <wp:align>left</wp:align>
                    </wp:positionH>
                    <wp:positionV relativeFrom="paragraph">
                      <wp:posOffset>5003717</wp:posOffset>
                    </wp:positionV>
                    <wp:extent cx="5581650" cy="2713328"/>
                    <wp:effectExtent l="0" t="0" r="0" b="0"/>
                    <wp:wrapNone/>
                    <wp:docPr id="67575290" name="Text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81650" cy="271332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 w:val="10"/>
                                    <w:szCs w:val="10"/>
                                  </w:rPr>
                                </w:pPr>
                              </w:p>
                              <w:p>
                                <w:pPr>
                                  <w:overflowPunct w:val="0"/>
                                  <w:spacing w:line="276" w:lineRule="auto"/>
                                  <w:ind w:left="284" w:right="142"/>
                                  <w:textAlignment w:val="baseline"/>
                                  <w:rPr>
                                    <w:rFonts w:eastAsia="MS PGothic"/>
                                    <w:b/>
                                    <w:bCs/>
                                    <w:caps/>
                                    <w:color w:val="F2F2F2"/>
                                    <w:kern w:val="24"/>
                                    <w:sz w:val="64"/>
                                    <w:szCs w:val="64"/>
                                  </w:rPr>
                                </w:pPr>
                                <w:r>
                                  <w:rPr>
                                    <w:rFonts w:eastAsia="MS PGothic"/>
                                    <w:b/>
                                    <w:bCs/>
                                    <w:caps/>
                                    <w:color w:val="F2F2F2"/>
                                    <w:kern w:val="24"/>
                                    <w:sz w:val="64"/>
                                    <w:szCs w:val="64"/>
                                  </w:rPr>
                                  <w:t xml:space="preserve">ŠIAULIŲ MIESTO </w:t>
                                </w:r>
                                <w:r>
                                  <w:rPr>
                                    <w:rFonts w:eastAsia="MS PGothic"/>
                                    <w:b/>
                                    <w:bCs/>
                                    <w:caps/>
                                    <w:color w:val="F2F2F2"/>
                                    <w:kern w:val="24"/>
                                    <w:sz w:val="64"/>
                                    <w:szCs w:val="64"/>
                                    <w:lang w:val="en-US"/>
                                  </w:rPr>
                                  <w:t>2025 – 2033 met</w:t>
                                </w:r>
                                <w:r>
                                  <w:rPr>
                                    <w:rFonts w:eastAsia="MS PGothic"/>
                                    <w:b/>
                                    <w:bCs/>
                                    <w:caps/>
                                    <w:color w:val="F2F2F2"/>
                                    <w:kern w:val="24"/>
                                    <w:sz w:val="64"/>
                                    <w:szCs w:val="64"/>
                                  </w:rPr>
                                  <w:t>ų strateginis plėtros planas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A58F781" id="_x0000_t202" coordsize="21600,21600" o:spt="202" path="m,l,21600r21600,l21600,xe">
                    <v:stroke joinstyle="miter"/>
                    <v:path gradientshapeok="t" o:connecttype="rect"/>
                  </v:shapetype>
                  <v:shape id="TextBox 9" o:spid="_x0000_s1026" type="#_x0000_t202" style="position:absolute;margin-left:0;margin-top:394pt;width:439.5pt;height:213.65pt;z-index:25166336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Zi72puQIAAMAFAAAOAAAAZHJzL2Uyb0RvYy54bWysVNtu2zAMfR+wfxD07vpS31GnaON4GNBd gHYfoNhyLMyWPEmJ0w3791FykqYtBgzb/GBIInV4SB7x6no/9GhHpWKCF9i/8DCivBYN45sCf3mo nBQjpQlvSC84LfAjVfh68fbN1TTmNBCd6BsqEYBwlU9jgTutx9x1Vd3RgagLMVIOxlbIgWjYyo3b SDIB+tC7gefF7iRkM0pRU6XgtJyNeGHx25bW+lPbKqpRX2Dgpu1f2v/a/N3FFck3kowdqw80yF+w GAjjEPQEVRJN0FayV1ADq6VQotUXtRhc0baspjYHyMb3XmRz35GR2lygOGo8lUn9P9j64+6zRKwp cJxESRRkUCROBujUA93rW7FHmanRNKocXO9HcNZ7OIZe23zVeCfqrwpxsewI39AbKcXUUdIAR9/c dM+uzjjKgKynD6KBKGSrhQXat3IwBYSSIEAHGo+n/gATVMNhFKV+HIGpBluQ+JeXQWpjkPx4fZRK v6NiQGZRYAkCsPBkd6e0oUPyo4uJxkXF+t6KoOfPDsBxPoHgcNXYDA3b0x+Zl63SVRo6YRCvnNAr S+emWoZOXPlJVF6Wy2Xp/zRx/TDvWNNQbsIc9eWHf9a/g9JnZZwUpkTPGgNnKCm5WS97iXYE9F3Z 71CQMzf3OQ1bBMjlRUp+EHq3QeZUcZo4YRVGTpZ4qeP52W0We2EWltXzlO4Yp/+eEpoKnEVBNKvp t7l59nudG8kHpmGC9GwocHpyIrnR4Io3trWasH5en5XC0H8qBbT72GirWCPSWa56v94DipHxWjSP oF0pQFmgQhh7sOiE/I7RBCOkwOrblkiKUf+eg/4zPwzBTdtNGCUBbOS5ZX1uIbwGqAJrjOblUs9z ajtKtukg0vziuLiBN9Myq+YnVoeXBmPCJnUYaWYOne+t19PgXfwCAAD//wMAUEsDBBQABgAIAAAA IQBuVAW33QAAAAkBAAAPAAAAZHJzL2Rvd25yZXYueG1sTI/NTsMwEITvSLyDtUjcqN1CaRriVAjE FdTyI3HbxtskIl5HsduEt2c5wW1WM5r9pthMvlMnGmIb2MJ8ZkARV8G1XFt4e326ykDFhOywC0wW vinCpjw/KzB3YeQtnXapVlLCMUcLTUp9rnWsGvIYZ6EnFu8QBo9JzqHWbsBRyn2nF8bcao8ty4cG e3poqPraHb2F9+fD58eNeakf/bIfw2Q0+7W29vJiur8DlWhKf2H4xRd0KIVpH47souosyJBkYZVl IsTOVmsRe8kt5str0GWh/y8ofwAAAP//AwBQSwECLQAUAAYACAAAACEAtoM4kv4AAADhAQAAEwAA AAAAAAAAAAAAAAAAAAAAW0NvbnRlbnRfVHlwZXNdLnhtbFBLAQItABQABgAIAAAAIQA4/SH/1gAA AJQBAAALAAAAAAAAAAAAAAAAAC8BAABfcmVscy8ucmVsc1BLAQItABQABgAIAAAAIQDZi72puQIA AMAFAAAOAAAAAAAAAAAAAAAAAC4CAABkcnMvZTJvRG9jLnhtbFBLAQItABQABgAIAAAAIQBuVAW3 3QAAAAkBAAAPAAAAAAAAAAAAAAAAABMFAABkcnMvZG93bnJldi54bWxQSwUGAAAAAAQABADzAAAA HQYAAAAA " filled="f" stroked="f">
                    <v:textbox>
                      <w:txbxContent>
                        <w:p>
                          <w:pPr>
                            <w:rPr>
                              <w:sz w:val="10"/>
                              <w:szCs w:val="10"/>
                            </w:rPr>
                          </w:pPr>
                        </w:p>
                        <w:p w14:paraId="27CA522A" w14:textId="1605B3A8">
                          <w:pPr>
                            <w:overflowPunct w:val="0"/>
                            <w:spacing w:line="276"/>
                            <w:ind w:left="284" w:right="142"/>
                            <w:textAlignment w:val="baseline"/>
                            <w:rPr>
                              <w:rFonts w:ascii="Times New Roman" w:hAnsi="Times New Roman" w:eastAsia="MS PGothic" w:cs="Times New Roman"/>
                              <w:b/>
                              <w:bCs/>
                              <w:caps/>
                              <w:color w:val="F2F2F2"/>
                              <w:kern w:val="24"/>
                              <w:sz w:val="64"/>
                              <w:szCs w:val="64"/>
                            </w:rPr>
                          </w:pPr>
                          <w:r>
                            <w:rPr>
                              <w:rFonts w:ascii="Times New Roman" w:hAnsi="Times New Roman" w:eastAsia="MS PGothic" w:cs="Times New Roman"/>
                              <w:b/>
                              <w:bCs/>
                              <w:caps/>
                              <w:color w:val="F2F2F2"/>
                              <w:kern w:val="24"/>
                              <w:sz w:val="64"/>
                              <w:szCs w:val="64"/>
                            </w:rPr>
                            <w:t xml:space="preserve">ŠIAULIŲ MIESTO </w:t>
                          </w:r>
                          <w:r>
                            <w:rPr>
                              <w:rFonts w:ascii="Times New Roman" w:hAnsi="Times New Roman" w:eastAsia="MS PGothic" w:cs="Times New Roman"/>
                              <w:b/>
                              <w:bCs/>
                              <w:caps/>
                              <w:color w:val="F2F2F2"/>
                              <w:kern w:val="24"/>
                              <w:sz w:val="64"/>
                              <w:szCs w:val="64"/>
                              <w:lang w:val="en-US"/>
                            </w:rPr>
                            <w:t>2025 – 2033 met</w:t>
                          </w:r>
                          <w:r>
                            <w:rPr>
                              <w:rFonts w:ascii="Times New Roman" w:hAnsi="Times New Roman" w:eastAsia="MS PGothic" w:cs="Times New Roman"/>
                              <w:b/>
                              <w:bCs/>
                              <w:caps/>
                              <w:color w:val="F2F2F2"/>
                              <w:kern w:val="24"/>
                              <w:sz w:val="64"/>
                              <w:szCs w:val="64"/>
                            </w:rPr>
                            <w:t>ų strateginis plėtros planas</w:t>
                          </w:r>
                        </w:p>
                      </w:txbxContent>
                    </v:textbox>
                    <w10:wrap anchorx="margin"/>
                  </v:shape>
                </w:pict>
              </mc:Fallback>
            </mc:AlternateContent>
            <mc:AlternateContent>
              <mc:Choice Requires="wps">
                <w:drawing>
                  <wp:anchor distT="0" distB="0" distL="114300" distR="114300" simplePos="0" relativeHeight="251676672" behindDoc="0" locked="0" layoutInCell="1" allowOverlap="1" wp14:anchorId="7A7D99EE" wp14:editId="5DBF5465">
                    <wp:simplePos x="0" y="0"/>
                    <wp:positionH relativeFrom="margin">
                      <wp:align>center</wp:align>
                    </wp:positionH>
                    <wp:positionV relativeFrom="paragraph">
                      <wp:posOffset>8266430</wp:posOffset>
                    </wp:positionV>
                    <wp:extent cx="850900" cy="482600"/>
                    <wp:effectExtent l="0" t="0" r="0" b="0"/>
                    <wp:wrapNone/>
                    <wp:docPr id="251308306" name="Text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50900" cy="482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 w:val="10"/>
                                    <w:szCs w:val="10"/>
                                  </w:rPr>
                                </w:pPr>
                              </w:p>
                              <w:p>
                                <w:pPr>
                                  <w:overflowPunct w:val="0"/>
                                  <w:spacing w:line="276" w:lineRule="auto"/>
                                  <w:ind w:right="142"/>
                                  <w:jc w:val="center"/>
                                  <w:textAlignment w:val="baseline"/>
                                  <w:rPr>
                                    <w:rFonts w:eastAsia="MS PGothic"/>
                                    <w:b/>
                                    <w:bCs/>
                                    <w:caps/>
                                    <w:color w:val="F2F2F2"/>
                                    <w:kern w:val="24"/>
                                    <w:sz w:val="36"/>
                                    <w:szCs w:val="36"/>
                                    <w:lang w:val="en-US"/>
                                  </w:rPr>
                                </w:pPr>
                                <w:r>
                                  <w:rPr>
                                    <w:rFonts w:eastAsia="MS PGothic"/>
                                    <w:b/>
                                    <w:bCs/>
                                    <w:caps/>
                                    <w:color w:val="F2F2F2"/>
                                    <w:kern w:val="24"/>
                                    <w:sz w:val="36"/>
                                    <w:szCs w:val="36"/>
                                    <w:lang w:val="en-US"/>
                                  </w:rPr>
                                  <w:t>2024</w:t>
                                </w:r>
                              </w:p>
                              <w:p>
                                <w:pPr>
                                  <w:rPr>
                                    <w:sz w:val="10"/>
                                    <w:szCs w:val="10"/>
                                  </w:rPr>
                                </w:pPr>
                              </w:p>
                              <w:p>
                                <w:pPr>
                                  <w:overflowPunct w:val="0"/>
                                  <w:spacing w:line="276" w:lineRule="auto"/>
                                  <w:ind w:right="142"/>
                                  <w:jc w:val="center"/>
                                  <w:textAlignment w:val="baseline"/>
                                  <w:rPr>
                                    <w:rFonts w:ascii="Bahnschrift SemiBold SemiConden" w:eastAsia="MS PGothic" w:hAnsi="Bahnschrift SemiBold SemiConden"/>
                                    <w:caps/>
                                    <w:color w:val="F2F2F2"/>
                                    <w:kern w:val="24"/>
                                    <w:sz w:val="36"/>
                                    <w:szCs w:val="36"/>
                                    <w:lang w:val="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A7D99EE" id="_x0000_s1027" type="#_x0000_t202" style="position:absolute;margin-left:0;margin-top:650.9pt;width:67pt;height:38pt;z-index:25167667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bqvoNuwIAAMYFAAAOAAAAZHJzL2Uyb0RvYy54bWysVG1vmzAQ/j5p/8Hyd4qhhAAqqdoQpknd i9TuBzhggjWwme2EdNP++84mSdNWk6ZtfEC27/zcPXeP7+p633dox5TmUuQ4uCAYMVHJmotNjr88 lF6CkTZU1LSTguX4kWl8vXj75mocMhbKVnY1UwhAhM7GIcetMUPm+7pqWU/1hRyYAGMjVU8NbNXG rxUdAb3v/JCQ2B+lqgclK6Y1nBaTES8cftOwynxqGs0M6nIMuRn3V+6/tn9/cUWzjaJDy6tDGvQv sugpFxD0BFVQQ9FW8VdQPa+U1LIxF5Xsfdk0vGKOA7AJyAs29y0dmOMCxdHDqUz6/8FWH3efFeJ1 jsNZcEmSSxJjJGgPrXpge3Mr9yi1RRoHnYHv/QDeZg/H0GxHWA93svqqkZDLlooNu1FKji2jNSQZ 2Jv+2dUJR1uQ9fhB1hCFbo10QPtG9baCUBME6NCsx1ODIBNUwWEyIykBSwWmKAljWNsINDteHpQ2 75jskV3kWEH/HTjd3WkzuR5dbCwhS951cE6zTjw7AMzpBELDVWuzSbiW/khJukpWSeRFYbzyIlIU 3k25jLy4DOaz4rJYLovgp40bRFnL65oJG+YoryD6s/YdhD4J4yQwLTteWzibklab9bJTaEdB3qX7 DgU5c/Ofp+HqBVxeUArCiNyGqVfGydyLymjmpXOSeCRIb9OYRGlUlM8p3XHB/p0SGnOczsLZpKXf ciPue82NZj03MEA63oM6Tk40swpcidq11lDeTeuzUtj0n0oB7T422unVSnQSq9mv9+59ODFbLa9l /QgCVhIEBlqE4QeLVqrvGI0wSHKsv22pYhh17wU8gjSIIjt53CaazUPYqHPL+txCRQVQOTYYTcul mabVdlB800Kk6dkJeQMPp+FO1E9ZHZ4bDAvH7TDY7DQ63zuvp/G7+AUAAP//AwBQSwMEFAAGAAgA AAAhALFmArjdAAAACgEAAA8AAABkcnMvZG93bnJldi54bWxMj09PwzAMxe9IfIfISNxYMjbYKE0n BOIK2vgjcfMar61onKrJ1vLtcU9ws9+znn8v34y+VSfqYxPYwnxmQBGXwTVcWXh/e75ag4oJ2WEb mCz8UIRNcX6WY+bCwFs67VKlJIRjhhbqlLpM61jW5DHOQkcs3iH0HpOsfaVdj4OE+1ZfG3OrPTYs H2rs6LGm8nt39BY+Xg5fn0vzWj35m24Io9Hs77S1lxfjwz2oRGP6O4YJX9ChEKZ9OLKLqrUgRZKo CzOXBpO/WIq0n4bVag26yPX/CsUvAAAA//8DAFBLAQItABQABgAIAAAAIQC2gziS/gAAAOEBAAAT AAAAAAAAAAAAAAAAAAAAAABbQ29udGVudF9UeXBlc10ueG1sUEsBAi0AFAAGAAgAAAAhADj9If/W AAAAlAEAAAsAAAAAAAAAAAAAAAAALwEAAF9yZWxzLy5yZWxzUEsBAi0AFAAGAAgAAAAhAJuq+g27 AgAAxgUAAA4AAAAAAAAAAAAAAAAALgIAAGRycy9lMm9Eb2MueG1sUEsBAi0AFAAGAAgAAAAhALFm ArjdAAAACgEAAA8AAAAAAAAAAAAAAAAAFQUAAGRycy9kb3ducmV2LnhtbFBLBQYAAAAABAAEAPMA AAAfBgAAAAA= " filled="f" stroked="f">
                    <v:textbox>
                      <w:txbxContent>
                        <w:p>
                          <w:pPr>
                            <w:rPr>
                              <w:sz w:val="10"/>
                              <w:szCs w:val="10"/>
                            </w:rPr>
                          </w:pPr>
                        </w:p>
                        <w:p w14:paraId="53100AAE" w14:textId="109126AC">
                          <w:pPr>
                            <w:overflowPunct w:val="0"/>
                            <w:spacing w:line="276"/>
                            <w:ind w:right="142"/>
                            <w:jc w:val="center"/>
                            <w:textAlignment w:val="baseline"/>
                            <w:rPr>
                              <w:rFonts w:ascii="Times New Roman" w:hAnsi="Times New Roman" w:eastAsia="MS PGothic" w:cs="Times New Roman"/>
                              <w:b/>
                              <w:bCs/>
                              <w:caps/>
                              <w:color w:val="F2F2F2"/>
                              <w:kern w:val="24"/>
                              <w:sz w:val="36"/>
                              <w:szCs w:val="36"/>
                              <w:lang w:val="en-US"/>
                            </w:rPr>
                          </w:pPr>
                          <w:r>
                            <w:rPr>
                              <w:rFonts w:ascii="Times New Roman" w:hAnsi="Times New Roman" w:eastAsia="MS PGothic" w:cs="Times New Roman"/>
                              <w:b/>
                              <w:bCs/>
                              <w:caps/>
                              <w:color w:val="F2F2F2"/>
                              <w:kern w:val="24"/>
                              <w:sz w:val="36"/>
                              <w:szCs w:val="36"/>
                              <w:lang w:val="en-US"/>
                            </w:rPr>
                            <w:t>2024</w:t>
                          </w:r>
                        </w:p>
                        <w:p>
                          <w:pPr>
                            <w:rPr>
                              <w:sz w:val="10"/>
                              <w:szCs w:val="10"/>
                            </w:rPr>
                          </w:pPr>
                        </w:p>
                        <w:p w14:paraId="37B3447D" w14:textId="77777777">
                          <w:pPr>
                            <w:overflowPunct w:val="0"/>
                            <w:spacing w:line="276"/>
                            <w:ind w:right="142"/>
                            <w:jc w:val="center"/>
                            <w:textAlignment w:val="baseline"/>
                            <w:rPr>
                              <w:rFonts w:ascii="Bahnschrift SemiBold SemiConden" w:hAnsi="Bahnschrift SemiBold SemiConden" w:eastAsia="MS PGothic"/>
                              <w:caps/>
                              <w:color w:val="F2F2F2"/>
                              <w:kern w:val="24"/>
                              <w:sz w:val="36"/>
                              <w:szCs w:val="36"/>
                              <w:lang w:val="en-US"/>
                            </w:rPr>
                          </w:pPr>
                        </w:p>
                      </w:txbxContent>
                    </v:textbox>
                    <w10:wrap anchorx="margin"/>
                  </v:shape>
                </w:pict>
              </mc:Fallback>
            </mc:AlternateContent>
            <mc:AlternateContent>
              <mc:Choice Requires="wps">
                <w:drawing>
                  <wp:anchor distT="0" distB="0" distL="114300" distR="114300" simplePos="0" relativeHeight="251662336" behindDoc="0" locked="0" layoutInCell="1" allowOverlap="1" wp14:anchorId="474B77A3" wp14:editId="4F053652">
                    <wp:simplePos x="0" y="0"/>
                    <wp:positionH relativeFrom="column">
                      <wp:posOffset>-534670</wp:posOffset>
                    </wp:positionH>
                    <wp:positionV relativeFrom="paragraph">
                      <wp:posOffset>4752975</wp:posOffset>
                    </wp:positionV>
                    <wp:extent cx="6212840" cy="3294380"/>
                    <wp:effectExtent l="8890" t="4445" r="7620" b="6350"/>
                    <wp:wrapNone/>
                    <wp:docPr id="962479265" name="Freeform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212840" cy="3294380"/>
                            </a:xfrm>
                            <a:custGeom>
                              <a:avLst/>
                              <a:gdLst>
                                <a:gd name="T0" fmla="*/ 11305256 w 8860"/>
                                <a:gd name="T1" fmla="*/ 0 h 3896"/>
                                <a:gd name="T2" fmla="*/ 0 w 8860"/>
                                <a:gd name="T3" fmla="*/ 0 h 3896"/>
                                <a:gd name="T4" fmla="*/ 6046997 w 8860"/>
                                <a:gd name="T5" fmla="*/ 6120680 h 3896"/>
                                <a:gd name="T6" fmla="*/ 11305256 w 8860"/>
                                <a:gd name="T7" fmla="*/ 6120680 h 3896"/>
                                <a:gd name="T8" fmla="*/ 11305256 w 8860"/>
                                <a:gd name="T9" fmla="*/ 0 h 389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8860" h="3896">
                                  <a:moveTo>
                                    <a:pt x="0" y="3896"/>
                                  </a:moveTo>
                                  <a:lnTo>
                                    <a:pt x="1" y="0"/>
                                  </a:lnTo>
                                  <a:lnTo>
                                    <a:pt x="8860" y="2"/>
                                  </a:lnTo>
                                  <a:lnTo>
                                    <a:pt x="8860" y="3896"/>
                                  </a:lnTo>
                                  <a:lnTo>
                                    <a:pt x="0" y="3896"/>
                                  </a:lnTo>
                                  <a:close/>
                                </a:path>
                              </a:pathLst>
                            </a:custGeom>
                            <a:solidFill>
                              <a:schemeClr val="accent1">
                                <a:lumMod val="100000"/>
                                <a:lumOff val="0"/>
                              </a:schemeClr>
                            </a:solidFill>
                            <a:ln>
                              <a:noFill/>
                            </a:ln>
                            <a:extLst>
                              <a:ext uri="{91240B29-F687-4F45-9708-019B960494DF}">
                                <a14:hiddenLine xmlns:a14="http://schemas.microsoft.com/office/drawing/2010/main" w="6350">
                                  <a:solidFill>
                                    <a:srgbClr val="000000"/>
                                  </a:solidFill>
                                  <a:miter lim="800000"/>
                                  <a:headEnd/>
                                  <a:tailEnd/>
                                </a14:hiddenLine>
                              </a:ext>
                            </a:ex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A640E0C" id="Freeform 4" o:spid="_x0000_s1026" style="position:absolute;margin-left:-42.1pt;margin-top:374.25pt;width:489.2pt;height:259.4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8860,3896"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7H68OKQMAAHoIAAAOAAAAZHJzL2Uyb0RvYy54bWyslltv2yAUgN8n7T8gP05afUuci+pWU6tO k7qL1OwHEIxjaxg8IHG6X78D2C5um2ya1gfHcD4fzo1zenl9bBg6UKlqwfMgvogCRDkRRc13efB9 c/d+GSClMS8wE5zmwSNVwfXV2zeXXbumiagEK6hEoISrddfmQaV1uw5DRSraYHUhWspBWArZYA1L uQsLiTvQ3rAwiaIs7IQsWikIVQp2b50wuLL6y5IS/bUsFdWI5QHYpu1T2ufWPMOrS7zeSdxWNenN wP9gRYNrDoeOqm6xxmgv6xeqmppIoUSpL4hoQlGWNaHWB/Amjp5581DhllpfIDiqHcOk/p9a8uXw 0H6TxnTV3gvyQ0FEwq5V61FiFgoYtO0+iwJyiPdaWGePpWzMl+AGOtqYPo4xpUeNCGxmSZwsZxB6 ArI0Wc3SpY16iNfD52Sv9EcqrCp8uFfaJaWANxvSAnHcwLkb0FI2DPLzLkRxnEbzZJ6hDi2X2ZDI EY09NEIVSperrE/2yCQT5nU96YR5Xc/MY7Jolq1WixNWzX0yTqJsecq2zCP/4OrCQ7OzSuEu/m38 Vh56ysbYz0eEsgj+UDafpy8iHU/TcY6cJuUcOU3NOdJP0As7oRB3Q6nhaqg+cuR9+cEbwqabbcBf U4+tUKbaTTVCSW9iU1agBDgj9fB4goNjBk9P4skEB5sNPj+JpxMc6sXgi5P4bIJDJRh85ePOh95r CZ3zec+UAYKeuTXfQBSwNsEaXlGXB/YeogquublsRtKIA90Iy+inDjHcRTjwCWDcB6FewL6hUQyy 4be1ytxxgCW9F4N4+H2GeccOxPDrSJfQVzDChKIuy8Ztm+7RfxM2r4EpwerirmbMeG3HGL1hEh0w DCBMCOXalQXbN9BN3X5sbk7fwmAfJpbbH/wf1diTJycwW3RcmBOdhWbHNnDTs80cVOutKB6hf0vh xh+Ma3iphPwVoA5GXx6on3ssaYDYJw6zZRXPTMPWdjGbLxJYSF+y9SWYE1CVB0RDfbjFjXYTdt/K elfBWc5lLj7A5Chr09+thc6ufgEDzrrXD2MzQf21pZ7+Zbj6DQAA//8DAFBLAwQUAAYACAAAACEA N2ndO+EAAAAMAQAADwAAAGRycy9kb3ducmV2LnhtbEyPwU7DMAyG70i8Q2QkLmhL6cZaStOJVXAb SGxwzxLTVmuckmRb4enJTnC0/en395fL0fTsiM53lgTcThNgSMrqjhoB79vnSQ7MB0la9pZQwDd6 WFaXF6UstD3RGx43oWExhHwhBbQhDAXnXrVopJ/aASnePq0zMsTRNVw7eYrhpudpkiy4kR3FD60c sG5R7TcHI0Ct9qr++nmZ1esVNh/mKXu92Tohrq/GxwdgAcfwB8NZP6pDFZ129kDas17AJJ+nERWQ zfM7YJHI78+bXUTTRTYDXpX8f4nqFwAA//8DAFBLAQItABQABgAIAAAAIQC2gziS/gAAAOEBAAAT AAAAAAAAAAAAAAAAAAAAAABbQ29udGVudF9UeXBlc10ueG1sUEsBAi0AFAAGAAgAAAAhADj9If/W AAAAlAEAAAsAAAAAAAAAAAAAAAAALwEAAF9yZWxzLy5yZWxzUEsBAi0AFAAGAAgAAAAhADsfrw4p AwAAeggAAA4AAAAAAAAAAAAAAAAALgIAAGRycy9lMm9Eb2MueG1sUEsBAi0AFAAGAAgAAAAhADdp 3TvhAAAADAEAAA8AAAAAAAAAAAAAAAAAgwUAAGRycy9kb3ducmV2LnhtbFBLBQYAAAAABAAEAPMA AACRBgAAAAA= " path="m,3896l1,,8860,2r,3894l,3896xe" fillcolor="#fdb515 [3204]" stroked="f" strokeweight=".5pt">
                    <v:stroke joinstyle="miter"/>
                    <v:path arrowok="t" o:connecttype="custom" o:connectlocs="2147483646,0;0,0;2147483646,2147483646;2147483646,2147483646;2147483646,0" o:connectangles="0,0,0,0,0"/>
                  </v:shape>
                </w:pict>
              </mc:Fallback>
            </mc:AlternateContent>
          </w:r>
          <w:r>
            <w:rPr>
              <w:rFonts w:eastAsia="MS Mincho"/>
              <w:caps/>
              <w:color w:val="FDB515"/>
              <w:kern w:val="2"/>
              <w:sz w:val="32"/>
              <w:szCs w:val="32"/>
              <w:lang w:val="en-US"/>
            </w:rPr>
            <w:drawing>
              <wp:anchor distT="0" distB="0" distL="114300" distR="114300" simplePos="0" relativeHeight="251674624" behindDoc="0" locked="0" layoutInCell="1" allowOverlap="1" wp14:anchorId="3111903A" wp14:editId="4E2D32C9">
                <wp:simplePos x="0" y="0"/>
                <wp:positionH relativeFrom="column">
                  <wp:posOffset>5200352</wp:posOffset>
                </wp:positionH>
                <wp:positionV relativeFrom="paragraph">
                  <wp:posOffset>18415</wp:posOffset>
                </wp:positionV>
                <wp:extent cx="987497" cy="430306"/>
                <wp:effectExtent l="0" t="0" r="0" b="0"/>
                <wp:wrapNone/>
                <wp:docPr id="8979282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792821" name="Picture 89792821"/>
                        <pic:cNvPicPr/>
                      </pic:nvPicPr>
                      <pic:blipFill>
                        <a:blip r:embed="rId11">
                          <a:extLst>
                            <a:ext uri="{28A0092B-C50C-407E-A947-70E740481C1C}">
                              <a14:useLocalDpi xmlns:a14="http://schemas.microsoft.com/office/drawing/2010/main" val="0"/>
                            </a:ext>
                          </a:extLst>
                        </a:blip>
                        <a:stretch>
                          <a:fillRect/>
                        </a:stretch>
                      </pic:blipFill>
                      <pic:spPr>
                        <a:xfrm>
                          <a:off x="0" y="0"/>
                          <a:ext cx="987497" cy="430306"/>
                        </a:xfrm>
                        <a:prstGeom prst="rect">
                          <a:avLst/>
                        </a:prstGeom>
                      </pic:spPr>
                    </pic:pic>
                  </a:graphicData>
                </a:graphic>
                <wp14:sizeRelH relativeFrom="margin">
                  <wp14:pctWidth>0</wp14:pctWidth>
                </wp14:sizeRelH>
                <wp14:sizeRelV relativeFrom="margin">
                  <wp14:pctHeight>0</wp14:pctHeight>
                </wp14:sizeRelV>
              </wp:anchor>
            </w:drawing>
          </w:r>
          <w:r>
            <w:rPr>
              <w:rFonts w:eastAsia="MS Mincho"/>
              <w:kern w:val="2"/>
              <w:sz w:val="22"/>
              <w:szCs w:val="24"/>
            </w:rPr>
            <w:br w:type="page"/>
          </w:r>
        </w:p>
        <w:p>
          <w:pPr>
            <w:rPr>
              <w:sz w:val="20"/>
            </w:rPr>
          </w:pPr>
        </w:p>
        <w:p>
          <w:pPr>
            <w:keepNext/>
            <w:keepLines/>
            <w:ind w:left="284" w:right="142"/>
            <w:jc w:val="both"/>
            <w:rPr>
              <w:rFonts w:eastAsia="MS Mincho"/>
              <w:b/>
              <w:bCs/>
              <w:caps/>
              <w:color w:val="FDB515"/>
              <w:kern w:val="2"/>
              <w:sz w:val="32"/>
              <w:szCs w:val="32"/>
            </w:rPr>
          </w:pPr>
          <w:r>
            <w:rPr>
              <w:rFonts w:eastAsia="MS Mincho"/>
              <w:b/>
              <w:bCs/>
              <w:caps/>
              <w:color w:val="FDB515"/>
              <w:kern w:val="2"/>
              <w:sz w:val="32"/>
              <w:szCs w:val="32"/>
            </w:rPr>
            <w:t>VARTOJAMOS SANTRUMPOS</w:t>
          </w:r>
        </w:p>
        <w:p>
          <w:pPr>
            <w:rPr>
              <w:sz w:val="10"/>
              <w:szCs w:val="10"/>
            </w:rPr>
          </w:pPr>
        </w:p>
        <w:p/>
        <w:tbl>
          <w:tblPr>
            <w:tblW w:w="8454" w:type="dxa"/>
            <w:tblBorders>
              <w:insideV w:val="double" w:sz="4" w:space="0" w:color="CB8C01"/>
            </w:tblBorders>
            <w:tblLook w:val="04A0" w:firstRow="1" w:lastRow="0" w:firstColumn="1" w:lastColumn="0" w:noHBand="0" w:noVBand="1"/>
          </w:tblPr>
          <w:tblGrid>
            <w:gridCol w:w="1710"/>
            <w:gridCol w:w="6744"/>
          </w:tblGrid>
          <w:tr>
            <w:trPr>
              <w:trHeight w:val="336"/>
            </w:trPr>
            <w:tc>
              <w:tcPr>
                <w:tcW w:w="1710" w:type="dxa"/>
                <w:shd w:val="clear" w:color="auto" w:fill="auto"/>
                <w:noWrap/>
                <w:vAlign w:val="center"/>
                <w:hideMark/>
              </w:tcPr>
              <w:p>
                <w:pPr>
                  <w:spacing w:before="120" w:after="120"/>
                  <w:ind w:left="284" w:right="142"/>
                  <w:jc w:val="right"/>
                  <w:rPr>
                    <w:b/>
                    <w:bCs/>
                    <w:color w:val="000000"/>
                    <w:kern w:val="2"/>
                    <w:sz w:val="22"/>
                    <w:szCs w:val="24"/>
                    <w:lang w:eastAsia="lt-LT"/>
                  </w:rPr>
                </w:pPr>
                <w:r>
                  <w:rPr>
                    <w:b/>
                    <w:bCs/>
                    <w:color w:val="000000"/>
                    <w:szCs w:val="24"/>
                    <w:lang w:eastAsia="lt-LT"/>
                  </w:rPr>
                  <w:t>AAA</w:t>
                </w:r>
              </w:p>
            </w:tc>
            <w:tc>
              <w:tcPr>
                <w:tcW w:w="6744" w:type="dxa"/>
                <w:shd w:val="clear" w:color="auto" w:fill="auto"/>
                <w:vAlign w:val="center"/>
                <w:hideMark/>
              </w:tcPr>
              <w:p>
                <w:pPr>
                  <w:rPr>
                    <w:szCs w:val="24"/>
                    <w:lang w:eastAsia="lt-LT"/>
                  </w:rPr>
                </w:pPr>
                <w:r>
                  <w:rPr>
                    <w:szCs w:val="24"/>
                    <w:lang w:eastAsia="lt-LT"/>
                  </w:rPr>
                  <w:t>BĮ Aplinkos apsaugos agentūra</w:t>
                </w:r>
              </w:p>
            </w:tc>
          </w:tr>
          <w:tr>
            <w:trPr>
              <w:trHeight w:val="357"/>
            </w:trPr>
            <w:tc>
              <w:tcPr>
                <w:tcW w:w="1710" w:type="dxa"/>
                <w:shd w:val="clear" w:color="auto" w:fill="auto"/>
                <w:noWrap/>
                <w:vAlign w:val="center"/>
                <w:hideMark/>
              </w:tcPr>
              <w:p>
                <w:pPr>
                  <w:jc w:val="right"/>
                  <w:rPr>
                    <w:b/>
                    <w:bCs/>
                    <w:color w:val="000000"/>
                    <w:szCs w:val="24"/>
                    <w:lang w:eastAsia="lt-LT"/>
                  </w:rPr>
                </w:pPr>
                <w:r>
                  <w:rPr>
                    <w:b/>
                    <w:bCs/>
                    <w:color w:val="000000"/>
                    <w:szCs w:val="24"/>
                    <w:lang w:eastAsia="lt-LT"/>
                  </w:rPr>
                  <w:t>AAS</w:t>
                </w:r>
              </w:p>
            </w:tc>
            <w:tc>
              <w:tcPr>
                <w:tcW w:w="6744" w:type="dxa"/>
                <w:shd w:val="clear" w:color="auto" w:fill="auto"/>
                <w:vAlign w:val="center"/>
                <w:hideMark/>
              </w:tcPr>
              <w:p>
                <w:pPr>
                  <w:rPr>
                    <w:szCs w:val="24"/>
                    <w:lang w:eastAsia="lt-LT"/>
                  </w:rPr>
                </w:pPr>
                <w:r>
                  <w:rPr>
                    <w:szCs w:val="24"/>
                    <w:lang w:eastAsia="lt-LT"/>
                  </w:rPr>
                  <w:t>Asmenų aptarnavimo skyrius</w:t>
                </w:r>
              </w:p>
            </w:tc>
          </w:tr>
          <w:tr>
            <w:trPr>
              <w:trHeight w:val="379"/>
            </w:trPr>
            <w:tc>
              <w:tcPr>
                <w:tcW w:w="1710" w:type="dxa"/>
                <w:shd w:val="clear" w:color="auto" w:fill="auto"/>
                <w:noWrap/>
                <w:vAlign w:val="center"/>
                <w:hideMark/>
              </w:tcPr>
              <w:p>
                <w:pPr>
                  <w:jc w:val="right"/>
                  <w:rPr>
                    <w:b/>
                    <w:bCs/>
                    <w:color w:val="000000"/>
                    <w:szCs w:val="24"/>
                    <w:lang w:eastAsia="lt-LT"/>
                  </w:rPr>
                </w:pPr>
                <w:r>
                  <w:rPr>
                    <w:b/>
                    <w:bCs/>
                    <w:color w:val="000000"/>
                    <w:szCs w:val="24"/>
                    <w:lang w:eastAsia="lt-LT"/>
                  </w:rPr>
                  <w:t xml:space="preserve">AIE </w:t>
                </w:r>
              </w:p>
            </w:tc>
            <w:tc>
              <w:tcPr>
                <w:tcW w:w="6744" w:type="dxa"/>
                <w:shd w:val="clear" w:color="auto" w:fill="auto"/>
                <w:vAlign w:val="center"/>
                <w:hideMark/>
              </w:tcPr>
              <w:p>
                <w:pPr>
                  <w:rPr>
                    <w:szCs w:val="24"/>
                    <w:lang w:eastAsia="lt-LT"/>
                  </w:rPr>
                </w:pPr>
                <w:r>
                  <w:rPr>
                    <w:szCs w:val="24"/>
                    <w:lang w:eastAsia="lt-LT"/>
                  </w:rPr>
                  <w:t>Atsinaujinančių išteklių energija</w:t>
                </w:r>
              </w:p>
            </w:tc>
          </w:tr>
          <w:tr>
            <w:trPr>
              <w:trHeight w:val="529"/>
            </w:trPr>
            <w:tc>
              <w:tcPr>
                <w:tcW w:w="1710" w:type="dxa"/>
                <w:shd w:val="clear" w:color="auto" w:fill="auto"/>
                <w:noWrap/>
                <w:vAlign w:val="center"/>
                <w:hideMark/>
              </w:tcPr>
              <w:p>
                <w:pPr>
                  <w:jc w:val="right"/>
                  <w:rPr>
                    <w:b/>
                    <w:bCs/>
                    <w:color w:val="000000"/>
                    <w:szCs w:val="24"/>
                    <w:lang w:eastAsia="lt-LT"/>
                  </w:rPr>
                </w:pPr>
                <w:r>
                  <w:rPr>
                    <w:b/>
                    <w:bCs/>
                    <w:color w:val="000000"/>
                    <w:szCs w:val="24"/>
                    <w:lang w:eastAsia="lt-LT"/>
                  </w:rPr>
                  <w:t>Aprašas</w:t>
                </w:r>
              </w:p>
            </w:tc>
            <w:tc>
              <w:tcPr>
                <w:tcW w:w="6744" w:type="dxa"/>
                <w:shd w:val="clear" w:color="auto" w:fill="auto"/>
                <w:vAlign w:val="center"/>
                <w:hideMark/>
              </w:tcPr>
              <w:p>
                <w:pPr>
                  <w:rPr>
                    <w:szCs w:val="24"/>
                    <w:lang w:eastAsia="lt-LT"/>
                  </w:rPr>
                </w:pPr>
                <w:r>
                  <w:rPr>
                    <w:szCs w:val="24"/>
                    <w:lang w:eastAsia="lt-LT"/>
                  </w:rPr>
                  <w:t>Šiaulių miesto savivaldybės sveikatos priežiūros įstaigose finansavimo teikimo tvarkos aprašas</w:t>
                </w:r>
              </w:p>
            </w:tc>
          </w:tr>
          <w:tr>
            <w:trPr>
              <w:trHeight w:val="303"/>
            </w:trPr>
            <w:tc>
              <w:tcPr>
                <w:tcW w:w="1710" w:type="dxa"/>
                <w:shd w:val="clear" w:color="auto" w:fill="auto"/>
                <w:noWrap/>
                <w:vAlign w:val="center"/>
                <w:hideMark/>
              </w:tcPr>
              <w:p>
                <w:pPr>
                  <w:jc w:val="right"/>
                  <w:rPr>
                    <w:b/>
                    <w:bCs/>
                    <w:color w:val="000000"/>
                    <w:szCs w:val="24"/>
                    <w:lang w:eastAsia="lt-LT"/>
                  </w:rPr>
                </w:pPr>
                <w:r>
                  <w:rPr>
                    <w:b/>
                    <w:bCs/>
                    <w:color w:val="000000"/>
                    <w:szCs w:val="24"/>
                    <w:lang w:eastAsia="lt-LT"/>
                  </w:rPr>
                  <w:t>APTP</w:t>
                </w:r>
              </w:p>
            </w:tc>
            <w:tc>
              <w:tcPr>
                <w:tcW w:w="6744" w:type="dxa"/>
                <w:shd w:val="clear" w:color="auto" w:fill="auto"/>
                <w:vAlign w:val="center"/>
                <w:hideMark/>
              </w:tcPr>
              <w:p>
                <w:pPr>
                  <w:rPr>
                    <w:szCs w:val="24"/>
                    <w:lang w:eastAsia="lt-LT"/>
                  </w:rPr>
                </w:pPr>
                <w:r>
                  <w:rPr>
                    <w:szCs w:val="24"/>
                    <w:lang w:eastAsia="lt-LT"/>
                  </w:rPr>
                  <w:t>Valstybinis atliekų prevencijos ir tvarkymo planas 2023–2027 m.</w:t>
                </w:r>
              </w:p>
            </w:tc>
          </w:tr>
          <w:tr>
            <w:trPr>
              <w:trHeight w:val="379"/>
            </w:trPr>
            <w:tc>
              <w:tcPr>
                <w:tcW w:w="1710" w:type="dxa"/>
                <w:shd w:val="clear" w:color="auto" w:fill="auto"/>
                <w:noWrap/>
                <w:vAlign w:val="center"/>
                <w:hideMark/>
              </w:tcPr>
              <w:p>
                <w:pPr>
                  <w:jc w:val="right"/>
                  <w:rPr>
                    <w:b/>
                    <w:bCs/>
                    <w:color w:val="000000"/>
                    <w:szCs w:val="24"/>
                    <w:lang w:eastAsia="lt-LT"/>
                  </w:rPr>
                </w:pPr>
                <w:r>
                  <w:rPr>
                    <w:b/>
                    <w:bCs/>
                    <w:color w:val="000000"/>
                    <w:szCs w:val="24"/>
                    <w:lang w:eastAsia="lt-LT"/>
                  </w:rPr>
                  <w:t>AS</w:t>
                </w:r>
              </w:p>
            </w:tc>
            <w:tc>
              <w:tcPr>
                <w:tcW w:w="6744" w:type="dxa"/>
                <w:shd w:val="clear" w:color="auto" w:fill="auto"/>
                <w:vAlign w:val="center"/>
                <w:hideMark/>
              </w:tcPr>
              <w:p>
                <w:pPr>
                  <w:rPr>
                    <w:szCs w:val="24"/>
                    <w:lang w:eastAsia="lt-LT"/>
                  </w:rPr>
                </w:pPr>
                <w:r>
                  <w:rPr>
                    <w:szCs w:val="24"/>
                    <w:lang w:eastAsia="lt-LT"/>
                  </w:rPr>
                  <w:t>Architektūros skyrius</w:t>
                </w:r>
              </w:p>
            </w:tc>
          </w:tr>
          <w:tr>
            <w:trPr>
              <w:trHeight w:val="413"/>
            </w:trPr>
            <w:tc>
              <w:tcPr>
                <w:tcW w:w="1710" w:type="dxa"/>
                <w:shd w:val="clear" w:color="auto" w:fill="auto"/>
                <w:noWrap/>
                <w:vAlign w:val="center"/>
                <w:hideMark/>
              </w:tcPr>
              <w:p>
                <w:pPr>
                  <w:jc w:val="right"/>
                  <w:rPr>
                    <w:b/>
                    <w:bCs/>
                    <w:color w:val="000000"/>
                    <w:szCs w:val="24"/>
                    <w:lang w:eastAsia="lt-LT"/>
                  </w:rPr>
                </w:pPr>
                <w:r>
                  <w:rPr>
                    <w:b/>
                    <w:bCs/>
                    <w:color w:val="000000"/>
                    <w:szCs w:val="24"/>
                    <w:lang w:eastAsia="lt-LT"/>
                  </w:rPr>
                  <w:t xml:space="preserve">d. d. </w:t>
                </w:r>
              </w:p>
            </w:tc>
            <w:tc>
              <w:tcPr>
                <w:tcW w:w="6744" w:type="dxa"/>
                <w:shd w:val="clear" w:color="auto" w:fill="auto"/>
                <w:vAlign w:val="center"/>
                <w:hideMark/>
              </w:tcPr>
              <w:p>
                <w:pPr>
                  <w:rPr>
                    <w:szCs w:val="24"/>
                    <w:lang w:eastAsia="lt-LT"/>
                  </w:rPr>
                </w:pPr>
                <w:r>
                  <w:rPr>
                    <w:szCs w:val="24"/>
                    <w:lang w:eastAsia="lt-LT"/>
                  </w:rPr>
                  <w:t>darbo dienos</w:t>
                </w:r>
              </w:p>
            </w:tc>
          </w:tr>
          <w:tr>
            <w:trPr>
              <w:trHeight w:val="413"/>
            </w:trPr>
            <w:tc>
              <w:tcPr>
                <w:tcW w:w="1710" w:type="dxa"/>
                <w:shd w:val="clear" w:color="auto" w:fill="auto"/>
                <w:noWrap/>
                <w:vAlign w:val="center"/>
              </w:tcPr>
              <w:p>
                <w:pPr>
                  <w:jc w:val="right"/>
                  <w:rPr>
                    <w:b/>
                    <w:bCs/>
                    <w:color w:val="000000"/>
                    <w:szCs w:val="24"/>
                    <w:lang w:eastAsia="lt-LT"/>
                  </w:rPr>
                </w:pPr>
                <w:r>
                  <w:rPr>
                    <w:b/>
                    <w:bCs/>
                    <w:color w:val="000000"/>
                    <w:szCs w:val="24"/>
                    <w:lang w:eastAsia="lt-LT"/>
                  </w:rPr>
                  <w:t>CSP</w:t>
                </w:r>
              </w:p>
            </w:tc>
            <w:tc>
              <w:tcPr>
                <w:tcW w:w="6744" w:type="dxa"/>
                <w:shd w:val="clear" w:color="auto" w:fill="auto"/>
                <w:vAlign w:val="center"/>
              </w:tcPr>
              <w:p>
                <w:pPr>
                  <w:rPr>
                    <w:szCs w:val="24"/>
                    <w:lang w:eastAsia="lt-LT"/>
                  </w:rPr>
                </w:pPr>
                <w:r>
                  <w:rPr>
                    <w:szCs w:val="24"/>
                    <w:lang w:eastAsia="lt-LT"/>
                  </w:rPr>
                  <w:t>Civilinės saugos poskyris</w:t>
                </w:r>
              </w:p>
            </w:tc>
          </w:tr>
          <w:tr>
            <w:trPr>
              <w:trHeight w:val="413"/>
            </w:trPr>
            <w:tc>
              <w:tcPr>
                <w:tcW w:w="1710" w:type="dxa"/>
                <w:shd w:val="clear" w:color="auto" w:fill="auto"/>
                <w:noWrap/>
                <w:vAlign w:val="center"/>
              </w:tcPr>
              <w:p>
                <w:pPr>
                  <w:jc w:val="right"/>
                  <w:rPr>
                    <w:b/>
                    <w:bCs/>
                    <w:color w:val="000000"/>
                    <w:szCs w:val="24"/>
                    <w:lang w:eastAsia="lt-LT"/>
                  </w:rPr>
                </w:pPr>
                <w:r>
                  <w:rPr>
                    <w:b/>
                    <w:bCs/>
                    <w:color w:val="000000"/>
                    <w:szCs w:val="24"/>
                    <w:lang w:eastAsia="lt-LT"/>
                  </w:rPr>
                  <w:t>CSTS</w:t>
                </w:r>
              </w:p>
            </w:tc>
            <w:tc>
              <w:tcPr>
                <w:tcW w:w="6744" w:type="dxa"/>
                <w:shd w:val="clear" w:color="auto" w:fill="auto"/>
                <w:vAlign w:val="center"/>
              </w:tcPr>
              <w:p>
                <w:pPr>
                  <w:rPr>
                    <w:szCs w:val="24"/>
                    <w:lang w:eastAsia="lt-LT"/>
                  </w:rPr>
                </w:pPr>
                <w:r>
                  <w:rPr>
                    <w:szCs w:val="24"/>
                    <w:lang w:eastAsia="lt-LT"/>
                  </w:rPr>
                  <w:t>Civilinės saugos ir teisėtvarkos skyrius</w:t>
                </w:r>
              </w:p>
            </w:tc>
          </w:tr>
          <w:tr>
            <w:trPr>
              <w:trHeight w:val="375"/>
            </w:trPr>
            <w:tc>
              <w:tcPr>
                <w:tcW w:w="1710" w:type="dxa"/>
                <w:shd w:val="clear" w:color="auto" w:fill="auto"/>
                <w:noWrap/>
                <w:vAlign w:val="center"/>
                <w:hideMark/>
              </w:tcPr>
              <w:p>
                <w:pPr>
                  <w:jc w:val="right"/>
                  <w:rPr>
                    <w:b/>
                    <w:bCs/>
                    <w:color w:val="000000"/>
                    <w:szCs w:val="24"/>
                    <w:lang w:eastAsia="lt-LT"/>
                  </w:rPr>
                </w:pPr>
                <w:r>
                  <w:rPr>
                    <w:b/>
                    <w:bCs/>
                    <w:color w:val="000000"/>
                    <w:szCs w:val="24"/>
                    <w:lang w:eastAsia="lt-LT"/>
                  </w:rPr>
                  <w:t>CŠT</w:t>
                </w:r>
              </w:p>
            </w:tc>
            <w:tc>
              <w:tcPr>
                <w:tcW w:w="6744" w:type="dxa"/>
                <w:shd w:val="clear" w:color="auto" w:fill="auto"/>
                <w:vAlign w:val="center"/>
                <w:hideMark/>
              </w:tcPr>
              <w:p>
                <w:pPr>
                  <w:rPr>
                    <w:szCs w:val="24"/>
                    <w:lang w:eastAsia="lt-LT"/>
                  </w:rPr>
                </w:pPr>
                <w:r>
                  <w:rPr>
                    <w:szCs w:val="24"/>
                    <w:lang w:eastAsia="lt-LT"/>
                  </w:rPr>
                  <w:t>centralizuotas šilumos tiekimas</w:t>
                </w:r>
              </w:p>
            </w:tc>
          </w:tr>
          <w:tr>
            <w:trPr>
              <w:trHeight w:val="324"/>
            </w:trPr>
            <w:tc>
              <w:tcPr>
                <w:tcW w:w="1710" w:type="dxa"/>
                <w:shd w:val="clear" w:color="auto" w:fill="auto"/>
                <w:noWrap/>
                <w:vAlign w:val="center"/>
                <w:hideMark/>
              </w:tcPr>
              <w:p>
                <w:pPr>
                  <w:jc w:val="right"/>
                  <w:rPr>
                    <w:b/>
                    <w:bCs/>
                    <w:color w:val="000000"/>
                    <w:szCs w:val="24"/>
                    <w:lang w:eastAsia="lt-LT"/>
                  </w:rPr>
                </w:pPr>
                <w:r>
                  <w:rPr>
                    <w:b/>
                    <w:bCs/>
                    <w:color w:val="000000"/>
                    <w:szCs w:val="24"/>
                    <w:lang w:eastAsia="lt-LT"/>
                  </w:rPr>
                  <w:t>DB</w:t>
                </w:r>
              </w:p>
            </w:tc>
            <w:tc>
              <w:tcPr>
                <w:tcW w:w="6744" w:type="dxa"/>
                <w:shd w:val="clear" w:color="auto" w:fill="auto"/>
                <w:vAlign w:val="center"/>
                <w:hideMark/>
              </w:tcPr>
              <w:p>
                <w:pPr>
                  <w:rPr>
                    <w:szCs w:val="24"/>
                    <w:lang w:eastAsia="lt-LT"/>
                  </w:rPr>
                </w:pPr>
                <w:r>
                  <w:rPr>
                    <w:szCs w:val="24"/>
                    <w:lang w:eastAsia="lt-LT"/>
                  </w:rPr>
                  <w:t>Dalyvaujamasis biudžetas</w:t>
                </w:r>
              </w:p>
            </w:tc>
          </w:tr>
          <w:tr>
            <w:trPr>
              <w:trHeight w:val="332"/>
            </w:trPr>
            <w:tc>
              <w:tcPr>
                <w:tcW w:w="1710" w:type="dxa"/>
                <w:shd w:val="clear" w:color="auto" w:fill="auto"/>
                <w:noWrap/>
                <w:vAlign w:val="center"/>
                <w:hideMark/>
              </w:tcPr>
              <w:p>
                <w:pPr>
                  <w:jc w:val="right"/>
                  <w:rPr>
                    <w:b/>
                    <w:bCs/>
                    <w:color w:val="000000"/>
                    <w:szCs w:val="24"/>
                    <w:lang w:eastAsia="lt-LT"/>
                  </w:rPr>
                </w:pPr>
                <w:r>
                  <w:rPr>
                    <w:b/>
                    <w:bCs/>
                    <w:color w:val="000000"/>
                    <w:szCs w:val="24"/>
                    <w:lang w:eastAsia="lt-LT"/>
                  </w:rPr>
                  <w:t>DK</w:t>
                </w:r>
              </w:p>
            </w:tc>
            <w:tc>
              <w:tcPr>
                <w:tcW w:w="6744" w:type="dxa"/>
                <w:shd w:val="clear" w:color="auto" w:fill="auto"/>
                <w:vAlign w:val="center"/>
                <w:hideMark/>
              </w:tcPr>
              <w:p>
                <w:pPr>
                  <w:rPr>
                    <w:szCs w:val="24"/>
                    <w:lang w:eastAsia="lt-LT"/>
                  </w:rPr>
                </w:pPr>
                <w:r>
                  <w:rPr>
                    <w:szCs w:val="24"/>
                    <w:lang w:eastAsia="lt-LT"/>
                  </w:rPr>
                  <w:t>Darbo kodeksas</w:t>
                </w:r>
              </w:p>
            </w:tc>
          </w:tr>
          <w:tr>
            <w:trPr>
              <w:trHeight w:val="260"/>
            </w:trPr>
            <w:tc>
              <w:tcPr>
                <w:tcW w:w="1710" w:type="dxa"/>
                <w:shd w:val="clear" w:color="auto" w:fill="auto"/>
                <w:noWrap/>
                <w:vAlign w:val="center"/>
                <w:hideMark/>
              </w:tcPr>
              <w:p>
                <w:pPr>
                  <w:jc w:val="right"/>
                  <w:rPr>
                    <w:b/>
                    <w:bCs/>
                    <w:color w:val="000000"/>
                    <w:szCs w:val="24"/>
                    <w:lang w:eastAsia="lt-LT"/>
                  </w:rPr>
                </w:pPr>
                <w:r>
                  <w:rPr>
                    <w:b/>
                    <w:bCs/>
                    <w:color w:val="000000"/>
                    <w:szCs w:val="24"/>
                    <w:lang w:eastAsia="lt-LT"/>
                  </w:rPr>
                  <w:t xml:space="preserve">DU </w:t>
                </w:r>
              </w:p>
            </w:tc>
            <w:tc>
              <w:tcPr>
                <w:tcW w:w="6744" w:type="dxa"/>
                <w:shd w:val="clear" w:color="auto" w:fill="auto"/>
                <w:vAlign w:val="center"/>
                <w:hideMark/>
              </w:tcPr>
              <w:p>
                <w:pPr>
                  <w:rPr>
                    <w:szCs w:val="24"/>
                    <w:lang w:eastAsia="lt-LT"/>
                  </w:rPr>
                </w:pPr>
                <w:r>
                  <w:rPr>
                    <w:szCs w:val="24"/>
                    <w:lang w:eastAsia="lt-LT"/>
                  </w:rPr>
                  <w:t>Darbo užmokestis</w:t>
                </w:r>
              </w:p>
            </w:tc>
          </w:tr>
          <w:tr>
            <w:trPr>
              <w:trHeight w:val="363"/>
            </w:trPr>
            <w:tc>
              <w:tcPr>
                <w:tcW w:w="1710" w:type="dxa"/>
                <w:shd w:val="clear" w:color="auto" w:fill="auto"/>
                <w:noWrap/>
                <w:vAlign w:val="center"/>
                <w:hideMark/>
              </w:tcPr>
              <w:p>
                <w:pPr>
                  <w:jc w:val="right"/>
                  <w:rPr>
                    <w:b/>
                    <w:bCs/>
                    <w:color w:val="000000"/>
                    <w:szCs w:val="24"/>
                    <w:lang w:eastAsia="lt-LT"/>
                  </w:rPr>
                </w:pPr>
                <w:r>
                  <w:rPr>
                    <w:b/>
                    <w:bCs/>
                    <w:color w:val="000000"/>
                    <w:szCs w:val="24"/>
                    <w:lang w:eastAsia="lt-LT"/>
                  </w:rPr>
                  <w:t>EIS</w:t>
                </w:r>
              </w:p>
            </w:tc>
            <w:tc>
              <w:tcPr>
                <w:tcW w:w="6744" w:type="dxa"/>
                <w:shd w:val="clear" w:color="auto" w:fill="auto"/>
                <w:vAlign w:val="center"/>
                <w:hideMark/>
              </w:tcPr>
              <w:p>
                <w:pPr>
                  <w:rPr>
                    <w:szCs w:val="24"/>
                    <w:lang w:eastAsia="lt-LT"/>
                  </w:rPr>
                </w:pPr>
                <w:r>
                  <w:rPr>
                    <w:szCs w:val="24"/>
                    <w:lang w:eastAsia="lt-LT"/>
                  </w:rPr>
                  <w:t>Ekonomikos ir investicijų skyrius</w:t>
                </w:r>
              </w:p>
            </w:tc>
          </w:tr>
          <w:tr>
            <w:trPr>
              <w:trHeight w:val="525"/>
            </w:trPr>
            <w:tc>
              <w:tcPr>
                <w:tcW w:w="1710" w:type="dxa"/>
                <w:shd w:val="clear" w:color="auto" w:fill="auto"/>
                <w:noWrap/>
                <w:vAlign w:val="center"/>
                <w:hideMark/>
              </w:tcPr>
              <w:p>
                <w:pPr>
                  <w:jc w:val="right"/>
                  <w:rPr>
                    <w:b/>
                    <w:bCs/>
                    <w:color w:val="000000"/>
                    <w:szCs w:val="24"/>
                    <w:lang w:eastAsia="lt-LT"/>
                  </w:rPr>
                </w:pPr>
                <w:r>
                  <w:rPr>
                    <w:b/>
                    <w:bCs/>
                    <w:color w:val="000000"/>
                    <w:szCs w:val="24"/>
                    <w:lang w:eastAsia="lt-LT"/>
                  </w:rPr>
                  <w:t>EPIPS</w:t>
                </w:r>
              </w:p>
            </w:tc>
            <w:tc>
              <w:tcPr>
                <w:tcW w:w="6744" w:type="dxa"/>
                <w:shd w:val="clear" w:color="auto" w:fill="auto"/>
                <w:vAlign w:val="center"/>
                <w:hideMark/>
              </w:tcPr>
              <w:p>
                <w:pPr>
                  <w:rPr>
                    <w:szCs w:val="24"/>
                    <w:lang w:eastAsia="lt-LT"/>
                  </w:rPr>
                </w:pPr>
                <w:r>
                  <w:rPr>
                    <w:szCs w:val="24"/>
                    <w:lang w:eastAsia="lt-LT"/>
                  </w:rPr>
                  <w:t>Šiaulių miesto ekonominės plėtros ir investicijų pritraukimo strategija</w:t>
                </w:r>
              </w:p>
            </w:tc>
          </w:tr>
          <w:tr>
            <w:trPr>
              <w:trHeight w:val="364"/>
            </w:trPr>
            <w:tc>
              <w:tcPr>
                <w:tcW w:w="1710" w:type="dxa"/>
                <w:shd w:val="clear" w:color="auto" w:fill="auto"/>
                <w:noWrap/>
                <w:vAlign w:val="center"/>
                <w:hideMark/>
              </w:tcPr>
              <w:p>
                <w:pPr>
                  <w:jc w:val="right"/>
                  <w:rPr>
                    <w:b/>
                    <w:bCs/>
                    <w:color w:val="000000"/>
                    <w:szCs w:val="24"/>
                    <w:lang w:eastAsia="lt-LT"/>
                  </w:rPr>
                </w:pPr>
                <w:r>
                  <w:rPr>
                    <w:b/>
                    <w:bCs/>
                    <w:color w:val="000000"/>
                    <w:szCs w:val="24"/>
                    <w:lang w:eastAsia="lt-LT"/>
                  </w:rPr>
                  <w:t>EVE</w:t>
                </w:r>
              </w:p>
            </w:tc>
            <w:tc>
              <w:tcPr>
                <w:tcW w:w="6744" w:type="dxa"/>
                <w:shd w:val="clear" w:color="auto" w:fill="auto"/>
                <w:vAlign w:val="center"/>
                <w:hideMark/>
              </w:tcPr>
              <w:p>
                <w:pPr>
                  <w:rPr>
                    <w:szCs w:val="24"/>
                    <w:lang w:eastAsia="lt-LT"/>
                  </w:rPr>
                </w:pPr>
                <w:r>
                  <w:rPr>
                    <w:szCs w:val="24"/>
                    <w:lang w:eastAsia="lt-LT"/>
                  </w:rPr>
                  <w:t>Energijos vartojimo efektyvumas</w:t>
                </w:r>
              </w:p>
            </w:tc>
          </w:tr>
          <w:tr>
            <w:trPr>
              <w:trHeight w:val="417"/>
            </w:trPr>
            <w:tc>
              <w:tcPr>
                <w:tcW w:w="1710" w:type="dxa"/>
                <w:shd w:val="clear" w:color="auto" w:fill="auto"/>
                <w:noWrap/>
                <w:vAlign w:val="center"/>
                <w:hideMark/>
              </w:tcPr>
              <w:p>
                <w:pPr>
                  <w:jc w:val="right"/>
                  <w:rPr>
                    <w:b/>
                    <w:bCs/>
                    <w:color w:val="000000"/>
                    <w:szCs w:val="24"/>
                    <w:lang w:eastAsia="lt-LT"/>
                  </w:rPr>
                </w:pPr>
                <w:r>
                  <w:rPr>
                    <w:b/>
                    <w:bCs/>
                    <w:color w:val="000000"/>
                    <w:szCs w:val="24"/>
                    <w:lang w:eastAsia="lt-LT"/>
                  </w:rPr>
                  <w:t>GKI</w:t>
                </w:r>
              </w:p>
            </w:tc>
            <w:tc>
              <w:tcPr>
                <w:tcW w:w="6744" w:type="dxa"/>
                <w:shd w:val="clear" w:color="auto" w:fill="auto"/>
                <w:vAlign w:val="center"/>
                <w:hideMark/>
              </w:tcPr>
              <w:p>
                <w:pPr>
                  <w:rPr>
                    <w:szCs w:val="24"/>
                    <w:lang w:eastAsia="lt-LT"/>
                  </w:rPr>
                </w:pPr>
                <w:r>
                  <w:rPr>
                    <w:szCs w:val="24"/>
                    <w:lang w:eastAsia="lt-LT"/>
                  </w:rPr>
                  <w:t>Gyventojų kokybės indeksas</w:t>
                </w:r>
              </w:p>
            </w:tc>
          </w:tr>
          <w:tr>
            <w:trPr>
              <w:trHeight w:val="373"/>
            </w:trPr>
            <w:tc>
              <w:tcPr>
                <w:tcW w:w="1710" w:type="dxa"/>
                <w:shd w:val="clear" w:color="auto" w:fill="auto"/>
                <w:noWrap/>
                <w:vAlign w:val="center"/>
                <w:hideMark/>
              </w:tcPr>
              <w:p>
                <w:pPr>
                  <w:jc w:val="right"/>
                  <w:rPr>
                    <w:b/>
                    <w:bCs/>
                    <w:color w:val="000000"/>
                    <w:szCs w:val="24"/>
                    <w:lang w:eastAsia="lt-LT"/>
                  </w:rPr>
                </w:pPr>
                <w:r>
                  <w:rPr>
                    <w:b/>
                    <w:bCs/>
                    <w:color w:val="000000"/>
                    <w:szCs w:val="24"/>
                    <w:lang w:eastAsia="lt-LT"/>
                  </w:rPr>
                  <w:t>ITP</w:t>
                </w:r>
              </w:p>
            </w:tc>
            <w:tc>
              <w:tcPr>
                <w:tcW w:w="6744" w:type="dxa"/>
                <w:shd w:val="clear" w:color="auto" w:fill="auto"/>
                <w:vAlign w:val="center"/>
                <w:hideMark/>
              </w:tcPr>
              <w:p>
                <w:pPr>
                  <w:rPr>
                    <w:szCs w:val="24"/>
                    <w:lang w:eastAsia="lt-LT"/>
                  </w:rPr>
                </w:pPr>
                <w:r>
                  <w:rPr>
                    <w:szCs w:val="24"/>
                    <w:lang w:eastAsia="lt-LT"/>
                  </w:rPr>
                  <w:t>Informacinių technologijų poskyris</w:t>
                </w:r>
              </w:p>
            </w:tc>
          </w:tr>
          <w:tr>
            <w:trPr>
              <w:trHeight w:val="408"/>
            </w:trPr>
            <w:tc>
              <w:tcPr>
                <w:tcW w:w="1710" w:type="dxa"/>
                <w:shd w:val="clear" w:color="auto" w:fill="auto"/>
                <w:noWrap/>
                <w:vAlign w:val="bottom"/>
                <w:hideMark/>
              </w:tcPr>
              <w:p>
                <w:pPr>
                  <w:jc w:val="right"/>
                  <w:rPr>
                    <w:b/>
                    <w:bCs/>
                    <w:color w:val="000000"/>
                    <w:szCs w:val="24"/>
                    <w:lang w:eastAsia="lt-LT"/>
                  </w:rPr>
                </w:pPr>
                <w:r>
                  <w:rPr>
                    <w:b/>
                    <w:bCs/>
                    <w:color w:val="000000"/>
                    <w:szCs w:val="24"/>
                    <w:lang w:eastAsia="lt-LT"/>
                  </w:rPr>
                  <w:t>JRK</w:t>
                </w:r>
              </w:p>
            </w:tc>
            <w:tc>
              <w:tcPr>
                <w:tcW w:w="6744" w:type="dxa"/>
                <w:shd w:val="clear" w:color="auto" w:fill="auto"/>
                <w:vAlign w:val="center"/>
                <w:hideMark/>
              </w:tcPr>
              <w:p>
                <w:pPr>
                  <w:rPr>
                    <w:szCs w:val="24"/>
                    <w:lang w:eastAsia="lt-LT"/>
                  </w:rPr>
                </w:pPr>
                <w:r>
                  <w:rPr>
                    <w:szCs w:val="24"/>
                    <w:lang w:eastAsia="lt-LT"/>
                  </w:rPr>
                  <w:t>Jaunimo reikalų koordinatorius</w:t>
                </w:r>
              </w:p>
            </w:tc>
          </w:tr>
          <w:tr>
            <w:trPr>
              <w:trHeight w:val="563"/>
            </w:trPr>
            <w:tc>
              <w:tcPr>
                <w:tcW w:w="1710" w:type="dxa"/>
                <w:shd w:val="clear" w:color="auto" w:fill="auto"/>
                <w:noWrap/>
                <w:vAlign w:val="center"/>
                <w:hideMark/>
              </w:tcPr>
              <w:p>
                <w:pPr>
                  <w:jc w:val="right"/>
                  <w:rPr>
                    <w:b/>
                    <w:bCs/>
                    <w:color w:val="000000"/>
                    <w:szCs w:val="24"/>
                    <w:lang w:eastAsia="lt-LT"/>
                  </w:rPr>
                </w:pPr>
                <w:r>
                  <w:rPr>
                    <w:b/>
                    <w:bCs/>
                    <w:color w:val="000000"/>
                    <w:szCs w:val="24"/>
                    <w:lang w:eastAsia="lt-LT"/>
                  </w:rPr>
                  <w:t>KAAK</w:t>
                </w:r>
              </w:p>
            </w:tc>
            <w:tc>
              <w:tcPr>
                <w:tcW w:w="6744" w:type="dxa"/>
                <w:shd w:val="clear" w:color="auto" w:fill="auto"/>
                <w:vAlign w:val="center"/>
                <w:hideMark/>
              </w:tcPr>
              <w:p>
                <w:pPr>
                  <w:rPr>
                    <w:szCs w:val="24"/>
                    <w:lang w:eastAsia="lt-LT"/>
                  </w:rPr>
                </w:pPr>
                <w:r>
                  <w:rPr>
                    <w:szCs w:val="24"/>
                    <w:lang w:eastAsia="lt-LT"/>
                  </w:rPr>
                  <w:t>Už korupcijai atsparios aplinkos kūrimą atsakingas asmuo</w:t>
                  <w:br/>
                  <w:t>(vyriausiasis specialistas)</w:t>
                </w:r>
              </w:p>
            </w:tc>
          </w:tr>
          <w:tr>
            <w:trPr>
              <w:trHeight w:val="401"/>
            </w:trPr>
            <w:tc>
              <w:tcPr>
                <w:tcW w:w="1710" w:type="dxa"/>
                <w:shd w:val="clear" w:color="auto" w:fill="auto"/>
                <w:noWrap/>
                <w:vAlign w:val="center"/>
                <w:hideMark/>
              </w:tcPr>
              <w:p>
                <w:pPr>
                  <w:jc w:val="right"/>
                  <w:rPr>
                    <w:b/>
                    <w:bCs/>
                    <w:color w:val="000000"/>
                    <w:szCs w:val="24"/>
                    <w:lang w:eastAsia="lt-LT"/>
                  </w:rPr>
                </w:pPr>
                <w:r>
                  <w:rPr>
                    <w:b/>
                    <w:bCs/>
                    <w:color w:val="000000"/>
                    <w:szCs w:val="24"/>
                    <w:lang w:eastAsia="lt-LT"/>
                  </w:rPr>
                  <w:t>KC</w:t>
                </w:r>
              </w:p>
            </w:tc>
            <w:tc>
              <w:tcPr>
                <w:tcW w:w="6744" w:type="dxa"/>
                <w:shd w:val="clear" w:color="auto" w:fill="auto"/>
                <w:vAlign w:val="center"/>
                <w:hideMark/>
              </w:tcPr>
              <w:p>
                <w:pPr>
                  <w:rPr>
                    <w:szCs w:val="24"/>
                    <w:lang w:eastAsia="lt-LT"/>
                  </w:rPr>
                </w:pPr>
                <w:r>
                  <w:rPr>
                    <w:szCs w:val="24"/>
                    <w:lang w:eastAsia="lt-LT"/>
                  </w:rPr>
                  <w:t>BĮ Šiaulių kultūros centras</w:t>
                </w:r>
              </w:p>
            </w:tc>
          </w:tr>
          <w:tr>
            <w:trPr>
              <w:trHeight w:val="379"/>
            </w:trPr>
            <w:tc>
              <w:tcPr>
                <w:tcW w:w="1710" w:type="dxa"/>
                <w:shd w:val="clear" w:color="auto" w:fill="auto"/>
                <w:noWrap/>
                <w:vAlign w:val="center"/>
                <w:hideMark/>
              </w:tcPr>
              <w:p>
                <w:pPr>
                  <w:jc w:val="right"/>
                  <w:rPr>
                    <w:b/>
                    <w:bCs/>
                    <w:color w:val="000000"/>
                    <w:szCs w:val="24"/>
                    <w:lang w:eastAsia="lt-LT"/>
                  </w:rPr>
                </w:pPr>
                <w:r>
                  <w:rPr>
                    <w:b/>
                    <w:bCs/>
                    <w:color w:val="000000"/>
                    <w:szCs w:val="24"/>
                    <w:lang w:eastAsia="lt-LT"/>
                  </w:rPr>
                  <w:t>KĮ</w:t>
                </w:r>
              </w:p>
            </w:tc>
            <w:tc>
              <w:tcPr>
                <w:tcW w:w="6744" w:type="dxa"/>
                <w:shd w:val="clear" w:color="auto" w:fill="auto"/>
                <w:vAlign w:val="center"/>
                <w:hideMark/>
              </w:tcPr>
              <w:p>
                <w:pPr>
                  <w:rPr>
                    <w:szCs w:val="24"/>
                    <w:lang w:eastAsia="lt-LT"/>
                  </w:rPr>
                </w:pPr>
                <w:r>
                  <w:rPr>
                    <w:szCs w:val="24"/>
                    <w:lang w:eastAsia="lt-LT"/>
                  </w:rPr>
                  <w:t>Kultūros įstaigos</w:t>
                </w:r>
              </w:p>
            </w:tc>
          </w:tr>
          <w:tr>
            <w:trPr>
              <w:trHeight w:val="399"/>
            </w:trPr>
            <w:tc>
              <w:tcPr>
                <w:tcW w:w="1710" w:type="dxa"/>
                <w:shd w:val="clear" w:color="auto" w:fill="auto"/>
                <w:noWrap/>
                <w:vAlign w:val="center"/>
                <w:hideMark/>
              </w:tcPr>
              <w:p>
                <w:pPr>
                  <w:jc w:val="right"/>
                  <w:rPr>
                    <w:b/>
                    <w:bCs/>
                    <w:color w:val="000000"/>
                    <w:szCs w:val="24"/>
                    <w:lang w:eastAsia="lt-LT"/>
                  </w:rPr>
                </w:pPr>
                <w:r>
                  <w:rPr>
                    <w:b/>
                    <w:bCs/>
                    <w:color w:val="000000"/>
                    <w:szCs w:val="24"/>
                    <w:lang w:eastAsia="lt-LT"/>
                  </w:rPr>
                  <w:t>KS</w:t>
                </w:r>
              </w:p>
            </w:tc>
            <w:tc>
              <w:tcPr>
                <w:tcW w:w="6744" w:type="dxa"/>
                <w:shd w:val="clear" w:color="auto" w:fill="auto"/>
                <w:vAlign w:val="center"/>
                <w:hideMark/>
              </w:tcPr>
              <w:p>
                <w:pPr>
                  <w:rPr>
                    <w:szCs w:val="24"/>
                    <w:lang w:eastAsia="lt-LT"/>
                  </w:rPr>
                </w:pPr>
                <w:r>
                  <w:rPr>
                    <w:szCs w:val="24"/>
                    <w:lang w:eastAsia="lt-LT"/>
                  </w:rPr>
                  <w:t>Kultūros skyrius</w:t>
                </w:r>
              </w:p>
            </w:tc>
          </w:tr>
          <w:tr>
            <w:trPr>
              <w:trHeight w:val="405"/>
            </w:trPr>
            <w:tc>
              <w:tcPr>
                <w:tcW w:w="1710" w:type="dxa"/>
                <w:shd w:val="clear" w:color="auto" w:fill="auto"/>
                <w:noWrap/>
                <w:vAlign w:val="center"/>
                <w:hideMark/>
              </w:tcPr>
              <w:p>
                <w:pPr>
                  <w:jc w:val="right"/>
                  <w:rPr>
                    <w:b/>
                    <w:bCs/>
                    <w:color w:val="000000"/>
                    <w:szCs w:val="24"/>
                    <w:lang w:eastAsia="lt-LT"/>
                  </w:rPr>
                </w:pPr>
                <w:r>
                  <w:rPr>
                    <w:b/>
                    <w:bCs/>
                    <w:color w:val="000000"/>
                    <w:szCs w:val="24"/>
                    <w:lang w:eastAsia="lt-LT"/>
                  </w:rPr>
                  <w:t>LGKT</w:t>
                </w:r>
              </w:p>
            </w:tc>
            <w:tc>
              <w:tcPr>
                <w:tcW w:w="6744" w:type="dxa"/>
                <w:shd w:val="clear" w:color="auto" w:fill="auto"/>
                <w:vAlign w:val="center"/>
                <w:hideMark/>
              </w:tcPr>
              <w:p>
                <w:pPr>
                  <w:rPr>
                    <w:szCs w:val="24"/>
                    <w:lang w:eastAsia="lt-LT"/>
                  </w:rPr>
                </w:pPr>
                <w:r>
                  <w:rPr>
                    <w:szCs w:val="24"/>
                    <w:lang w:eastAsia="lt-LT"/>
                  </w:rPr>
                  <w:t>BĮ Lygių galimybių kontrolieriaus tarnyba</w:t>
                </w:r>
              </w:p>
            </w:tc>
          </w:tr>
          <w:tr>
            <w:trPr>
              <w:trHeight w:val="384"/>
            </w:trPr>
            <w:tc>
              <w:tcPr>
                <w:tcW w:w="1710" w:type="dxa"/>
                <w:shd w:val="clear" w:color="auto" w:fill="auto"/>
                <w:noWrap/>
                <w:vAlign w:val="center"/>
                <w:hideMark/>
              </w:tcPr>
              <w:p>
                <w:pPr>
                  <w:jc w:val="right"/>
                  <w:rPr>
                    <w:b/>
                    <w:bCs/>
                    <w:color w:val="000000"/>
                    <w:szCs w:val="24"/>
                    <w:lang w:eastAsia="lt-LT"/>
                  </w:rPr>
                </w:pPr>
                <w:r>
                  <w:rPr>
                    <w:b/>
                    <w:bCs/>
                    <w:color w:val="000000"/>
                    <w:szCs w:val="24"/>
                    <w:lang w:eastAsia="lt-LT"/>
                  </w:rPr>
                  <w:t>LKT</w:t>
                </w:r>
              </w:p>
            </w:tc>
            <w:tc>
              <w:tcPr>
                <w:tcW w:w="6744" w:type="dxa"/>
                <w:shd w:val="clear" w:color="auto" w:fill="auto"/>
                <w:vAlign w:val="center"/>
                <w:hideMark/>
              </w:tcPr>
              <w:p>
                <w:pPr>
                  <w:rPr>
                    <w:szCs w:val="24"/>
                    <w:lang w:eastAsia="lt-LT"/>
                  </w:rPr>
                </w:pPr>
                <w:r>
                  <w:rPr>
                    <w:szCs w:val="24"/>
                    <w:lang w:eastAsia="lt-LT"/>
                  </w:rPr>
                  <w:t>BĮ Lietuvos kultūros taryba</w:t>
                </w:r>
              </w:p>
            </w:tc>
          </w:tr>
          <w:tr>
            <w:trPr>
              <w:trHeight w:val="403"/>
            </w:trPr>
            <w:tc>
              <w:tcPr>
                <w:tcW w:w="1710" w:type="dxa"/>
                <w:shd w:val="clear" w:color="auto" w:fill="auto"/>
                <w:noWrap/>
                <w:vAlign w:val="center"/>
                <w:hideMark/>
              </w:tcPr>
              <w:p>
                <w:pPr>
                  <w:jc w:val="right"/>
                  <w:rPr>
                    <w:b/>
                    <w:bCs/>
                    <w:color w:val="000000"/>
                    <w:szCs w:val="24"/>
                    <w:lang w:eastAsia="lt-LT"/>
                  </w:rPr>
                </w:pPr>
                <w:r>
                  <w:rPr>
                    <w:b/>
                    <w:bCs/>
                    <w:color w:val="000000"/>
                    <w:szCs w:val="24"/>
                    <w:lang w:eastAsia="lt-LT"/>
                  </w:rPr>
                  <w:t>LSC</w:t>
                </w:r>
              </w:p>
            </w:tc>
            <w:tc>
              <w:tcPr>
                <w:tcW w:w="6744" w:type="dxa"/>
                <w:shd w:val="clear" w:color="auto" w:fill="auto"/>
                <w:vAlign w:val="center"/>
                <w:hideMark/>
              </w:tcPr>
              <w:p>
                <w:pPr>
                  <w:rPr>
                    <w:szCs w:val="24"/>
                    <w:lang w:eastAsia="lt-LT"/>
                  </w:rPr>
                </w:pPr>
                <w:r>
                  <w:rPr>
                    <w:szCs w:val="24"/>
                    <w:lang w:eastAsia="lt-LT"/>
                  </w:rPr>
                  <w:t>BĮ Lietuvos sporto centras</w:t>
                </w:r>
              </w:p>
            </w:tc>
          </w:tr>
          <w:tr>
            <w:trPr>
              <w:trHeight w:val="395"/>
            </w:trPr>
            <w:tc>
              <w:tcPr>
                <w:tcW w:w="1710" w:type="dxa"/>
                <w:shd w:val="clear" w:color="auto" w:fill="auto"/>
                <w:noWrap/>
                <w:vAlign w:val="center"/>
                <w:hideMark/>
              </w:tcPr>
              <w:p>
                <w:pPr>
                  <w:jc w:val="right"/>
                  <w:rPr>
                    <w:b/>
                    <w:bCs/>
                    <w:color w:val="000000"/>
                    <w:szCs w:val="24"/>
                    <w:lang w:eastAsia="lt-LT"/>
                  </w:rPr>
                </w:pPr>
                <w:r>
                  <w:rPr>
                    <w:b/>
                    <w:bCs/>
                    <w:color w:val="000000"/>
                    <w:szCs w:val="24"/>
                    <w:lang w:eastAsia="lt-LT"/>
                  </w:rPr>
                  <w:t>LT</w:t>
                </w:r>
              </w:p>
            </w:tc>
            <w:tc>
              <w:tcPr>
                <w:tcW w:w="6744" w:type="dxa"/>
                <w:shd w:val="clear" w:color="auto" w:fill="auto"/>
                <w:vAlign w:val="center"/>
                <w:hideMark/>
              </w:tcPr>
              <w:p>
                <w:pPr>
                  <w:rPr>
                    <w:szCs w:val="24"/>
                    <w:lang w:eastAsia="lt-LT"/>
                  </w:rPr>
                </w:pPr>
                <w:r>
                  <w:rPr>
                    <w:szCs w:val="24"/>
                    <w:lang w:eastAsia="lt-LT"/>
                  </w:rPr>
                  <w:t>Lietuva</w:t>
                </w:r>
              </w:p>
            </w:tc>
          </w:tr>
          <w:tr>
            <w:trPr>
              <w:trHeight w:val="387"/>
            </w:trPr>
            <w:tc>
              <w:tcPr>
                <w:tcW w:w="1710" w:type="dxa"/>
                <w:shd w:val="clear" w:color="auto" w:fill="auto"/>
                <w:noWrap/>
                <w:vAlign w:val="center"/>
                <w:hideMark/>
              </w:tcPr>
              <w:p>
                <w:pPr>
                  <w:jc w:val="right"/>
                  <w:rPr>
                    <w:b/>
                    <w:bCs/>
                    <w:color w:val="000000"/>
                    <w:szCs w:val="24"/>
                    <w:lang w:eastAsia="lt-LT"/>
                  </w:rPr>
                </w:pPr>
                <w:r>
                  <w:rPr>
                    <w:b/>
                    <w:bCs/>
                    <w:color w:val="000000"/>
                    <w:szCs w:val="24"/>
                    <w:lang w:eastAsia="lt-LT"/>
                  </w:rPr>
                  <w:t>MPPS</w:t>
                </w:r>
              </w:p>
            </w:tc>
            <w:tc>
              <w:tcPr>
                <w:tcW w:w="6744" w:type="dxa"/>
                <w:shd w:val="clear" w:color="auto" w:fill="auto"/>
                <w:vAlign w:val="center"/>
                <w:hideMark/>
              </w:tcPr>
              <w:p>
                <w:pPr>
                  <w:rPr>
                    <w:szCs w:val="24"/>
                    <w:lang w:eastAsia="lt-LT"/>
                  </w:rPr>
                </w:pPr>
                <w:r>
                  <w:rPr>
                    <w:szCs w:val="24"/>
                    <w:lang w:eastAsia="lt-LT"/>
                  </w:rPr>
                  <w:t>Miesto plėtros ir paveldosaugos skyrius</w:t>
                </w:r>
              </w:p>
            </w:tc>
          </w:tr>
          <w:tr>
            <w:trPr>
              <w:trHeight w:val="407"/>
            </w:trPr>
            <w:tc>
              <w:tcPr>
                <w:tcW w:w="1710" w:type="dxa"/>
                <w:shd w:val="clear" w:color="auto" w:fill="auto"/>
                <w:vAlign w:val="center"/>
                <w:hideMark/>
              </w:tcPr>
              <w:p>
                <w:pPr>
                  <w:jc w:val="right"/>
                  <w:rPr>
                    <w:b/>
                    <w:bCs/>
                    <w:color w:val="000000"/>
                    <w:szCs w:val="24"/>
                    <w:lang w:eastAsia="lt-LT"/>
                  </w:rPr>
                </w:pPr>
                <w:r>
                  <w:rPr>
                    <w:b/>
                    <w:bCs/>
                    <w:color w:val="000000"/>
                    <w:szCs w:val="24"/>
                    <w:lang w:eastAsia="lt-LT"/>
                  </w:rPr>
                  <w:t>MŪAS</w:t>
                </w:r>
              </w:p>
            </w:tc>
            <w:tc>
              <w:tcPr>
                <w:tcW w:w="6744" w:type="dxa"/>
                <w:shd w:val="clear" w:color="auto" w:fill="auto"/>
                <w:vAlign w:val="center"/>
                <w:hideMark/>
              </w:tcPr>
              <w:p>
                <w:pPr>
                  <w:rPr>
                    <w:szCs w:val="24"/>
                    <w:lang w:eastAsia="lt-LT"/>
                  </w:rPr>
                </w:pPr>
                <w:r>
                  <w:rPr>
                    <w:szCs w:val="24"/>
                    <w:lang w:eastAsia="lt-LT"/>
                  </w:rPr>
                  <w:t>Miesto ūkio ir aplinkos skyrius</w:t>
                </w:r>
              </w:p>
            </w:tc>
          </w:tr>
          <w:tr>
            <w:trPr>
              <w:trHeight w:val="527"/>
            </w:trPr>
            <w:tc>
              <w:tcPr>
                <w:tcW w:w="1710" w:type="dxa"/>
                <w:shd w:val="clear" w:color="auto" w:fill="auto"/>
                <w:noWrap/>
                <w:vAlign w:val="center"/>
                <w:hideMark/>
              </w:tcPr>
              <w:p>
                <w:pPr>
                  <w:jc w:val="right"/>
                  <w:rPr>
                    <w:b/>
                    <w:bCs/>
                    <w:color w:val="000000"/>
                    <w:szCs w:val="24"/>
                    <w:lang w:eastAsia="lt-LT"/>
                  </w:rPr>
                </w:pPr>
                <w:r>
                  <w:rPr>
                    <w:b/>
                    <w:bCs/>
                    <w:color w:val="000000"/>
                    <w:szCs w:val="24"/>
                    <w:lang w:eastAsia="lt-LT"/>
                  </w:rPr>
                  <w:t>NOK</w:t>
                </w:r>
              </w:p>
            </w:tc>
            <w:tc>
              <w:tcPr>
                <w:tcW w:w="6744" w:type="dxa"/>
                <w:shd w:val="clear" w:color="auto" w:fill="auto"/>
                <w:vAlign w:val="center"/>
                <w:hideMark/>
              </w:tcPr>
              <w:p>
                <w:pPr>
                  <w:rPr>
                    <w:szCs w:val="24"/>
                    <w:lang w:eastAsia="lt-LT"/>
                  </w:rPr>
                </w:pPr>
                <w:r>
                  <w:rPr>
                    <w:szCs w:val="24"/>
                    <w:lang w:eastAsia="lt-LT"/>
                  </w:rPr>
                  <w:t>Nevyriausybinių organizacijų koordinatorius (vyriausiasis specialistas)</w:t>
                </w:r>
              </w:p>
            </w:tc>
          </w:tr>
          <w:tr>
            <w:trPr>
              <w:trHeight w:val="520"/>
            </w:trPr>
            <w:tc>
              <w:tcPr>
                <w:tcW w:w="1710" w:type="dxa"/>
                <w:shd w:val="clear" w:color="auto" w:fill="auto"/>
                <w:noWrap/>
                <w:vAlign w:val="bottom"/>
                <w:hideMark/>
              </w:tcPr>
              <w:p>
                <w:pPr>
                  <w:spacing w:line="360" w:lineRule="auto"/>
                  <w:jc w:val="right"/>
                  <w:rPr>
                    <w:b/>
                    <w:bCs/>
                    <w:color w:val="000000"/>
                    <w:szCs w:val="24"/>
                    <w:lang w:eastAsia="lt-LT"/>
                  </w:rPr>
                </w:pPr>
                <w:r>
                  <w:rPr>
                    <w:b/>
                    <w:bCs/>
                    <w:color w:val="000000"/>
                    <w:szCs w:val="24"/>
                    <w:lang w:eastAsia="lt-LT"/>
                  </w:rPr>
                  <w:t>NŠA</w:t>
                </w:r>
              </w:p>
            </w:tc>
            <w:tc>
              <w:tcPr>
                <w:tcW w:w="6744" w:type="dxa"/>
                <w:shd w:val="clear" w:color="auto" w:fill="auto"/>
                <w:vAlign w:val="center"/>
                <w:hideMark/>
              </w:tcPr>
              <w:p>
                <w:pPr>
                  <w:rPr>
                    <w:szCs w:val="24"/>
                    <w:lang w:eastAsia="lt-LT"/>
                  </w:rPr>
                </w:pPr>
                <w:r>
                  <w:rPr>
                    <w:szCs w:val="24"/>
                    <w:lang w:eastAsia="lt-LT"/>
                  </w:rPr>
                  <w:t>BĮ Nacionalinė švietimo agentūra</w:t>
                </w:r>
              </w:p>
            </w:tc>
          </w:tr>
          <w:tr>
            <w:trPr>
              <w:trHeight w:val="520"/>
            </w:trPr>
            <w:tc>
              <w:tcPr>
                <w:tcW w:w="1710" w:type="dxa"/>
                <w:shd w:val="clear" w:color="auto" w:fill="auto"/>
                <w:noWrap/>
                <w:vAlign w:val="bottom"/>
              </w:tcPr>
              <w:p>
                <w:pPr>
                  <w:spacing w:line="360" w:lineRule="auto"/>
                  <w:jc w:val="right"/>
                  <w:rPr>
                    <w:b/>
                    <w:bCs/>
                    <w:color w:val="000000"/>
                    <w:szCs w:val="24"/>
                    <w:lang w:eastAsia="lt-LT"/>
                  </w:rPr>
                </w:pPr>
                <w:r>
                  <w:rPr>
                    <w:b/>
                    <w:bCs/>
                    <w:color w:val="000000"/>
                    <w:szCs w:val="24"/>
                    <w:lang w:eastAsia="lt-LT"/>
                  </w:rPr>
                  <w:t>Padaliniai</w:t>
                </w:r>
              </w:p>
            </w:tc>
            <w:tc>
              <w:tcPr>
                <w:tcW w:w="6744" w:type="dxa"/>
                <w:shd w:val="clear" w:color="auto" w:fill="auto"/>
                <w:vAlign w:val="center"/>
              </w:tcPr>
              <w:p>
                <w:pPr>
                  <w:rPr>
                    <w:szCs w:val="24"/>
                    <w:lang w:eastAsia="lt-LT"/>
                  </w:rPr>
                </w:pPr>
                <w:r>
                  <w:rPr>
                    <w:szCs w:val="24"/>
                    <w:lang w:eastAsia="lt-LT"/>
                  </w:rPr>
                  <w:t>Savivaldybės administracijos padaliniai</w:t>
                </w:r>
              </w:p>
            </w:tc>
          </w:tr>
          <w:tr>
            <w:trPr>
              <w:trHeight w:val="401"/>
            </w:trPr>
            <w:tc>
              <w:tcPr>
                <w:tcW w:w="1710" w:type="dxa"/>
                <w:shd w:val="clear" w:color="auto" w:fill="auto"/>
                <w:noWrap/>
                <w:vAlign w:val="center"/>
                <w:hideMark/>
              </w:tcPr>
              <w:p>
                <w:pPr>
                  <w:jc w:val="right"/>
                  <w:rPr>
                    <w:b/>
                    <w:bCs/>
                    <w:color w:val="000000"/>
                    <w:szCs w:val="24"/>
                    <w:lang w:eastAsia="lt-LT"/>
                  </w:rPr>
                </w:pPr>
                <w:r>
                  <w:rPr>
                    <w:b/>
                    <w:bCs/>
                    <w:color w:val="000000"/>
                    <w:szCs w:val="24"/>
                    <w:lang w:eastAsia="lt-LT"/>
                  </w:rPr>
                  <w:t>PS</w:t>
                </w:r>
              </w:p>
            </w:tc>
            <w:tc>
              <w:tcPr>
                <w:tcW w:w="6744" w:type="dxa"/>
                <w:shd w:val="clear" w:color="auto" w:fill="auto"/>
                <w:vAlign w:val="center"/>
                <w:hideMark/>
              </w:tcPr>
              <w:p>
                <w:pPr>
                  <w:rPr>
                    <w:szCs w:val="24"/>
                    <w:lang w:eastAsia="lt-LT"/>
                  </w:rPr>
                </w:pPr>
                <w:r>
                  <w:rPr>
                    <w:szCs w:val="24"/>
                    <w:lang w:eastAsia="lt-LT"/>
                  </w:rPr>
                  <w:t>Personalo skyrius</w:t>
                </w:r>
              </w:p>
            </w:tc>
          </w:tr>
          <w:tr>
            <w:trPr>
              <w:trHeight w:val="260"/>
            </w:trPr>
            <w:tc>
              <w:tcPr>
                <w:tcW w:w="1710" w:type="dxa"/>
                <w:shd w:val="clear" w:color="auto" w:fill="auto"/>
                <w:noWrap/>
                <w:vAlign w:val="center"/>
                <w:hideMark/>
              </w:tcPr>
              <w:p>
                <w:pPr>
                  <w:jc w:val="right"/>
                  <w:rPr>
                    <w:b/>
                    <w:bCs/>
                    <w:color w:val="000000"/>
                    <w:szCs w:val="24"/>
                    <w:lang w:eastAsia="lt-LT"/>
                  </w:rPr>
                </w:pPr>
                <w:r>
                  <w:rPr>
                    <w:b/>
                    <w:bCs/>
                    <w:color w:val="000000"/>
                    <w:szCs w:val="24"/>
                    <w:lang w:eastAsia="lt-LT"/>
                  </w:rPr>
                  <w:t>PVS</w:t>
                </w:r>
              </w:p>
            </w:tc>
            <w:tc>
              <w:tcPr>
                <w:tcW w:w="6744" w:type="dxa"/>
                <w:shd w:val="clear" w:color="auto" w:fill="auto"/>
                <w:vAlign w:val="center"/>
                <w:hideMark/>
              </w:tcPr>
              <w:p>
                <w:pPr>
                  <w:rPr>
                    <w:szCs w:val="24"/>
                    <w:lang w:eastAsia="lt-LT"/>
                  </w:rPr>
                </w:pPr>
                <w:r>
                  <w:rPr>
                    <w:szCs w:val="24"/>
                    <w:lang w:eastAsia="lt-LT"/>
                  </w:rPr>
                  <w:t>Projektų valdymo skyrius</w:t>
                </w:r>
              </w:p>
            </w:tc>
          </w:tr>
          <w:tr>
            <w:trPr>
              <w:trHeight w:val="395"/>
            </w:trPr>
            <w:tc>
              <w:tcPr>
                <w:tcW w:w="1710" w:type="dxa"/>
                <w:shd w:val="clear" w:color="auto" w:fill="auto"/>
                <w:noWrap/>
                <w:vAlign w:val="center"/>
                <w:hideMark/>
              </w:tcPr>
              <w:p>
                <w:pPr>
                  <w:jc w:val="right"/>
                  <w:rPr>
                    <w:b/>
                    <w:bCs/>
                    <w:color w:val="000000"/>
                    <w:szCs w:val="24"/>
                    <w:lang w:eastAsia="lt-LT"/>
                  </w:rPr>
                </w:pPr>
                <w:r>
                  <w:rPr>
                    <w:b/>
                    <w:bCs/>
                    <w:color w:val="000000"/>
                    <w:szCs w:val="24"/>
                    <w:lang w:eastAsia="lt-LT"/>
                  </w:rPr>
                  <w:t>SGI</w:t>
                </w:r>
              </w:p>
            </w:tc>
            <w:tc>
              <w:tcPr>
                <w:tcW w:w="6744" w:type="dxa"/>
                <w:shd w:val="clear" w:color="auto" w:fill="auto"/>
                <w:vAlign w:val="center"/>
                <w:hideMark/>
              </w:tcPr>
              <w:p>
                <w:pPr>
                  <w:rPr>
                    <w:szCs w:val="24"/>
                    <w:lang w:eastAsia="lt-LT"/>
                  </w:rPr>
                </w:pPr>
                <w:r>
                  <w:rPr>
                    <w:szCs w:val="24"/>
                    <w:lang w:eastAsia="lt-LT"/>
                  </w:rPr>
                  <w:t>Savivaldybės gerovės indeksas</w:t>
                </w:r>
              </w:p>
            </w:tc>
          </w:tr>
          <w:tr>
            <w:trPr>
              <w:trHeight w:val="386"/>
            </w:trPr>
            <w:tc>
              <w:tcPr>
                <w:tcW w:w="1710" w:type="dxa"/>
                <w:shd w:val="clear" w:color="auto" w:fill="auto"/>
                <w:noWrap/>
                <w:vAlign w:val="center"/>
                <w:hideMark/>
              </w:tcPr>
              <w:p>
                <w:pPr>
                  <w:jc w:val="right"/>
                  <w:rPr>
                    <w:b/>
                    <w:bCs/>
                    <w:color w:val="000000"/>
                    <w:szCs w:val="24"/>
                    <w:lang w:eastAsia="lt-LT"/>
                  </w:rPr>
                </w:pPr>
                <w:r>
                  <w:rPr>
                    <w:b/>
                    <w:bCs/>
                    <w:color w:val="000000"/>
                    <w:szCs w:val="24"/>
                    <w:lang w:eastAsia="lt-LT"/>
                  </w:rPr>
                  <w:t>SIKS</w:t>
                </w:r>
              </w:p>
            </w:tc>
            <w:tc>
              <w:tcPr>
                <w:tcW w:w="6744" w:type="dxa"/>
                <w:shd w:val="clear" w:color="auto" w:fill="auto"/>
                <w:vAlign w:val="center"/>
                <w:hideMark/>
              </w:tcPr>
              <w:p>
                <w:pPr>
                  <w:rPr>
                    <w:color w:val="000000"/>
                    <w:szCs w:val="24"/>
                    <w:lang w:eastAsia="lt-LT"/>
                  </w:rPr>
                </w:pPr>
                <w:r>
                  <w:rPr>
                    <w:color w:val="000000"/>
                    <w:szCs w:val="24"/>
                    <w:lang w:eastAsia="lt-LT"/>
                  </w:rPr>
                  <w:t>Socialinių išmokų ir kompensacijų skyrius</w:t>
                </w:r>
              </w:p>
            </w:tc>
          </w:tr>
          <w:tr>
            <w:trPr>
              <w:trHeight w:val="392"/>
            </w:trPr>
            <w:tc>
              <w:tcPr>
                <w:tcW w:w="1710" w:type="dxa"/>
                <w:shd w:val="clear" w:color="auto" w:fill="auto"/>
                <w:noWrap/>
                <w:vAlign w:val="center"/>
                <w:hideMark/>
              </w:tcPr>
              <w:p>
                <w:pPr>
                  <w:jc w:val="right"/>
                  <w:rPr>
                    <w:b/>
                    <w:bCs/>
                    <w:color w:val="000000"/>
                    <w:szCs w:val="24"/>
                    <w:lang w:eastAsia="lt-LT"/>
                  </w:rPr>
                </w:pPr>
                <w:r>
                  <w:rPr>
                    <w:b/>
                    <w:bCs/>
                    <w:color w:val="000000"/>
                    <w:szCs w:val="24"/>
                    <w:lang w:eastAsia="lt-LT"/>
                  </w:rPr>
                  <w:t>SPFS</w:t>
                </w:r>
              </w:p>
            </w:tc>
            <w:tc>
              <w:tcPr>
                <w:tcW w:w="6744" w:type="dxa"/>
                <w:shd w:val="clear" w:color="auto" w:fill="auto"/>
                <w:vAlign w:val="center"/>
                <w:hideMark/>
              </w:tcPr>
              <w:p>
                <w:pPr>
                  <w:rPr>
                    <w:color w:val="000000"/>
                    <w:szCs w:val="24"/>
                    <w:lang w:eastAsia="lt-LT"/>
                  </w:rPr>
                </w:pPr>
                <w:r>
                  <w:rPr>
                    <w:color w:val="000000"/>
                    <w:szCs w:val="24"/>
                    <w:lang w:eastAsia="lt-LT"/>
                  </w:rPr>
                  <w:t>Strateginio planavimo ir finansų skyrius</w:t>
                </w:r>
              </w:p>
            </w:tc>
          </w:tr>
          <w:tr>
            <w:trPr>
              <w:trHeight w:val="398"/>
            </w:trPr>
            <w:tc>
              <w:tcPr>
                <w:tcW w:w="1710" w:type="dxa"/>
                <w:shd w:val="clear" w:color="auto" w:fill="auto"/>
                <w:noWrap/>
                <w:vAlign w:val="center"/>
                <w:hideMark/>
              </w:tcPr>
              <w:p>
                <w:pPr>
                  <w:jc w:val="right"/>
                  <w:rPr>
                    <w:b/>
                    <w:bCs/>
                    <w:color w:val="000000"/>
                    <w:szCs w:val="24"/>
                    <w:lang w:eastAsia="lt-LT"/>
                  </w:rPr>
                </w:pPr>
                <w:r>
                  <w:rPr>
                    <w:b/>
                    <w:bCs/>
                    <w:color w:val="000000"/>
                    <w:szCs w:val="24"/>
                    <w:lang w:eastAsia="lt-LT"/>
                  </w:rPr>
                  <w:t>SPĮ</w:t>
                </w:r>
              </w:p>
            </w:tc>
            <w:tc>
              <w:tcPr>
                <w:tcW w:w="6744" w:type="dxa"/>
                <w:shd w:val="clear" w:color="auto" w:fill="auto"/>
                <w:vAlign w:val="center"/>
                <w:hideMark/>
              </w:tcPr>
              <w:p>
                <w:pPr>
                  <w:rPr>
                    <w:color w:val="000000"/>
                    <w:szCs w:val="24"/>
                    <w:lang w:eastAsia="lt-LT"/>
                  </w:rPr>
                </w:pPr>
                <w:r>
                  <w:rPr>
                    <w:color w:val="000000"/>
                    <w:szCs w:val="24"/>
                    <w:lang w:eastAsia="lt-LT"/>
                  </w:rPr>
                  <w:t>Sveikatos priežiūros įstaigos</w:t>
                </w:r>
              </w:p>
            </w:tc>
          </w:tr>
          <w:tr>
            <w:trPr>
              <w:trHeight w:val="390"/>
            </w:trPr>
            <w:tc>
              <w:tcPr>
                <w:tcW w:w="1710" w:type="dxa"/>
                <w:shd w:val="clear" w:color="auto" w:fill="auto"/>
                <w:noWrap/>
                <w:vAlign w:val="center"/>
                <w:hideMark/>
              </w:tcPr>
              <w:p>
                <w:pPr>
                  <w:jc w:val="right"/>
                  <w:rPr>
                    <w:b/>
                    <w:bCs/>
                    <w:color w:val="000000"/>
                    <w:szCs w:val="24"/>
                    <w:lang w:eastAsia="lt-LT"/>
                  </w:rPr>
                </w:pPr>
                <w:r>
                  <w:rPr>
                    <w:b/>
                    <w:bCs/>
                    <w:color w:val="000000"/>
                    <w:szCs w:val="24"/>
                    <w:lang w:eastAsia="lt-LT"/>
                  </w:rPr>
                  <w:t>SPS</w:t>
                </w:r>
              </w:p>
            </w:tc>
            <w:tc>
              <w:tcPr>
                <w:tcW w:w="6744" w:type="dxa"/>
                <w:shd w:val="clear" w:color="auto" w:fill="auto"/>
                <w:vAlign w:val="center"/>
                <w:hideMark/>
              </w:tcPr>
              <w:p>
                <w:pPr>
                  <w:rPr>
                    <w:color w:val="000000"/>
                    <w:szCs w:val="24"/>
                    <w:lang w:eastAsia="lt-LT"/>
                  </w:rPr>
                </w:pPr>
                <w:r>
                  <w:rPr>
                    <w:color w:val="000000"/>
                    <w:szCs w:val="24"/>
                    <w:lang w:eastAsia="lt-LT"/>
                  </w:rPr>
                  <w:t>Socialinių paslaugų skyrius</w:t>
                </w:r>
              </w:p>
            </w:tc>
          </w:tr>
          <w:tr>
            <w:trPr>
              <w:trHeight w:val="390"/>
            </w:trPr>
            <w:tc>
              <w:tcPr>
                <w:tcW w:w="1710" w:type="dxa"/>
                <w:shd w:val="clear" w:color="auto" w:fill="auto"/>
                <w:noWrap/>
                <w:vAlign w:val="center"/>
              </w:tcPr>
              <w:p>
                <w:pPr>
                  <w:jc w:val="right"/>
                  <w:rPr>
                    <w:b/>
                    <w:bCs/>
                    <w:color w:val="000000"/>
                    <w:szCs w:val="24"/>
                    <w:lang w:eastAsia="lt-LT"/>
                  </w:rPr>
                </w:pPr>
                <w:r>
                  <w:rPr>
                    <w:b/>
                    <w:bCs/>
                    <w:color w:val="000000"/>
                    <w:szCs w:val="24"/>
                    <w:lang w:eastAsia="lt-LT"/>
                  </w:rPr>
                  <w:t>Strateginio planavimo ir finansų skyrius</w:t>
                </w:r>
              </w:p>
            </w:tc>
            <w:tc>
              <w:tcPr>
                <w:tcW w:w="6744" w:type="dxa"/>
                <w:shd w:val="clear" w:color="auto" w:fill="auto"/>
                <w:vAlign w:val="center"/>
              </w:tcPr>
              <w:p>
                <w:pPr>
                  <w:rPr>
                    <w:color w:val="000000"/>
                    <w:szCs w:val="24"/>
                    <w:lang w:eastAsia="lt-LT"/>
                  </w:rPr>
                </w:pPr>
                <w:r>
                  <w:rPr>
                    <w:color w:val="000000"/>
                    <w:szCs w:val="24"/>
                    <w:lang w:eastAsia="lt-LT"/>
                  </w:rPr>
                  <w:t>Savivaldybės administracijos Strateginio planavimo ir finansų skyrius</w:t>
                </w:r>
              </w:p>
            </w:tc>
          </w:tr>
          <w:tr>
            <w:trPr>
              <w:trHeight w:val="390"/>
            </w:trPr>
            <w:tc>
              <w:tcPr>
                <w:tcW w:w="1710" w:type="dxa"/>
                <w:shd w:val="clear" w:color="auto" w:fill="auto"/>
                <w:noWrap/>
                <w:vAlign w:val="center"/>
              </w:tcPr>
              <w:p>
                <w:pPr>
                  <w:jc w:val="right"/>
                  <w:rPr>
                    <w:b/>
                    <w:bCs/>
                    <w:color w:val="000000"/>
                    <w:szCs w:val="24"/>
                    <w:lang w:eastAsia="lt-LT"/>
                  </w:rPr>
                </w:pPr>
                <w:r>
                  <w:rPr>
                    <w:b/>
                    <w:bCs/>
                    <w:color w:val="000000"/>
                    <w:szCs w:val="24"/>
                    <w:lang w:eastAsia="lt-LT"/>
                  </w:rPr>
                  <w:t>SPT</w:t>
                </w:r>
              </w:p>
            </w:tc>
            <w:tc>
              <w:tcPr>
                <w:tcW w:w="6744" w:type="dxa"/>
                <w:shd w:val="clear" w:color="auto" w:fill="auto"/>
                <w:vAlign w:val="center"/>
              </w:tcPr>
              <w:p>
                <w:pPr>
                  <w:rPr>
                    <w:color w:val="000000"/>
                    <w:szCs w:val="24"/>
                    <w:lang w:eastAsia="lt-LT"/>
                  </w:rPr>
                </w:pPr>
                <w:r>
                  <w:rPr>
                    <w:color w:val="000000"/>
                    <w:szCs w:val="24"/>
                    <w:lang w:eastAsia="lt-LT"/>
                  </w:rPr>
                  <w:t>Strateginės plėtros taryba</w:t>
                </w:r>
              </w:p>
            </w:tc>
          </w:tr>
          <w:tr>
            <w:trPr>
              <w:trHeight w:val="409"/>
            </w:trPr>
            <w:tc>
              <w:tcPr>
                <w:tcW w:w="1710" w:type="dxa"/>
                <w:shd w:val="clear" w:color="auto" w:fill="auto"/>
                <w:noWrap/>
                <w:vAlign w:val="center"/>
                <w:hideMark/>
              </w:tcPr>
              <w:p>
                <w:pPr>
                  <w:jc w:val="right"/>
                  <w:rPr>
                    <w:b/>
                    <w:bCs/>
                    <w:color w:val="000000"/>
                    <w:szCs w:val="24"/>
                    <w:lang w:eastAsia="lt-LT"/>
                  </w:rPr>
                </w:pPr>
                <w:r>
                  <w:rPr>
                    <w:b/>
                    <w:bCs/>
                    <w:color w:val="000000"/>
                    <w:szCs w:val="24"/>
                    <w:lang w:eastAsia="lt-LT"/>
                  </w:rPr>
                  <w:t>SRS</w:t>
                </w:r>
              </w:p>
            </w:tc>
            <w:tc>
              <w:tcPr>
                <w:tcW w:w="6744" w:type="dxa"/>
                <w:shd w:val="clear" w:color="auto" w:fill="auto"/>
                <w:vAlign w:val="center"/>
                <w:hideMark/>
              </w:tcPr>
              <w:p>
                <w:pPr>
                  <w:rPr>
                    <w:color w:val="000000"/>
                    <w:szCs w:val="24"/>
                    <w:lang w:eastAsia="lt-LT"/>
                  </w:rPr>
                </w:pPr>
                <w:r>
                  <w:rPr>
                    <w:color w:val="000000"/>
                    <w:szCs w:val="24"/>
                    <w:lang w:eastAsia="lt-LT"/>
                  </w:rPr>
                  <w:t>Statybos ir renovacijos skyrius</w:t>
                </w:r>
              </w:p>
            </w:tc>
          </w:tr>
          <w:tr>
            <w:trPr>
              <w:trHeight w:val="387"/>
            </w:trPr>
            <w:tc>
              <w:tcPr>
                <w:tcW w:w="1710" w:type="dxa"/>
                <w:shd w:val="clear" w:color="auto" w:fill="auto"/>
                <w:noWrap/>
                <w:vAlign w:val="center"/>
                <w:hideMark/>
              </w:tcPr>
              <w:p>
                <w:pPr>
                  <w:jc w:val="right"/>
                  <w:rPr>
                    <w:b/>
                    <w:bCs/>
                    <w:color w:val="000000"/>
                    <w:szCs w:val="24"/>
                    <w:lang w:eastAsia="lt-LT"/>
                  </w:rPr>
                </w:pPr>
                <w:r>
                  <w:rPr>
                    <w:b/>
                    <w:bCs/>
                    <w:color w:val="000000"/>
                    <w:szCs w:val="24"/>
                    <w:lang w:eastAsia="lt-LT"/>
                  </w:rPr>
                  <w:t>SS</w:t>
                </w:r>
              </w:p>
            </w:tc>
            <w:tc>
              <w:tcPr>
                <w:tcW w:w="6744" w:type="dxa"/>
                <w:shd w:val="clear" w:color="auto" w:fill="auto"/>
                <w:vAlign w:val="center"/>
                <w:hideMark/>
              </w:tcPr>
              <w:p>
                <w:pPr>
                  <w:rPr>
                    <w:color w:val="000000"/>
                    <w:szCs w:val="24"/>
                    <w:lang w:eastAsia="lt-LT"/>
                  </w:rPr>
                </w:pPr>
                <w:r>
                  <w:rPr>
                    <w:color w:val="000000"/>
                    <w:szCs w:val="24"/>
                    <w:lang w:eastAsia="lt-LT"/>
                  </w:rPr>
                  <w:t>Sporto skyrius</w:t>
                </w:r>
              </w:p>
            </w:tc>
          </w:tr>
          <w:tr>
            <w:trPr>
              <w:trHeight w:val="387"/>
            </w:trPr>
            <w:tc>
              <w:tcPr>
                <w:tcW w:w="1710" w:type="dxa"/>
                <w:shd w:val="clear" w:color="auto" w:fill="auto"/>
                <w:noWrap/>
                <w:vAlign w:val="center"/>
              </w:tcPr>
              <w:p>
                <w:pPr>
                  <w:jc w:val="right"/>
                  <w:rPr>
                    <w:b/>
                    <w:bCs/>
                    <w:color w:val="000000"/>
                    <w:szCs w:val="24"/>
                    <w:lang w:eastAsia="lt-LT"/>
                  </w:rPr>
                </w:pPr>
                <w:r>
                  <w:rPr>
                    <w:b/>
                    <w:bCs/>
                    <w:color w:val="000000"/>
                    <w:szCs w:val="24"/>
                    <w:lang w:eastAsia="lt-LT"/>
                  </w:rPr>
                  <w:t>Savivaldybės taryba</w:t>
                </w:r>
              </w:p>
            </w:tc>
            <w:tc>
              <w:tcPr>
                <w:tcW w:w="6744" w:type="dxa"/>
                <w:shd w:val="clear" w:color="auto" w:fill="auto"/>
                <w:vAlign w:val="center"/>
              </w:tcPr>
              <w:p>
                <w:pPr>
                  <w:rPr>
                    <w:color w:val="000000"/>
                    <w:szCs w:val="24"/>
                    <w:lang w:eastAsia="lt-LT"/>
                  </w:rPr>
                </w:pPr>
                <w:r>
                  <w:rPr>
                    <w:color w:val="000000"/>
                    <w:szCs w:val="24"/>
                    <w:lang w:eastAsia="lt-LT"/>
                  </w:rPr>
                  <w:t>Šiaulių miesto savivaldybės taryba</w:t>
                </w:r>
              </w:p>
            </w:tc>
          </w:tr>
          <w:tr>
            <w:trPr>
              <w:trHeight w:val="394"/>
            </w:trPr>
            <w:tc>
              <w:tcPr>
                <w:tcW w:w="1710" w:type="dxa"/>
                <w:shd w:val="clear" w:color="auto" w:fill="auto"/>
                <w:noWrap/>
                <w:vAlign w:val="center"/>
                <w:hideMark/>
              </w:tcPr>
              <w:p>
                <w:pPr>
                  <w:jc w:val="right"/>
                  <w:rPr>
                    <w:b/>
                    <w:bCs/>
                    <w:color w:val="000000"/>
                    <w:szCs w:val="24"/>
                    <w:lang w:eastAsia="lt-LT"/>
                  </w:rPr>
                </w:pPr>
                <w:r>
                  <w:rPr>
                    <w:b/>
                    <w:bCs/>
                    <w:color w:val="000000"/>
                    <w:szCs w:val="24"/>
                    <w:lang w:eastAsia="lt-LT"/>
                  </w:rPr>
                  <w:t xml:space="preserve">SUC </w:t>
                </w:r>
              </w:p>
            </w:tc>
            <w:tc>
              <w:tcPr>
                <w:tcW w:w="6744" w:type="dxa"/>
                <w:shd w:val="clear" w:color="auto" w:fill="auto"/>
                <w:vAlign w:val="center"/>
                <w:hideMark/>
              </w:tcPr>
              <w:p>
                <w:pPr>
                  <w:rPr>
                    <w:color w:val="000000"/>
                    <w:szCs w:val="24"/>
                    <w:lang w:eastAsia="lt-LT"/>
                  </w:rPr>
                </w:pPr>
                <w:r>
                  <w:rPr>
                    <w:color w:val="000000"/>
                    <w:szCs w:val="24"/>
                    <w:lang w:eastAsia="lt-LT"/>
                  </w:rPr>
                  <w:t>Sportininkų ugdymo centrai</w:t>
                </w:r>
              </w:p>
            </w:tc>
          </w:tr>
          <w:tr>
            <w:trPr>
              <w:trHeight w:val="399"/>
            </w:trPr>
            <w:tc>
              <w:tcPr>
                <w:tcW w:w="1710" w:type="dxa"/>
                <w:shd w:val="clear" w:color="auto" w:fill="auto"/>
                <w:noWrap/>
                <w:vAlign w:val="bottom"/>
                <w:hideMark/>
              </w:tcPr>
              <w:p>
                <w:pPr>
                  <w:jc w:val="right"/>
                  <w:rPr>
                    <w:b/>
                    <w:bCs/>
                    <w:color w:val="000000"/>
                    <w:szCs w:val="24"/>
                    <w:lang w:eastAsia="lt-LT"/>
                  </w:rPr>
                </w:pPr>
                <w:r>
                  <w:rPr>
                    <w:b/>
                    <w:bCs/>
                    <w:color w:val="000000"/>
                    <w:szCs w:val="24"/>
                    <w:lang w:eastAsia="lt-LT"/>
                  </w:rPr>
                  <w:t>SVP</w:t>
                </w:r>
              </w:p>
            </w:tc>
            <w:tc>
              <w:tcPr>
                <w:tcW w:w="6744" w:type="dxa"/>
                <w:shd w:val="clear" w:color="auto" w:fill="auto"/>
                <w:vAlign w:val="center"/>
                <w:hideMark/>
              </w:tcPr>
              <w:p>
                <w:pPr>
                  <w:rPr>
                    <w:color w:val="000000"/>
                    <w:szCs w:val="24"/>
                    <w:lang w:eastAsia="lt-LT"/>
                  </w:rPr>
                </w:pPr>
                <w:r>
                  <w:rPr>
                    <w:color w:val="000000"/>
                    <w:szCs w:val="24"/>
                    <w:lang w:eastAsia="lt-LT"/>
                  </w:rPr>
                  <w:t>Strateginis veiklos planas</w:t>
                </w:r>
              </w:p>
            </w:tc>
          </w:tr>
          <w:tr>
            <w:trPr>
              <w:trHeight w:val="391"/>
            </w:trPr>
            <w:tc>
              <w:tcPr>
                <w:tcW w:w="1710" w:type="dxa"/>
                <w:shd w:val="clear" w:color="auto" w:fill="auto"/>
                <w:noWrap/>
                <w:vAlign w:val="center"/>
                <w:hideMark/>
              </w:tcPr>
              <w:p>
                <w:pPr>
                  <w:jc w:val="right"/>
                  <w:rPr>
                    <w:b/>
                    <w:bCs/>
                    <w:color w:val="000000"/>
                    <w:szCs w:val="24"/>
                    <w:lang w:eastAsia="lt-LT"/>
                  </w:rPr>
                </w:pPr>
                <w:r>
                  <w:rPr>
                    <w:b/>
                    <w:bCs/>
                    <w:color w:val="000000"/>
                    <w:szCs w:val="24"/>
                    <w:lang w:eastAsia="lt-LT"/>
                  </w:rPr>
                  <w:t>SvS</w:t>
                </w:r>
              </w:p>
            </w:tc>
            <w:tc>
              <w:tcPr>
                <w:tcW w:w="6744" w:type="dxa"/>
                <w:shd w:val="clear" w:color="auto" w:fill="auto"/>
                <w:vAlign w:val="center"/>
                <w:hideMark/>
              </w:tcPr>
              <w:p>
                <w:pPr>
                  <w:rPr>
                    <w:color w:val="000000"/>
                    <w:szCs w:val="24"/>
                    <w:lang w:eastAsia="lt-LT"/>
                  </w:rPr>
                </w:pPr>
                <w:r>
                  <w:rPr>
                    <w:color w:val="000000"/>
                    <w:szCs w:val="24"/>
                    <w:lang w:eastAsia="lt-LT"/>
                  </w:rPr>
                  <w:t>Sveikatos skyrius</w:t>
                </w:r>
              </w:p>
            </w:tc>
          </w:tr>
          <w:tr>
            <w:trPr>
              <w:trHeight w:val="411"/>
            </w:trPr>
            <w:tc>
              <w:tcPr>
                <w:tcW w:w="1710" w:type="dxa"/>
                <w:shd w:val="clear" w:color="auto" w:fill="auto"/>
                <w:vAlign w:val="center"/>
                <w:hideMark/>
              </w:tcPr>
              <w:p>
                <w:pPr>
                  <w:jc w:val="right"/>
                  <w:rPr>
                    <w:b/>
                    <w:bCs/>
                    <w:color w:val="000000"/>
                    <w:szCs w:val="24"/>
                    <w:lang w:eastAsia="lt-LT"/>
                  </w:rPr>
                </w:pPr>
                <w:r>
                  <w:rPr>
                    <w:b/>
                    <w:bCs/>
                    <w:color w:val="000000"/>
                    <w:szCs w:val="24"/>
                    <w:lang w:eastAsia="lt-LT"/>
                  </w:rPr>
                  <w:t>ŠE</w:t>
                </w:r>
              </w:p>
            </w:tc>
            <w:tc>
              <w:tcPr>
                <w:tcW w:w="6744" w:type="dxa"/>
                <w:shd w:val="clear" w:color="auto" w:fill="auto"/>
                <w:vAlign w:val="center"/>
                <w:hideMark/>
              </w:tcPr>
              <w:p>
                <w:pPr>
                  <w:rPr>
                    <w:color w:val="000000"/>
                    <w:szCs w:val="24"/>
                    <w:lang w:eastAsia="lt-LT"/>
                  </w:rPr>
                </w:pPr>
                <w:r>
                  <w:rPr>
                    <w:color w:val="000000"/>
                    <w:szCs w:val="24"/>
                    <w:lang w:eastAsia="lt-LT"/>
                  </w:rPr>
                  <w:t>AB „Šiaulių energija“</w:t>
                </w:r>
              </w:p>
            </w:tc>
          </w:tr>
          <w:tr>
            <w:trPr>
              <w:trHeight w:val="389"/>
            </w:trPr>
            <w:tc>
              <w:tcPr>
                <w:tcW w:w="1710" w:type="dxa"/>
                <w:shd w:val="clear" w:color="auto" w:fill="auto"/>
                <w:vAlign w:val="center"/>
                <w:hideMark/>
              </w:tcPr>
              <w:p>
                <w:pPr>
                  <w:jc w:val="right"/>
                  <w:rPr>
                    <w:b/>
                    <w:bCs/>
                    <w:color w:val="000000"/>
                    <w:szCs w:val="24"/>
                    <w:lang w:eastAsia="lt-LT"/>
                  </w:rPr>
                </w:pPr>
                <w:r>
                  <w:rPr>
                    <w:b/>
                    <w:bCs/>
                    <w:color w:val="000000"/>
                    <w:szCs w:val="24"/>
                    <w:lang w:eastAsia="lt-LT"/>
                  </w:rPr>
                  <w:t>ŠGA</w:t>
                </w:r>
              </w:p>
            </w:tc>
            <w:tc>
              <w:tcPr>
                <w:tcW w:w="6744" w:type="dxa"/>
                <w:shd w:val="clear" w:color="auto" w:fill="auto"/>
                <w:vAlign w:val="center"/>
                <w:hideMark/>
              </w:tcPr>
              <w:p>
                <w:pPr>
                  <w:rPr>
                    <w:color w:val="000000"/>
                    <w:szCs w:val="24"/>
                    <w:lang w:eastAsia="lt-LT"/>
                  </w:rPr>
                </w:pPr>
                <w:r>
                  <w:rPr>
                    <w:color w:val="000000"/>
                    <w:szCs w:val="24"/>
                    <w:lang w:eastAsia="lt-LT"/>
                  </w:rPr>
                  <w:t>UAB „Šiaulių gatvių apšvietimas“</w:t>
                </w:r>
              </w:p>
            </w:tc>
          </w:tr>
          <w:tr>
            <w:trPr>
              <w:trHeight w:val="260"/>
            </w:trPr>
            <w:tc>
              <w:tcPr>
                <w:tcW w:w="1710" w:type="dxa"/>
                <w:shd w:val="clear" w:color="auto" w:fill="auto"/>
                <w:noWrap/>
                <w:vAlign w:val="bottom"/>
                <w:hideMark/>
              </w:tcPr>
              <w:p>
                <w:pPr>
                  <w:jc w:val="right"/>
                  <w:rPr>
                    <w:b/>
                    <w:bCs/>
                    <w:color w:val="000000"/>
                    <w:szCs w:val="24"/>
                    <w:lang w:eastAsia="lt-LT"/>
                  </w:rPr>
                </w:pPr>
                <w:r>
                  <w:rPr>
                    <w:b/>
                    <w:bCs/>
                    <w:color w:val="000000"/>
                    <w:szCs w:val="24"/>
                    <w:lang w:eastAsia="lt-LT"/>
                  </w:rPr>
                  <w:t>ŠMSA / savivaldybės administracija</w:t>
                </w:r>
              </w:p>
            </w:tc>
            <w:tc>
              <w:tcPr>
                <w:tcW w:w="6744" w:type="dxa"/>
                <w:shd w:val="clear" w:color="auto" w:fill="auto"/>
                <w:noWrap/>
                <w:vAlign w:val="bottom"/>
                <w:hideMark/>
              </w:tcPr>
              <w:p>
                <w:pPr>
                  <w:spacing w:line="480" w:lineRule="auto"/>
                  <w:rPr>
                    <w:color w:val="000000"/>
                    <w:szCs w:val="24"/>
                    <w:lang w:eastAsia="lt-LT"/>
                  </w:rPr>
                </w:pPr>
                <w:r>
                  <w:rPr>
                    <w:color w:val="000000"/>
                    <w:szCs w:val="24"/>
                    <w:lang w:eastAsia="lt-LT"/>
                  </w:rPr>
                  <w:t>Šiaulių miesto savivaldybės administracija</w:t>
                </w:r>
              </w:p>
            </w:tc>
          </w:tr>
          <w:tr>
            <w:trPr>
              <w:trHeight w:val="379"/>
            </w:trPr>
            <w:tc>
              <w:tcPr>
                <w:tcW w:w="1710" w:type="dxa"/>
                <w:shd w:val="clear" w:color="auto" w:fill="auto"/>
                <w:noWrap/>
                <w:vAlign w:val="center"/>
                <w:hideMark/>
              </w:tcPr>
              <w:p>
                <w:pPr>
                  <w:jc w:val="right"/>
                  <w:rPr>
                    <w:b/>
                    <w:bCs/>
                    <w:color w:val="000000"/>
                    <w:szCs w:val="24"/>
                    <w:lang w:eastAsia="lt-LT"/>
                  </w:rPr>
                </w:pPr>
                <w:r>
                  <w:rPr>
                    <w:b/>
                    <w:bCs/>
                    <w:color w:val="000000"/>
                    <w:szCs w:val="24"/>
                    <w:lang w:eastAsia="lt-LT"/>
                  </w:rPr>
                  <w:t>ŠMSM</w:t>
                </w:r>
              </w:p>
            </w:tc>
            <w:tc>
              <w:tcPr>
                <w:tcW w:w="6744" w:type="dxa"/>
                <w:shd w:val="clear" w:color="auto" w:fill="auto"/>
                <w:vAlign w:val="center"/>
                <w:hideMark/>
              </w:tcPr>
              <w:p>
                <w:pPr>
                  <w:rPr>
                    <w:color w:val="000000"/>
                    <w:szCs w:val="24"/>
                    <w:lang w:eastAsia="lt-LT"/>
                  </w:rPr>
                </w:pPr>
                <w:r>
                  <w:rPr>
                    <w:color w:val="000000"/>
                    <w:szCs w:val="24"/>
                    <w:lang w:eastAsia="lt-LT"/>
                  </w:rPr>
                  <w:t>LR Švietimo, mokslo ir sporto ministerija</w:t>
                </w:r>
              </w:p>
            </w:tc>
          </w:tr>
          <w:tr>
            <w:trPr>
              <w:trHeight w:val="400"/>
            </w:trPr>
            <w:tc>
              <w:tcPr>
                <w:tcW w:w="1710" w:type="dxa"/>
                <w:shd w:val="clear" w:color="auto" w:fill="auto"/>
                <w:vAlign w:val="center"/>
                <w:hideMark/>
              </w:tcPr>
              <w:p>
                <w:pPr>
                  <w:jc w:val="right"/>
                  <w:rPr>
                    <w:b/>
                    <w:bCs/>
                    <w:color w:val="000000"/>
                    <w:szCs w:val="24"/>
                    <w:lang w:eastAsia="lt-LT"/>
                  </w:rPr>
                </w:pPr>
                <w:r>
                  <w:rPr>
                    <w:b/>
                    <w:bCs/>
                    <w:color w:val="000000"/>
                    <w:szCs w:val="24"/>
                    <w:lang w:eastAsia="lt-LT"/>
                  </w:rPr>
                  <w:t xml:space="preserve">ŠRATC </w:t>
                </w:r>
              </w:p>
            </w:tc>
            <w:tc>
              <w:tcPr>
                <w:tcW w:w="6744" w:type="dxa"/>
                <w:shd w:val="clear" w:color="auto" w:fill="auto"/>
                <w:vAlign w:val="center"/>
                <w:hideMark/>
              </w:tcPr>
              <w:p>
                <w:pPr>
                  <w:rPr>
                    <w:szCs w:val="24"/>
                    <w:lang w:eastAsia="lt-LT"/>
                  </w:rPr>
                </w:pPr>
                <w:r>
                  <w:rPr>
                    <w:szCs w:val="24"/>
                    <w:lang w:eastAsia="lt-LT"/>
                  </w:rPr>
                  <w:t>VšĮ Šiaulių regiono atliekų tvarkymo centras</w:t>
                </w:r>
              </w:p>
            </w:tc>
          </w:tr>
          <w:tr>
            <w:trPr>
              <w:trHeight w:val="392"/>
            </w:trPr>
            <w:tc>
              <w:tcPr>
                <w:tcW w:w="1710" w:type="dxa"/>
                <w:shd w:val="clear" w:color="auto" w:fill="auto"/>
                <w:noWrap/>
                <w:vAlign w:val="center"/>
                <w:hideMark/>
              </w:tcPr>
              <w:p>
                <w:pPr>
                  <w:jc w:val="right"/>
                  <w:rPr>
                    <w:b/>
                    <w:bCs/>
                    <w:color w:val="000000"/>
                    <w:szCs w:val="24"/>
                    <w:lang w:eastAsia="lt-LT"/>
                  </w:rPr>
                </w:pPr>
                <w:r>
                  <w:rPr>
                    <w:b/>
                    <w:bCs/>
                    <w:color w:val="000000"/>
                    <w:szCs w:val="24"/>
                    <w:lang w:eastAsia="lt-LT"/>
                  </w:rPr>
                  <w:t>ŠRPP</w:t>
                </w:r>
              </w:p>
            </w:tc>
            <w:tc>
              <w:tcPr>
                <w:tcW w:w="6744" w:type="dxa"/>
                <w:shd w:val="clear" w:color="auto" w:fill="auto"/>
                <w:vAlign w:val="center"/>
                <w:hideMark/>
              </w:tcPr>
              <w:p>
                <w:pPr>
                  <w:rPr>
                    <w:szCs w:val="24"/>
                    <w:lang w:eastAsia="lt-LT"/>
                  </w:rPr>
                </w:pPr>
                <w:r>
                  <w:rPr>
                    <w:szCs w:val="24"/>
                    <w:lang w:eastAsia="lt-LT"/>
                  </w:rPr>
                  <w:t>Šiaulių regiono 2022–2030 metų plėtros planas</w:t>
                </w:r>
              </w:p>
            </w:tc>
          </w:tr>
          <w:tr>
            <w:trPr>
              <w:trHeight w:val="397"/>
            </w:trPr>
            <w:tc>
              <w:tcPr>
                <w:tcW w:w="1710" w:type="dxa"/>
                <w:shd w:val="clear" w:color="auto" w:fill="auto"/>
                <w:noWrap/>
                <w:vAlign w:val="center"/>
                <w:hideMark/>
              </w:tcPr>
              <w:p>
                <w:pPr>
                  <w:jc w:val="right"/>
                  <w:rPr>
                    <w:b/>
                    <w:bCs/>
                    <w:color w:val="000000"/>
                    <w:szCs w:val="24"/>
                    <w:lang w:eastAsia="lt-LT"/>
                  </w:rPr>
                </w:pPr>
                <w:r>
                  <w:rPr>
                    <w:b/>
                    <w:bCs/>
                    <w:color w:val="000000"/>
                    <w:szCs w:val="24"/>
                    <w:lang w:eastAsia="lt-LT"/>
                  </w:rPr>
                  <w:t>ŠS</w:t>
                </w:r>
              </w:p>
            </w:tc>
            <w:tc>
              <w:tcPr>
                <w:tcW w:w="6744" w:type="dxa"/>
                <w:shd w:val="clear" w:color="auto" w:fill="auto"/>
                <w:vAlign w:val="center"/>
                <w:hideMark/>
              </w:tcPr>
              <w:p>
                <w:pPr>
                  <w:rPr>
                    <w:szCs w:val="24"/>
                    <w:lang w:eastAsia="lt-LT"/>
                  </w:rPr>
                </w:pPr>
                <w:r>
                  <w:rPr>
                    <w:szCs w:val="24"/>
                    <w:lang w:eastAsia="lt-LT"/>
                  </w:rPr>
                  <w:t>Švietimo skyrius</w:t>
                </w:r>
              </w:p>
            </w:tc>
          </w:tr>
          <w:tr>
            <w:trPr>
              <w:trHeight w:val="397"/>
            </w:trPr>
            <w:tc>
              <w:tcPr>
                <w:tcW w:w="1710" w:type="dxa"/>
                <w:shd w:val="clear" w:color="auto" w:fill="auto"/>
                <w:noWrap/>
                <w:vAlign w:val="center"/>
              </w:tcPr>
              <w:p>
                <w:pPr>
                  <w:jc w:val="right"/>
                  <w:rPr>
                    <w:b/>
                    <w:bCs/>
                    <w:color w:val="000000"/>
                    <w:szCs w:val="24"/>
                    <w:lang w:eastAsia="lt-LT"/>
                  </w:rPr>
                </w:pPr>
                <w:r>
                  <w:rPr>
                    <w:b/>
                    <w:bCs/>
                    <w:color w:val="000000"/>
                    <w:szCs w:val="24"/>
                    <w:lang w:eastAsia="lt-LT"/>
                  </w:rPr>
                  <w:t>ŠSPP</w:t>
                </w:r>
              </w:p>
            </w:tc>
            <w:tc>
              <w:tcPr>
                <w:tcW w:w="6744" w:type="dxa"/>
                <w:shd w:val="clear" w:color="auto" w:fill="auto"/>
                <w:vAlign w:val="center"/>
              </w:tcPr>
              <w:p>
                <w:pPr>
                  <w:rPr>
                    <w:szCs w:val="24"/>
                    <w:lang w:eastAsia="lt-LT"/>
                  </w:rPr>
                </w:pPr>
                <w:r>
                  <w:rPr>
                    <w:szCs w:val="24"/>
                    <w:lang w:eastAsia="lt-LT"/>
                  </w:rPr>
                  <w:t>Šiaulių miesto strateginis plėtros planas</w:t>
                </w:r>
              </w:p>
            </w:tc>
          </w:tr>
          <w:tr>
            <w:trPr>
              <w:trHeight w:val="403"/>
            </w:trPr>
            <w:tc>
              <w:tcPr>
                <w:tcW w:w="1710" w:type="dxa"/>
                <w:shd w:val="clear" w:color="auto" w:fill="auto"/>
                <w:noWrap/>
                <w:vAlign w:val="center"/>
                <w:hideMark/>
              </w:tcPr>
              <w:p>
                <w:pPr>
                  <w:jc w:val="right"/>
                  <w:rPr>
                    <w:b/>
                    <w:bCs/>
                    <w:color w:val="000000"/>
                    <w:szCs w:val="24"/>
                    <w:lang w:eastAsia="lt-LT"/>
                  </w:rPr>
                </w:pPr>
                <w:r>
                  <w:rPr>
                    <w:b/>
                    <w:bCs/>
                    <w:color w:val="000000"/>
                    <w:szCs w:val="24"/>
                    <w:lang w:eastAsia="lt-LT"/>
                  </w:rPr>
                  <w:t>ŠTMC</w:t>
                </w:r>
              </w:p>
            </w:tc>
            <w:tc>
              <w:tcPr>
                <w:tcW w:w="6744" w:type="dxa"/>
                <w:shd w:val="clear" w:color="auto" w:fill="auto"/>
                <w:vAlign w:val="center"/>
                <w:hideMark/>
              </w:tcPr>
              <w:p>
                <w:pPr>
                  <w:rPr>
                    <w:szCs w:val="24"/>
                    <w:lang w:eastAsia="lt-LT"/>
                  </w:rPr>
                </w:pPr>
                <w:r>
                  <w:rPr>
                    <w:szCs w:val="24"/>
                    <w:lang w:eastAsia="lt-LT"/>
                  </w:rPr>
                  <w:t>Šiaulių technologijų mokymo centras</w:t>
                </w:r>
              </w:p>
            </w:tc>
          </w:tr>
          <w:tr>
            <w:trPr>
              <w:trHeight w:val="411"/>
            </w:trPr>
            <w:tc>
              <w:tcPr>
                <w:tcW w:w="1710" w:type="dxa"/>
                <w:shd w:val="clear" w:color="auto" w:fill="auto"/>
                <w:vAlign w:val="center"/>
                <w:hideMark/>
              </w:tcPr>
              <w:p>
                <w:pPr>
                  <w:jc w:val="right"/>
                  <w:rPr>
                    <w:b/>
                    <w:bCs/>
                    <w:color w:val="000000"/>
                    <w:szCs w:val="24"/>
                    <w:lang w:eastAsia="lt-LT"/>
                  </w:rPr>
                </w:pPr>
                <w:r>
                  <w:rPr>
                    <w:b/>
                    <w:bCs/>
                    <w:color w:val="000000"/>
                    <w:szCs w:val="24"/>
                    <w:lang w:eastAsia="lt-LT"/>
                  </w:rPr>
                  <w:t>ŠV</w:t>
                </w:r>
              </w:p>
            </w:tc>
            <w:tc>
              <w:tcPr>
                <w:tcW w:w="6744" w:type="dxa"/>
                <w:shd w:val="clear" w:color="auto" w:fill="auto"/>
                <w:vAlign w:val="center"/>
                <w:hideMark/>
              </w:tcPr>
              <w:p>
                <w:pPr>
                  <w:rPr>
                    <w:szCs w:val="24"/>
                    <w:lang w:eastAsia="lt-LT"/>
                  </w:rPr>
                </w:pPr>
                <w:r>
                  <w:rPr>
                    <w:szCs w:val="24"/>
                    <w:lang w:eastAsia="lt-LT"/>
                  </w:rPr>
                  <w:t>UAB „Šiaulių vandenys“</w:t>
                </w:r>
              </w:p>
            </w:tc>
          </w:tr>
          <w:tr>
            <w:trPr>
              <w:trHeight w:val="374"/>
            </w:trPr>
            <w:tc>
              <w:tcPr>
                <w:tcW w:w="1710" w:type="dxa"/>
                <w:shd w:val="clear" w:color="auto" w:fill="auto"/>
                <w:noWrap/>
                <w:vAlign w:val="center"/>
                <w:hideMark/>
              </w:tcPr>
              <w:p>
                <w:pPr>
                  <w:jc w:val="right"/>
                  <w:rPr>
                    <w:b/>
                    <w:bCs/>
                    <w:color w:val="000000"/>
                    <w:szCs w:val="24"/>
                    <w:lang w:eastAsia="lt-LT"/>
                  </w:rPr>
                </w:pPr>
                <w:r>
                  <w:rPr>
                    <w:b/>
                    <w:bCs/>
                    <w:color w:val="000000"/>
                    <w:szCs w:val="24"/>
                    <w:lang w:eastAsia="lt-LT"/>
                  </w:rPr>
                  <w:t>ŠVIS</w:t>
                </w:r>
              </w:p>
            </w:tc>
            <w:tc>
              <w:tcPr>
                <w:tcW w:w="6744" w:type="dxa"/>
                <w:shd w:val="clear" w:color="auto" w:fill="auto"/>
                <w:vAlign w:val="center"/>
                <w:hideMark/>
              </w:tcPr>
              <w:p>
                <w:pPr>
                  <w:rPr>
                    <w:szCs w:val="24"/>
                    <w:lang w:eastAsia="lt-LT"/>
                  </w:rPr>
                </w:pPr>
                <w:r>
                  <w:rPr>
                    <w:szCs w:val="24"/>
                    <w:lang w:eastAsia="lt-LT"/>
                  </w:rPr>
                  <w:t>Švietimo valdymo informacinė sistema</w:t>
                </w:r>
              </w:p>
            </w:tc>
          </w:tr>
          <w:tr>
            <w:trPr>
              <w:trHeight w:val="393"/>
            </w:trPr>
            <w:tc>
              <w:tcPr>
                <w:tcW w:w="1710" w:type="dxa"/>
                <w:shd w:val="clear" w:color="auto" w:fill="auto"/>
                <w:noWrap/>
                <w:vAlign w:val="center"/>
                <w:hideMark/>
              </w:tcPr>
              <w:p>
                <w:pPr>
                  <w:jc w:val="right"/>
                  <w:rPr>
                    <w:b/>
                    <w:bCs/>
                    <w:color w:val="000000"/>
                    <w:szCs w:val="24"/>
                    <w:lang w:eastAsia="lt-LT"/>
                  </w:rPr>
                </w:pPr>
                <w:r>
                  <w:rPr>
                    <w:b/>
                    <w:bCs/>
                    <w:color w:val="000000"/>
                    <w:szCs w:val="24"/>
                    <w:lang w:eastAsia="lt-LT"/>
                  </w:rPr>
                  <w:t>ŠVK</w:t>
                </w:r>
              </w:p>
            </w:tc>
            <w:tc>
              <w:tcPr>
                <w:tcW w:w="6744" w:type="dxa"/>
                <w:shd w:val="clear" w:color="auto" w:fill="auto"/>
                <w:vAlign w:val="center"/>
                <w:hideMark/>
              </w:tcPr>
              <w:p>
                <w:pPr>
                  <w:rPr>
                    <w:szCs w:val="24"/>
                    <w:lang w:eastAsia="lt-LT"/>
                  </w:rPr>
                </w:pPr>
                <w:r>
                  <w:rPr>
                    <w:szCs w:val="24"/>
                    <w:lang w:eastAsia="lt-LT"/>
                  </w:rPr>
                  <w:t>Šiaulių valstybinė kolegija</w:t>
                </w:r>
              </w:p>
            </w:tc>
          </w:tr>
          <w:tr>
            <w:trPr>
              <w:trHeight w:val="385"/>
            </w:trPr>
            <w:tc>
              <w:tcPr>
                <w:tcW w:w="1710" w:type="dxa"/>
                <w:shd w:val="clear" w:color="auto" w:fill="auto"/>
                <w:noWrap/>
                <w:vAlign w:val="center"/>
                <w:hideMark/>
              </w:tcPr>
              <w:p>
                <w:pPr>
                  <w:jc w:val="right"/>
                  <w:rPr>
                    <w:b/>
                    <w:bCs/>
                    <w:color w:val="000000"/>
                    <w:szCs w:val="24"/>
                    <w:lang w:eastAsia="lt-LT"/>
                  </w:rPr>
                </w:pPr>
                <w:r>
                  <w:rPr>
                    <w:b/>
                    <w:bCs/>
                    <w:color w:val="000000"/>
                    <w:szCs w:val="24"/>
                    <w:lang w:eastAsia="lt-LT"/>
                  </w:rPr>
                  <w:t>ŠVSB</w:t>
                </w:r>
              </w:p>
            </w:tc>
            <w:tc>
              <w:tcPr>
                <w:tcW w:w="6744" w:type="dxa"/>
                <w:shd w:val="clear" w:color="auto" w:fill="auto"/>
                <w:vAlign w:val="center"/>
                <w:hideMark/>
              </w:tcPr>
              <w:p>
                <w:pPr>
                  <w:rPr>
                    <w:szCs w:val="24"/>
                    <w:lang w:eastAsia="lt-LT"/>
                  </w:rPr>
                </w:pPr>
                <w:r>
                  <w:rPr>
                    <w:szCs w:val="24"/>
                    <w:lang w:eastAsia="lt-LT"/>
                  </w:rPr>
                  <w:t>BĮ Šiaulių miesto savivaldybės visuomenės sveikatos biuras</w:t>
                </w:r>
              </w:p>
            </w:tc>
          </w:tr>
          <w:tr>
            <w:trPr>
              <w:trHeight w:val="405"/>
            </w:trPr>
            <w:tc>
              <w:tcPr>
                <w:tcW w:w="1710" w:type="dxa"/>
                <w:shd w:val="clear" w:color="auto" w:fill="auto"/>
                <w:noWrap/>
                <w:vAlign w:val="center"/>
                <w:hideMark/>
              </w:tcPr>
              <w:p>
                <w:pPr>
                  <w:jc w:val="right"/>
                  <w:rPr>
                    <w:b/>
                    <w:bCs/>
                    <w:color w:val="000000"/>
                    <w:szCs w:val="24"/>
                    <w:lang w:eastAsia="lt-LT"/>
                  </w:rPr>
                </w:pPr>
                <w:r>
                  <w:rPr>
                    <w:b/>
                    <w:bCs/>
                    <w:color w:val="000000"/>
                    <w:szCs w:val="24"/>
                    <w:lang w:eastAsia="lt-LT"/>
                  </w:rPr>
                  <w:t>TIC</w:t>
                </w:r>
              </w:p>
            </w:tc>
            <w:tc>
              <w:tcPr>
                <w:tcW w:w="6744" w:type="dxa"/>
                <w:shd w:val="clear" w:color="auto" w:fill="auto"/>
                <w:vAlign w:val="center"/>
                <w:hideMark/>
              </w:tcPr>
              <w:p>
                <w:pPr>
                  <w:rPr>
                    <w:szCs w:val="24"/>
                    <w:lang w:eastAsia="lt-LT"/>
                  </w:rPr>
                </w:pPr>
                <w:r>
                  <w:rPr>
                    <w:szCs w:val="24"/>
                    <w:lang w:eastAsia="lt-LT"/>
                  </w:rPr>
                  <w:t>BĮ Šiaulių turizmo informacijos centras</w:t>
                </w:r>
              </w:p>
            </w:tc>
          </w:tr>
          <w:tr>
            <w:trPr>
              <w:trHeight w:val="397"/>
            </w:trPr>
            <w:tc>
              <w:tcPr>
                <w:tcW w:w="1710" w:type="dxa"/>
                <w:shd w:val="clear" w:color="auto" w:fill="auto"/>
                <w:noWrap/>
                <w:vAlign w:val="center"/>
                <w:hideMark/>
              </w:tcPr>
              <w:p>
                <w:pPr>
                  <w:jc w:val="right"/>
                  <w:rPr>
                    <w:b/>
                    <w:bCs/>
                    <w:color w:val="000000"/>
                    <w:szCs w:val="24"/>
                    <w:lang w:eastAsia="lt-LT"/>
                  </w:rPr>
                </w:pPr>
                <w:r>
                  <w:rPr>
                    <w:b/>
                    <w:bCs/>
                    <w:color w:val="000000"/>
                    <w:szCs w:val="24"/>
                    <w:lang w:eastAsia="lt-LT"/>
                  </w:rPr>
                  <w:t>TMG</w:t>
                </w:r>
              </w:p>
            </w:tc>
            <w:tc>
              <w:tcPr>
                <w:tcW w:w="6744" w:type="dxa"/>
                <w:shd w:val="clear" w:color="auto" w:fill="auto"/>
                <w:noWrap/>
                <w:vAlign w:val="center"/>
                <w:hideMark/>
              </w:tcPr>
              <w:p>
                <w:pPr>
                  <w:rPr>
                    <w:szCs w:val="24"/>
                    <w:lang w:eastAsia="lt-LT"/>
                  </w:rPr>
                </w:pPr>
                <w:r>
                  <w:rPr>
                    <w:szCs w:val="24"/>
                    <w:lang w:eastAsia="lt-LT"/>
                  </w:rPr>
                  <w:t>Tvarių miestų gairės</w:t>
                </w:r>
              </w:p>
            </w:tc>
          </w:tr>
          <w:tr>
            <w:trPr>
              <w:trHeight w:val="403"/>
            </w:trPr>
            <w:tc>
              <w:tcPr>
                <w:tcW w:w="1710" w:type="dxa"/>
                <w:shd w:val="clear" w:color="auto" w:fill="auto"/>
                <w:noWrap/>
                <w:vAlign w:val="center"/>
                <w:hideMark/>
              </w:tcPr>
              <w:p>
                <w:pPr>
                  <w:jc w:val="right"/>
                  <w:rPr>
                    <w:b/>
                    <w:bCs/>
                    <w:color w:val="000000"/>
                    <w:szCs w:val="24"/>
                    <w:lang w:eastAsia="lt-LT"/>
                  </w:rPr>
                </w:pPr>
                <w:r>
                  <w:rPr>
                    <w:b/>
                    <w:bCs/>
                    <w:color w:val="000000"/>
                    <w:szCs w:val="24"/>
                    <w:lang w:eastAsia="lt-LT"/>
                  </w:rPr>
                  <w:t>TPS</w:t>
                </w:r>
              </w:p>
            </w:tc>
            <w:tc>
              <w:tcPr>
                <w:tcW w:w="6744" w:type="dxa"/>
                <w:shd w:val="clear" w:color="auto" w:fill="auto"/>
                <w:vAlign w:val="center"/>
                <w:hideMark/>
              </w:tcPr>
              <w:p>
                <w:pPr>
                  <w:rPr>
                    <w:szCs w:val="24"/>
                    <w:lang w:eastAsia="lt-LT"/>
                  </w:rPr>
                </w:pPr>
                <w:r>
                  <w:rPr>
                    <w:szCs w:val="24"/>
                    <w:lang w:eastAsia="lt-LT"/>
                  </w:rPr>
                  <w:t>Tvarios plėtros strategija</w:t>
                </w:r>
              </w:p>
            </w:tc>
          </w:tr>
          <w:tr>
            <w:trPr>
              <w:trHeight w:val="1090"/>
            </w:trPr>
            <w:tc>
              <w:tcPr>
                <w:tcW w:w="1710" w:type="dxa"/>
                <w:shd w:val="clear" w:color="auto" w:fill="auto"/>
                <w:noWrap/>
                <w:vAlign w:val="center"/>
                <w:hideMark/>
              </w:tcPr>
              <w:p>
                <w:pPr>
                  <w:jc w:val="right"/>
                  <w:rPr>
                    <w:b/>
                    <w:bCs/>
                    <w:color w:val="000000"/>
                    <w:szCs w:val="24"/>
                    <w:lang w:eastAsia="lt-LT"/>
                  </w:rPr>
                </w:pPr>
                <w:r>
                  <w:rPr>
                    <w:b/>
                    <w:bCs/>
                    <w:color w:val="000000"/>
                    <w:szCs w:val="24"/>
                    <w:lang w:eastAsia="lt-LT"/>
                  </w:rPr>
                  <w:t>TREND</w:t>
                </w:r>
              </w:p>
            </w:tc>
            <w:tc>
              <w:tcPr>
                <w:tcW w:w="6744" w:type="dxa"/>
                <w:shd w:val="clear" w:color="auto" w:fill="auto"/>
                <w:vAlign w:val="center"/>
                <w:hideMark/>
              </w:tcPr>
              <w:p>
                <w:pPr>
                  <w:rPr>
                    <w:szCs w:val="24"/>
                    <w:lang w:eastAsia="lt-LT"/>
                  </w:rPr>
                </w:pPr>
                <w:r>
                  <w:rPr>
                    <w:szCs w:val="24"/>
                    <w:lang w:eastAsia="lt-LT"/>
                  </w:rPr>
                  <w:t>TREND formulė programoje „Microsoft Excel“, nupiešiama tiesė, mažiausiai nukrypusi nuo faktinių reikšmių, laikomasi prielaidos, kad iki 2033 m. išliks tokios pačios tendencijos kaip buvo 2015–2022(3) m.</w:t>
                </w:r>
              </w:p>
            </w:tc>
          </w:tr>
          <w:tr>
            <w:trPr>
              <w:trHeight w:val="399"/>
            </w:trPr>
            <w:tc>
              <w:tcPr>
                <w:tcW w:w="1710" w:type="dxa"/>
                <w:shd w:val="clear" w:color="auto" w:fill="auto"/>
                <w:noWrap/>
                <w:vAlign w:val="bottom"/>
              </w:tcPr>
              <w:p>
                <w:pPr>
                  <w:spacing w:line="276" w:lineRule="auto"/>
                  <w:jc w:val="right"/>
                  <w:rPr>
                    <w:b/>
                    <w:bCs/>
                    <w:color w:val="000000"/>
                    <w:szCs w:val="24"/>
                    <w:lang w:eastAsia="lt-LT"/>
                  </w:rPr>
                </w:pPr>
                <w:r>
                  <w:rPr>
                    <w:b/>
                    <w:bCs/>
                    <w:color w:val="000000"/>
                    <w:szCs w:val="24"/>
                    <w:lang w:eastAsia="lt-LT"/>
                  </w:rPr>
                  <w:t>TS</w:t>
                </w:r>
              </w:p>
            </w:tc>
            <w:tc>
              <w:tcPr>
                <w:tcW w:w="6744" w:type="dxa"/>
                <w:shd w:val="clear" w:color="auto" w:fill="auto"/>
                <w:noWrap/>
                <w:vAlign w:val="bottom"/>
              </w:tcPr>
              <w:p>
                <w:pPr>
                  <w:spacing w:line="276" w:lineRule="auto"/>
                  <w:rPr>
                    <w:szCs w:val="24"/>
                    <w:lang w:eastAsia="lt-LT"/>
                  </w:rPr>
                </w:pPr>
                <w:r>
                  <w:rPr>
                    <w:szCs w:val="24"/>
                    <w:lang w:eastAsia="lt-LT"/>
                  </w:rPr>
                  <w:t>Teisės skyrius</w:t>
                </w:r>
              </w:p>
            </w:tc>
          </w:tr>
          <w:tr>
            <w:trPr>
              <w:trHeight w:val="399"/>
            </w:trPr>
            <w:tc>
              <w:tcPr>
                <w:tcW w:w="1710" w:type="dxa"/>
                <w:shd w:val="clear" w:color="auto" w:fill="auto"/>
                <w:noWrap/>
                <w:vAlign w:val="bottom"/>
                <w:hideMark/>
              </w:tcPr>
              <w:p>
                <w:pPr>
                  <w:spacing w:line="276" w:lineRule="auto"/>
                  <w:jc w:val="right"/>
                  <w:rPr>
                    <w:b/>
                    <w:bCs/>
                    <w:color w:val="000000"/>
                    <w:szCs w:val="24"/>
                    <w:lang w:eastAsia="lt-LT"/>
                  </w:rPr>
                </w:pPr>
                <w:r>
                  <w:rPr>
                    <w:b/>
                    <w:bCs/>
                    <w:color w:val="000000"/>
                    <w:szCs w:val="24"/>
                    <w:lang w:eastAsia="lt-LT"/>
                  </w:rPr>
                  <w:t>TVS</w:t>
                </w:r>
              </w:p>
            </w:tc>
            <w:tc>
              <w:tcPr>
                <w:tcW w:w="6744" w:type="dxa"/>
                <w:shd w:val="clear" w:color="auto" w:fill="auto"/>
                <w:noWrap/>
                <w:vAlign w:val="bottom"/>
                <w:hideMark/>
              </w:tcPr>
              <w:p>
                <w:pPr>
                  <w:spacing w:line="276" w:lineRule="auto"/>
                  <w:rPr>
                    <w:szCs w:val="24"/>
                    <w:lang w:eastAsia="lt-LT"/>
                  </w:rPr>
                </w:pPr>
                <w:r>
                  <w:rPr>
                    <w:szCs w:val="24"/>
                    <w:lang w:eastAsia="lt-LT"/>
                  </w:rPr>
                  <w:t>Turto valdymo skyrius</w:t>
                </w:r>
              </w:p>
            </w:tc>
          </w:tr>
          <w:tr>
            <w:trPr>
              <w:trHeight w:val="405"/>
            </w:trPr>
            <w:tc>
              <w:tcPr>
                <w:tcW w:w="1710" w:type="dxa"/>
                <w:shd w:val="clear" w:color="auto" w:fill="auto"/>
                <w:noWrap/>
                <w:vAlign w:val="center"/>
                <w:hideMark/>
              </w:tcPr>
              <w:p>
                <w:pPr>
                  <w:jc w:val="right"/>
                  <w:rPr>
                    <w:b/>
                    <w:bCs/>
                    <w:color w:val="000000"/>
                    <w:szCs w:val="24"/>
                    <w:lang w:eastAsia="lt-LT"/>
                  </w:rPr>
                </w:pPr>
                <w:r>
                  <w:rPr>
                    <w:b/>
                    <w:bCs/>
                    <w:color w:val="000000"/>
                    <w:szCs w:val="24"/>
                    <w:lang w:eastAsia="lt-LT"/>
                  </w:rPr>
                  <w:t>VDA</w:t>
                </w:r>
              </w:p>
            </w:tc>
            <w:tc>
              <w:tcPr>
                <w:tcW w:w="6744" w:type="dxa"/>
                <w:shd w:val="clear" w:color="auto" w:fill="auto"/>
                <w:vAlign w:val="center"/>
                <w:hideMark/>
              </w:tcPr>
              <w:p>
                <w:pPr>
                  <w:rPr>
                    <w:szCs w:val="24"/>
                    <w:lang w:eastAsia="lt-LT"/>
                  </w:rPr>
                </w:pPr>
                <w:r>
                  <w:rPr>
                    <w:szCs w:val="24"/>
                    <w:lang w:eastAsia="lt-LT"/>
                  </w:rPr>
                  <w:t>BĮ Valstybės duomenų agentūra</w:t>
                </w:r>
              </w:p>
            </w:tc>
          </w:tr>
          <w:tr>
            <w:trPr>
              <w:trHeight w:val="384"/>
            </w:trPr>
            <w:tc>
              <w:tcPr>
                <w:tcW w:w="1710" w:type="dxa"/>
                <w:shd w:val="clear" w:color="auto" w:fill="auto"/>
                <w:noWrap/>
                <w:vAlign w:val="bottom"/>
                <w:hideMark/>
              </w:tcPr>
              <w:p>
                <w:pPr>
                  <w:spacing w:line="276" w:lineRule="auto"/>
                  <w:jc w:val="right"/>
                  <w:rPr>
                    <w:b/>
                    <w:bCs/>
                    <w:color w:val="000000"/>
                    <w:szCs w:val="24"/>
                    <w:lang w:eastAsia="lt-LT"/>
                  </w:rPr>
                </w:pPr>
                <w:r>
                  <w:rPr>
                    <w:b/>
                    <w:bCs/>
                    <w:color w:val="000000"/>
                    <w:szCs w:val="24"/>
                    <w:lang w:eastAsia="lt-LT"/>
                  </w:rPr>
                  <w:t>VLK</w:t>
                </w:r>
              </w:p>
            </w:tc>
            <w:tc>
              <w:tcPr>
                <w:tcW w:w="6744" w:type="dxa"/>
                <w:shd w:val="clear" w:color="auto" w:fill="auto"/>
                <w:noWrap/>
                <w:vAlign w:val="bottom"/>
                <w:hideMark/>
              </w:tcPr>
              <w:p>
                <w:pPr>
                  <w:spacing w:line="276" w:lineRule="auto"/>
                  <w:rPr>
                    <w:szCs w:val="24"/>
                    <w:lang w:eastAsia="lt-LT"/>
                  </w:rPr>
                </w:pPr>
                <w:r>
                  <w:rPr>
                    <w:szCs w:val="24"/>
                    <w:lang w:eastAsia="lt-LT"/>
                  </w:rPr>
                  <w:t>BĮ Valstybinė ligonių kasa prie Sveikatos apsaugos ministerijos</w:t>
                </w:r>
              </w:p>
            </w:tc>
          </w:tr>
          <w:tr>
            <w:trPr>
              <w:trHeight w:val="390"/>
            </w:trPr>
            <w:tc>
              <w:tcPr>
                <w:tcW w:w="1710" w:type="dxa"/>
                <w:shd w:val="clear" w:color="auto" w:fill="auto"/>
                <w:noWrap/>
                <w:vAlign w:val="center"/>
              </w:tcPr>
              <w:p>
                <w:pPr>
                  <w:jc w:val="right"/>
                  <w:rPr>
                    <w:b/>
                    <w:bCs/>
                    <w:color w:val="000000"/>
                    <w:szCs w:val="24"/>
                    <w:lang w:eastAsia="lt-LT"/>
                  </w:rPr>
                </w:pPr>
                <w:r>
                  <w:rPr>
                    <w:b/>
                    <w:bCs/>
                    <w:color w:val="000000"/>
                    <w:szCs w:val="24"/>
                    <w:lang w:eastAsia="lt-LT"/>
                  </w:rPr>
                  <w:t>VPP</w:t>
                </w:r>
              </w:p>
            </w:tc>
            <w:tc>
              <w:tcPr>
                <w:tcW w:w="6744" w:type="dxa"/>
                <w:shd w:val="clear" w:color="auto" w:fill="auto"/>
                <w:vAlign w:val="center"/>
              </w:tcPr>
              <w:p>
                <w:pPr>
                  <w:rPr>
                    <w:szCs w:val="24"/>
                    <w:lang w:eastAsia="lt-LT"/>
                  </w:rPr>
                </w:pPr>
                <w:r>
                  <w:rPr>
                    <w:szCs w:val="24"/>
                    <w:lang w:eastAsia="lt-LT"/>
                  </w:rPr>
                  <w:t>Viešųjų pirkimų poskyris</w:t>
                </w:r>
              </w:p>
            </w:tc>
          </w:tr>
          <w:tr>
            <w:trPr>
              <w:trHeight w:val="390"/>
            </w:trPr>
            <w:tc>
              <w:tcPr>
                <w:tcW w:w="1710" w:type="dxa"/>
                <w:shd w:val="clear" w:color="auto" w:fill="auto"/>
                <w:noWrap/>
                <w:vAlign w:val="center"/>
                <w:hideMark/>
              </w:tcPr>
              <w:p>
                <w:pPr>
                  <w:jc w:val="right"/>
                  <w:rPr>
                    <w:b/>
                    <w:bCs/>
                    <w:color w:val="000000"/>
                    <w:szCs w:val="24"/>
                    <w:lang w:eastAsia="lt-LT"/>
                  </w:rPr>
                </w:pPr>
                <w:r>
                  <w:rPr>
                    <w:b/>
                    <w:bCs/>
                    <w:color w:val="000000"/>
                    <w:szCs w:val="24"/>
                    <w:lang w:eastAsia="lt-LT"/>
                  </w:rPr>
                  <w:t>VPSP</w:t>
                </w:r>
              </w:p>
            </w:tc>
            <w:tc>
              <w:tcPr>
                <w:tcW w:w="6744" w:type="dxa"/>
                <w:shd w:val="clear" w:color="auto" w:fill="auto"/>
                <w:vAlign w:val="center"/>
                <w:hideMark/>
              </w:tcPr>
              <w:p>
                <w:pPr>
                  <w:rPr>
                    <w:szCs w:val="24"/>
                    <w:lang w:eastAsia="lt-LT"/>
                  </w:rPr>
                </w:pPr>
                <w:r>
                  <w:rPr>
                    <w:szCs w:val="24"/>
                    <w:lang w:eastAsia="lt-LT"/>
                  </w:rPr>
                  <w:t xml:space="preserve">Viešo ir privataus sektorių partnerystė </w:t>
                </w:r>
              </w:p>
            </w:tc>
          </w:tr>
          <w:tr>
            <w:trPr>
              <w:trHeight w:val="260"/>
            </w:trPr>
            <w:tc>
              <w:tcPr>
                <w:tcW w:w="1710" w:type="dxa"/>
                <w:shd w:val="clear" w:color="auto" w:fill="auto"/>
                <w:noWrap/>
                <w:vAlign w:val="center"/>
                <w:hideMark/>
              </w:tcPr>
              <w:p>
                <w:pPr>
                  <w:jc w:val="right"/>
                  <w:rPr>
                    <w:b/>
                    <w:bCs/>
                    <w:color w:val="000000"/>
                    <w:szCs w:val="24"/>
                    <w:lang w:eastAsia="lt-LT"/>
                  </w:rPr>
                </w:pPr>
                <w:r>
                  <w:rPr>
                    <w:b/>
                    <w:bCs/>
                    <w:color w:val="000000"/>
                    <w:szCs w:val="24"/>
                    <w:lang w:eastAsia="lt-LT"/>
                  </w:rPr>
                  <w:t>VRK</w:t>
                </w:r>
              </w:p>
            </w:tc>
            <w:tc>
              <w:tcPr>
                <w:tcW w:w="6744" w:type="dxa"/>
                <w:shd w:val="clear" w:color="auto" w:fill="auto"/>
                <w:vAlign w:val="center"/>
                <w:hideMark/>
              </w:tcPr>
              <w:p>
                <w:pPr>
                  <w:rPr>
                    <w:szCs w:val="24"/>
                    <w:lang w:eastAsia="lt-LT"/>
                  </w:rPr>
                </w:pPr>
                <w:r>
                  <w:rPr>
                    <w:szCs w:val="24"/>
                    <w:lang w:eastAsia="lt-LT"/>
                  </w:rPr>
                  <w:t>Viešųjų ryšių koordinatorius</w:t>
                </w:r>
              </w:p>
            </w:tc>
          </w:tr>
          <w:tr>
            <w:trPr>
              <w:trHeight w:val="395"/>
            </w:trPr>
            <w:tc>
              <w:tcPr>
                <w:tcW w:w="1710" w:type="dxa"/>
                <w:shd w:val="clear" w:color="auto" w:fill="auto"/>
                <w:noWrap/>
                <w:vAlign w:val="center"/>
                <w:hideMark/>
              </w:tcPr>
              <w:p>
                <w:pPr>
                  <w:jc w:val="right"/>
                  <w:rPr>
                    <w:b/>
                    <w:bCs/>
                    <w:color w:val="000000"/>
                    <w:szCs w:val="24"/>
                    <w:lang w:eastAsia="lt-LT"/>
                  </w:rPr>
                </w:pPr>
                <w:r>
                  <w:rPr>
                    <w:b/>
                    <w:bCs/>
                    <w:color w:val="000000"/>
                    <w:szCs w:val="24"/>
                    <w:lang w:eastAsia="lt-LT"/>
                  </w:rPr>
                  <w:t>VUŠA</w:t>
                </w:r>
              </w:p>
            </w:tc>
            <w:tc>
              <w:tcPr>
                <w:tcW w:w="6744" w:type="dxa"/>
                <w:shd w:val="clear" w:color="auto" w:fill="auto"/>
                <w:vAlign w:val="center"/>
                <w:hideMark/>
              </w:tcPr>
              <w:p>
                <w:pPr>
                  <w:rPr>
                    <w:szCs w:val="24"/>
                    <w:lang w:eastAsia="lt-LT"/>
                  </w:rPr>
                </w:pPr>
                <w:r>
                  <w:rPr>
                    <w:szCs w:val="24"/>
                    <w:lang w:eastAsia="lt-LT"/>
                  </w:rPr>
                  <w:t>Vilniaus universitetas Šiaulių akademija</w:t>
                </w:r>
              </w:p>
            </w:tc>
          </w:tr>
        </w:tbl>
        <w:p/>
        <w:p>
          <w:pPr>
            <w:spacing w:before="120" w:after="120" w:line="276" w:lineRule="auto"/>
            <w:ind w:left="284" w:right="142"/>
            <w:jc w:val="both"/>
            <w:rPr>
              <w:rFonts w:eastAsia="MS Mincho"/>
              <w:kern w:val="2"/>
              <w:sz w:val="22"/>
              <w:szCs w:val="24"/>
            </w:rPr>
          </w:pPr>
        </w:p>
        <w:p>
          <w:pPr>
            <w:spacing w:before="120" w:after="120" w:line="276" w:lineRule="auto"/>
            <w:ind w:left="284" w:right="142"/>
            <w:jc w:val="both"/>
            <w:rPr>
              <w:rFonts w:eastAsia="MS Mincho"/>
              <w:kern w:val="2"/>
              <w:sz w:val="22"/>
              <w:szCs w:val="24"/>
            </w:rPr>
          </w:pPr>
        </w:p>
        <w:p>
          <w:pPr>
            <w:spacing w:before="120" w:after="120" w:line="276" w:lineRule="auto"/>
            <w:ind w:left="284" w:right="142"/>
            <w:jc w:val="both"/>
            <w:rPr>
              <w:rFonts w:eastAsia="MS Mincho"/>
              <w:kern w:val="2"/>
              <w:sz w:val="22"/>
              <w:szCs w:val="24"/>
            </w:rPr>
          </w:pPr>
        </w:p>
        <w:p>
          <w:pPr>
            <w:spacing w:before="120" w:after="120" w:line="276" w:lineRule="auto"/>
            <w:ind w:left="284" w:right="142"/>
            <w:jc w:val="both"/>
            <w:rPr>
              <w:rFonts w:eastAsia="MS Mincho"/>
              <w:kern w:val="2"/>
              <w:sz w:val="22"/>
              <w:szCs w:val="24"/>
            </w:rPr>
          </w:pPr>
        </w:p>
        <w:p>
          <w:pPr>
            <w:spacing w:before="120" w:after="120" w:line="276" w:lineRule="auto"/>
            <w:ind w:left="284" w:right="142"/>
            <w:jc w:val="both"/>
            <w:rPr>
              <w:rFonts w:eastAsia="MS Mincho"/>
              <w:kern w:val="2"/>
              <w:sz w:val="22"/>
              <w:szCs w:val="24"/>
            </w:rPr>
          </w:pPr>
        </w:p>
        <w:p>
          <w:pPr>
            <w:spacing w:before="120" w:after="120" w:line="276" w:lineRule="auto"/>
            <w:ind w:left="284" w:right="142"/>
            <w:jc w:val="both"/>
            <w:rPr>
              <w:rFonts w:eastAsia="MS Mincho"/>
              <w:kern w:val="2"/>
              <w:sz w:val="22"/>
              <w:szCs w:val="24"/>
            </w:rPr>
          </w:pPr>
        </w:p>
        <w:p>
          <w:pPr>
            <w:spacing w:before="120" w:after="120" w:line="276" w:lineRule="auto"/>
            <w:ind w:left="284" w:right="142"/>
            <w:jc w:val="both"/>
            <w:rPr>
              <w:rFonts w:eastAsia="MS Mincho"/>
              <w:kern w:val="2"/>
              <w:sz w:val="22"/>
              <w:szCs w:val="24"/>
            </w:rPr>
          </w:pPr>
        </w:p>
        <w:p>
          <w:pPr>
            <w:spacing w:before="120" w:after="120" w:line="276" w:lineRule="auto"/>
            <w:ind w:left="284" w:right="142"/>
            <w:jc w:val="both"/>
            <w:rPr>
              <w:rFonts w:eastAsia="MS Mincho"/>
              <w:kern w:val="2"/>
              <w:sz w:val="22"/>
              <w:szCs w:val="24"/>
            </w:rPr>
          </w:pPr>
        </w:p>
        <w:p>
          <w:pPr>
            <w:spacing w:before="120" w:after="120" w:line="276" w:lineRule="auto"/>
            <w:ind w:left="284" w:right="142"/>
            <w:jc w:val="both"/>
            <w:rPr>
              <w:rFonts w:eastAsia="MS Mincho"/>
              <w:kern w:val="2"/>
              <w:sz w:val="22"/>
              <w:szCs w:val="24"/>
            </w:rPr>
          </w:pPr>
        </w:p>
        <w:p>
          <w:pPr>
            <w:spacing w:before="120" w:after="120" w:line="276" w:lineRule="auto"/>
            <w:ind w:left="284" w:right="142"/>
            <w:jc w:val="both"/>
            <w:rPr>
              <w:rFonts w:eastAsia="MS Mincho"/>
              <w:kern w:val="2"/>
              <w:sz w:val="22"/>
              <w:szCs w:val="24"/>
            </w:rPr>
          </w:pPr>
        </w:p>
        <w:p>
          <w:pPr>
            <w:spacing w:before="120" w:after="120" w:line="276" w:lineRule="auto"/>
            <w:ind w:left="284" w:right="142"/>
            <w:jc w:val="both"/>
            <w:rPr>
              <w:rFonts w:eastAsia="MS Mincho"/>
              <w:kern w:val="2"/>
              <w:sz w:val="22"/>
              <w:szCs w:val="24"/>
            </w:rPr>
          </w:pPr>
        </w:p>
        <w:p>
          <w:pPr>
            <w:spacing w:before="120" w:after="120" w:line="276" w:lineRule="auto"/>
            <w:ind w:left="284" w:right="142"/>
            <w:jc w:val="both"/>
            <w:rPr>
              <w:rFonts w:eastAsia="MS Mincho"/>
              <w:kern w:val="2"/>
              <w:sz w:val="22"/>
              <w:szCs w:val="24"/>
            </w:rPr>
          </w:pPr>
        </w:p>
        <w:p>
          <w:pPr>
            <w:spacing w:before="120" w:after="120" w:line="276" w:lineRule="auto"/>
            <w:ind w:left="284" w:right="142"/>
            <w:jc w:val="both"/>
            <w:rPr>
              <w:rFonts w:eastAsia="MS Mincho"/>
              <w:kern w:val="2"/>
              <w:sz w:val="22"/>
              <w:szCs w:val="24"/>
            </w:rPr>
          </w:pPr>
        </w:p>
        <w:p>
          <w:pPr>
            <w:spacing w:before="120" w:after="120" w:line="276" w:lineRule="auto"/>
            <w:ind w:left="284" w:right="142"/>
            <w:jc w:val="both"/>
            <w:rPr>
              <w:rFonts w:eastAsia="MS Mincho"/>
              <w:kern w:val="2"/>
              <w:sz w:val="22"/>
              <w:szCs w:val="24"/>
            </w:rPr>
          </w:pPr>
        </w:p>
        <w:p>
          <w:pPr>
            <w:spacing w:before="120" w:after="120" w:line="276" w:lineRule="auto"/>
            <w:ind w:left="284" w:right="142"/>
            <w:jc w:val="both"/>
            <w:rPr>
              <w:rFonts w:eastAsia="MS Mincho"/>
              <w:kern w:val="2"/>
              <w:sz w:val="22"/>
              <w:szCs w:val="24"/>
            </w:rPr>
          </w:pPr>
        </w:p>
        <w:p>
          <w:pPr>
            <w:spacing w:before="120" w:after="120" w:line="276" w:lineRule="auto"/>
            <w:ind w:left="284" w:right="142"/>
            <w:jc w:val="both"/>
            <w:rPr>
              <w:rFonts w:eastAsia="MS Mincho"/>
              <w:kern w:val="2"/>
              <w:sz w:val="22"/>
              <w:szCs w:val="24"/>
            </w:rPr>
          </w:pPr>
        </w:p>
        <w:p>
          <w:pPr>
            <w:spacing w:before="120" w:after="120" w:line="276" w:lineRule="auto"/>
            <w:ind w:left="284" w:right="142"/>
            <w:jc w:val="both"/>
            <w:rPr>
              <w:rFonts w:eastAsia="MS Mincho"/>
              <w:kern w:val="2"/>
              <w:sz w:val="22"/>
              <w:szCs w:val="24"/>
            </w:rPr>
          </w:pPr>
        </w:p>
        <w:p>
          <w:pPr>
            <w:spacing w:before="120" w:after="120" w:line="276" w:lineRule="auto"/>
            <w:ind w:left="284" w:right="142"/>
            <w:jc w:val="both"/>
            <w:rPr>
              <w:rFonts w:eastAsia="MS Mincho"/>
              <w:kern w:val="2"/>
              <w:sz w:val="22"/>
              <w:szCs w:val="24"/>
            </w:rPr>
          </w:pPr>
        </w:p>
        <w:p>
          <w:pPr>
            <w:spacing w:before="120" w:after="120" w:line="276" w:lineRule="auto"/>
            <w:ind w:left="284" w:right="142"/>
            <w:jc w:val="both"/>
            <w:rPr>
              <w:rFonts w:eastAsia="MS Mincho"/>
              <w:kern w:val="2"/>
              <w:sz w:val="22"/>
              <w:szCs w:val="24"/>
            </w:rPr>
          </w:pPr>
        </w:p>
        <w:p>
          <w:pPr>
            <w:spacing w:before="120" w:after="120" w:line="276" w:lineRule="auto"/>
            <w:ind w:left="284" w:right="142"/>
            <w:jc w:val="both"/>
            <w:rPr>
              <w:rFonts w:eastAsia="MS Mincho"/>
              <w:kern w:val="2"/>
              <w:sz w:val="22"/>
              <w:szCs w:val="24"/>
            </w:rPr>
          </w:pPr>
        </w:p>
        <w:p>
          <w:pPr>
            <w:spacing w:before="120" w:after="120" w:line="276" w:lineRule="auto"/>
            <w:ind w:left="284" w:right="142"/>
            <w:jc w:val="both"/>
            <w:rPr>
              <w:rFonts w:eastAsia="MS Mincho"/>
              <w:kern w:val="2"/>
              <w:sz w:val="22"/>
              <w:szCs w:val="24"/>
            </w:rPr>
          </w:pPr>
        </w:p>
        <w:p>
          <w:pPr>
            <w:spacing w:before="120" w:after="120" w:line="276" w:lineRule="auto"/>
            <w:ind w:left="284" w:right="142"/>
            <w:jc w:val="both"/>
            <w:rPr>
              <w:rFonts w:eastAsia="MS Mincho"/>
              <w:kern w:val="2"/>
              <w:sz w:val="22"/>
              <w:szCs w:val="24"/>
            </w:rPr>
          </w:pPr>
        </w:p>
        <w:p>
          <w:pPr>
            <w:spacing w:before="120" w:after="120" w:line="276" w:lineRule="auto"/>
            <w:ind w:left="284" w:right="142"/>
            <w:jc w:val="both"/>
            <w:rPr>
              <w:rFonts w:eastAsia="MS Mincho"/>
              <w:kern w:val="2"/>
              <w:sz w:val="22"/>
              <w:szCs w:val="24"/>
            </w:rPr>
          </w:pPr>
        </w:p>
        <w:p>
          <w:pPr>
            <w:spacing w:before="120" w:after="120" w:line="276" w:lineRule="auto"/>
            <w:ind w:left="284" w:right="142"/>
            <w:jc w:val="both"/>
            <w:rPr>
              <w:rFonts w:eastAsia="MS Mincho"/>
              <w:kern w:val="2"/>
              <w:sz w:val="22"/>
              <w:szCs w:val="24"/>
            </w:rPr>
          </w:pPr>
        </w:p>
        <w:p>
          <w:pPr>
            <w:spacing w:before="120" w:after="120" w:line="276" w:lineRule="auto"/>
            <w:ind w:left="284" w:right="142"/>
            <w:jc w:val="both"/>
            <w:rPr>
              <w:rFonts w:eastAsia="MS Mincho"/>
              <w:kern w:val="2"/>
              <w:sz w:val="22"/>
              <w:szCs w:val="24"/>
            </w:rPr>
          </w:pPr>
        </w:p>
        <w:p>
          <w:pPr>
            <w:spacing w:before="120" w:after="120" w:line="276" w:lineRule="auto"/>
            <w:ind w:left="284" w:right="142"/>
            <w:jc w:val="both"/>
            <w:rPr>
              <w:rFonts w:eastAsia="MS Mincho"/>
              <w:kern w:val="2"/>
              <w:sz w:val="22"/>
              <w:szCs w:val="24"/>
            </w:rPr>
          </w:pPr>
        </w:p>
        <w:p>
          <w:pPr>
            <w:spacing w:before="120" w:after="120" w:line="276" w:lineRule="auto"/>
            <w:ind w:left="284" w:right="142"/>
            <w:jc w:val="both"/>
            <w:rPr>
              <w:rFonts w:eastAsia="MS Mincho"/>
              <w:kern w:val="2"/>
              <w:sz w:val="22"/>
              <w:szCs w:val="24"/>
            </w:rPr>
          </w:pPr>
        </w:p>
        <w:p>
          <w:pPr>
            <w:spacing w:before="120" w:after="120" w:line="276" w:lineRule="auto"/>
            <w:ind w:left="284" w:right="142"/>
            <w:jc w:val="both"/>
            <w:rPr>
              <w:rFonts w:eastAsia="MS Mincho"/>
              <w:kern w:val="2"/>
              <w:sz w:val="22"/>
              <w:szCs w:val="24"/>
            </w:rPr>
          </w:pPr>
        </w:p>
        <w:p>
          <w:pPr>
            <w:spacing w:before="120" w:after="120" w:line="276" w:lineRule="auto"/>
            <w:ind w:left="284" w:right="142"/>
            <w:jc w:val="both"/>
            <w:rPr>
              <w:rFonts w:eastAsia="MS Mincho"/>
              <w:kern w:val="2"/>
              <w:sz w:val="22"/>
              <w:szCs w:val="24"/>
            </w:rPr>
          </w:pPr>
        </w:p>
        <w:p>
          <w:pPr>
            <w:spacing w:before="120" w:after="120" w:line="276" w:lineRule="auto"/>
            <w:ind w:left="284" w:right="142"/>
            <w:jc w:val="both"/>
            <w:rPr>
              <w:rFonts w:eastAsia="MS Mincho"/>
              <w:kern w:val="2"/>
              <w:sz w:val="22"/>
              <w:szCs w:val="24"/>
            </w:rPr>
          </w:pPr>
        </w:p>
      </w:sdtContent>
    </w:sdt>
    <w:sdt>
      <w:sdtPr>
        <w:alias w:val="patvirtinta"/>
        <w:tag w:val="part_898f1279a6e8467695ca648f7a8f8b3a"/>
        <w:lock w:val="sdtLocked"/>
        <w:richText/>
      </w:sdtPr>
      <w:sdtContent>
        <w:p>
          <w:pPr>
            <w:spacing w:before="120" w:after="120"/>
            <w:ind w:left="5103" w:right="142"/>
            <w:jc w:val="both"/>
            <w:rPr>
              <w:kern w:val="2"/>
              <w:sz w:val="22"/>
              <w:szCs w:val="24"/>
            </w:rPr>
          </w:pPr>
          <w:r>
            <w:rPr>
              <w:szCs w:val="24"/>
            </w:rPr>
            <w:t>PATVIRTINTA</w:t>
          </w:r>
        </w:p>
        <w:p>
          <w:pPr>
            <w:ind w:left="5103"/>
            <w:rPr>
              <w:szCs w:val="24"/>
            </w:rPr>
          </w:pPr>
          <w:r>
            <w:rPr>
              <w:szCs w:val="24"/>
            </w:rPr>
            <w:t>__________________savivaldybės tarybos</w:t>
          </w:r>
        </w:p>
        <w:p>
          <w:pPr>
            <w:ind w:left="5103"/>
            <w:rPr>
              <w:szCs w:val="24"/>
            </w:rPr>
          </w:pPr>
          <w:r>
            <w:rPr>
              <w:szCs w:val="24"/>
            </w:rPr>
            <w:t>20__m. _______d. sprendimu Nr. _______</w:t>
          </w:r>
        </w:p>
        <w:p>
          <w:pPr>
            <w:jc w:val="both"/>
            <w:rPr>
              <w:b/>
              <w:szCs w:val="24"/>
            </w:rPr>
          </w:pPr>
        </w:p>
        <w:p>
          <w:pPr>
            <w:jc w:val="both"/>
            <w:rPr>
              <w:b/>
              <w:szCs w:val="24"/>
            </w:rPr>
          </w:pPr>
        </w:p>
        <w:p>
          <w:pPr>
            <w:jc w:val="center"/>
            <w:rPr>
              <w:szCs w:val="24"/>
            </w:rPr>
          </w:pPr>
          <w:sdt>
            <w:sdtPr>
              <w:alias w:val="Pavadinimas"/>
              <w:tag w:val="title_898f1279a6e8467695ca648f7a8f8b3a"/>
              <w:lock w:val="sdtLocked"/>
              <w:richText/>
            </w:sdtPr>
            <w:sdtContent>
              <w:r>
                <w:rPr>
                  <w:b/>
                  <w:bCs/>
                  <w:szCs w:val="24"/>
                </w:rPr>
                <w:t>ŠIAULIŲ MIESTO</w:t>
              </w:r>
              <w:r>
                <w:rPr>
                  <w:szCs w:val="24"/>
                </w:rPr>
                <w:t xml:space="preserve"> </w:t>
              </w:r>
              <w:r>
                <w:rPr>
                  <w:b/>
                  <w:szCs w:val="24"/>
                </w:rPr>
                <w:t>SAVIVALDYBĖS</w:t>
              </w:r>
            </w:sdtContent>
          </w:sdt>
        </w:p>
        <w:p>
          <w:pPr>
            <w:rPr>
              <w:szCs w:val="24"/>
            </w:rPr>
          </w:pPr>
        </w:p>
        <w:sdt>
          <w:sdtPr>
            <w:alias w:val="skirsnis"/>
            <w:tag w:val="part_0e8def11602a465f9704945a5a2a45cf"/>
            <w:lock w:val="sdtLocked"/>
            <w:richText/>
          </w:sdtPr>
          <w:sdtContent>
            <w:p>
              <w:pPr>
                <w:jc w:val="center"/>
                <w:rPr>
                  <w:b/>
                  <w:szCs w:val="24"/>
                </w:rPr>
              </w:pPr>
              <w:sdt>
                <w:sdtPr>
                  <w:alias w:val="Pavadinimas"/>
                  <w:tag w:val="title_0e8def11602a465f9704945a5a2a45cf"/>
                  <w:lock w:val="sdtLocked"/>
                  <w:richText/>
                </w:sdtPr>
                <w:sdtContent>
                  <w:r>
                    <w:rPr>
                      <w:b/>
                      <w:iCs/>
                      <w:szCs w:val="24"/>
                    </w:rPr>
                    <w:t>2025 –2033 METŲ</w:t>
                  </w:r>
                  <w:r>
                    <w:rPr>
                      <w:b/>
                      <w:szCs w:val="24"/>
                    </w:rPr>
                    <w:t xml:space="preserve"> STRATEGINIS PLĖTROS PLANAS</w:t>
                  </w:r>
                </w:sdtContent>
              </w:sdt>
            </w:p>
            <w:p>
              <w:pPr>
                <w:jc w:val="center"/>
                <w:rPr>
                  <w:b/>
                  <w:i/>
                  <w:color w:val="808080"/>
                  <w:szCs w:val="24"/>
                </w:rPr>
              </w:pPr>
            </w:p>
            <w:p>
              <w:pPr>
                <w:rPr>
                  <w:sz w:val="10"/>
                  <w:szCs w:val="10"/>
                </w:rPr>
              </w:pPr>
            </w:p>
            <w:p>
              <w:pPr>
                <w:jc w:val="center"/>
                <w:rPr>
                  <w:b/>
                  <w:color w:val="000000"/>
                  <w:szCs w:val="24"/>
                </w:rPr>
              </w:pPr>
            </w:p>
            <w:p>
              <w:pPr>
                <w:rPr>
                  <w:sz w:val="10"/>
                  <w:szCs w:val="10"/>
                </w:rPr>
              </w:pPr>
            </w:p>
          </w:sdtContent>
        </w:sdt>
        <w:sdt>
          <w:sdtPr>
            <w:alias w:val="skyrius"/>
            <w:tag w:val="part_fc5fec956d354fbcbc08e4f0d782cb56"/>
            <w:lock w:val="sdtLocked"/>
            <w:richText/>
          </w:sdtPr>
          <w:sdtContent>
            <w:p>
              <w:pPr>
                <w:jc w:val="center"/>
                <w:rPr>
                  <w:b/>
                  <w:color w:val="000000"/>
                  <w:szCs w:val="24"/>
                </w:rPr>
              </w:pPr>
              <w:sdt>
                <w:sdtPr>
                  <w:alias w:val="Numeris"/>
                  <w:tag w:val="nr_fc5fec956d354fbcbc08e4f0d782cb56"/>
                  <w:lock w:val="sdtLocked"/>
                  <w:richText/>
                </w:sdtPr>
                <w:sdtContent>
                  <w:r>
                    <w:rPr>
                      <w:b/>
                      <w:color w:val="000000"/>
                      <w:szCs w:val="24"/>
                    </w:rPr>
                    <w:t>I</w:t>
                  </w:r>
                </w:sdtContent>
              </w:sdt>
              <w:r>
                <w:rPr>
                  <w:b/>
                  <w:color w:val="000000"/>
                  <w:szCs w:val="24"/>
                </w:rPr>
                <w:t xml:space="preserve"> SKYRIUS</w:t>
              </w:r>
            </w:p>
            <w:p>
              <w:pPr>
                <w:jc w:val="center"/>
                <w:rPr>
                  <w:b/>
                  <w:color w:val="000000"/>
                  <w:szCs w:val="24"/>
                </w:rPr>
              </w:pPr>
              <w:sdt>
                <w:sdtPr>
                  <w:alias w:val="Pavadinimas"/>
                  <w:tag w:val="title_fc5fec956d354fbcbc08e4f0d782cb56"/>
                  <w:lock w:val="sdtLocked"/>
                  <w:richText/>
                </w:sdtPr>
                <w:sdtContent>
                  <w:r>
                    <w:rPr>
                      <w:b/>
                      <w:color w:val="000000"/>
                      <w:szCs w:val="24"/>
                    </w:rPr>
                    <w:t>BENDROJI INFORMACIJA</w:t>
                  </w:r>
                </w:sdtContent>
              </w:sdt>
            </w:p>
            <w:p>
              <w:pPr>
                <w:rPr>
                  <w:sz w:val="10"/>
                  <w:szCs w:val="10"/>
                </w:rPr>
              </w:pPr>
            </w:p>
            <w:p>
              <w:pPr>
                <w:ind w:firstLine="709"/>
                <w:jc w:val="both"/>
                <w:rPr>
                  <w:i/>
                  <w:color w:val="808080"/>
                  <w:szCs w:val="24"/>
                </w:rPr>
              </w:pPr>
            </w:p>
            <w:tbl>
              <w:tblPr>
                <w:tblW w:w="9640"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640"/>
              </w:tblGrid>
              <w:tr>
                <w:trPr>
                  <w:trHeight w:val="574"/>
                </w:trPr>
                <w:tc>
                  <w:tcPr>
                    <w:tcW w:w="9640"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both"/>
                      <w:rPr>
                        <w:rFonts w:eastAsia="Calibri"/>
                        <w:b/>
                        <w:sz w:val="22"/>
                        <w:szCs w:val="24"/>
                      </w:rPr>
                    </w:pPr>
                    <w:r>
                      <w:rPr>
                        <w:rFonts w:eastAsia="Calibri"/>
                        <w:b/>
                        <w:sz w:val="22"/>
                        <w:szCs w:val="24"/>
                      </w:rPr>
                      <w:t>Planavimo laikotarpis</w:t>
                    </w:r>
                  </w:p>
                  <w:p>
                    <w:pPr>
                      <w:rPr>
                        <w:sz w:val="10"/>
                        <w:szCs w:val="10"/>
                      </w:rPr>
                    </w:pPr>
                  </w:p>
                  <w:p>
                    <w:pPr>
                      <w:jc w:val="both"/>
                      <w:rPr>
                        <w:rFonts w:eastAsia="Calibri"/>
                        <w:bCs/>
                        <w:sz w:val="22"/>
                        <w:szCs w:val="24"/>
                      </w:rPr>
                    </w:pPr>
                    <w:r>
                      <w:rPr>
                        <w:rFonts w:eastAsia="Calibri"/>
                        <w:bCs/>
                        <w:sz w:val="22"/>
                        <w:szCs w:val="24"/>
                      </w:rPr>
                      <w:t>Šiaulių miesto strateginis plėtros planas rengiamas 2025–2033 m. laikotarpiui, pasibaigus galioti 2015–2024 m. Šiaulių miesto strateginiam plėtros planui bei atsižvelgiant į Strateginio valdymo įstatymo 7 straipsnio 6 punktą, kuris numato, kad savivaldybių strateginiai plėtros planai rengiami 4–10 metų laikotarpiui.</w:t>
                    </w:r>
                  </w:p>
                </w:tc>
              </w:tr>
              <w:tr>
                <w:trPr>
                  <w:trHeight w:val="574"/>
                </w:trPr>
                <w:tc>
                  <w:tcPr>
                    <w:tcW w:w="9640"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both"/>
                      <w:rPr>
                        <w:rFonts w:eastAsia="Calibri"/>
                        <w:b/>
                        <w:sz w:val="22"/>
                        <w:szCs w:val="22"/>
                      </w:rPr>
                    </w:pPr>
                    <w:r>
                      <w:rPr>
                        <w:rFonts w:eastAsia="Calibri"/>
                        <w:b/>
                        <w:sz w:val="22"/>
                        <w:szCs w:val="22"/>
                      </w:rPr>
                      <w:t>Planavimo dokumentai, kuriais vadovautasi rengiant savivaldybės strateginį plėtros planą:</w:t>
                    </w:r>
                  </w:p>
                  <w:p>
                    <w:pPr>
                      <w:rPr>
                        <w:sz w:val="10"/>
                        <w:szCs w:val="10"/>
                      </w:rPr>
                    </w:pPr>
                  </w:p>
                  <w:p>
                    <w:pPr>
                      <w:ind w:left="720" w:hanging="360"/>
                      <w:jc w:val="both"/>
                      <w:rPr>
                        <w:rFonts w:eastAsia="Calibri"/>
                        <w:bCs/>
                        <w:sz w:val="22"/>
                        <w:szCs w:val="22"/>
                      </w:rPr>
                    </w:pPr>
                    <w:r>
                      <w:rPr>
                        <w:rFonts w:ascii="Symbol" w:eastAsia="Calibri" w:hAnsi="Symbol"/>
                        <w:bCs/>
                        <w:sz w:val="22"/>
                        <w:szCs w:val="22"/>
                      </w:rPr>
                      <w:t></w:t>
                      <w:tab/>
                    </w:r>
                    <w:r>
                      <w:rPr>
                        <w:rFonts w:eastAsia="Calibri"/>
                        <w:bCs/>
                        <w:sz w:val="22"/>
                        <w:szCs w:val="22"/>
                      </w:rPr>
                      <w:t>LR Vyriausybės nutarimas „Dėl Strateginio valdymo metodikos patvirtinimo“</w:t>
                    </w:r>
                    <w:r>
                      <w:rPr>
                        <w:rFonts w:eastAsia="MS Mincho"/>
                        <w:bCs/>
                        <w:kern w:val="2"/>
                        <w:sz w:val="22"/>
                        <w:szCs w:val="22"/>
                      </w:rPr>
                      <w:t xml:space="preserve"> </w:t>
                    </w:r>
                    <w:r>
                      <w:rPr>
                        <w:rFonts w:eastAsia="Calibri"/>
                        <w:bCs/>
                        <w:sz w:val="22"/>
                        <w:szCs w:val="22"/>
                      </w:rPr>
                      <w:t>2021 m. balandžio 28 d. Nr. 292 (galiojanti suvestinė redakcija);</w:t>
                    </w:r>
                  </w:p>
                  <w:p>
                    <w:pPr>
                      <w:ind w:left="720" w:hanging="360"/>
                      <w:jc w:val="both"/>
                      <w:rPr>
                        <w:rFonts w:eastAsia="Calibri"/>
                        <w:bCs/>
                        <w:sz w:val="22"/>
                        <w:szCs w:val="22"/>
                      </w:rPr>
                    </w:pPr>
                    <w:r>
                      <w:rPr>
                        <w:rFonts w:ascii="Symbol" w:eastAsia="Calibri" w:hAnsi="Symbol"/>
                        <w:bCs/>
                        <w:sz w:val="22"/>
                        <w:szCs w:val="22"/>
                      </w:rPr>
                      <w:t></w:t>
                      <w:tab/>
                    </w:r>
                    <w:r>
                      <w:rPr>
                        <w:rFonts w:eastAsia="Calibri"/>
                        <w:bCs/>
                        <w:sz w:val="22"/>
                        <w:szCs w:val="22"/>
                      </w:rPr>
                      <w:t xml:space="preserve">LR Strateginio valdymo įstatymas, </w:t>
                    </w:r>
                    <w:r>
                      <w:rPr>
                        <w:rFonts w:eastAsia="MS Mincho"/>
                        <w:color w:val="000000"/>
                        <w:kern w:val="2"/>
                        <w:sz w:val="22"/>
                        <w:szCs w:val="24"/>
                      </w:rPr>
                      <w:t>2020 m. birželio 25 d. Nr. XIII-3096 (galiojanti suvestinė redakcija);</w:t>
                    </w:r>
                  </w:p>
                  <w:p>
                    <w:pPr>
                      <w:ind w:left="720" w:hanging="360"/>
                      <w:jc w:val="both"/>
                      <w:rPr>
                        <w:rFonts w:eastAsia="Calibri"/>
                        <w:bCs/>
                        <w:sz w:val="22"/>
                        <w:szCs w:val="22"/>
                      </w:rPr>
                    </w:pPr>
                    <w:r>
                      <w:rPr>
                        <w:rFonts w:ascii="Symbol" w:eastAsia="Calibri" w:hAnsi="Symbol"/>
                        <w:bCs/>
                        <w:sz w:val="22"/>
                        <w:szCs w:val="22"/>
                      </w:rPr>
                      <w:t></w:t>
                      <w:tab/>
                    </w:r>
                    <w:r>
                      <w:rPr>
                        <w:rFonts w:eastAsia="Calibri"/>
                        <w:bCs/>
                        <w:sz w:val="22"/>
                        <w:szCs w:val="22"/>
                      </w:rPr>
                      <w:t>Šiaulių miesto strateginiai veiklos planai 2023</w:t>
                    </w:r>
                    <w:r>
                      <w:rPr>
                        <w:rFonts w:eastAsia="MS Mincho"/>
                        <w:kern w:val="2"/>
                        <w:sz w:val="22"/>
                        <w:szCs w:val="22"/>
                      </w:rPr>
                      <w:t>–</w:t>
                    </w:r>
                    <w:r>
                      <w:rPr>
                        <w:rFonts w:eastAsia="Calibri"/>
                        <w:bCs/>
                        <w:sz w:val="22"/>
                        <w:szCs w:val="22"/>
                      </w:rPr>
                      <w:t>2025 m. ir 2024</w:t>
                    </w:r>
                    <w:r>
                      <w:rPr>
                        <w:rFonts w:eastAsia="MS Mincho"/>
                        <w:kern w:val="2"/>
                        <w:sz w:val="22"/>
                        <w:szCs w:val="22"/>
                      </w:rPr>
                      <w:t>–</w:t>
                    </w:r>
                    <w:r>
                      <w:rPr>
                        <w:rFonts w:eastAsia="Calibri"/>
                        <w:bCs/>
                        <w:sz w:val="22"/>
                        <w:szCs w:val="22"/>
                      </w:rPr>
                      <w:t>2026 m.;</w:t>
                    </w:r>
                  </w:p>
                  <w:p>
                    <w:pPr>
                      <w:spacing w:line="276" w:lineRule="auto"/>
                      <w:ind w:left="720" w:right="142" w:hanging="360"/>
                      <w:jc w:val="both"/>
                      <w:rPr>
                        <w:rFonts w:eastAsia="MS Mincho"/>
                        <w:kern w:val="2"/>
                        <w:sz w:val="22"/>
                        <w:szCs w:val="22"/>
                      </w:rPr>
                    </w:pPr>
                    <w:r>
                      <w:rPr>
                        <w:rFonts w:ascii="Symbol" w:eastAsia="MS Mincho" w:hAnsi="Symbol"/>
                        <w:kern w:val="2"/>
                        <w:sz w:val="22"/>
                        <w:szCs w:val="22"/>
                      </w:rPr>
                      <w:t></w:t>
                      <w:tab/>
                    </w:r>
                    <w:r>
                      <w:rPr>
                        <w:rFonts w:eastAsia="MS Mincho"/>
                        <w:kern w:val="2"/>
                        <w:sz w:val="22"/>
                        <w:szCs w:val="22"/>
                      </w:rPr>
                      <w:t>Šiaulių miesto savivaldybės atsinaujinančių išteklių energijos naudojimo plėtros veiksmų planas;</w:t>
                    </w:r>
                  </w:p>
                  <w:p>
                    <w:pPr>
                      <w:spacing w:line="276" w:lineRule="auto"/>
                      <w:ind w:left="720" w:right="142" w:hanging="360"/>
                      <w:jc w:val="both"/>
                      <w:rPr>
                        <w:rFonts w:eastAsia="MS Mincho"/>
                        <w:kern w:val="2"/>
                        <w:sz w:val="22"/>
                        <w:szCs w:val="22"/>
                      </w:rPr>
                    </w:pPr>
                    <w:r>
                      <w:rPr>
                        <w:rFonts w:ascii="Symbol" w:eastAsia="MS Mincho" w:hAnsi="Symbol"/>
                        <w:kern w:val="2"/>
                        <w:sz w:val="22"/>
                        <w:szCs w:val="22"/>
                      </w:rPr>
                      <w:t></w:t>
                      <w:tab/>
                    </w:r>
                    <w:r>
                      <w:rPr>
                        <w:rFonts w:eastAsia="MS Mincho"/>
                        <w:kern w:val="2"/>
                        <w:sz w:val="22"/>
                        <w:szCs w:val="22"/>
                      </w:rPr>
                      <w:t>Šiaulių miesto bendrasis planas;</w:t>
                    </w:r>
                  </w:p>
                  <w:p>
                    <w:pPr>
                      <w:spacing w:line="276" w:lineRule="auto"/>
                      <w:ind w:left="720" w:right="142" w:hanging="360"/>
                      <w:jc w:val="both"/>
                      <w:rPr>
                        <w:rFonts w:eastAsia="MS Mincho"/>
                        <w:kern w:val="2"/>
                        <w:sz w:val="22"/>
                        <w:szCs w:val="22"/>
                      </w:rPr>
                    </w:pPr>
                    <w:r>
                      <w:rPr>
                        <w:rFonts w:ascii="Symbol" w:eastAsia="MS Mincho" w:hAnsi="Symbol"/>
                        <w:kern w:val="2"/>
                        <w:sz w:val="22"/>
                        <w:szCs w:val="22"/>
                      </w:rPr>
                      <w:t></w:t>
                      <w:tab/>
                    </w:r>
                    <w:r>
                      <w:rPr>
                        <w:rFonts w:eastAsia="MS Mincho"/>
                        <w:kern w:val="2"/>
                        <w:sz w:val="22"/>
                        <w:szCs w:val="22"/>
                      </w:rPr>
                      <w:t>Šiaulių miesto savivaldybės 2021–2027 m. atliekų tvarkymo planas;</w:t>
                    </w:r>
                  </w:p>
                  <w:p>
                    <w:pPr>
                      <w:spacing w:line="276" w:lineRule="auto"/>
                      <w:ind w:left="720" w:right="142" w:hanging="360"/>
                      <w:jc w:val="both"/>
                      <w:rPr>
                        <w:rFonts w:eastAsia="MS Mincho"/>
                        <w:kern w:val="2"/>
                        <w:sz w:val="22"/>
                        <w:szCs w:val="22"/>
                      </w:rPr>
                    </w:pPr>
                    <w:r>
                      <w:rPr>
                        <w:rFonts w:ascii="Symbol" w:eastAsia="MS Mincho" w:hAnsi="Symbol"/>
                        <w:kern w:val="2"/>
                        <w:sz w:val="22"/>
                        <w:szCs w:val="22"/>
                      </w:rPr>
                      <w:t></w:t>
                      <w:tab/>
                    </w:r>
                    <w:r>
                      <w:rPr>
                        <w:rFonts w:eastAsia="MS Mincho"/>
                        <w:kern w:val="2"/>
                        <w:sz w:val="22"/>
                        <w:szCs w:val="22"/>
                      </w:rPr>
                      <w:t>Šiaulių miesto vandens tiekimo ir nuotekų tvarkymo infrastruktūros plėtros specialusis planas;</w:t>
                    </w:r>
                  </w:p>
                  <w:p>
                    <w:pPr>
                      <w:spacing w:line="276" w:lineRule="auto"/>
                      <w:ind w:left="720" w:right="142" w:hanging="360"/>
                      <w:jc w:val="both"/>
                      <w:rPr>
                        <w:rFonts w:eastAsia="MS Mincho"/>
                        <w:kern w:val="2"/>
                        <w:sz w:val="22"/>
                        <w:szCs w:val="22"/>
                      </w:rPr>
                    </w:pPr>
                    <w:r>
                      <w:rPr>
                        <w:rFonts w:ascii="Symbol" w:eastAsia="MS Mincho" w:hAnsi="Symbol"/>
                        <w:kern w:val="2"/>
                        <w:sz w:val="22"/>
                        <w:szCs w:val="22"/>
                      </w:rPr>
                      <w:t></w:t>
                      <w:tab/>
                    </w:r>
                    <w:r>
                      <w:rPr>
                        <w:rFonts w:eastAsia="MS Mincho"/>
                        <w:kern w:val="2"/>
                        <w:sz w:val="22"/>
                        <w:szCs w:val="22"/>
                      </w:rPr>
                      <w:t>Šiaulių miesto aplinkos oro kokybės valdymo programa 2019–2024 m.;</w:t>
                    </w:r>
                  </w:p>
                  <w:p>
                    <w:pPr>
                      <w:spacing w:line="276" w:lineRule="auto"/>
                      <w:ind w:left="720" w:right="142" w:hanging="360"/>
                      <w:jc w:val="both"/>
                      <w:rPr>
                        <w:rFonts w:eastAsia="MS Mincho"/>
                        <w:kern w:val="2"/>
                        <w:sz w:val="22"/>
                        <w:szCs w:val="22"/>
                      </w:rPr>
                    </w:pPr>
                    <w:r>
                      <w:rPr>
                        <w:rFonts w:ascii="Symbol" w:eastAsia="MS Mincho" w:hAnsi="Symbol"/>
                        <w:kern w:val="2"/>
                        <w:sz w:val="22"/>
                        <w:szCs w:val="22"/>
                      </w:rPr>
                      <w:t></w:t>
                      <w:tab/>
                    </w:r>
                    <w:r>
                      <w:rPr>
                        <w:rFonts w:eastAsia="MS Mincho"/>
                        <w:kern w:val="2"/>
                        <w:sz w:val="22"/>
                        <w:szCs w:val="22"/>
                      </w:rPr>
                      <w:t>Šiaulių miesto ekonominės plėtros ir investicijų pritraukimo strategija;</w:t>
                    </w:r>
                  </w:p>
                  <w:p>
                    <w:pPr>
                      <w:spacing w:line="276" w:lineRule="auto"/>
                      <w:ind w:left="720" w:right="142" w:hanging="360"/>
                      <w:jc w:val="both"/>
                      <w:rPr>
                        <w:rFonts w:eastAsia="MS Mincho"/>
                        <w:kern w:val="2"/>
                        <w:sz w:val="22"/>
                        <w:szCs w:val="22"/>
                      </w:rPr>
                    </w:pPr>
                    <w:r>
                      <w:rPr>
                        <w:rFonts w:ascii="Symbol" w:eastAsia="MS Mincho" w:hAnsi="Symbol"/>
                        <w:kern w:val="2"/>
                        <w:sz w:val="22"/>
                        <w:szCs w:val="22"/>
                      </w:rPr>
                      <w:t></w:t>
                      <w:tab/>
                    </w:r>
                    <w:r>
                      <w:rPr>
                        <w:rFonts w:eastAsia="MS Mincho"/>
                        <w:kern w:val="2"/>
                        <w:sz w:val="22"/>
                        <w:szCs w:val="22"/>
                      </w:rPr>
                      <w:t>Šiaulių miesto įvaizdžio rinkodaros priemonių planas;</w:t>
                    </w:r>
                  </w:p>
                  <w:p>
                    <w:pPr>
                      <w:spacing w:line="276" w:lineRule="auto"/>
                      <w:ind w:left="720" w:right="142" w:hanging="360"/>
                      <w:jc w:val="both"/>
                      <w:rPr>
                        <w:rFonts w:eastAsia="MS Mincho"/>
                        <w:kern w:val="2"/>
                        <w:sz w:val="22"/>
                        <w:szCs w:val="22"/>
                      </w:rPr>
                    </w:pPr>
                    <w:r>
                      <w:rPr>
                        <w:rFonts w:ascii="Symbol" w:eastAsia="MS Mincho" w:hAnsi="Symbol"/>
                        <w:kern w:val="2"/>
                        <w:sz w:val="22"/>
                        <w:szCs w:val="22"/>
                      </w:rPr>
                      <w:t></w:t>
                      <w:tab/>
                    </w:r>
                    <w:r>
                      <w:rPr>
                        <w:rFonts w:eastAsia="MS Mincho"/>
                        <w:kern w:val="2"/>
                        <w:sz w:val="22"/>
                        <w:szCs w:val="22"/>
                      </w:rPr>
                      <w:t>Šiaulių išmanaus miesto koncepcija;</w:t>
                    </w:r>
                  </w:p>
                  <w:p>
                    <w:pPr>
                      <w:spacing w:line="276" w:lineRule="auto"/>
                      <w:ind w:left="720" w:right="142" w:hanging="360"/>
                      <w:jc w:val="both"/>
                      <w:rPr>
                        <w:rFonts w:eastAsia="MS Mincho"/>
                        <w:kern w:val="2"/>
                        <w:sz w:val="22"/>
                        <w:szCs w:val="22"/>
                      </w:rPr>
                    </w:pPr>
                    <w:r>
                      <w:rPr>
                        <w:rFonts w:ascii="Symbol" w:eastAsia="MS Mincho" w:hAnsi="Symbol"/>
                        <w:kern w:val="2"/>
                        <w:sz w:val="22"/>
                        <w:szCs w:val="22"/>
                      </w:rPr>
                      <w:t></w:t>
                      <w:tab/>
                    </w:r>
                    <w:r>
                      <w:rPr>
                        <w:rFonts w:eastAsia="MS Mincho"/>
                        <w:kern w:val="2"/>
                        <w:sz w:val="22"/>
                        <w:szCs w:val="22"/>
                      </w:rPr>
                      <w:t>Šiaulių miesto savivaldybės bendrojo ugdymo mokyklų tinklo pertvarkos 2021–2025 m. bendrasis planas;</w:t>
                    </w:r>
                  </w:p>
                  <w:p>
                    <w:pPr>
                      <w:spacing w:line="276" w:lineRule="auto"/>
                      <w:ind w:left="720" w:right="142" w:hanging="360"/>
                      <w:jc w:val="both"/>
                      <w:rPr>
                        <w:rFonts w:eastAsia="MS Mincho"/>
                        <w:kern w:val="2"/>
                        <w:sz w:val="22"/>
                        <w:szCs w:val="22"/>
                      </w:rPr>
                    </w:pPr>
                    <w:r>
                      <w:rPr>
                        <w:rFonts w:ascii="Symbol" w:eastAsia="MS Mincho" w:hAnsi="Symbol"/>
                        <w:kern w:val="2"/>
                        <w:sz w:val="22"/>
                        <w:szCs w:val="22"/>
                      </w:rPr>
                      <w:t></w:t>
                      <w:tab/>
                    </w:r>
                    <w:r>
                      <w:rPr>
                        <w:rFonts w:eastAsia="MS Mincho"/>
                        <w:kern w:val="2"/>
                        <w:sz w:val="22"/>
                        <w:szCs w:val="22"/>
                      </w:rPr>
                      <w:t>Šiaulių miesto darnaus judumo planas;</w:t>
                    </w:r>
                  </w:p>
                  <w:p>
                    <w:pPr>
                      <w:spacing w:line="276" w:lineRule="auto"/>
                      <w:ind w:left="720" w:right="142" w:hanging="360"/>
                      <w:jc w:val="both"/>
                      <w:rPr>
                        <w:rFonts w:eastAsia="MS Mincho"/>
                        <w:kern w:val="2"/>
                        <w:sz w:val="22"/>
                        <w:szCs w:val="22"/>
                      </w:rPr>
                    </w:pPr>
                    <w:r>
                      <w:rPr>
                        <w:rFonts w:ascii="Symbol" w:eastAsia="MS Mincho" w:hAnsi="Symbol"/>
                        <w:kern w:val="2"/>
                        <w:sz w:val="22"/>
                        <w:szCs w:val="22"/>
                      </w:rPr>
                      <w:t></w:t>
                      <w:tab/>
                    </w:r>
                    <w:r>
                      <w:rPr>
                        <w:rFonts w:eastAsia="MS Mincho"/>
                        <w:kern w:val="2"/>
                        <w:sz w:val="22"/>
                        <w:szCs w:val="22"/>
                      </w:rPr>
                      <w:t>Transporto organizavimo Šiaulių mieste specialusis planas;</w:t>
                    </w:r>
                  </w:p>
                  <w:p>
                    <w:pPr>
                      <w:ind w:left="720" w:hanging="360"/>
                      <w:jc w:val="both"/>
                      <w:rPr>
                        <w:rFonts w:eastAsia="Calibri"/>
                        <w:bCs/>
                        <w:sz w:val="22"/>
                        <w:szCs w:val="22"/>
                      </w:rPr>
                    </w:pPr>
                    <w:r>
                      <w:rPr>
                        <w:rFonts w:ascii="Symbol" w:eastAsia="Calibri" w:hAnsi="Symbol"/>
                        <w:bCs/>
                        <w:sz w:val="22"/>
                        <w:szCs w:val="22"/>
                      </w:rPr>
                      <w:t></w:t>
                      <w:tab/>
                    </w:r>
                    <w:r>
                      <w:rPr>
                        <w:rFonts w:eastAsia="MS Mincho"/>
                        <w:kern w:val="2"/>
                        <w:sz w:val="22"/>
                        <w:szCs w:val="22"/>
                      </w:rPr>
                      <w:t>2024–2029 m. Šiaulių miesto tvarios plėtros strategija;</w:t>
                    </w:r>
                  </w:p>
                  <w:p>
                    <w:pPr>
                      <w:ind w:left="720" w:hanging="360"/>
                      <w:jc w:val="both"/>
                      <w:rPr>
                        <w:rFonts w:eastAsia="Calibri"/>
                        <w:bCs/>
                        <w:sz w:val="22"/>
                        <w:szCs w:val="22"/>
                      </w:rPr>
                    </w:pPr>
                    <w:r>
                      <w:rPr>
                        <w:rFonts w:ascii="Symbol" w:eastAsia="Calibri" w:hAnsi="Symbol"/>
                        <w:bCs/>
                        <w:sz w:val="22"/>
                        <w:szCs w:val="22"/>
                      </w:rPr>
                      <w:t></w:t>
                      <w:tab/>
                    </w:r>
                    <w:r>
                      <w:rPr>
                        <w:rFonts w:eastAsia="MS Mincho"/>
                        <w:kern w:val="2"/>
                        <w:sz w:val="22"/>
                        <w:szCs w:val="22"/>
                      </w:rPr>
                      <w:t>2022–2030 m. Šiaulių regiono plėtros planas;</w:t>
                    </w:r>
                  </w:p>
                  <w:p>
                    <w:pPr>
                      <w:spacing w:line="276" w:lineRule="auto"/>
                      <w:ind w:left="720" w:right="142" w:hanging="360"/>
                      <w:jc w:val="both"/>
                      <w:rPr>
                        <w:rFonts w:eastAsia="MS Mincho"/>
                        <w:kern w:val="2"/>
                        <w:sz w:val="22"/>
                        <w:szCs w:val="22"/>
                      </w:rPr>
                    </w:pPr>
                    <w:r>
                      <w:rPr>
                        <w:rFonts w:ascii="Symbol" w:eastAsia="MS Mincho" w:hAnsi="Symbol"/>
                        <w:kern w:val="2"/>
                        <w:sz w:val="22"/>
                        <w:szCs w:val="22"/>
                      </w:rPr>
                      <w:t></w:t>
                      <w:tab/>
                    </w:r>
                    <w:r>
                      <w:rPr>
                        <w:rFonts w:eastAsia="MS Mincho"/>
                        <w:kern w:val="2"/>
                        <w:sz w:val="22"/>
                        <w:szCs w:val="22"/>
                      </w:rPr>
                      <w:t>Valstybės pažangos strategija „Lietuva 2030“;</w:t>
                    </w:r>
                  </w:p>
                  <w:p>
                    <w:pPr>
                      <w:spacing w:line="276" w:lineRule="auto"/>
                      <w:ind w:left="720" w:right="142" w:hanging="360"/>
                      <w:jc w:val="both"/>
                      <w:rPr>
                        <w:rFonts w:eastAsia="MS Mincho"/>
                        <w:kern w:val="2"/>
                        <w:sz w:val="22"/>
                        <w:szCs w:val="22"/>
                      </w:rPr>
                    </w:pPr>
                    <w:r>
                      <w:rPr>
                        <w:rFonts w:ascii="Symbol" w:eastAsia="MS Mincho" w:hAnsi="Symbol"/>
                        <w:kern w:val="2"/>
                        <w:sz w:val="22"/>
                        <w:szCs w:val="22"/>
                      </w:rPr>
                      <w:t></w:t>
                      <w:tab/>
                    </w:r>
                    <w:r>
                      <w:rPr>
                        <w:rFonts w:eastAsia="MS Mincho"/>
                        <w:kern w:val="2"/>
                        <w:sz w:val="22"/>
                        <w:szCs w:val="22"/>
                      </w:rPr>
                      <w:t>Valstybės pažangos strategija „Lietuva 2050“;</w:t>
                    </w:r>
                  </w:p>
                  <w:p>
                    <w:pPr>
                      <w:spacing w:line="276" w:lineRule="auto"/>
                      <w:ind w:left="720" w:right="142" w:hanging="360"/>
                      <w:jc w:val="both"/>
                      <w:rPr>
                        <w:rFonts w:eastAsia="MS Mincho"/>
                        <w:kern w:val="2"/>
                        <w:sz w:val="22"/>
                        <w:szCs w:val="22"/>
                      </w:rPr>
                    </w:pPr>
                    <w:r>
                      <w:rPr>
                        <w:rFonts w:ascii="Symbol" w:eastAsia="MS Mincho" w:hAnsi="Symbol"/>
                        <w:kern w:val="2"/>
                        <w:sz w:val="22"/>
                        <w:szCs w:val="22"/>
                      </w:rPr>
                      <w:t></w:t>
                      <w:tab/>
                    </w:r>
                    <w:r>
                      <w:rPr>
                        <w:rFonts w:eastAsia="MS Mincho"/>
                        <w:kern w:val="2"/>
                        <w:sz w:val="22"/>
                        <w:szCs w:val="22"/>
                      </w:rPr>
                      <w:t>2021–2030 metų nacionalinis pažangos planas;</w:t>
                    </w:r>
                  </w:p>
                  <w:p>
                    <w:pPr>
                      <w:spacing w:line="276" w:lineRule="auto"/>
                      <w:ind w:left="720" w:right="142" w:hanging="360"/>
                      <w:jc w:val="both"/>
                      <w:rPr>
                        <w:rFonts w:eastAsia="MS Mincho"/>
                        <w:kern w:val="2"/>
                        <w:sz w:val="22"/>
                        <w:szCs w:val="22"/>
                      </w:rPr>
                    </w:pPr>
                    <w:r>
                      <w:rPr>
                        <w:rFonts w:ascii="Symbol" w:eastAsia="MS Mincho" w:hAnsi="Symbol"/>
                        <w:kern w:val="2"/>
                        <w:sz w:val="22"/>
                        <w:szCs w:val="22"/>
                      </w:rPr>
                      <w:t></w:t>
                      <w:tab/>
                    </w:r>
                    <w:r>
                      <w:rPr>
                        <w:rFonts w:eastAsia="MS Mincho"/>
                        <w:kern w:val="2"/>
                        <w:sz w:val="22"/>
                        <w:szCs w:val="22"/>
                      </w:rPr>
                      <w:t>Lietuvos regioninės politikos baltoji knyga;</w:t>
                    </w:r>
                  </w:p>
                  <w:p>
                    <w:pPr>
                      <w:spacing w:line="276" w:lineRule="auto"/>
                      <w:ind w:left="720" w:right="142" w:hanging="360"/>
                      <w:jc w:val="both"/>
                      <w:rPr>
                        <w:rFonts w:eastAsia="MS Mincho"/>
                        <w:kern w:val="2"/>
                        <w:sz w:val="22"/>
                        <w:szCs w:val="22"/>
                      </w:rPr>
                    </w:pPr>
                    <w:r>
                      <w:rPr>
                        <w:rFonts w:ascii="Symbol" w:eastAsia="MS Mincho" w:hAnsi="Symbol"/>
                        <w:kern w:val="2"/>
                        <w:sz w:val="22"/>
                        <w:szCs w:val="22"/>
                      </w:rPr>
                      <w:t></w:t>
                      <w:tab/>
                    </w:r>
                    <w:r>
                      <w:rPr>
                        <w:rFonts w:eastAsia="MS Mincho"/>
                        <w:kern w:val="2"/>
                        <w:sz w:val="22"/>
                        <w:szCs w:val="22"/>
                      </w:rPr>
                      <w:t>Lietuvos pristatymo užsienyje 2020–2030 m. strategija;</w:t>
                    </w:r>
                  </w:p>
                  <w:p>
                    <w:pPr>
                      <w:spacing w:line="276" w:lineRule="auto"/>
                      <w:ind w:left="720" w:right="142" w:hanging="360"/>
                      <w:jc w:val="both"/>
                      <w:rPr>
                        <w:rFonts w:eastAsia="MS Mincho"/>
                        <w:kern w:val="2"/>
                        <w:sz w:val="22"/>
                        <w:szCs w:val="22"/>
                      </w:rPr>
                    </w:pPr>
                    <w:r>
                      <w:rPr>
                        <w:rFonts w:ascii="Symbol" w:eastAsia="MS Mincho" w:hAnsi="Symbol"/>
                        <w:kern w:val="2"/>
                        <w:sz w:val="22"/>
                        <w:szCs w:val="22"/>
                      </w:rPr>
                      <w:t></w:t>
                      <w:tab/>
                    </w:r>
                    <w:r>
                      <w:rPr>
                        <w:rFonts w:eastAsia="MS Mincho"/>
                        <w:kern w:val="2"/>
                        <w:sz w:val="22"/>
                        <w:szCs w:val="22"/>
                      </w:rPr>
                      <w:t>XVIII–os Vyriausybės programa;</w:t>
                    </w:r>
                  </w:p>
                  <w:p>
                    <w:pPr>
                      <w:spacing w:line="276" w:lineRule="auto"/>
                      <w:ind w:left="720" w:right="142" w:hanging="360"/>
                      <w:jc w:val="both"/>
                      <w:rPr>
                        <w:rFonts w:eastAsia="MS Mincho"/>
                        <w:kern w:val="2"/>
                        <w:sz w:val="22"/>
                        <w:szCs w:val="22"/>
                      </w:rPr>
                    </w:pPr>
                    <w:r>
                      <w:rPr>
                        <w:rFonts w:ascii="Symbol" w:eastAsia="MS Mincho" w:hAnsi="Symbol"/>
                        <w:kern w:val="2"/>
                        <w:sz w:val="22"/>
                        <w:szCs w:val="22"/>
                      </w:rPr>
                      <w:t></w:t>
                      <w:tab/>
                    </w:r>
                    <w:r>
                      <w:rPr>
                        <w:rFonts w:eastAsia="MS Mincho"/>
                        <w:kern w:val="2"/>
                        <w:sz w:val="22"/>
                        <w:szCs w:val="22"/>
                      </w:rPr>
                      <w:t>Lietuvos Respublikos teritorijos bendrojo plano sprendiniai iki 2030, Konkurencinga valstybė 2030, Lietuvos Regionai 2030;</w:t>
                    </w:r>
                  </w:p>
                  <w:p>
                    <w:pPr>
                      <w:spacing w:line="276" w:lineRule="auto"/>
                      <w:ind w:left="720" w:right="142" w:hanging="360"/>
                      <w:jc w:val="both"/>
                      <w:rPr>
                        <w:rFonts w:eastAsia="MS Mincho"/>
                        <w:kern w:val="2"/>
                        <w:sz w:val="22"/>
                        <w:szCs w:val="22"/>
                      </w:rPr>
                    </w:pPr>
                    <w:r>
                      <w:rPr>
                        <w:rFonts w:ascii="Symbol" w:eastAsia="MS Mincho" w:hAnsi="Symbol"/>
                        <w:kern w:val="2"/>
                        <w:sz w:val="22"/>
                        <w:szCs w:val="22"/>
                      </w:rPr>
                      <w:t></w:t>
                      <w:tab/>
                    </w:r>
                    <w:r>
                      <w:rPr>
                        <w:color w:val="000000"/>
                        <w:kern w:val="24"/>
                        <w:sz w:val="22"/>
                        <w:szCs w:val="22"/>
                      </w:rPr>
                      <w:t>Lietuvos kultūros politikos strategija;</w:t>
                    </w:r>
                  </w:p>
                  <w:p>
                    <w:pPr>
                      <w:spacing w:line="276" w:lineRule="auto"/>
                      <w:ind w:left="720" w:right="142" w:hanging="360"/>
                      <w:jc w:val="both"/>
                      <w:rPr>
                        <w:rFonts w:eastAsia="MS Mincho"/>
                        <w:kern w:val="2"/>
                        <w:sz w:val="22"/>
                        <w:szCs w:val="22"/>
                      </w:rPr>
                    </w:pPr>
                    <w:r>
                      <w:rPr>
                        <w:rFonts w:ascii="Symbol" w:eastAsia="MS Mincho" w:hAnsi="Symbol"/>
                        <w:kern w:val="2"/>
                        <w:sz w:val="22"/>
                        <w:szCs w:val="22"/>
                      </w:rPr>
                      <w:t></w:t>
                      <w:tab/>
                    </w:r>
                    <w:r>
                      <w:rPr>
                        <w:rFonts w:eastAsia="MS Mincho"/>
                        <w:color w:val="000000"/>
                        <w:kern w:val="24"/>
                        <w:sz w:val="22"/>
                        <w:szCs w:val="22"/>
                      </w:rPr>
                      <w:t>Geros mokyklos koncepcija;</w:t>
                    </w:r>
                  </w:p>
                  <w:p>
                    <w:pPr>
                      <w:spacing w:line="276" w:lineRule="auto"/>
                      <w:ind w:left="720" w:right="142" w:hanging="360"/>
                      <w:jc w:val="both"/>
                      <w:rPr>
                        <w:rFonts w:eastAsia="MS Mincho"/>
                        <w:kern w:val="2"/>
                        <w:sz w:val="22"/>
                        <w:szCs w:val="22"/>
                      </w:rPr>
                    </w:pPr>
                    <w:r>
                      <w:rPr>
                        <w:rFonts w:ascii="Symbol" w:eastAsia="MS Mincho" w:hAnsi="Symbol"/>
                        <w:kern w:val="2"/>
                        <w:sz w:val="22"/>
                        <w:szCs w:val="22"/>
                      </w:rPr>
                      <w:t></w:t>
                      <w:tab/>
                    </w:r>
                    <w:r>
                      <w:rPr>
                        <w:rFonts w:eastAsia="MS Mincho"/>
                        <w:kern w:val="2"/>
                        <w:sz w:val="22"/>
                        <w:szCs w:val="22"/>
                      </w:rPr>
                      <w:t>Lietuvos sveikatos 2014–2025 metų programa;</w:t>
                    </w:r>
                  </w:p>
                  <w:p>
                    <w:pPr>
                      <w:spacing w:line="276" w:lineRule="auto"/>
                      <w:ind w:left="720" w:right="142" w:hanging="360"/>
                      <w:jc w:val="both"/>
                      <w:rPr>
                        <w:rFonts w:eastAsia="MS Mincho"/>
                        <w:kern w:val="2"/>
                        <w:sz w:val="22"/>
                        <w:szCs w:val="22"/>
                      </w:rPr>
                    </w:pPr>
                    <w:r>
                      <w:rPr>
                        <w:rFonts w:ascii="Symbol" w:eastAsia="MS Mincho" w:hAnsi="Symbol"/>
                        <w:kern w:val="2"/>
                        <w:sz w:val="22"/>
                        <w:szCs w:val="22"/>
                      </w:rPr>
                      <w:t></w:t>
                      <w:tab/>
                    </w:r>
                    <w:r>
                      <w:rPr>
                        <w:rFonts w:eastAsia="MS Mincho"/>
                        <w:kern w:val="2"/>
                        <w:sz w:val="22"/>
                        <w:szCs w:val="22"/>
                      </w:rPr>
                      <w:t>Lietuvos e. sveikatos sistemos 2017–2025 metų plėtros programa;</w:t>
                    </w:r>
                  </w:p>
                  <w:p>
                    <w:pPr>
                      <w:spacing w:line="276" w:lineRule="auto"/>
                      <w:ind w:left="720" w:right="142" w:hanging="360"/>
                      <w:jc w:val="both"/>
                      <w:rPr>
                        <w:rFonts w:eastAsia="MS Mincho"/>
                        <w:kern w:val="2"/>
                        <w:sz w:val="22"/>
                        <w:szCs w:val="22"/>
                      </w:rPr>
                    </w:pPr>
                    <w:r>
                      <w:rPr>
                        <w:rFonts w:ascii="Symbol" w:eastAsia="MS Mincho" w:hAnsi="Symbol"/>
                        <w:kern w:val="2"/>
                        <w:sz w:val="22"/>
                        <w:szCs w:val="22"/>
                      </w:rPr>
                      <w:t></w:t>
                      <w:tab/>
                    </w:r>
                    <w:r>
                      <w:rPr>
                        <w:rFonts w:eastAsia="MS Mincho"/>
                        <w:kern w:val="2"/>
                        <w:sz w:val="22"/>
                        <w:szCs w:val="22"/>
                      </w:rPr>
                      <w:t>Nacionalinė visuomenės sveikatos priežiūros 2016–2023 metų plėtros programa;</w:t>
                    </w:r>
                  </w:p>
                  <w:p>
                    <w:pPr>
                      <w:spacing w:line="276" w:lineRule="auto"/>
                      <w:ind w:left="720" w:right="142" w:hanging="360"/>
                      <w:jc w:val="both"/>
                      <w:rPr>
                        <w:rFonts w:eastAsia="MS Mincho"/>
                        <w:kern w:val="2"/>
                        <w:sz w:val="22"/>
                        <w:szCs w:val="22"/>
                      </w:rPr>
                    </w:pPr>
                    <w:r>
                      <w:rPr>
                        <w:rFonts w:ascii="Symbol" w:eastAsia="MS Mincho" w:hAnsi="Symbol"/>
                        <w:kern w:val="2"/>
                        <w:sz w:val="22"/>
                        <w:szCs w:val="22"/>
                      </w:rPr>
                      <w:t></w:t>
                      <w:tab/>
                    </w:r>
                    <w:r>
                      <w:rPr>
                        <w:rFonts w:eastAsia="MS Mincho"/>
                        <w:color w:val="000000"/>
                        <w:kern w:val="2"/>
                        <w:sz w:val="22"/>
                        <w:szCs w:val="22"/>
                      </w:rPr>
                      <w:t>2022–2030 m. sveikatos išsaugojimo ir stiprinimo plėtros programa;</w:t>
                    </w:r>
                  </w:p>
                  <w:p>
                    <w:pPr>
                      <w:spacing w:line="276" w:lineRule="auto"/>
                      <w:ind w:left="720" w:right="142" w:hanging="360"/>
                      <w:jc w:val="both"/>
                      <w:rPr>
                        <w:rFonts w:eastAsia="MS Mincho"/>
                        <w:kern w:val="2"/>
                        <w:sz w:val="22"/>
                        <w:szCs w:val="22"/>
                      </w:rPr>
                    </w:pPr>
                    <w:r>
                      <w:rPr>
                        <w:rFonts w:ascii="Symbol" w:eastAsia="MS Mincho" w:hAnsi="Symbol"/>
                        <w:kern w:val="2"/>
                        <w:sz w:val="22"/>
                        <w:szCs w:val="22"/>
                      </w:rPr>
                      <w:t></w:t>
                      <w:tab/>
                    </w:r>
                    <w:r>
                      <w:rPr>
                        <w:rFonts w:eastAsia="MS Mincho"/>
                        <w:kern w:val="2"/>
                        <w:sz w:val="22"/>
                        <w:szCs w:val="22"/>
                      </w:rPr>
                      <w:t>Nacionalinė klimato kaitos valdymo politikos strategija;</w:t>
                    </w:r>
                  </w:p>
                  <w:p>
                    <w:pPr>
                      <w:spacing w:line="276" w:lineRule="auto"/>
                      <w:ind w:left="720" w:right="142" w:hanging="360"/>
                      <w:jc w:val="both"/>
                      <w:rPr>
                        <w:rFonts w:eastAsia="MS Mincho"/>
                        <w:kern w:val="2"/>
                        <w:sz w:val="22"/>
                        <w:szCs w:val="22"/>
                      </w:rPr>
                    </w:pPr>
                    <w:r>
                      <w:rPr>
                        <w:rFonts w:ascii="Symbol" w:eastAsia="MS Mincho" w:hAnsi="Symbol"/>
                        <w:kern w:val="2"/>
                        <w:sz w:val="22"/>
                        <w:szCs w:val="22"/>
                      </w:rPr>
                      <w:t></w:t>
                      <w:tab/>
                    </w:r>
                    <w:r>
                      <w:rPr>
                        <w:rFonts w:eastAsia="MS Mincho"/>
                        <w:kern w:val="2"/>
                        <w:sz w:val="22"/>
                        <w:szCs w:val="22"/>
                      </w:rPr>
                      <w:t>Nacionalinė aplinkos apsaugos strategija;</w:t>
                    </w:r>
                  </w:p>
                  <w:p>
                    <w:pPr>
                      <w:spacing w:line="276" w:lineRule="auto"/>
                      <w:ind w:left="720" w:right="142" w:hanging="360"/>
                      <w:jc w:val="both"/>
                      <w:rPr>
                        <w:rFonts w:eastAsia="MS Mincho"/>
                        <w:kern w:val="2"/>
                        <w:sz w:val="22"/>
                        <w:szCs w:val="22"/>
                      </w:rPr>
                    </w:pPr>
                    <w:r>
                      <w:rPr>
                        <w:rFonts w:ascii="Symbol" w:eastAsia="MS Mincho" w:hAnsi="Symbol"/>
                        <w:kern w:val="2"/>
                        <w:sz w:val="22"/>
                        <w:szCs w:val="22"/>
                      </w:rPr>
                      <w:t></w:t>
                      <w:tab/>
                    </w:r>
                    <w:r>
                      <w:rPr>
                        <w:rFonts w:eastAsia="MS Mincho"/>
                        <w:kern w:val="2"/>
                        <w:sz w:val="22"/>
                        <w:szCs w:val="22"/>
                      </w:rPr>
                      <w:t>Nacionalinė energetinės nepriklausomybės strategija;</w:t>
                    </w:r>
                  </w:p>
                  <w:p>
                    <w:pPr>
                      <w:spacing w:line="276" w:lineRule="auto"/>
                      <w:ind w:left="720" w:right="142" w:hanging="360"/>
                      <w:jc w:val="both"/>
                      <w:rPr>
                        <w:rFonts w:eastAsia="MS Mincho"/>
                        <w:kern w:val="2"/>
                        <w:sz w:val="22"/>
                        <w:szCs w:val="22"/>
                      </w:rPr>
                    </w:pPr>
                    <w:r>
                      <w:rPr>
                        <w:rFonts w:ascii="Symbol" w:eastAsia="MS Mincho" w:hAnsi="Symbol"/>
                        <w:kern w:val="2"/>
                        <w:sz w:val="22"/>
                        <w:szCs w:val="22"/>
                      </w:rPr>
                      <w:t></w:t>
                      <w:tab/>
                    </w:r>
                    <w:r>
                      <w:rPr>
                        <w:rFonts w:eastAsia="MS Mincho"/>
                        <w:kern w:val="2"/>
                        <w:sz w:val="22"/>
                        <w:szCs w:val="22"/>
                      </w:rPr>
                      <w:t>Nacionalinis energetikos ir klimato srities veiksmų planas 2021–2030 m.;</w:t>
                    </w:r>
                  </w:p>
                  <w:p>
                    <w:pPr>
                      <w:spacing w:line="276" w:lineRule="auto"/>
                      <w:ind w:left="720" w:right="142" w:hanging="360"/>
                      <w:jc w:val="both"/>
                      <w:rPr>
                        <w:rFonts w:eastAsia="MS Mincho"/>
                        <w:kern w:val="2"/>
                        <w:sz w:val="22"/>
                        <w:szCs w:val="22"/>
                      </w:rPr>
                    </w:pPr>
                    <w:r>
                      <w:rPr>
                        <w:rFonts w:ascii="Symbol" w:eastAsia="MS Mincho" w:hAnsi="Symbol"/>
                        <w:kern w:val="2"/>
                        <w:sz w:val="22"/>
                        <w:szCs w:val="22"/>
                      </w:rPr>
                      <w:t></w:t>
                      <w:tab/>
                    </w:r>
                    <w:r>
                      <w:rPr>
                        <w:rFonts w:eastAsia="MS Mincho"/>
                        <w:kern w:val="2"/>
                        <w:sz w:val="22"/>
                        <w:szCs w:val="22"/>
                      </w:rPr>
                      <w:t>Nacionalinio saugumo strategija;</w:t>
                    </w:r>
                  </w:p>
                  <w:p>
                    <w:pPr>
                      <w:spacing w:line="276" w:lineRule="auto"/>
                      <w:ind w:left="720" w:right="142" w:hanging="360"/>
                      <w:jc w:val="both"/>
                      <w:rPr>
                        <w:rFonts w:eastAsia="MS Mincho"/>
                        <w:kern w:val="2"/>
                        <w:sz w:val="22"/>
                        <w:szCs w:val="22"/>
                      </w:rPr>
                    </w:pPr>
                    <w:r>
                      <w:rPr>
                        <w:rFonts w:ascii="Symbol" w:eastAsia="MS Mincho" w:hAnsi="Symbol"/>
                        <w:kern w:val="2"/>
                        <w:sz w:val="22"/>
                        <w:szCs w:val="22"/>
                      </w:rPr>
                      <w:t></w:t>
                      <w:tab/>
                    </w:r>
                    <w:r>
                      <w:rPr>
                        <w:rFonts w:eastAsia="MS Mincho"/>
                        <w:kern w:val="2"/>
                        <w:sz w:val="22"/>
                        <w:szCs w:val="22"/>
                      </w:rPr>
                      <w:t>Nacionalinis oro taršos mažinimo planas;</w:t>
                    </w:r>
                  </w:p>
                  <w:p>
                    <w:pPr>
                      <w:ind w:left="720" w:hanging="360"/>
                      <w:jc w:val="both"/>
                      <w:rPr>
                        <w:rFonts w:eastAsia="Calibri"/>
                        <w:bCs/>
                        <w:sz w:val="22"/>
                        <w:szCs w:val="22"/>
                      </w:rPr>
                    </w:pPr>
                    <w:r>
                      <w:rPr>
                        <w:rFonts w:ascii="Symbol" w:eastAsia="Calibri" w:hAnsi="Symbol"/>
                        <w:bCs/>
                        <w:sz w:val="22"/>
                        <w:szCs w:val="22"/>
                      </w:rPr>
                      <w:t></w:t>
                      <w:tab/>
                    </w:r>
                    <w:r>
                      <w:rPr>
                        <w:rFonts w:eastAsia="MS Mincho"/>
                        <w:kern w:val="2"/>
                        <w:sz w:val="22"/>
                        <w:szCs w:val="22"/>
                      </w:rPr>
                      <w:t xml:space="preserve">Naujas žiedinės ekonomikos veiksmų planas; </w:t>
                    </w:r>
                  </w:p>
                  <w:p>
                    <w:pPr>
                      <w:ind w:left="720" w:hanging="360"/>
                      <w:jc w:val="both"/>
                      <w:rPr>
                        <w:rFonts w:eastAsia="Calibri"/>
                        <w:bCs/>
                        <w:sz w:val="22"/>
                        <w:szCs w:val="22"/>
                      </w:rPr>
                    </w:pPr>
                    <w:r>
                      <w:rPr>
                        <w:rFonts w:ascii="Symbol" w:eastAsia="Calibri" w:hAnsi="Symbol"/>
                        <w:bCs/>
                        <w:sz w:val="22"/>
                        <w:szCs w:val="22"/>
                      </w:rPr>
                      <w:t></w:t>
                      <w:tab/>
                    </w:r>
                    <w:r>
                      <w:rPr>
                        <w:rFonts w:eastAsia="MS Mincho"/>
                        <w:kern w:val="2"/>
                        <w:sz w:val="22"/>
                        <w:szCs w:val="22"/>
                      </w:rPr>
                      <w:t>Ir kt.</w:t>
                    </w:r>
                  </w:p>
                  <w:p>
                    <w:pPr>
                      <w:ind w:left="720"/>
                      <w:jc w:val="both"/>
                      <w:rPr>
                        <w:rFonts w:eastAsia="Calibri"/>
                        <w:bCs/>
                        <w:sz w:val="22"/>
                        <w:szCs w:val="22"/>
                      </w:rPr>
                    </w:pPr>
                  </w:p>
                </w:tc>
              </w:tr>
            </w:tbl>
            <w:p>
              <w:pPr>
                <w:jc w:val="both"/>
                <w:rPr>
                  <w:i/>
                  <w:color w:val="808080"/>
                  <w:szCs w:val="24"/>
                </w:rPr>
              </w:pPr>
            </w:p>
            <w:p>
              <w:pPr>
                <w:rPr>
                  <w:sz w:val="10"/>
                  <w:szCs w:val="10"/>
                </w:rPr>
              </w:pPr>
            </w:p>
          </w:sdtContent>
        </w:sdt>
        <w:sdt>
          <w:sdtPr>
            <w:alias w:val="skyrius"/>
            <w:tag w:val="part_d40b60b48b404502a023bfaafe5d61c2"/>
            <w:lock w:val="sdtLocked"/>
            <w:richText/>
          </w:sdtPr>
          <w:sdtContent>
            <w:p>
              <w:pPr>
                <w:jc w:val="center"/>
                <w:rPr>
                  <w:b/>
                  <w:color w:val="000000"/>
                  <w:szCs w:val="24"/>
                </w:rPr>
              </w:pPr>
              <w:sdt>
                <w:sdtPr>
                  <w:alias w:val="Numeris"/>
                  <w:tag w:val="nr_d40b60b48b404502a023bfaafe5d61c2"/>
                  <w:lock w:val="sdtLocked"/>
                  <w:richText/>
                </w:sdtPr>
                <w:sdtContent>
                  <w:r>
                    <w:rPr>
                      <w:b/>
                      <w:color w:val="000000"/>
                      <w:szCs w:val="24"/>
                    </w:rPr>
                    <w:t>II</w:t>
                  </w:r>
                </w:sdtContent>
              </w:sdt>
              <w:r>
                <w:rPr>
                  <w:b/>
                  <w:color w:val="000000"/>
                  <w:szCs w:val="24"/>
                </w:rPr>
                <w:t xml:space="preserve"> SKYRIUS</w:t>
              </w:r>
            </w:p>
            <w:p>
              <w:pPr>
                <w:jc w:val="center"/>
                <w:rPr>
                  <w:b/>
                  <w:color w:val="000000"/>
                  <w:szCs w:val="24"/>
                </w:rPr>
              </w:pPr>
              <w:sdt>
                <w:sdtPr>
                  <w:alias w:val="Pavadinimas"/>
                  <w:tag w:val="title_d40b60b48b404502a023bfaafe5d61c2"/>
                  <w:lock w:val="sdtLocked"/>
                  <w:richText/>
                </w:sdtPr>
                <w:sdtContent>
                  <w:r>
                    <w:rPr>
                      <w:b/>
                      <w:color w:val="000000"/>
                      <w:szCs w:val="24"/>
                    </w:rPr>
                    <w:t>SAVIVALDYBĖS ESAMOS SITUACIJOS ANALIZĖ</w:t>
                  </w:r>
                </w:sdtContent>
              </w:sdt>
            </w:p>
            <w:p>
              <w:pPr>
                <w:rPr>
                  <w:sz w:val="10"/>
                  <w:szCs w:val="10"/>
                </w:rPr>
              </w:pPr>
            </w:p>
            <w:p>
              <w:pPr>
                <w:ind w:firstLine="709"/>
                <w:jc w:val="both"/>
                <w:rPr>
                  <w:i/>
                  <w:color w:val="808080"/>
                  <w:szCs w:val="24"/>
                </w:rPr>
              </w:pPr>
            </w:p>
            <w:tbl>
              <w:tblPr>
                <w:tblW w:w="9640"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640"/>
              </w:tblGrid>
              <w:tr>
                <w:trPr>
                  <w:trHeight w:val="573"/>
                </w:trPr>
                <w:tc>
                  <w:tcPr>
                    <w:tcW w:w="9640" w:type="dxa"/>
                    <w:tcBorders>
                      <w:top w:val="single" w:sz="4" w:space="0" w:color="auto"/>
                      <w:left w:val="single" w:sz="4" w:space="0" w:color="auto"/>
                      <w:bottom w:val="single" w:sz="4" w:space="0" w:color="auto"/>
                      <w:right w:val="single" w:sz="4" w:space="0" w:color="auto"/>
                    </w:tcBorders>
                    <w:hideMark/>
                  </w:tcPr>
                  <w:p>
                    <w:pPr>
                      <w:jc w:val="both"/>
                      <w:rPr>
                        <w:rFonts w:eastAsia="Calibri"/>
                        <w:b/>
                        <w:sz w:val="22"/>
                        <w:szCs w:val="24"/>
                      </w:rPr>
                    </w:pPr>
                    <w:r>
                      <w:rPr>
                        <w:rFonts w:eastAsia="Calibri"/>
                        <w:b/>
                        <w:sz w:val="22"/>
                        <w:szCs w:val="24"/>
                      </w:rPr>
                      <w:t>Savivaldybės problemų ir jų priežasčių nustatymas</w:t>
                    </w:r>
                  </w:p>
                  <w:p>
                    <w:pPr>
                      <w:rPr>
                        <w:sz w:val="10"/>
                        <w:szCs w:val="10"/>
                      </w:rPr>
                    </w:pPr>
                  </w:p>
                  <w:p>
                    <w:pPr>
                      <w:jc w:val="both"/>
                      <w:rPr>
                        <w:rFonts w:eastAsia="Calibri"/>
                        <w:bCs/>
                        <w:sz w:val="22"/>
                        <w:szCs w:val="24"/>
                      </w:rPr>
                    </w:pPr>
                    <w:r>
                      <w:rPr>
                        <w:rFonts w:eastAsia="Calibri"/>
                        <w:bCs/>
                        <w:sz w:val="22"/>
                        <w:szCs w:val="24"/>
                      </w:rPr>
                      <w:t>Šiame skyriuje pateikiamos identifikuotos svarbiausios Šiaulių miesto problemos (ne prioriteto tvarka), galimos jų priežastys, kurias tikslinga spręsti atitinkamais veiksmais ir priemonėmis:</w:t>
                    </w:r>
                  </w:p>
                  <w:p>
                    <w:pPr>
                      <w:rPr>
                        <w:sz w:val="10"/>
                        <w:szCs w:val="10"/>
                      </w:rPr>
                    </w:pPr>
                  </w:p>
                  <w:p>
                    <w:pPr>
                      <w:ind w:left="714" w:hanging="357"/>
                      <w:jc w:val="both"/>
                      <w:rPr>
                        <w:rFonts w:eastAsia="Calibri"/>
                        <w:b/>
                        <w:sz w:val="22"/>
                        <w:szCs w:val="24"/>
                      </w:rPr>
                    </w:pPr>
                    <w:r>
                      <w:rPr>
                        <w:rFonts w:eastAsia="Calibri"/>
                        <w:b/>
                        <w:sz w:val="22"/>
                        <w:szCs w:val="24"/>
                      </w:rPr>
                      <w:t>1.</w:t>
                      <w:tab/>
                      <w:t>Augantis senyvo amžiaus asmenų skaičius</w:t>
                    </w:r>
                  </w:p>
                  <w:p>
                    <w:pPr>
                      <w:rPr>
                        <w:sz w:val="10"/>
                        <w:szCs w:val="10"/>
                      </w:rPr>
                    </w:pPr>
                  </w:p>
                  <w:p>
                    <w:pPr>
                      <w:ind w:left="317"/>
                      <w:jc w:val="both"/>
                      <w:rPr>
                        <w:rFonts w:eastAsia="Calibri"/>
                        <w:bCs/>
                        <w:sz w:val="22"/>
                        <w:szCs w:val="24"/>
                      </w:rPr>
                    </w:pPr>
                    <w:r>
                      <w:rPr>
                        <w:rFonts w:eastAsia="Calibri"/>
                        <w:bCs/>
                        <w:sz w:val="22"/>
                        <w:szCs w:val="24"/>
                      </w:rPr>
                      <w:t>Daugėja vyresnio amžiaus šiauliečių, t. y. demografinis senatvės koeficientas (pagyvenusių (65+ m. amžiaus) žmonių skaičius, tenkantis 100-ui vaikų iki 15 m. amžiaus) padidėjo 10,2 proc., skirtingai nuo Vilniaus ir Kauno, kur šis koeficientas mažėjo. Tai lemia ilgėjanti vidutinė gyvenimo trukmė (nuo 74 m. (2015 m.) iki 77–78 m. (2016–2021 m.)), mažėjantis gimstamumas (nuo 1186 (2015 m.) iki 823 (2022 m.)), neigiama natūrali gyventojų kaita (530 asm. (2022 m.)), besitraukianti vaikų ir jaunimo dalis nuo visų Šiaulių miesto gyventojų (nuo 33,6 proc. (2015 m.) iki 27,7 proc. (2024 m.)) ir bendra senstančios visuomenės tendencija, nepakankama jaunų žmonių imigracija. Dėl mažėjančio gimstamumo ir besitraukiančios vaikų ir jaunimo dalies tarp miesto gyventojų kyla rizika, kad dar labiau ims trūkti kvalifikuotos darbo jėgos, vis daugiau reikės socialines paslaugas teikiančių darbuotojų, norint užtikrinti socialinių paslaugų prieinamumą ir jų suteikimą laiku, nes 2015–2022 m. sparčiai augo nestacionarių paslaugų gavėjų (956 proc.), socialinių paslaugų gavėjų skaičius namuose (40,2 proc.).</w:t>
                    </w:r>
                  </w:p>
                  <w:p>
                    <w:pPr>
                      <w:rPr>
                        <w:sz w:val="10"/>
                        <w:szCs w:val="10"/>
                      </w:rPr>
                    </w:pPr>
                  </w:p>
                  <w:p>
                    <w:pPr>
                      <w:ind w:left="720" w:hanging="360"/>
                      <w:jc w:val="both"/>
                      <w:rPr>
                        <w:rFonts w:eastAsia="Calibri"/>
                        <w:b/>
                        <w:sz w:val="22"/>
                        <w:szCs w:val="24"/>
                      </w:rPr>
                    </w:pPr>
                    <w:r>
                      <w:rPr>
                        <w:rFonts w:eastAsia="Calibri"/>
                        <w:b/>
                        <w:sz w:val="22"/>
                        <w:szCs w:val="24"/>
                      </w:rPr>
                      <w:t>2.</w:t>
                      <w:tab/>
                      <w:t>Kvalifikuotos darbo jėgos trūkumas</w:t>
                    </w:r>
                  </w:p>
                  <w:p>
                    <w:pPr>
                      <w:rPr>
                        <w:sz w:val="10"/>
                        <w:szCs w:val="10"/>
                      </w:rPr>
                    </w:pPr>
                  </w:p>
                  <w:p>
                    <w:pPr>
                      <w:ind w:left="360"/>
                      <w:jc w:val="both"/>
                      <w:rPr>
                        <w:rFonts w:eastAsia="Calibri"/>
                        <w:bCs/>
                        <w:sz w:val="22"/>
                        <w:szCs w:val="24"/>
                      </w:rPr>
                    </w:pPr>
                    <w:r>
                      <w:rPr>
                        <w:rFonts w:eastAsia="Calibri"/>
                        <w:bCs/>
                        <w:sz w:val="22"/>
                        <w:szCs w:val="24"/>
                      </w:rPr>
                      <w:t>Anot verslo atstovų, Šiauliuose labiausiai trūksta inžinerinės pakraipos aukštos kvalifikacijos specialistų, kurių Šiaulių valstybinė kolegija, Vilniaus universiteto Šiaulių akademija, Šiaulių technologijų mokymo centras parengia nepakankamai, dalies jų neruošia visai arba profesinis perorientavimas, prisitaikymas prie darbo rinkos sąlygų vyksta per lėtai, o pritraukti atitinkamos inžinerinės kvalifikacijos darbuotojų iš didžiųjų miestų yra sunku.</w:t>
                    </w:r>
                  </w:p>
                  <w:p>
                    <w:pPr>
                      <w:rPr>
                        <w:sz w:val="10"/>
                        <w:szCs w:val="10"/>
                      </w:rPr>
                    </w:pPr>
                  </w:p>
                  <w:p>
                    <w:pPr>
                      <w:ind w:left="720" w:hanging="360"/>
                      <w:jc w:val="both"/>
                      <w:rPr>
                        <w:rFonts w:eastAsia="Calibri"/>
                        <w:b/>
                        <w:sz w:val="22"/>
                        <w:szCs w:val="24"/>
                      </w:rPr>
                    </w:pPr>
                    <w:r>
                      <w:rPr>
                        <w:rFonts w:eastAsia="Calibri"/>
                        <w:b/>
                        <w:sz w:val="22"/>
                        <w:szCs w:val="24"/>
                      </w:rPr>
                      <w:t>3.</w:t>
                      <w:tab/>
                      <w:t>Nepakankamos sąlygos pritraukti stambų verslą / investuotojus</w:t>
                    </w:r>
                  </w:p>
                  <w:p>
                    <w:pPr>
                      <w:rPr>
                        <w:sz w:val="10"/>
                        <w:szCs w:val="10"/>
                      </w:rPr>
                    </w:pPr>
                  </w:p>
                  <w:p>
                    <w:pPr>
                      <w:ind w:left="360"/>
                      <w:jc w:val="both"/>
                      <w:rPr>
                        <w:rFonts w:eastAsia="Calibri"/>
                        <w:bCs/>
                        <w:sz w:val="22"/>
                        <w:szCs w:val="24"/>
                      </w:rPr>
                    </w:pPr>
                    <w:r>
                      <w:rPr>
                        <w:rFonts w:eastAsia="Calibri"/>
                        <w:bCs/>
                        <w:sz w:val="22"/>
                        <w:szCs w:val="24"/>
                      </w:rPr>
                      <w:t>Tiek TUI, tiek MI Šiaulių mieste gerokai atsilieka nuo Lietuvos vidurkio (atitinkamai 69,4 ir 30,7 proc.). Stambaus verslo atėjimui svarbi šiuo metu dar trūkstamos, ne visai paruoštos infrastruktūros veikti aplinka, t. y. susisiekimas įvairiomis transporto rūšimis, krovinių automobilių stovėjimo aikštelės ir pan. Stambesniems investuotojams skirtose LEZ, ŠPP teritorijose formuojasi labai didelė dalis miesto, kaip patrauklios vietos gyventi, aspektų, vienas svarbiausių – didesnis darbo užmokestis, aukštos kvalifikacijos specialistų atvykimas į miestą. Esant nepakankamam stambaus verslo susidomėjimui Šiaulių miesto investicine aplinka, kritiškai svarbus tampa smulkaus ir vidutinio verslo skatinimas.</w:t>
                    </w:r>
                  </w:p>
                  <w:p>
                    <w:pPr>
                      <w:rPr>
                        <w:sz w:val="10"/>
                        <w:szCs w:val="10"/>
                      </w:rPr>
                    </w:pPr>
                  </w:p>
                  <w:p>
                    <w:pPr>
                      <w:ind w:left="720" w:hanging="360"/>
                      <w:jc w:val="both"/>
                      <w:rPr>
                        <w:rFonts w:eastAsia="Calibri"/>
                        <w:b/>
                        <w:sz w:val="22"/>
                        <w:szCs w:val="24"/>
                      </w:rPr>
                    </w:pPr>
                    <w:r>
                      <w:rPr>
                        <w:rFonts w:eastAsia="Calibri"/>
                        <w:b/>
                        <w:sz w:val="22"/>
                        <w:szCs w:val="24"/>
                      </w:rPr>
                      <w:t>4.</w:t>
                      <w:tab/>
                      <w:t>Sveikatos specialistų trūkumas</w:t>
                    </w:r>
                  </w:p>
                  <w:p>
                    <w:pPr>
                      <w:rPr>
                        <w:sz w:val="10"/>
                        <w:szCs w:val="10"/>
                      </w:rPr>
                    </w:pPr>
                  </w:p>
                  <w:p>
                    <w:pPr>
                      <w:ind w:left="360"/>
                      <w:jc w:val="both"/>
                      <w:rPr>
                        <w:rFonts w:eastAsia="Calibri"/>
                        <w:bCs/>
                        <w:sz w:val="22"/>
                        <w:szCs w:val="24"/>
                      </w:rPr>
                    </w:pPr>
                    <w:r>
                      <w:rPr>
                        <w:rFonts w:eastAsia="Calibri"/>
                        <w:bCs/>
                        <w:sz w:val="22"/>
                        <w:szCs w:val="24"/>
                      </w:rPr>
                      <w:t>Aplinkybė, sukurianti ilgas laukimo pas gydytojus eiles (gyventojų nuomone, tai vienas prasčiausiai vertinamų aspektų visų gaunamų paslaugų pakete), kuri yra nulemta sveikatos specialistų stygiumi mieste, nekonkurencingu medicinos darbuotojų atlyginimu, didele didžiųjų miestų ir gydymo įstaigų konkurencija šioje srityje. Taip pat keliama prielaida, kad gydytojų pritraukimą apsunkina ir nepalankus kai kurių Šiauliuose veikiančių sveikatos priežiūros įstaigų įvaizdis. Didžiausias sveikatos specialistų trūkumas fiksuojamas psichikos sveikatos stiprinimo srityje.</w:t>
                    </w:r>
                  </w:p>
                  <w:p>
                    <w:pPr>
                      <w:rPr>
                        <w:sz w:val="10"/>
                        <w:szCs w:val="10"/>
                      </w:rPr>
                    </w:pPr>
                  </w:p>
                  <w:p>
                    <w:pPr>
                      <w:ind w:left="720" w:hanging="360"/>
                      <w:jc w:val="both"/>
                      <w:rPr>
                        <w:rFonts w:eastAsia="Calibri"/>
                        <w:b/>
                        <w:sz w:val="22"/>
                        <w:szCs w:val="24"/>
                      </w:rPr>
                    </w:pPr>
                    <w:r>
                      <w:rPr>
                        <w:rFonts w:eastAsia="Calibri"/>
                        <w:b/>
                        <w:sz w:val="22"/>
                        <w:szCs w:val="24"/>
                      </w:rPr>
                      <w:t>5.</w:t>
                      <w:tab/>
                      <w:t>Mažėjantis mokytojų skaičius ir didėjantis mokytojų ir sporto specialistų amžius</w:t>
                    </w:r>
                  </w:p>
                  <w:p>
                    <w:pPr>
                      <w:rPr>
                        <w:sz w:val="10"/>
                        <w:szCs w:val="10"/>
                      </w:rPr>
                    </w:pPr>
                  </w:p>
                  <w:p>
                    <w:pPr>
                      <w:ind w:left="360"/>
                      <w:jc w:val="both"/>
                      <w:rPr>
                        <w:rFonts w:eastAsia="Calibri"/>
                        <w:bCs/>
                        <w:sz w:val="22"/>
                        <w:szCs w:val="24"/>
                      </w:rPr>
                    </w:pPr>
                    <w:r>
                      <w:rPr>
                        <w:rFonts w:eastAsia="Calibri"/>
                        <w:bCs/>
                        <w:sz w:val="22"/>
                        <w:szCs w:val="24"/>
                      </w:rPr>
                      <w:t>Jaunesnių nei 50 metų, taip pat 50 metų ir vyresnio amžiaus mokytojų skaičiaus santykis mažėjo per visus 2015–2023 m., o paskutiniaisiais metais pasiekė žemiausią 0,62 ribą (t. y. 50 metų ir vyresnio amžiaus mokytojų dalis išaugo). Pedagoginių darbuotojų švietimo įstaigose mažėjimą lemia bendros Lietuvos tendencijos (prestižo neturinti, nepatraukli specialybė), nekonkurencingi mokytojų ir sporto specialistų (ypač jaunų) atlyginimai.</w:t>
                    </w:r>
                  </w:p>
                  <w:p>
                    <w:pPr>
                      <w:rPr>
                        <w:sz w:val="10"/>
                        <w:szCs w:val="10"/>
                      </w:rPr>
                    </w:pPr>
                  </w:p>
                  <w:p>
                    <w:pPr>
                      <w:ind w:left="720" w:hanging="360"/>
                      <w:jc w:val="both"/>
                      <w:rPr>
                        <w:rFonts w:eastAsia="Calibri"/>
                        <w:b/>
                        <w:sz w:val="22"/>
                        <w:szCs w:val="24"/>
                      </w:rPr>
                    </w:pPr>
                    <w:r>
                      <w:rPr>
                        <w:rFonts w:eastAsia="Calibri"/>
                        <w:b/>
                        <w:sz w:val="22"/>
                        <w:szCs w:val="24"/>
                      </w:rPr>
                      <w:t>6.</w:t>
                      <w:tab/>
                      <w:t>Nepakankamas studentų skaičius Šiaulių valstybinėje kolegijoje ir Vilniaus universiteto Šiaulių akademijoje</w:t>
                    </w:r>
                  </w:p>
                  <w:p>
                    <w:pPr>
                      <w:rPr>
                        <w:sz w:val="10"/>
                        <w:szCs w:val="10"/>
                      </w:rPr>
                    </w:pPr>
                  </w:p>
                  <w:p>
                    <w:pPr>
                      <w:ind w:left="360"/>
                      <w:jc w:val="both"/>
                      <w:rPr>
                        <w:rFonts w:eastAsia="Calibri"/>
                        <w:bCs/>
                        <w:sz w:val="22"/>
                        <w:szCs w:val="24"/>
                      </w:rPr>
                    </w:pPr>
                    <w:r>
                      <w:rPr>
                        <w:rFonts w:eastAsia="Calibri"/>
                        <w:bCs/>
                        <w:sz w:val="22"/>
                        <w:szCs w:val="24"/>
                      </w:rPr>
                      <w:t>Prie šios problemos pirmiausia prisideda demografinės tendencijos: vaikų ir jaunimo dalis nuo visų miesto gyventojų 2015 m. siekė 33,6 proc., o 2024 m. – jau tik 27,7 proc. (emigracija, studijų užsienyje alternatyvos, didmiesčių trauka ir pan.). Kitos problemos priežastys gali slypėti daugelyje švietimo sistemos dedamųjų: suprastėję brandos egzaminų rezultatai, švietimo kokybė – įvairovė, modernizacijos lygis, mokytojų / dėstytojų kvalifikacija, programų patrauklumas. Visi minimi veiksniai prisideda ir trukdo pritraukti pakankamai studentų iš kitų vietovių. Visgi svarbu paminėti, kad 2022–2023 m. Vilniaus universiteto Šiaulių akademijoje studentų skaičius išaugo 46 proc. (nuo 1059 iki 1550 studentų), o Šiaulių valstybinėje kolegijoje pradėjo augti nuo 2021 m. (nuo 1304 studentų iki 1631 studentų (25 proc. augimas)), tačiau bendra studentų ir besimokančiųjų profesiniu lygiu mokinių dalis mieste vis tiek išlieka gerokai mažesnė nei 2015 m. (7,8 proc. – 2015 m., 5,3 proc. – 2023 m.). Studentų skaičiaus augimas siejamas su bendru aukštųjų mokyklų, profesinio mokymo įstaigų ir savivaldybės pastangų pritraukti daugiau jaunimo projektu „Šiauliai – karjeros miestas“.</w:t>
                    </w:r>
                  </w:p>
                  <w:p>
                    <w:pPr>
                      <w:rPr>
                        <w:sz w:val="10"/>
                        <w:szCs w:val="10"/>
                      </w:rPr>
                    </w:pPr>
                  </w:p>
                  <w:p>
                    <w:pPr>
                      <w:ind w:left="720" w:hanging="360"/>
                      <w:jc w:val="both"/>
                      <w:rPr>
                        <w:rFonts w:eastAsia="Calibri"/>
                        <w:b/>
                        <w:sz w:val="22"/>
                        <w:szCs w:val="24"/>
                      </w:rPr>
                    </w:pPr>
                    <w:r>
                      <w:rPr>
                        <w:rFonts w:eastAsia="Calibri"/>
                        <w:b/>
                        <w:sz w:val="22"/>
                        <w:szCs w:val="24"/>
                      </w:rPr>
                      <w:t>7.</w:t>
                      <w:tab/>
                      <w:t>Sumažėjusios turizmo apimtys</w:t>
                    </w:r>
                  </w:p>
                  <w:p>
                    <w:pPr>
                      <w:rPr>
                        <w:sz w:val="10"/>
                        <w:szCs w:val="10"/>
                      </w:rPr>
                    </w:pPr>
                  </w:p>
                  <w:p>
                    <w:pPr>
                      <w:ind w:left="360"/>
                      <w:jc w:val="both"/>
                      <w:rPr>
                        <w:rFonts w:eastAsia="Calibri"/>
                        <w:bCs/>
                        <w:sz w:val="22"/>
                        <w:szCs w:val="24"/>
                      </w:rPr>
                    </w:pPr>
                    <w:r>
                      <w:rPr>
                        <w:rFonts w:eastAsia="Calibri"/>
                        <w:bCs/>
                        <w:sz w:val="22"/>
                        <w:szCs w:val="24"/>
                      </w:rPr>
                      <w:t>Turizmo sektorius pateko tarp labiausiai nukentėjusiųjų nuo COVID-19. Turistų skaičius 2023 m. nukrito 30 proc., palyginti su 2015 m., tačiau apgyvendinimo įstaigų užimtumas nepatyrė smarkaus kritimo, nes Šiauliuose daugiau nei 50 proc. apgyvendinimo užimtumo numerių ir vietų sudaro NATO misijos kariai ir darbuotojai iš trečiųjų šalių. Pandemija pakeitė keliautojų įpročius (daugiau keliaujama pavieniui, mažomis grupelėmis), populiaresnis tapo kaimo turizmas, buvimas arčiau gamtos. Nuo vartotojiškumo turistai persiorientuoja į aplinką tausojančius sprendimus, todėl norint atsižvelgti į turistų poreikius, būtina investuoti į tvarumą ir ekologiją. Turizmo sektoriaus atstovams reikia galvoti apie tolimesnes ateities perspektyvas, t. y. atrasti skirtingas turizmo rūšis, identifikuoti socialinių pokyčių sąveikas ir integruoti technologines inovacijas turizmo sektoriuje. Prie vienos dienos turizmo mažinimo Šiaulių mieste prisidėtų apgyvendinimo vietų didelėms turistų grupėms ir nakvynės masinių renginių metu problemos sprendimas.</w:t>
                    </w:r>
                  </w:p>
                  <w:p>
                    <w:pPr>
                      <w:rPr>
                        <w:sz w:val="10"/>
                        <w:szCs w:val="10"/>
                      </w:rPr>
                    </w:pPr>
                  </w:p>
                  <w:p>
                    <w:pPr>
                      <w:ind w:left="720" w:hanging="360"/>
                      <w:jc w:val="both"/>
                      <w:rPr>
                        <w:rFonts w:eastAsia="Calibri"/>
                        <w:b/>
                        <w:sz w:val="22"/>
                        <w:szCs w:val="24"/>
                      </w:rPr>
                    </w:pPr>
                    <w:r>
                      <w:rPr>
                        <w:rFonts w:eastAsia="Calibri"/>
                        <w:b/>
                        <w:sz w:val="22"/>
                        <w:szCs w:val="24"/>
                      </w:rPr>
                      <w:t>8.</w:t>
                      <w:tab/>
                      <w:t>Laisvalaikio veiklų trūkumas</w:t>
                    </w:r>
                  </w:p>
                  <w:p>
                    <w:pPr>
                      <w:rPr>
                        <w:sz w:val="10"/>
                        <w:szCs w:val="10"/>
                      </w:rPr>
                    </w:pPr>
                  </w:p>
                  <w:p>
                    <w:pPr>
                      <w:ind w:left="360"/>
                      <w:jc w:val="both"/>
                      <w:rPr>
                        <w:rFonts w:eastAsia="Calibri"/>
                        <w:bCs/>
                        <w:sz w:val="22"/>
                        <w:szCs w:val="24"/>
                      </w:rPr>
                    </w:pPr>
                    <w:r>
                      <w:rPr>
                        <w:rFonts w:eastAsia="Calibri"/>
                        <w:bCs/>
                        <w:sz w:val="22"/>
                        <w:szCs w:val="24"/>
                      </w:rPr>
                      <w:t>Vienas pagrindinių neigiamų miesto aspektų, kurį įvardijo gyventojai – trūksta inovatyvių kultūros paslaugų ir produktų, t. y. renginių, pramogų laisvalaikio metu. Nors 2015–2022 m. kultūros centruose lankytojų skaičius išaugo (74,1 proc.), kritęs kolektyvų (37,5 proc.) ir kolektyvų dalyvių (26,7 proc.) skaičius rodo pasyvų gyventojų įsitraukimą į kultūrinį gyvenimą. Tą signalizuoja mažėjantis bibliotekų lankytojų (19,5 proc.) ir registruotų vartotojų skaičius (45,5 proc.). Daugeliui su kultūros ir turizmo sritimi susijusių veiklų, renginių ir mažėjančiam dalyvių skaičiui įtakos turėjo COVID-19 pandemijos nulemti apribojimai ir po jų pasikeitę vartotojų įpročiai, kultūros renginių įvairovės trūkumas, lankstus kultūros įstaigų darbo grafikas, t. y. savaitgaliais ar švenčių dienomis. Siekiant mažinti „akropolio kultūros“ laisvalaikį, miestiečiams būtina pasiūlyti naujų pramogų ne tik šiltuoju, bet ir šaltuoju sezono metu. Didelį dėmesį skirti siekiant į miestą pritraukti vandens pramogų kompleksą, kuris visais metų laikais didintų miesto svečių ir gyventojų užimtumą.</w:t>
                    </w:r>
                  </w:p>
                  <w:p>
                    <w:pPr>
                      <w:rPr>
                        <w:sz w:val="10"/>
                        <w:szCs w:val="10"/>
                      </w:rPr>
                    </w:pPr>
                  </w:p>
                  <w:p>
                    <w:pPr>
                      <w:ind w:left="720" w:hanging="360"/>
                      <w:jc w:val="both"/>
                      <w:rPr>
                        <w:rFonts w:eastAsia="Calibri"/>
                        <w:b/>
                        <w:sz w:val="22"/>
                        <w:szCs w:val="24"/>
                      </w:rPr>
                    </w:pPr>
                    <w:r>
                      <w:rPr>
                        <w:rFonts w:eastAsia="Calibri"/>
                        <w:b/>
                        <w:sz w:val="22"/>
                        <w:szCs w:val="24"/>
                      </w:rPr>
                      <w:t>9.</w:t>
                      <w:tab/>
                      <w:t>Augantis komunalinių atliekų kiekis</w:t>
                    </w:r>
                  </w:p>
                  <w:p>
                    <w:pPr>
                      <w:rPr>
                        <w:sz w:val="10"/>
                        <w:szCs w:val="10"/>
                      </w:rPr>
                    </w:pPr>
                  </w:p>
                  <w:p>
                    <w:pPr>
                      <w:ind w:left="360"/>
                      <w:jc w:val="both"/>
                      <w:rPr>
                        <w:rFonts w:eastAsia="Calibri"/>
                        <w:bCs/>
                        <w:sz w:val="22"/>
                        <w:szCs w:val="24"/>
                      </w:rPr>
                    </w:pPr>
                    <w:r>
                      <w:rPr>
                        <w:rFonts w:eastAsia="Calibri"/>
                        <w:bCs/>
                        <w:sz w:val="22"/>
                        <w:szCs w:val="24"/>
                      </w:rPr>
                      <w:t>Nepaisant vykdomų visuomenės švietimo ir informavimo priemonių apie atsakingo vartojimo būdus, komunalinių atliekų rūšiavimą, maisto švaistymą, vartojimo įpročių pokyčius, komunalinių atliekų kiekis vienam gyventojui savivaldybėje kiekvienais metais auga (4,9 proc. 2015–2021 m.). Egzistuoja nepakankama tvarka, švara ir jos kontrolės priemonės prie daugiabučių namų atliekų konteinerių. Nors Šiaulių mieste pakankamai išplėtota pakuočių atliekų surinkimo sistema, labiausiai stringa tekstilės atliekų surinkimo sistema, t. y. nemaža dalis tekstilės atliekų patenka į mišrias komunalines atliekas. Didžioji dalis buityje susidarančių pavojingų atliekų šiuo metu nėra surenkamos atskirai ir patenka į mišrias komunalines atliekas.</w:t>
                    </w:r>
                  </w:p>
                  <w:p>
                    <w:pPr>
                      <w:rPr>
                        <w:sz w:val="10"/>
                        <w:szCs w:val="10"/>
                      </w:rPr>
                    </w:pPr>
                  </w:p>
                  <w:p>
                    <w:pPr>
                      <w:ind w:left="720" w:hanging="360"/>
                      <w:jc w:val="both"/>
                      <w:rPr>
                        <w:rFonts w:eastAsia="Calibri"/>
                        <w:b/>
                        <w:sz w:val="22"/>
                        <w:szCs w:val="24"/>
                      </w:rPr>
                    </w:pPr>
                    <w:r>
                      <w:rPr>
                        <w:rFonts w:eastAsia="Calibri"/>
                        <w:b/>
                        <w:sz w:val="22"/>
                        <w:szCs w:val="24"/>
                      </w:rPr>
                      <w:t>10.</w:t>
                      <w:tab/>
                      <w:t>Atsinaujinančių energijos išteklių naudojimo skatinimo ir energijos vartojimo efektyvumo didinimo trūkumas</w:t>
                    </w:r>
                  </w:p>
                  <w:p>
                    <w:pPr>
                      <w:rPr>
                        <w:sz w:val="10"/>
                        <w:szCs w:val="10"/>
                      </w:rPr>
                    </w:pPr>
                  </w:p>
                  <w:p>
                    <w:pPr>
                      <w:ind w:left="360"/>
                      <w:jc w:val="both"/>
                      <w:rPr>
                        <w:rFonts w:eastAsia="Calibri"/>
                        <w:bCs/>
                        <w:sz w:val="22"/>
                        <w:szCs w:val="24"/>
                      </w:rPr>
                    </w:pPr>
                    <w:r>
                      <w:rPr>
                        <w:rFonts w:eastAsia="Calibri"/>
                        <w:bCs/>
                        <w:sz w:val="22"/>
                        <w:szCs w:val="24"/>
                      </w:rPr>
                      <w:t>Atsinaujinančių energijos išteklių naudojimo skatinimo ir energijos vartojimo efektyvumo didinimo srityse Šiaulių miestas tarp Lietuvos savivaldybių užima 52 vietą iš 60 savivaldybių pagal Savivaldybės darnios energetikos plėtros indeksą. Prasčiausiai vertinami rodikliai buvo AIE naudojimo veiksmų plano projekto / plano nebuvimas (dabar 0 balų iš 8), renovuotų daugiabučių dalis (1 balas iš 20), elektromobilių įkrovimo stotelių skaičius 1000 gyventojų (1 balas iš 6), elektromobilių skaičius 1000 gyventojų (1,5 balo iš 5), paprastųjų gaminančių vartotojų įrenginių galia 1000 gyventojų (2 balai iš 9).</w:t>
                    </w:r>
                  </w:p>
                  <w:p>
                    <w:pPr>
                      <w:rPr>
                        <w:sz w:val="10"/>
                        <w:szCs w:val="10"/>
                      </w:rPr>
                    </w:pPr>
                  </w:p>
                  <w:p>
                    <w:pPr>
                      <w:ind w:left="720" w:hanging="360"/>
                      <w:jc w:val="both"/>
                      <w:rPr>
                        <w:rFonts w:eastAsia="Calibri"/>
                        <w:b/>
                        <w:sz w:val="22"/>
                        <w:szCs w:val="24"/>
                      </w:rPr>
                    </w:pPr>
                    <w:r>
                      <w:rPr>
                        <w:rFonts w:eastAsia="Calibri"/>
                        <w:b/>
                        <w:sz w:val="22"/>
                        <w:szCs w:val="24"/>
                      </w:rPr>
                      <w:t>11.</w:t>
                      <w:tab/>
                      <w:t xml:space="preserve">Miesto teritorijos neplanuojamos kompleksiškai ir tolygiai </w:t>
                    </w:r>
                  </w:p>
                  <w:p>
                    <w:pPr>
                      <w:rPr>
                        <w:sz w:val="10"/>
                        <w:szCs w:val="10"/>
                      </w:rPr>
                    </w:pPr>
                  </w:p>
                  <w:p>
                    <w:pPr>
                      <w:ind w:left="357"/>
                      <w:jc w:val="both"/>
                      <w:rPr>
                        <w:rFonts w:eastAsia="Calibri"/>
                        <w:bCs/>
                        <w:sz w:val="22"/>
                        <w:szCs w:val="24"/>
                      </w:rPr>
                    </w:pPr>
                    <w:r>
                      <w:rPr>
                        <w:rFonts w:eastAsia="Calibri"/>
                        <w:bCs/>
                        <w:sz w:val="22"/>
                        <w:szCs w:val="24"/>
                      </w:rPr>
                      <w:t>Patrauklumas mažėja tankiai apgyvendintuose rajonuose, kur atnaujinta tik 5 proc. daugiabučių. Priemiestinių rajonų patrauklumas didėja, kur išduota didžioji dalis naujos statybos leidimų (2015–2022 m. daugiau kaip 54 proc.). Dėl to kyla poreikis naujai infrastruktūrai netankiuose rajonuose, o esama infrastruktūra tampa mažiau apkrauta. Šią problemą gilina ir šiuolaikiškų planavimo metodikų trūkumas. Stinga priemonių miesto plėtojimo skatinimui centrinėse, gerai aprūpintose teritorijose. Trūksta nuoseklumo ir resursų modernizuojant ar tiesiant naują inžinerinę infrastruktūrą, ji plėtojama fragmentiškai ir be didelio proveržio.</w:t>
                    </w:r>
                  </w:p>
                  <w:p>
                    <w:pPr>
                      <w:rPr>
                        <w:sz w:val="10"/>
                        <w:szCs w:val="10"/>
                      </w:rPr>
                    </w:pPr>
                  </w:p>
                  <w:p>
                    <w:pPr>
                      <w:ind w:left="357"/>
                      <w:jc w:val="both"/>
                      <w:rPr>
                        <w:rFonts w:eastAsia="Calibri"/>
                        <w:b/>
                        <w:sz w:val="22"/>
                        <w:szCs w:val="24"/>
                      </w:rPr>
                    </w:pPr>
                    <w:r>
                      <w:rPr>
                        <w:rFonts w:eastAsia="Calibri"/>
                        <w:b/>
                        <w:sz w:val="22"/>
                        <w:szCs w:val="24"/>
                      </w:rPr>
                      <w:t>12. Netolygiai išvystyta miesto infrastruktūra</w:t>
                    </w:r>
                  </w:p>
                  <w:p>
                    <w:pPr>
                      <w:rPr>
                        <w:sz w:val="10"/>
                        <w:szCs w:val="10"/>
                      </w:rPr>
                    </w:pPr>
                  </w:p>
                  <w:p>
                    <w:pPr>
                      <w:ind w:left="357"/>
                      <w:jc w:val="both"/>
                      <w:rPr>
                        <w:rFonts w:eastAsia="Calibri"/>
                        <w:bCs/>
                        <w:sz w:val="22"/>
                        <w:szCs w:val="24"/>
                      </w:rPr>
                    </w:pPr>
                    <w:r>
                      <w:rPr>
                        <w:rFonts w:eastAsia="Calibri"/>
                        <w:bCs/>
                        <w:sz w:val="22"/>
                        <w:szCs w:val="24"/>
                      </w:rPr>
                      <w:t>Miesto gatvės, viešasis transportas, dviračių bei pėsčiųjų takai stokoja kokybės, nuoseklumo ir tvarumo, t. y. nepakankama gatvių kokybė (30 proc. gatvių nėra asfaltuotos), mažai tvarus viešasis transportas (autobusų parkas neturi tvariu kuru varomų autobusų), netolygus ir fragmentiškas dviračių takų tinklas (remiantis ankstesniais duomenimis, tik 0,5 proc. gyventojų rytinio piko metu keliauja dviračiu), nenuoseklus ir ne visur saugus pėsčiųjų judėjimas neskatina miestiečius judėti tvariai, kokybiškai ir greitai.</w:t>
                    </w:r>
                  </w:p>
                </w:tc>
              </w:tr>
              <w:tr>
                <w:trPr>
                  <w:trHeight w:val="573"/>
                </w:trPr>
                <w:tc>
                  <w:tcPr>
                    <w:tcW w:w="9640"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both"/>
                      <w:rPr>
                        <w:rFonts w:eastAsia="Calibri"/>
                        <w:b/>
                        <w:sz w:val="22"/>
                        <w:szCs w:val="24"/>
                      </w:rPr>
                    </w:pPr>
                    <w:r>
                      <w:rPr>
                        <w:rFonts w:eastAsia="Calibri"/>
                        <w:b/>
                        <w:sz w:val="22"/>
                        <w:szCs w:val="24"/>
                      </w:rPr>
                      <w:t>Stiprybių, silpnybių, galimybių ir grėsmių (toliau –</w:t>
                    </w:r>
                    <w:r>
                      <w:rPr>
                        <w:rFonts w:eastAsia="Calibri"/>
                        <w:i/>
                        <w:sz w:val="22"/>
                        <w:szCs w:val="24"/>
                      </w:rPr>
                      <w:t xml:space="preserve"> </w:t>
                    </w:r>
                    <w:r>
                      <w:rPr>
                        <w:rFonts w:eastAsia="Calibri"/>
                        <w:b/>
                        <w:sz w:val="22"/>
                        <w:szCs w:val="24"/>
                      </w:rPr>
                      <w:t>SSGG) analizė</w:t>
                    </w:r>
                  </w:p>
                  <w:p>
                    <w:pPr>
                      <w:rPr>
                        <w:sz w:val="10"/>
                        <w:szCs w:val="10"/>
                      </w:rPr>
                    </w:pPr>
                  </w:p>
                  <w:p>
                    <w:pPr>
                      <w:jc w:val="both"/>
                      <w:rPr>
                        <w:rFonts w:eastAsia="Calibri"/>
                        <w:bCs/>
                        <w:sz w:val="22"/>
                        <w:szCs w:val="24"/>
                      </w:rPr>
                    </w:pPr>
                    <w:r>
                      <w:rPr>
                        <w:rFonts w:eastAsia="Calibri"/>
                        <w:bCs/>
                        <w:sz w:val="22"/>
                        <w:szCs w:val="24"/>
                      </w:rPr>
                      <w:t>Šioje dalyje pateikta bendra visų sričių SSGG ir jos elementų sąsajos, nurodant, kaip vienų veiksnių pokyčiai gali paveikti kitus.</w:t>
                    </w:r>
                  </w:p>
                  <w:p>
                    <w:pPr>
                      <w:rPr>
                        <w:sz w:val="10"/>
                        <w:szCs w:val="10"/>
                      </w:rPr>
                    </w:pPr>
                  </w:p>
                  <w:tbl>
                    <w:tblPr>
                      <w:tblW w:w="9413" w:type="dxa"/>
                      <w:tblBorders>
                        <w:top w:val="single" w:sz="8" w:space="0" w:color="F2F2F2"/>
                        <w:left w:val="single" w:sz="8" w:space="0" w:color="F2F2F2"/>
                        <w:bottom w:val="single" w:sz="8" w:space="0" w:color="F2F2F2"/>
                        <w:right w:val="single" w:sz="8" w:space="0" w:color="F2F2F2"/>
                        <w:insideH w:val="single" w:sz="4" w:space="0" w:color="auto"/>
                        <w:insideV w:val="single" w:sz="4" w:space="0" w:color="auto"/>
                      </w:tblBorders>
                      <w:tblLayout w:type="fixed"/>
                      <w:tblCellMar>
                        <w:left w:w="0" w:type="dxa"/>
                        <w:right w:w="0" w:type="dxa"/>
                      </w:tblCellMar>
                      <w:tblLook w:val="0600" w:firstRow="0" w:lastRow="0" w:firstColumn="0" w:lastColumn="0" w:noHBand="1" w:noVBand="1"/>
                    </w:tblPr>
                    <w:tblGrid>
                      <w:gridCol w:w="9"/>
                      <w:gridCol w:w="4703"/>
                      <w:gridCol w:w="4667"/>
                      <w:gridCol w:w="34"/>
                    </w:tblGrid>
                    <w:tr>
                      <w:trPr>
                        <w:gridBefore w:val="1"/>
                        <w:gridAfter w:val="1"/>
                        <w:wBefore w:w="5" w:type="pct"/>
                        <w:wAfter w:w="18" w:type="pct"/>
                        <w:trHeight w:val="567"/>
                      </w:trPr>
                      <w:tc>
                        <w:tcPr>
                          <w:tcW w:w="2498" w:type="pct"/>
                          <w:shd w:val="clear" w:color="auto" w:fill="auto"/>
                          <w:tcMar>
                            <w:top w:w="72" w:type="dxa"/>
                            <w:left w:w="144" w:type="dxa"/>
                            <w:bottom w:w="72" w:type="dxa"/>
                            <w:right w:w="144" w:type="dxa"/>
                          </w:tcMar>
                        </w:tcPr>
                        <w:p>
                          <w:pPr>
                            <w:rPr>
                              <w:sz w:val="10"/>
                              <w:szCs w:val="10"/>
                            </w:rPr>
                          </w:pPr>
                        </w:p>
                        <w:p>
                          <w:pPr>
                            <w:ind w:right="142"/>
                            <w:jc w:val="center"/>
                            <w:rPr>
                              <w:rFonts w:eastAsia="MS Mincho"/>
                              <w:b/>
                              <w:bCs/>
                              <w:color w:val="CB8C01"/>
                              <w:kern w:val="2"/>
                              <w:sz w:val="22"/>
                              <w:szCs w:val="24"/>
                            </w:rPr>
                          </w:pPr>
                          <w:r>
                            <w:rPr>
                              <w:rFonts w:eastAsia="MS Mincho"/>
                              <w:b/>
                              <w:bCs/>
                              <w:color w:val="CB8C01"/>
                              <w:kern w:val="2"/>
                              <w:sz w:val="22"/>
                              <w:szCs w:val="24"/>
                            </w:rPr>
                            <w:t>STIPRYBĖS</w:t>
                          </w:r>
                        </w:p>
                      </w:tc>
                      <w:tc>
                        <w:tcPr>
                          <w:tcW w:w="2479" w:type="pct"/>
                          <w:shd w:val="clear" w:color="auto" w:fill="auto"/>
                          <w:tcMar>
                            <w:top w:w="72" w:type="dxa"/>
                            <w:left w:w="144" w:type="dxa"/>
                            <w:bottom w:w="72" w:type="dxa"/>
                            <w:right w:w="144" w:type="dxa"/>
                          </w:tcMar>
                        </w:tcPr>
                        <w:p>
                          <w:pPr>
                            <w:rPr>
                              <w:sz w:val="10"/>
                              <w:szCs w:val="10"/>
                            </w:rPr>
                          </w:pPr>
                        </w:p>
                        <w:p>
                          <w:pPr>
                            <w:ind w:right="142"/>
                            <w:jc w:val="center"/>
                            <w:rPr>
                              <w:rFonts w:eastAsia="MS Mincho"/>
                              <w:b/>
                              <w:bCs/>
                              <w:color w:val="E86700"/>
                              <w:kern w:val="2"/>
                              <w:sz w:val="22"/>
                              <w:szCs w:val="24"/>
                            </w:rPr>
                          </w:pPr>
                          <w:r>
                            <w:rPr>
                              <w:rFonts w:eastAsia="MS Mincho"/>
                              <w:b/>
                              <w:bCs/>
                              <w:color w:val="AD4C00"/>
                              <w:kern w:val="2"/>
                              <w:sz w:val="22"/>
                              <w:szCs w:val="24"/>
                            </w:rPr>
                            <w:t>SILPNYBĖS</w:t>
                          </w:r>
                        </w:p>
                      </w:tc>
                    </w:tr>
                    <w:tr>
                      <w:trPr>
                        <w:gridBefore w:val="1"/>
                        <w:wBefore w:w="5" w:type="pct"/>
                        <w:trHeight w:val="1604"/>
                      </w:trPr>
                      <w:tc>
                        <w:tcPr>
                          <w:tcW w:w="2498" w:type="pct"/>
                          <w:shd w:val="clear" w:color="auto" w:fill="auto"/>
                          <w:tcMar>
                            <w:top w:w="72" w:type="dxa"/>
                            <w:left w:w="144" w:type="dxa"/>
                            <w:bottom w:w="72" w:type="dxa"/>
                            <w:right w:w="144" w:type="dxa"/>
                          </w:tcMar>
                        </w:tcPr>
                        <w:p>
                          <w:pPr>
                            <w:rPr>
                              <w:sz w:val="10"/>
                              <w:szCs w:val="10"/>
                            </w:rPr>
                          </w:pPr>
                        </w:p>
                        <w:p>
                          <w:pPr>
                            <w:ind w:right="142"/>
                            <w:jc w:val="both"/>
                            <w:rPr>
                              <w:rFonts w:eastAsia="MS Mincho"/>
                              <w:kern w:val="2"/>
                              <w:sz w:val="22"/>
                              <w:szCs w:val="22"/>
                            </w:rPr>
                          </w:pPr>
                          <w:r>
                            <w:rPr>
                              <w:rFonts w:eastAsia="MS Mincho"/>
                              <w:kern w:val="2"/>
                              <w:sz w:val="22"/>
                              <w:szCs w:val="22"/>
                            </w:rPr>
                            <w:t>ST1: Sparčiai auganti imigracija į Šiaulių miestą;</w:t>
                          </w:r>
                        </w:p>
                        <w:p>
                          <w:pPr>
                            <w:rPr>
                              <w:sz w:val="10"/>
                              <w:szCs w:val="10"/>
                            </w:rPr>
                          </w:pPr>
                        </w:p>
                        <w:p>
                          <w:pPr>
                            <w:ind w:right="142"/>
                            <w:jc w:val="both"/>
                            <w:rPr>
                              <w:rFonts w:eastAsia="MS Mincho"/>
                              <w:kern w:val="2"/>
                              <w:sz w:val="22"/>
                              <w:szCs w:val="22"/>
                            </w:rPr>
                          </w:pPr>
                          <w:r>
                            <w:rPr>
                              <w:rFonts w:eastAsia="MS Mincho"/>
                              <w:kern w:val="2"/>
                              <w:sz w:val="22"/>
                              <w:szCs w:val="22"/>
                            </w:rPr>
                            <w:t>ST2: Bene sparčiausiai augantis vidutinis darbo užmokestis, palyginti su kitais Lietuvos didžiaisiais miestais (antras didžiausias augimas), ir vienintelė savivaldybė iš didžiųjų miestų, kurioje vidutinis moterų atlyginimas yra didesnis už vyrų;</w:t>
                          </w:r>
                        </w:p>
                        <w:p>
                          <w:pPr>
                            <w:rPr>
                              <w:sz w:val="10"/>
                              <w:szCs w:val="10"/>
                            </w:rPr>
                          </w:pPr>
                        </w:p>
                        <w:p>
                          <w:pPr>
                            <w:ind w:right="142"/>
                            <w:jc w:val="both"/>
                            <w:rPr>
                              <w:rFonts w:eastAsia="MS Mincho"/>
                              <w:kern w:val="2"/>
                              <w:sz w:val="22"/>
                              <w:szCs w:val="22"/>
                            </w:rPr>
                          </w:pPr>
                          <w:r>
                            <w:rPr>
                              <w:rFonts w:eastAsia="MS Mincho"/>
                              <w:kern w:val="2"/>
                              <w:sz w:val="22"/>
                              <w:szCs w:val="22"/>
                            </w:rPr>
                            <w:t>ST3: Sumažėjęs ilgalaikių bedarbių skaičius;</w:t>
                          </w:r>
                        </w:p>
                        <w:p>
                          <w:pPr>
                            <w:rPr>
                              <w:sz w:val="10"/>
                              <w:szCs w:val="10"/>
                            </w:rPr>
                          </w:pPr>
                        </w:p>
                        <w:p>
                          <w:pPr>
                            <w:ind w:right="142"/>
                            <w:jc w:val="both"/>
                            <w:rPr>
                              <w:rFonts w:eastAsia="MS Mincho"/>
                              <w:kern w:val="2"/>
                              <w:sz w:val="22"/>
                              <w:szCs w:val="22"/>
                            </w:rPr>
                          </w:pPr>
                          <w:r>
                            <w:rPr>
                              <w:rFonts w:eastAsia="MS Mincho"/>
                              <w:kern w:val="2"/>
                              <w:sz w:val="22"/>
                              <w:szCs w:val="22"/>
                            </w:rPr>
                            <w:t>ST4: Investicijų tolygumas: didelės materialinės investicijos paslaugų sektoriui, taip pat augančios materialinės investicijos pramonės sektoriui;</w:t>
                          </w:r>
                        </w:p>
                        <w:p>
                          <w:pPr>
                            <w:rPr>
                              <w:sz w:val="10"/>
                              <w:szCs w:val="10"/>
                            </w:rPr>
                          </w:pPr>
                        </w:p>
                        <w:p>
                          <w:pPr>
                            <w:ind w:right="142"/>
                            <w:jc w:val="both"/>
                            <w:rPr>
                              <w:rFonts w:eastAsia="MS Mincho"/>
                              <w:kern w:val="2"/>
                              <w:sz w:val="22"/>
                              <w:szCs w:val="22"/>
                            </w:rPr>
                          </w:pPr>
                          <w:r>
                            <w:rPr>
                              <w:rFonts w:eastAsia="MS Mincho"/>
                              <w:kern w:val="2"/>
                              <w:sz w:val="22"/>
                              <w:szCs w:val="22"/>
                            </w:rPr>
                            <w:t>ST5: Auganti smulkių ir vidutinių įmonių apyvarta;</w:t>
                          </w:r>
                        </w:p>
                        <w:p>
                          <w:pPr>
                            <w:rPr>
                              <w:sz w:val="10"/>
                              <w:szCs w:val="10"/>
                            </w:rPr>
                          </w:pPr>
                        </w:p>
                        <w:p>
                          <w:pPr>
                            <w:ind w:right="142"/>
                            <w:jc w:val="both"/>
                            <w:rPr>
                              <w:rFonts w:eastAsia="MS Mincho"/>
                              <w:kern w:val="2"/>
                              <w:sz w:val="22"/>
                              <w:szCs w:val="22"/>
                            </w:rPr>
                          </w:pPr>
                          <w:r>
                            <w:rPr>
                              <w:rFonts w:eastAsia="MS Mincho"/>
                              <w:kern w:val="2"/>
                              <w:sz w:val="22"/>
                              <w:szCs w:val="22"/>
                            </w:rPr>
                            <w:t>ST6: Didžiausią pridėtinę vertę teikia ir darbuotojų įdarbina paslaugų sektorius;</w:t>
                          </w:r>
                        </w:p>
                        <w:p>
                          <w:pPr>
                            <w:rPr>
                              <w:sz w:val="10"/>
                              <w:szCs w:val="10"/>
                            </w:rPr>
                          </w:pPr>
                        </w:p>
                        <w:p>
                          <w:pPr>
                            <w:ind w:right="142"/>
                            <w:jc w:val="both"/>
                            <w:rPr>
                              <w:rFonts w:eastAsia="MS Mincho"/>
                              <w:kern w:val="2"/>
                              <w:sz w:val="22"/>
                              <w:szCs w:val="22"/>
                            </w:rPr>
                          </w:pPr>
                          <w:r>
                            <w:rPr>
                              <w:rFonts w:eastAsia="MS Mincho"/>
                              <w:kern w:val="2"/>
                              <w:sz w:val="22"/>
                              <w:szCs w:val="22"/>
                            </w:rPr>
                            <w:t>ST7: Aukščiausia neformaliojo švietimo veiklose dalyvaujančių mokinių dalis savivaldybės mokyklose, palyginti su didžiaisiais miestais ir Lietuvos vidurkiu;</w:t>
                          </w:r>
                        </w:p>
                        <w:p>
                          <w:pPr>
                            <w:rPr>
                              <w:sz w:val="10"/>
                              <w:szCs w:val="10"/>
                            </w:rPr>
                          </w:pPr>
                        </w:p>
                        <w:p>
                          <w:pPr>
                            <w:ind w:right="142"/>
                            <w:jc w:val="both"/>
                            <w:rPr>
                              <w:rFonts w:eastAsia="MS Mincho"/>
                              <w:kern w:val="2"/>
                              <w:sz w:val="22"/>
                              <w:szCs w:val="22"/>
                            </w:rPr>
                          </w:pPr>
                          <w:r>
                            <w:rPr>
                              <w:rFonts w:eastAsia="MS Mincho"/>
                              <w:kern w:val="2"/>
                              <w:sz w:val="22"/>
                              <w:szCs w:val="22"/>
                            </w:rPr>
                            <w:t>ST8: Mažėja 1–6 m. vaikų, nelankančių ikimokyklinio ugdymo įstaigų;</w:t>
                          </w:r>
                        </w:p>
                        <w:p>
                          <w:pPr>
                            <w:rPr>
                              <w:sz w:val="10"/>
                              <w:szCs w:val="10"/>
                            </w:rPr>
                          </w:pPr>
                        </w:p>
                        <w:p>
                          <w:pPr>
                            <w:ind w:right="142"/>
                            <w:jc w:val="both"/>
                            <w:rPr>
                              <w:rFonts w:eastAsia="MS Mincho"/>
                              <w:kern w:val="2"/>
                              <w:sz w:val="22"/>
                              <w:szCs w:val="22"/>
                            </w:rPr>
                          </w:pPr>
                          <w:r>
                            <w:rPr>
                              <w:rFonts w:eastAsia="MS Mincho"/>
                              <w:kern w:val="2"/>
                              <w:sz w:val="22"/>
                              <w:szCs w:val="22"/>
                            </w:rPr>
                            <w:t>ST9: Didelis procentas mokytojų, pamokose naudojančių skaitmenines mokymosi aplinkas;</w:t>
                          </w:r>
                        </w:p>
                        <w:p>
                          <w:pPr>
                            <w:rPr>
                              <w:sz w:val="10"/>
                              <w:szCs w:val="10"/>
                            </w:rPr>
                          </w:pPr>
                        </w:p>
                        <w:p>
                          <w:pPr>
                            <w:ind w:right="142"/>
                            <w:jc w:val="both"/>
                            <w:rPr>
                              <w:rFonts w:eastAsia="MS Mincho"/>
                              <w:kern w:val="2"/>
                              <w:sz w:val="22"/>
                              <w:szCs w:val="22"/>
                            </w:rPr>
                          </w:pPr>
                          <w:r>
                            <w:rPr>
                              <w:rFonts w:eastAsia="MS Mincho"/>
                              <w:kern w:val="2"/>
                              <w:sz w:val="22"/>
                              <w:szCs w:val="22"/>
                            </w:rPr>
                            <w:t>ST10: Išaugusi įmonių parama studentams Šiaulių kolegijoje ir Vilniaus universiteto Šiaulių akademijoje;</w:t>
                          </w:r>
                        </w:p>
                        <w:p>
                          <w:pPr>
                            <w:rPr>
                              <w:sz w:val="10"/>
                              <w:szCs w:val="10"/>
                            </w:rPr>
                          </w:pPr>
                        </w:p>
                        <w:p>
                          <w:pPr>
                            <w:ind w:right="142"/>
                            <w:jc w:val="both"/>
                            <w:rPr>
                              <w:rFonts w:eastAsia="MS Mincho"/>
                              <w:kern w:val="2"/>
                              <w:sz w:val="22"/>
                              <w:szCs w:val="22"/>
                            </w:rPr>
                          </w:pPr>
                          <w:r>
                            <w:rPr>
                              <w:rFonts w:eastAsia="MS Mincho"/>
                              <w:kern w:val="2"/>
                              <w:sz w:val="22"/>
                              <w:szCs w:val="22"/>
                            </w:rPr>
                            <w:t>ST11: Įtraukios jaunimo organizacijos: augantis jaunimo organizacijose dalyvaujančių asmenų skaičius, nepaisant mažėjančio jaunimo organizacijų skaičiaus;</w:t>
                          </w:r>
                        </w:p>
                        <w:p>
                          <w:pPr>
                            <w:rPr>
                              <w:sz w:val="10"/>
                              <w:szCs w:val="10"/>
                            </w:rPr>
                          </w:pPr>
                        </w:p>
                        <w:p>
                          <w:pPr>
                            <w:ind w:right="142"/>
                            <w:jc w:val="both"/>
                            <w:rPr>
                              <w:rFonts w:eastAsia="MS Mincho"/>
                              <w:kern w:val="2"/>
                              <w:sz w:val="22"/>
                              <w:szCs w:val="22"/>
                            </w:rPr>
                          </w:pPr>
                          <w:r>
                            <w:rPr>
                              <w:rFonts w:eastAsia="MS Mincho"/>
                              <w:kern w:val="2"/>
                              <w:sz w:val="22"/>
                              <w:szCs w:val="22"/>
                            </w:rPr>
                            <w:t>ST12: Augantis sporto varžybų ir sveikatingumo renginių dalyvių skaičius;</w:t>
                          </w:r>
                        </w:p>
                        <w:p>
                          <w:pPr>
                            <w:rPr>
                              <w:sz w:val="10"/>
                              <w:szCs w:val="10"/>
                            </w:rPr>
                          </w:pPr>
                        </w:p>
                        <w:p>
                          <w:pPr>
                            <w:ind w:right="142"/>
                            <w:jc w:val="both"/>
                            <w:rPr>
                              <w:rFonts w:eastAsia="MS Mincho"/>
                              <w:kern w:val="2"/>
                              <w:sz w:val="22"/>
                              <w:szCs w:val="22"/>
                            </w:rPr>
                          </w:pPr>
                          <w:r>
                            <w:rPr>
                              <w:rFonts w:eastAsia="MS Mincho"/>
                              <w:kern w:val="2"/>
                              <w:sz w:val="22"/>
                              <w:szCs w:val="22"/>
                            </w:rPr>
                            <w:t>ST13: Išaugęs aktyvaus laisvalaikio turizmo produktų skaičius;</w:t>
                          </w:r>
                        </w:p>
                        <w:p>
                          <w:pPr>
                            <w:rPr>
                              <w:sz w:val="10"/>
                              <w:szCs w:val="10"/>
                            </w:rPr>
                          </w:pPr>
                        </w:p>
                        <w:p>
                          <w:pPr>
                            <w:ind w:right="142"/>
                            <w:jc w:val="both"/>
                            <w:rPr>
                              <w:rFonts w:eastAsia="MS Mincho"/>
                              <w:kern w:val="2"/>
                              <w:sz w:val="22"/>
                              <w:szCs w:val="22"/>
                            </w:rPr>
                          </w:pPr>
                          <w:r>
                            <w:rPr>
                              <w:rFonts w:eastAsia="MS Mincho"/>
                              <w:kern w:val="2"/>
                              <w:sz w:val="22"/>
                              <w:szCs w:val="22"/>
                            </w:rPr>
                            <w:t>ST14: Įgyvendinti ir gausiai lankomi privatūs sporto projektai (Uniqa arena, VS Express ir Energy Gym, kartingų trasos) ir kt.;</w:t>
                          </w:r>
                        </w:p>
                        <w:p>
                          <w:pPr>
                            <w:rPr>
                              <w:sz w:val="10"/>
                              <w:szCs w:val="10"/>
                            </w:rPr>
                          </w:pPr>
                        </w:p>
                        <w:p>
                          <w:pPr>
                            <w:ind w:right="142"/>
                            <w:jc w:val="both"/>
                            <w:rPr>
                              <w:rFonts w:eastAsia="MS Mincho"/>
                              <w:kern w:val="2"/>
                              <w:sz w:val="22"/>
                              <w:szCs w:val="22"/>
                            </w:rPr>
                          </w:pPr>
                          <w:r>
                            <w:rPr>
                              <w:rFonts w:eastAsia="MS Mincho"/>
                              <w:kern w:val="2"/>
                              <w:sz w:val="22"/>
                              <w:szCs w:val="22"/>
                            </w:rPr>
                            <w:t>ST15: Augantis lankytojų skaičius galerijose, koncertų salėse, kultūros ir lankytojų centruose, muziejuose;</w:t>
                          </w:r>
                        </w:p>
                        <w:p>
                          <w:pPr>
                            <w:rPr>
                              <w:sz w:val="10"/>
                              <w:szCs w:val="10"/>
                            </w:rPr>
                          </w:pPr>
                        </w:p>
                        <w:p>
                          <w:pPr>
                            <w:ind w:right="142"/>
                            <w:jc w:val="both"/>
                            <w:rPr>
                              <w:rFonts w:eastAsia="MS Mincho"/>
                              <w:kern w:val="2"/>
                              <w:sz w:val="22"/>
                              <w:szCs w:val="22"/>
                            </w:rPr>
                          </w:pPr>
                          <w:r>
                            <w:rPr>
                              <w:rFonts w:eastAsia="MS Mincho"/>
                              <w:kern w:val="2"/>
                              <w:sz w:val="22"/>
                              <w:szCs w:val="22"/>
                            </w:rPr>
                            <w:t>ST16: Investuojama į sveikatos specialistų pritraukimą – šiuo metu auga pritrauktų sveikatos specialistų skaičius, o nuo 2023 m. savivaldybė finansuoja ne tik gydytojų ir rezidentų, bet ir slaugytojų bei visuomenės sveikatos specialistų studijas;</w:t>
                          </w:r>
                        </w:p>
                        <w:p>
                          <w:pPr>
                            <w:rPr>
                              <w:sz w:val="10"/>
                              <w:szCs w:val="10"/>
                            </w:rPr>
                          </w:pPr>
                        </w:p>
                        <w:p>
                          <w:pPr>
                            <w:ind w:right="142"/>
                            <w:jc w:val="both"/>
                            <w:rPr>
                              <w:rFonts w:eastAsia="MS Mincho"/>
                              <w:kern w:val="2"/>
                              <w:sz w:val="22"/>
                              <w:szCs w:val="22"/>
                            </w:rPr>
                          </w:pPr>
                          <w:r>
                            <w:rPr>
                              <w:rFonts w:eastAsia="MS Mincho"/>
                              <w:kern w:val="2"/>
                              <w:sz w:val="22"/>
                              <w:szCs w:val="22"/>
                            </w:rPr>
                            <w:t>ST17: Didėjantis teikiamų socialinių paslaugų rūšių skaičius;</w:t>
                          </w:r>
                        </w:p>
                        <w:p>
                          <w:pPr>
                            <w:rPr>
                              <w:sz w:val="10"/>
                              <w:szCs w:val="10"/>
                            </w:rPr>
                          </w:pPr>
                        </w:p>
                        <w:p>
                          <w:pPr>
                            <w:ind w:right="142"/>
                            <w:jc w:val="both"/>
                            <w:rPr>
                              <w:rFonts w:eastAsia="MS Mincho"/>
                              <w:kern w:val="2"/>
                              <w:sz w:val="22"/>
                              <w:szCs w:val="22"/>
                            </w:rPr>
                          </w:pPr>
                          <w:r>
                            <w:rPr>
                              <w:rFonts w:eastAsia="MS Mincho"/>
                              <w:kern w:val="2"/>
                              <w:sz w:val="22"/>
                              <w:szCs w:val="22"/>
                            </w:rPr>
                            <w:t>ST18: Didėjanti į darbo rinką integruotų socialinę atskirtį patiriančių asmenų (ilgalaikių bedarbių) dalis.</w:t>
                          </w:r>
                        </w:p>
                        <w:p>
                          <w:pPr>
                            <w:rPr>
                              <w:sz w:val="10"/>
                              <w:szCs w:val="10"/>
                            </w:rPr>
                          </w:pPr>
                        </w:p>
                        <w:p>
                          <w:pPr>
                            <w:ind w:right="142"/>
                            <w:jc w:val="both"/>
                            <w:rPr>
                              <w:rFonts w:eastAsia="MS Mincho"/>
                              <w:kern w:val="2"/>
                              <w:sz w:val="22"/>
                              <w:szCs w:val="22"/>
                            </w:rPr>
                          </w:pPr>
                          <w:r>
                            <w:rPr>
                              <w:rFonts w:eastAsia="MS Mincho"/>
                              <w:kern w:val="2"/>
                              <w:sz w:val="22"/>
                              <w:szCs w:val="22"/>
                            </w:rPr>
                            <w:t>ST19: Augantis socialinio saugumo indeksas;</w:t>
                          </w:r>
                        </w:p>
                        <w:p>
                          <w:pPr>
                            <w:rPr>
                              <w:sz w:val="10"/>
                              <w:szCs w:val="10"/>
                            </w:rPr>
                          </w:pPr>
                        </w:p>
                        <w:p>
                          <w:pPr>
                            <w:ind w:right="142"/>
                            <w:jc w:val="both"/>
                            <w:rPr>
                              <w:rFonts w:eastAsia="MS Mincho"/>
                              <w:kern w:val="2"/>
                              <w:sz w:val="22"/>
                              <w:szCs w:val="22"/>
                            </w:rPr>
                          </w:pPr>
                          <w:r>
                            <w:rPr>
                              <w:rFonts w:eastAsia="MS Mincho"/>
                              <w:kern w:val="2"/>
                              <w:sz w:val="22"/>
                              <w:szCs w:val="22"/>
                            </w:rPr>
                            <w:t>ST20: Išaugęs išrūšiuotų atliekų kiekis ir augantis perdirbtų atliekų procentas;</w:t>
                          </w:r>
                        </w:p>
                        <w:p>
                          <w:pPr>
                            <w:rPr>
                              <w:sz w:val="10"/>
                              <w:szCs w:val="10"/>
                            </w:rPr>
                          </w:pPr>
                        </w:p>
                        <w:p>
                          <w:pPr>
                            <w:ind w:right="142"/>
                            <w:jc w:val="both"/>
                            <w:rPr>
                              <w:rFonts w:eastAsia="MS Mincho"/>
                              <w:kern w:val="2"/>
                              <w:sz w:val="22"/>
                              <w:szCs w:val="22"/>
                            </w:rPr>
                          </w:pPr>
                          <w:r>
                            <w:rPr>
                              <w:rFonts w:eastAsia="MS Mincho"/>
                              <w:kern w:val="2"/>
                              <w:sz w:val="22"/>
                              <w:szCs w:val="22"/>
                            </w:rPr>
                            <w:t>ST21: Efektyvinamas komunalinių atliekų surinkimas ir sprendžiama vizualinė teritorijų tarša, modernizuojant komunalinių atliekų surinkimo infrastruktūrą;</w:t>
                          </w:r>
                        </w:p>
                        <w:p>
                          <w:pPr>
                            <w:rPr>
                              <w:sz w:val="10"/>
                              <w:szCs w:val="10"/>
                            </w:rPr>
                          </w:pPr>
                        </w:p>
                        <w:p>
                          <w:pPr>
                            <w:ind w:right="142"/>
                            <w:jc w:val="both"/>
                            <w:rPr>
                              <w:rFonts w:eastAsia="MS Mincho"/>
                              <w:kern w:val="2"/>
                              <w:sz w:val="22"/>
                              <w:szCs w:val="22"/>
                            </w:rPr>
                          </w:pPr>
                          <w:r>
                            <w:rPr>
                              <w:rFonts w:eastAsia="MS Mincho"/>
                              <w:kern w:val="2"/>
                              <w:sz w:val="22"/>
                              <w:szCs w:val="22"/>
                            </w:rPr>
                            <w:t>ST22: Efektyviai veikia didelių gabaritų atliekų surinkimo aikštelės, didėja didelių gabaritų atliekų surinkimas.</w:t>
                          </w:r>
                        </w:p>
                        <w:p>
                          <w:pPr>
                            <w:rPr>
                              <w:sz w:val="10"/>
                              <w:szCs w:val="10"/>
                            </w:rPr>
                          </w:pPr>
                        </w:p>
                        <w:p>
                          <w:pPr>
                            <w:ind w:right="142"/>
                            <w:jc w:val="both"/>
                            <w:rPr>
                              <w:rFonts w:eastAsia="MS Mincho"/>
                              <w:kern w:val="2"/>
                              <w:sz w:val="22"/>
                              <w:szCs w:val="22"/>
                            </w:rPr>
                          </w:pPr>
                          <w:r>
                            <w:rPr>
                              <w:rFonts w:eastAsia="MS Mincho"/>
                              <w:kern w:val="2"/>
                              <w:sz w:val="22"/>
                              <w:szCs w:val="22"/>
                            </w:rPr>
                            <w:t>ST23: Sumažėjęs sunaudotos šilumos energijos kiekis Savivaldybės BĮ pastatuose;</w:t>
                          </w:r>
                        </w:p>
                        <w:p>
                          <w:pPr>
                            <w:rPr>
                              <w:sz w:val="10"/>
                              <w:szCs w:val="10"/>
                            </w:rPr>
                          </w:pPr>
                        </w:p>
                        <w:p>
                          <w:pPr>
                            <w:ind w:right="142"/>
                            <w:jc w:val="both"/>
                            <w:rPr>
                              <w:rFonts w:eastAsia="MS Mincho"/>
                              <w:kern w:val="2"/>
                              <w:sz w:val="22"/>
                              <w:szCs w:val="22"/>
                            </w:rPr>
                          </w:pPr>
                          <w:r>
                            <w:rPr>
                              <w:rFonts w:eastAsia="MS Mincho"/>
                              <w:kern w:val="2"/>
                              <w:sz w:val="22"/>
                              <w:szCs w:val="22"/>
                            </w:rPr>
                            <w:t>ST24: Elektromobilių skaičius 1000 gyv. pranoksta didžiąją dalį Lietuvos savivaldybių;</w:t>
                          </w:r>
                        </w:p>
                        <w:p>
                          <w:pPr>
                            <w:rPr>
                              <w:sz w:val="10"/>
                              <w:szCs w:val="10"/>
                            </w:rPr>
                          </w:pPr>
                        </w:p>
                        <w:p>
                          <w:pPr>
                            <w:ind w:right="142"/>
                            <w:jc w:val="both"/>
                            <w:rPr>
                              <w:rFonts w:eastAsia="MS Mincho"/>
                              <w:kern w:val="2"/>
                              <w:sz w:val="22"/>
                              <w:szCs w:val="22"/>
                            </w:rPr>
                          </w:pPr>
                          <w:r>
                            <w:rPr>
                              <w:rFonts w:eastAsia="MS Mincho"/>
                              <w:kern w:val="2"/>
                              <w:sz w:val="22"/>
                              <w:szCs w:val="22"/>
                            </w:rPr>
                            <w:t>ST25: Pagal šilumos kainą Šiauliai yra antri tarp didžiųjų miestų ir nesiekia Lietuvos vidurkio;</w:t>
                          </w:r>
                        </w:p>
                        <w:p>
                          <w:pPr>
                            <w:rPr>
                              <w:sz w:val="10"/>
                              <w:szCs w:val="10"/>
                            </w:rPr>
                          </w:pPr>
                        </w:p>
                        <w:p>
                          <w:pPr>
                            <w:ind w:right="142"/>
                            <w:jc w:val="both"/>
                            <w:rPr>
                              <w:rFonts w:eastAsia="MS Mincho"/>
                              <w:kern w:val="2"/>
                              <w:sz w:val="22"/>
                              <w:szCs w:val="22"/>
                            </w:rPr>
                          </w:pPr>
                          <w:r>
                            <w:rPr>
                              <w:rFonts w:eastAsia="MS Mincho"/>
                              <w:kern w:val="2"/>
                              <w:sz w:val="22"/>
                              <w:szCs w:val="22"/>
                            </w:rPr>
                            <w:t>ST26: Daugėja sutvarkytų viešųjų erdvių ir įrengtų / atstatytų sporto ir vaikų žaidimų aikštelių;</w:t>
                          </w:r>
                        </w:p>
                        <w:p>
                          <w:pPr>
                            <w:rPr>
                              <w:sz w:val="10"/>
                              <w:szCs w:val="10"/>
                            </w:rPr>
                          </w:pPr>
                        </w:p>
                        <w:p>
                          <w:pPr>
                            <w:ind w:right="142"/>
                            <w:jc w:val="both"/>
                            <w:rPr>
                              <w:rFonts w:eastAsia="MS Mincho"/>
                              <w:kern w:val="2"/>
                              <w:sz w:val="22"/>
                              <w:szCs w:val="22"/>
                            </w:rPr>
                          </w:pPr>
                          <w:r>
                            <w:rPr>
                              <w:rFonts w:eastAsia="MS Mincho"/>
                              <w:kern w:val="2"/>
                              <w:sz w:val="22"/>
                              <w:szCs w:val="22"/>
                            </w:rPr>
                            <w:t>ST27: Švietimo įstaigų tinklas yra tolygiai išvystytas labiausiai urbanizuotose miesto dalyse;</w:t>
                          </w:r>
                        </w:p>
                        <w:p>
                          <w:pPr>
                            <w:rPr>
                              <w:sz w:val="10"/>
                              <w:szCs w:val="10"/>
                            </w:rPr>
                          </w:pPr>
                        </w:p>
                        <w:p>
                          <w:pPr>
                            <w:ind w:right="142"/>
                            <w:jc w:val="both"/>
                            <w:rPr>
                              <w:rFonts w:eastAsia="MS Mincho"/>
                              <w:kern w:val="2"/>
                              <w:sz w:val="22"/>
                              <w:szCs w:val="22"/>
                            </w:rPr>
                          </w:pPr>
                          <w:r>
                            <w:rPr>
                              <w:rFonts w:eastAsia="MS Mincho"/>
                              <w:kern w:val="2"/>
                              <w:sz w:val="22"/>
                              <w:szCs w:val="22"/>
                            </w:rPr>
                            <w:t>ST28: Šiaulių miestas yra gerai sujungtas su regionu: pagrindiniai keliai, traukinių ir autobusų stotis jungia su gretimais miestais;</w:t>
                          </w:r>
                        </w:p>
                        <w:p>
                          <w:pPr>
                            <w:rPr>
                              <w:sz w:val="10"/>
                              <w:szCs w:val="10"/>
                            </w:rPr>
                          </w:pPr>
                        </w:p>
                        <w:p>
                          <w:pPr>
                            <w:ind w:right="142"/>
                            <w:jc w:val="both"/>
                            <w:rPr>
                              <w:rFonts w:eastAsia="MS Mincho"/>
                              <w:kern w:val="2"/>
                              <w:sz w:val="22"/>
                              <w:szCs w:val="22"/>
                            </w:rPr>
                          </w:pPr>
                          <w:r>
                            <w:rPr>
                              <w:rFonts w:eastAsia="MS Mincho"/>
                              <w:kern w:val="2"/>
                              <w:sz w:val="22"/>
                              <w:szCs w:val="22"/>
                            </w:rPr>
                            <w:t>ST29: Tankus dviračių takų tinklas;</w:t>
                          </w:r>
                        </w:p>
                        <w:p>
                          <w:pPr>
                            <w:rPr>
                              <w:sz w:val="10"/>
                              <w:szCs w:val="10"/>
                            </w:rPr>
                          </w:pPr>
                        </w:p>
                        <w:p>
                          <w:pPr>
                            <w:ind w:right="142"/>
                            <w:jc w:val="both"/>
                            <w:rPr>
                              <w:rFonts w:eastAsia="MS Mincho"/>
                              <w:kern w:val="2"/>
                              <w:sz w:val="22"/>
                              <w:szCs w:val="22"/>
                            </w:rPr>
                          </w:pPr>
                          <w:r>
                            <w:rPr>
                              <w:rFonts w:eastAsia="MS Mincho"/>
                              <w:kern w:val="2"/>
                              <w:sz w:val="22"/>
                              <w:szCs w:val="22"/>
                            </w:rPr>
                            <w:t>ST30: Modernizuotos didžiosios miesto sankryžos;</w:t>
                          </w:r>
                        </w:p>
                        <w:p>
                          <w:pPr>
                            <w:rPr>
                              <w:sz w:val="10"/>
                              <w:szCs w:val="10"/>
                            </w:rPr>
                          </w:pPr>
                        </w:p>
                        <w:p>
                          <w:pPr>
                            <w:ind w:right="142"/>
                            <w:jc w:val="both"/>
                            <w:rPr>
                              <w:rFonts w:eastAsia="MS Mincho"/>
                              <w:kern w:val="2"/>
                              <w:sz w:val="22"/>
                              <w:szCs w:val="22"/>
                            </w:rPr>
                          </w:pPr>
                          <w:r>
                            <w:rPr>
                              <w:rFonts w:eastAsia="MS Mincho"/>
                              <w:kern w:val="2"/>
                              <w:sz w:val="22"/>
                              <w:szCs w:val="22"/>
                            </w:rPr>
                            <w:t xml:space="preserve">ST31: Nutiestas Baltų – Serbentų  g. aplinkkelis; </w:t>
                          </w:r>
                        </w:p>
                        <w:p>
                          <w:pPr>
                            <w:rPr>
                              <w:sz w:val="10"/>
                              <w:szCs w:val="10"/>
                            </w:rPr>
                          </w:pPr>
                        </w:p>
                        <w:p>
                          <w:pPr>
                            <w:ind w:right="142"/>
                            <w:jc w:val="both"/>
                            <w:rPr>
                              <w:rFonts w:eastAsia="MS Mincho"/>
                              <w:kern w:val="2"/>
                              <w:sz w:val="22"/>
                              <w:szCs w:val="22"/>
                            </w:rPr>
                          </w:pPr>
                          <w:r>
                            <w:rPr>
                              <w:rFonts w:eastAsia="MS Mincho"/>
                              <w:kern w:val="2"/>
                              <w:sz w:val="22"/>
                              <w:szCs w:val="22"/>
                            </w:rPr>
                            <w:t>ST32: Padidėjusi ištirtų nusikalstamų veikų dalis;</w:t>
                          </w:r>
                        </w:p>
                        <w:p>
                          <w:pPr>
                            <w:rPr>
                              <w:sz w:val="10"/>
                              <w:szCs w:val="10"/>
                            </w:rPr>
                          </w:pPr>
                        </w:p>
                        <w:p>
                          <w:pPr>
                            <w:ind w:right="142"/>
                            <w:jc w:val="both"/>
                            <w:rPr>
                              <w:rFonts w:eastAsia="MS Mincho"/>
                              <w:kern w:val="2"/>
                              <w:sz w:val="22"/>
                              <w:szCs w:val="22"/>
                            </w:rPr>
                          </w:pPr>
                          <w:r>
                            <w:rPr>
                              <w:rFonts w:eastAsia="MS Mincho"/>
                              <w:kern w:val="2"/>
                              <w:sz w:val="22"/>
                              <w:szCs w:val="22"/>
                            </w:rPr>
                            <w:t>ST33: Išaugęs vaizdo stebėjimo kamerų skaičius ir užfiksuotų galimų pažeidimų skaičius Šiaulių mieste;</w:t>
                          </w:r>
                        </w:p>
                        <w:p>
                          <w:pPr>
                            <w:rPr>
                              <w:sz w:val="10"/>
                              <w:szCs w:val="10"/>
                            </w:rPr>
                          </w:pPr>
                        </w:p>
                        <w:p>
                          <w:pPr>
                            <w:ind w:right="142"/>
                            <w:jc w:val="both"/>
                            <w:rPr>
                              <w:rFonts w:eastAsia="MS Mincho"/>
                              <w:kern w:val="2"/>
                              <w:sz w:val="22"/>
                              <w:szCs w:val="22"/>
                            </w:rPr>
                          </w:pPr>
                          <w:r>
                            <w:rPr>
                              <w:rFonts w:eastAsia="MS Mincho"/>
                              <w:kern w:val="2"/>
                              <w:sz w:val="22"/>
                              <w:szCs w:val="22"/>
                            </w:rPr>
                            <w:t>ST34: Net 75 proc. suteikiamų administracinių paslaugų teikiamos el. būdu;</w:t>
                          </w:r>
                        </w:p>
                        <w:p>
                          <w:pPr>
                            <w:rPr>
                              <w:sz w:val="10"/>
                              <w:szCs w:val="10"/>
                            </w:rPr>
                          </w:pPr>
                        </w:p>
                        <w:p>
                          <w:pPr>
                            <w:ind w:right="142"/>
                            <w:jc w:val="both"/>
                            <w:rPr>
                              <w:rFonts w:eastAsia="MS Mincho"/>
                              <w:kern w:val="2"/>
                              <w:sz w:val="22"/>
                              <w:szCs w:val="22"/>
                            </w:rPr>
                          </w:pPr>
                          <w:r>
                            <w:rPr>
                              <w:rFonts w:eastAsia="MS Mincho"/>
                              <w:kern w:val="2"/>
                              <w:sz w:val="22"/>
                              <w:szCs w:val="22"/>
                            </w:rPr>
                            <w:t>ST35: Miesto koordinavimo valdymo centro įkūrimas, skaitmeninių įrankių naudojimas viešųjų paslaugų teikime;</w:t>
                          </w:r>
                        </w:p>
                        <w:p>
                          <w:pPr>
                            <w:rPr>
                              <w:sz w:val="10"/>
                              <w:szCs w:val="10"/>
                            </w:rPr>
                          </w:pPr>
                        </w:p>
                        <w:p>
                          <w:pPr>
                            <w:ind w:right="142"/>
                            <w:jc w:val="both"/>
                            <w:rPr>
                              <w:rFonts w:eastAsia="MS Mincho"/>
                              <w:kern w:val="2"/>
                              <w:sz w:val="22"/>
                              <w:szCs w:val="22"/>
                            </w:rPr>
                          </w:pPr>
                          <w:r>
                            <w:rPr>
                              <w:rFonts w:eastAsia="MS Mincho"/>
                              <w:kern w:val="2"/>
                              <w:sz w:val="22"/>
                              <w:szCs w:val="22"/>
                            </w:rPr>
                            <w:t>ST36: Didėja mokymuose dalyvaujančių darbuotojų bei vienam darbuotojui kvalifikacijos tobulinimui skiriamų valandų skaičius;</w:t>
                          </w:r>
                        </w:p>
                        <w:p>
                          <w:pPr>
                            <w:rPr>
                              <w:sz w:val="10"/>
                              <w:szCs w:val="10"/>
                            </w:rPr>
                          </w:pPr>
                        </w:p>
                        <w:p>
                          <w:pPr>
                            <w:ind w:right="142"/>
                            <w:jc w:val="both"/>
                            <w:rPr>
                              <w:rFonts w:eastAsia="MS Mincho"/>
                              <w:kern w:val="2"/>
                              <w:sz w:val="22"/>
                              <w:szCs w:val="22"/>
                            </w:rPr>
                          </w:pPr>
                          <w:r>
                            <w:rPr>
                              <w:rFonts w:eastAsia="MS Mincho"/>
                              <w:kern w:val="2"/>
                              <w:sz w:val="22"/>
                              <w:szCs w:val="22"/>
                            </w:rPr>
                            <w:t>ST37: Išaugęs gyventojų, patenkintų Savivaldybės darbu, skaičius;</w:t>
                          </w:r>
                        </w:p>
                        <w:p>
                          <w:pPr>
                            <w:rPr>
                              <w:sz w:val="10"/>
                              <w:szCs w:val="10"/>
                            </w:rPr>
                          </w:pPr>
                        </w:p>
                        <w:p>
                          <w:pPr>
                            <w:ind w:right="142"/>
                            <w:jc w:val="both"/>
                            <w:rPr>
                              <w:rFonts w:eastAsia="MS Mincho"/>
                              <w:kern w:val="2"/>
                              <w:sz w:val="22"/>
                              <w:szCs w:val="22"/>
                            </w:rPr>
                          </w:pPr>
                          <w:r>
                            <w:rPr>
                              <w:rFonts w:eastAsia="MS Mincho"/>
                              <w:kern w:val="2"/>
                              <w:sz w:val="22"/>
                              <w:szCs w:val="22"/>
                            </w:rPr>
                            <w:t>ST38: Augantis gyventojų aktyvumas savivaldos rinkimuose;</w:t>
                          </w:r>
                        </w:p>
                        <w:p>
                          <w:pPr>
                            <w:rPr>
                              <w:sz w:val="10"/>
                              <w:szCs w:val="10"/>
                            </w:rPr>
                          </w:pPr>
                        </w:p>
                        <w:p>
                          <w:pPr>
                            <w:ind w:right="142"/>
                            <w:jc w:val="both"/>
                            <w:rPr>
                              <w:rFonts w:eastAsia="MS Mincho"/>
                              <w:kern w:val="2"/>
                              <w:sz w:val="22"/>
                              <w:szCs w:val="22"/>
                            </w:rPr>
                          </w:pPr>
                          <w:r>
                            <w:rPr>
                              <w:rFonts w:eastAsia="MS Mincho"/>
                              <w:kern w:val="2"/>
                              <w:sz w:val="22"/>
                              <w:szCs w:val="22"/>
                            </w:rPr>
                            <w:t>ST39: Augantis interneto svetainės lankomumas.</w:t>
                          </w:r>
                        </w:p>
                      </w:tc>
                      <w:tc>
                        <w:tcPr>
                          <w:tcW w:w="2497" w:type="pct"/>
                          <w:gridSpan w:val="2"/>
                          <w:shd w:val="clear" w:color="auto" w:fill="auto"/>
                          <w:tcMar>
                            <w:top w:w="72" w:type="dxa"/>
                            <w:left w:w="144" w:type="dxa"/>
                            <w:bottom w:w="72" w:type="dxa"/>
                            <w:right w:w="144" w:type="dxa"/>
                          </w:tcMar>
                        </w:tcPr>
                        <w:p>
                          <w:pPr>
                            <w:rPr>
                              <w:sz w:val="10"/>
                              <w:szCs w:val="10"/>
                            </w:rPr>
                          </w:pPr>
                        </w:p>
                        <w:p>
                          <w:pPr>
                            <w:ind w:right="142"/>
                            <w:jc w:val="both"/>
                            <w:rPr>
                              <w:rFonts w:eastAsia="MS Mincho"/>
                              <w:kern w:val="2"/>
                              <w:sz w:val="22"/>
                              <w:szCs w:val="22"/>
                            </w:rPr>
                          </w:pPr>
                          <w:r>
                            <w:rPr>
                              <w:rFonts w:eastAsia="MS Mincho"/>
                              <w:kern w:val="2"/>
                              <w:sz w:val="22"/>
                              <w:szCs w:val="22"/>
                            </w:rPr>
                            <w:t>SI1: Mažėjantis gimstamumas;</w:t>
                          </w:r>
                        </w:p>
                        <w:p>
                          <w:pPr>
                            <w:rPr>
                              <w:sz w:val="10"/>
                              <w:szCs w:val="10"/>
                            </w:rPr>
                          </w:pPr>
                        </w:p>
                        <w:p>
                          <w:pPr>
                            <w:ind w:right="142"/>
                            <w:jc w:val="both"/>
                            <w:rPr>
                              <w:rFonts w:eastAsia="MS Mincho"/>
                              <w:kern w:val="2"/>
                              <w:sz w:val="22"/>
                              <w:szCs w:val="22"/>
                            </w:rPr>
                          </w:pPr>
                          <w:r>
                            <w:rPr>
                              <w:rFonts w:eastAsia="MS Mincho"/>
                              <w:kern w:val="2"/>
                              <w:sz w:val="22"/>
                              <w:szCs w:val="22"/>
                            </w:rPr>
                            <w:t>SI2: Daugiausia tarp didžiųjų miestų išaugęs demografinės senatvės koeficientas (65+ m. žmonių skaičius, tenkantis 100 vaikų iki 15 m.);</w:t>
                          </w:r>
                        </w:p>
                        <w:p>
                          <w:pPr>
                            <w:rPr>
                              <w:sz w:val="10"/>
                              <w:szCs w:val="10"/>
                            </w:rPr>
                          </w:pPr>
                        </w:p>
                        <w:p>
                          <w:pPr>
                            <w:ind w:right="142"/>
                            <w:jc w:val="both"/>
                            <w:rPr>
                              <w:rFonts w:eastAsia="MS Mincho"/>
                              <w:kern w:val="2"/>
                              <w:sz w:val="22"/>
                              <w:szCs w:val="22"/>
                            </w:rPr>
                          </w:pPr>
                          <w:r>
                            <w:rPr>
                              <w:rFonts w:eastAsia="MS Mincho"/>
                              <w:kern w:val="2"/>
                              <w:sz w:val="22"/>
                              <w:szCs w:val="22"/>
                            </w:rPr>
                            <w:t>SI3: Žemas darbo užmokestis, palyginti su didžiaisiais miestais ir Lietuvos vidurkiu;</w:t>
                          </w:r>
                        </w:p>
                        <w:p>
                          <w:pPr>
                            <w:rPr>
                              <w:sz w:val="10"/>
                              <w:szCs w:val="10"/>
                            </w:rPr>
                          </w:pPr>
                        </w:p>
                        <w:p>
                          <w:pPr>
                            <w:ind w:right="142"/>
                            <w:jc w:val="both"/>
                            <w:rPr>
                              <w:rFonts w:eastAsia="MS Mincho"/>
                              <w:kern w:val="2"/>
                              <w:sz w:val="22"/>
                              <w:szCs w:val="22"/>
                            </w:rPr>
                          </w:pPr>
                          <w:r>
                            <w:rPr>
                              <w:rFonts w:eastAsia="MS Mincho"/>
                              <w:kern w:val="2"/>
                              <w:sz w:val="22"/>
                              <w:szCs w:val="22"/>
                            </w:rPr>
                            <w:t>SI4: Po COVID-19 pandemijos išaugęs bedarbių skaičius;</w:t>
                          </w:r>
                        </w:p>
                        <w:p>
                          <w:pPr>
                            <w:rPr>
                              <w:sz w:val="10"/>
                              <w:szCs w:val="10"/>
                            </w:rPr>
                          </w:pPr>
                        </w:p>
                        <w:p>
                          <w:pPr>
                            <w:ind w:right="142"/>
                            <w:jc w:val="both"/>
                            <w:rPr>
                              <w:rFonts w:eastAsia="MS Mincho"/>
                              <w:kern w:val="2"/>
                              <w:sz w:val="22"/>
                              <w:szCs w:val="22"/>
                            </w:rPr>
                          </w:pPr>
                          <w:r>
                            <w:rPr>
                              <w:rFonts w:eastAsia="MS Mincho"/>
                              <w:kern w:val="2"/>
                              <w:sz w:val="22"/>
                              <w:szCs w:val="22"/>
                            </w:rPr>
                            <w:t>SI5: Pritraukiama nepakankamai didelių (sukuriančių ne mažiau kaip 20 darbo vietų) investuotojų;</w:t>
                          </w:r>
                        </w:p>
                        <w:p>
                          <w:pPr>
                            <w:rPr>
                              <w:sz w:val="10"/>
                              <w:szCs w:val="10"/>
                            </w:rPr>
                          </w:pPr>
                        </w:p>
                        <w:p>
                          <w:pPr>
                            <w:ind w:right="142"/>
                            <w:jc w:val="both"/>
                            <w:rPr>
                              <w:rFonts w:eastAsia="MS Mincho"/>
                              <w:kern w:val="2"/>
                              <w:sz w:val="22"/>
                              <w:szCs w:val="22"/>
                            </w:rPr>
                          </w:pPr>
                          <w:r>
                            <w:rPr>
                              <w:rFonts w:eastAsia="MS Mincho"/>
                              <w:kern w:val="2"/>
                              <w:sz w:val="22"/>
                              <w:szCs w:val="22"/>
                            </w:rPr>
                            <w:t>SI6:</w:t>
                          </w:r>
                          <w:r>
                            <w:rPr>
                              <w:rFonts w:eastAsia="MS Mincho"/>
                              <w:kern w:val="2"/>
                              <w:sz w:val="22"/>
                              <w:szCs w:val="24"/>
                            </w:rPr>
                            <w:t xml:space="preserve"> </w:t>
                          </w:r>
                          <w:r>
                            <w:rPr>
                              <w:rFonts w:eastAsia="MS Mincho"/>
                              <w:kern w:val="2"/>
                              <w:sz w:val="22"/>
                              <w:szCs w:val="22"/>
                            </w:rPr>
                            <w:t>Mažėja vaikų ir jaunimo;</w:t>
                          </w:r>
                        </w:p>
                        <w:p>
                          <w:pPr>
                            <w:rPr>
                              <w:sz w:val="10"/>
                              <w:szCs w:val="10"/>
                            </w:rPr>
                          </w:pPr>
                        </w:p>
                        <w:p>
                          <w:pPr>
                            <w:ind w:right="142"/>
                            <w:jc w:val="both"/>
                            <w:rPr>
                              <w:rFonts w:eastAsia="MS Mincho"/>
                              <w:kern w:val="2"/>
                              <w:sz w:val="22"/>
                              <w:szCs w:val="22"/>
                            </w:rPr>
                          </w:pPr>
                          <w:r>
                            <w:rPr>
                              <w:rFonts w:eastAsia="MS Mincho"/>
                              <w:kern w:val="2"/>
                              <w:sz w:val="22"/>
                              <w:szCs w:val="22"/>
                            </w:rPr>
                            <w:t>SI7: Sudėtingas vaikų vasaros stovyklų finansavimo ir organizavimo procesas, mažinantis mokinių dalyvavimą vasaros stovyklose;</w:t>
                          </w:r>
                        </w:p>
                        <w:p>
                          <w:pPr>
                            <w:rPr>
                              <w:sz w:val="10"/>
                              <w:szCs w:val="10"/>
                            </w:rPr>
                          </w:pPr>
                        </w:p>
                        <w:p>
                          <w:pPr>
                            <w:jc w:val="both"/>
                            <w:rPr>
                              <w:kern w:val="2"/>
                              <w:sz w:val="22"/>
                              <w:szCs w:val="22"/>
                            </w:rPr>
                          </w:pPr>
                          <w:r>
                            <w:rPr>
                              <w:kern w:val="2"/>
                              <w:sz w:val="22"/>
                              <w:szCs w:val="22"/>
                            </w:rPr>
                            <w:t>SI8: Sporto infrastruktūros trūkumas šaltuoju metu (regbis, futbolas, žolės riedulys);</w:t>
                          </w:r>
                        </w:p>
                        <w:p>
                          <w:pPr>
                            <w:rPr>
                              <w:sz w:val="10"/>
                              <w:szCs w:val="10"/>
                            </w:rPr>
                          </w:pPr>
                        </w:p>
                        <w:p>
                          <w:pPr>
                            <w:jc w:val="both"/>
                            <w:rPr>
                              <w:kern w:val="2"/>
                              <w:sz w:val="22"/>
                              <w:szCs w:val="22"/>
                            </w:rPr>
                          </w:pPr>
                          <w:r>
                            <w:rPr>
                              <w:kern w:val="2"/>
                              <w:sz w:val="22"/>
                              <w:szCs w:val="22"/>
                            </w:rPr>
                            <w:t>SI9: Sporto vadovų, specialistų, sporto medikų ir trenerių stoka ir jų pritraukimo galimybės;</w:t>
                          </w:r>
                        </w:p>
                        <w:p>
                          <w:pPr>
                            <w:rPr>
                              <w:sz w:val="10"/>
                              <w:szCs w:val="10"/>
                            </w:rPr>
                          </w:pPr>
                        </w:p>
                        <w:p>
                          <w:pPr>
                            <w:ind w:right="142"/>
                            <w:jc w:val="both"/>
                            <w:rPr>
                              <w:rFonts w:eastAsia="MS Mincho"/>
                              <w:kern w:val="2"/>
                              <w:sz w:val="22"/>
                              <w:szCs w:val="22"/>
                            </w:rPr>
                          </w:pPr>
                          <w:r>
                            <w:rPr>
                              <w:rFonts w:eastAsia="MS Mincho"/>
                              <w:kern w:val="2"/>
                              <w:sz w:val="22"/>
                              <w:szCs w:val="22"/>
                            </w:rPr>
                            <w:t>SI10: Sumažėjęs turistų skaičius po COVID-19 pandemijos karantino ir kelionių ribojimų;</w:t>
                          </w:r>
                        </w:p>
                        <w:p>
                          <w:pPr>
                            <w:rPr>
                              <w:sz w:val="10"/>
                              <w:szCs w:val="10"/>
                            </w:rPr>
                          </w:pPr>
                        </w:p>
                        <w:p>
                          <w:pPr>
                            <w:ind w:right="142"/>
                            <w:jc w:val="both"/>
                            <w:rPr>
                              <w:rFonts w:eastAsia="MS Mincho"/>
                              <w:kern w:val="2"/>
                              <w:sz w:val="22"/>
                              <w:szCs w:val="22"/>
                            </w:rPr>
                          </w:pPr>
                          <w:r>
                            <w:rPr>
                              <w:rFonts w:eastAsia="MS Mincho"/>
                              <w:kern w:val="2"/>
                              <w:sz w:val="22"/>
                              <w:szCs w:val="22"/>
                            </w:rPr>
                            <w:t>SI11: Mažiausias vietų ir nakvynių skaičius apgyvendinimo įstaigose 1000 gyventojų, vyrauja vienos dienos turistai;</w:t>
                          </w:r>
                        </w:p>
                        <w:p>
                          <w:pPr>
                            <w:rPr>
                              <w:sz w:val="10"/>
                              <w:szCs w:val="10"/>
                            </w:rPr>
                          </w:pPr>
                        </w:p>
                        <w:p>
                          <w:pPr>
                            <w:ind w:right="142"/>
                            <w:jc w:val="both"/>
                            <w:rPr>
                              <w:rFonts w:eastAsia="MS Mincho"/>
                              <w:kern w:val="2"/>
                              <w:sz w:val="22"/>
                              <w:szCs w:val="22"/>
                            </w:rPr>
                          </w:pPr>
                          <w:r>
                            <w:rPr>
                              <w:rFonts w:eastAsia="MS Mincho"/>
                              <w:kern w:val="2"/>
                              <w:sz w:val="22"/>
                              <w:szCs w:val="22"/>
                            </w:rPr>
                            <w:t>SI12: Apgyvendinimo vietų trūkumas didelėms turistų grupėms ir masinių renginių metu;</w:t>
                          </w:r>
                        </w:p>
                        <w:p>
                          <w:pPr>
                            <w:rPr>
                              <w:sz w:val="10"/>
                              <w:szCs w:val="10"/>
                            </w:rPr>
                          </w:pPr>
                        </w:p>
                        <w:p>
                          <w:pPr>
                            <w:ind w:right="142"/>
                            <w:jc w:val="both"/>
                            <w:rPr>
                              <w:rFonts w:eastAsia="MS Mincho"/>
                              <w:kern w:val="2"/>
                              <w:sz w:val="22"/>
                              <w:szCs w:val="22"/>
                            </w:rPr>
                          </w:pPr>
                          <w:r>
                            <w:rPr>
                              <w:rFonts w:eastAsia="MS Mincho"/>
                              <w:kern w:val="2"/>
                              <w:sz w:val="22"/>
                              <w:szCs w:val="22"/>
                            </w:rPr>
                            <w:t>SI13: Naujų kultūros renginių raiškos formų stoka;</w:t>
                          </w:r>
                        </w:p>
                        <w:p>
                          <w:pPr>
                            <w:rPr>
                              <w:sz w:val="10"/>
                              <w:szCs w:val="10"/>
                            </w:rPr>
                          </w:pPr>
                        </w:p>
                        <w:p>
                          <w:pPr>
                            <w:ind w:right="142"/>
                            <w:jc w:val="both"/>
                            <w:rPr>
                              <w:rFonts w:eastAsia="MS Mincho"/>
                              <w:kern w:val="2"/>
                              <w:sz w:val="22"/>
                              <w:szCs w:val="22"/>
                            </w:rPr>
                          </w:pPr>
                          <w:r>
                            <w:rPr>
                              <w:rFonts w:eastAsia="MS Mincho"/>
                              <w:kern w:val="2"/>
                              <w:sz w:val="22"/>
                              <w:szCs w:val="22"/>
                            </w:rPr>
                            <w:t>SI14: Po pandemijos smunkantis bibliotekų vartotojų ir lankytojų skaičius;</w:t>
                          </w:r>
                        </w:p>
                        <w:p>
                          <w:pPr>
                            <w:rPr>
                              <w:sz w:val="10"/>
                              <w:szCs w:val="10"/>
                            </w:rPr>
                          </w:pPr>
                        </w:p>
                        <w:p>
                          <w:pPr>
                            <w:ind w:right="142"/>
                            <w:jc w:val="both"/>
                            <w:rPr>
                              <w:rFonts w:eastAsia="MS Mincho"/>
                              <w:kern w:val="2"/>
                              <w:sz w:val="22"/>
                              <w:szCs w:val="22"/>
                            </w:rPr>
                          </w:pPr>
                          <w:r>
                            <w:rPr>
                              <w:rFonts w:eastAsia="MS Mincho"/>
                              <w:kern w:val="2"/>
                              <w:sz w:val="22"/>
                              <w:szCs w:val="22"/>
                            </w:rPr>
                            <w:t>SI15: Sumažėjęs praktikuojančių gydytojų, odontologų ir slaugytojų skaičius;</w:t>
                          </w:r>
                        </w:p>
                        <w:p>
                          <w:pPr>
                            <w:rPr>
                              <w:sz w:val="10"/>
                              <w:szCs w:val="10"/>
                            </w:rPr>
                          </w:pPr>
                        </w:p>
                        <w:p>
                          <w:pPr>
                            <w:ind w:right="142"/>
                            <w:jc w:val="both"/>
                            <w:rPr>
                              <w:rFonts w:eastAsia="MS Mincho"/>
                              <w:kern w:val="2"/>
                              <w:sz w:val="22"/>
                              <w:szCs w:val="22"/>
                            </w:rPr>
                          </w:pPr>
                          <w:r>
                            <w:rPr>
                              <w:rFonts w:eastAsia="MS Mincho"/>
                              <w:kern w:val="2"/>
                              <w:sz w:val="22"/>
                              <w:szCs w:val="22"/>
                            </w:rPr>
                            <w:t>SI16: Sveikatos srities specialistų trūkumas, pavyzdžiui, šeimos gydytojų komandos paslaugas teikiantys specialistai, visuomenės sveikatos specialistai, vaikų psichiatrai ir kt.;</w:t>
                          </w:r>
                        </w:p>
                        <w:p>
                          <w:pPr>
                            <w:rPr>
                              <w:sz w:val="10"/>
                              <w:szCs w:val="10"/>
                            </w:rPr>
                          </w:pPr>
                        </w:p>
                        <w:p>
                          <w:pPr>
                            <w:ind w:right="142"/>
                            <w:jc w:val="both"/>
                            <w:rPr>
                              <w:rFonts w:eastAsia="MS Mincho"/>
                              <w:kern w:val="2"/>
                              <w:sz w:val="22"/>
                              <w:szCs w:val="22"/>
                            </w:rPr>
                          </w:pPr>
                          <w:r>
                            <w:rPr>
                              <w:rFonts w:eastAsia="MS Mincho"/>
                              <w:kern w:val="2"/>
                              <w:sz w:val="22"/>
                              <w:szCs w:val="22"/>
                            </w:rPr>
                            <w:t>SI17: Didžiausias skaičius vyrų savižudybių ir vyrų mirčių dėl išorinių priežasčių, palyginti su kitais didžiaisiais miestais;</w:t>
                          </w:r>
                        </w:p>
                        <w:p>
                          <w:pPr>
                            <w:rPr>
                              <w:sz w:val="10"/>
                              <w:szCs w:val="10"/>
                            </w:rPr>
                          </w:pPr>
                        </w:p>
                        <w:p>
                          <w:pPr>
                            <w:ind w:right="142"/>
                            <w:jc w:val="both"/>
                            <w:rPr>
                              <w:rFonts w:eastAsia="MS Mincho"/>
                              <w:kern w:val="2"/>
                              <w:sz w:val="22"/>
                              <w:szCs w:val="22"/>
                            </w:rPr>
                          </w:pPr>
                          <w:r>
                            <w:rPr>
                              <w:rFonts w:eastAsia="MS Mincho"/>
                              <w:kern w:val="2"/>
                              <w:sz w:val="22"/>
                              <w:szCs w:val="22"/>
                            </w:rPr>
                            <w:t>SI18: Augantis socialinės pašalpos gavėjų skaičius;</w:t>
                          </w:r>
                        </w:p>
                        <w:p>
                          <w:pPr>
                            <w:rPr>
                              <w:sz w:val="10"/>
                              <w:szCs w:val="10"/>
                            </w:rPr>
                          </w:pPr>
                        </w:p>
                        <w:p>
                          <w:pPr>
                            <w:ind w:right="142"/>
                            <w:jc w:val="both"/>
                            <w:rPr>
                              <w:rFonts w:eastAsia="MS Mincho"/>
                              <w:kern w:val="2"/>
                              <w:sz w:val="22"/>
                              <w:szCs w:val="22"/>
                            </w:rPr>
                          </w:pPr>
                          <w:r>
                            <w:rPr>
                              <w:rFonts w:eastAsia="MS Mincho"/>
                              <w:kern w:val="2"/>
                              <w:sz w:val="22"/>
                              <w:szCs w:val="22"/>
                            </w:rPr>
                            <w:t>SI19: Išaugęs vaikų, augančių šeimose, kurioms taikoma atvejo vadyba, skaičius;</w:t>
                          </w:r>
                        </w:p>
                        <w:p>
                          <w:pPr>
                            <w:rPr>
                              <w:sz w:val="10"/>
                              <w:szCs w:val="10"/>
                            </w:rPr>
                          </w:pPr>
                        </w:p>
                        <w:p>
                          <w:pPr>
                            <w:ind w:right="142"/>
                            <w:jc w:val="both"/>
                            <w:rPr>
                              <w:rFonts w:eastAsia="MS Mincho"/>
                              <w:kern w:val="2"/>
                              <w:sz w:val="22"/>
                              <w:szCs w:val="22"/>
                            </w:rPr>
                          </w:pPr>
                          <w:r>
                            <w:rPr>
                              <w:rFonts w:eastAsia="MS Mincho"/>
                              <w:kern w:val="2"/>
                              <w:sz w:val="22"/>
                              <w:szCs w:val="22"/>
                            </w:rPr>
                            <w:t>SI20: Didesnis laukiančiųjų nuomotis socialinį būstą skaičius, palyginti su nuomojančiųjų skaičiumi, t. y. gaunančiais būsto nuomos kompensaciją;</w:t>
                          </w:r>
                        </w:p>
                        <w:p>
                          <w:pPr>
                            <w:rPr>
                              <w:sz w:val="10"/>
                              <w:szCs w:val="10"/>
                            </w:rPr>
                          </w:pPr>
                        </w:p>
                        <w:p>
                          <w:pPr>
                            <w:ind w:right="142"/>
                            <w:jc w:val="both"/>
                            <w:rPr>
                              <w:rFonts w:eastAsia="MS Mincho"/>
                              <w:kern w:val="2"/>
                              <w:sz w:val="22"/>
                              <w:szCs w:val="22"/>
                            </w:rPr>
                          </w:pPr>
                          <w:r>
                            <w:rPr>
                              <w:rFonts w:eastAsia="MS Mincho"/>
                              <w:kern w:val="2"/>
                              <w:sz w:val="22"/>
                              <w:szCs w:val="22"/>
                            </w:rPr>
                            <w:t>SI21: Padidėjęs šeimų, kurioms taikoma atvejo vadyba dėl smurto, skaičius;</w:t>
                          </w:r>
                        </w:p>
                        <w:p>
                          <w:pPr>
                            <w:rPr>
                              <w:sz w:val="10"/>
                              <w:szCs w:val="10"/>
                            </w:rPr>
                          </w:pPr>
                        </w:p>
                        <w:p>
                          <w:pPr>
                            <w:ind w:right="142"/>
                            <w:jc w:val="both"/>
                            <w:rPr>
                              <w:rFonts w:eastAsia="MS Mincho"/>
                              <w:kern w:val="2"/>
                              <w:sz w:val="22"/>
                              <w:szCs w:val="22"/>
                            </w:rPr>
                          </w:pPr>
                          <w:r>
                            <w:rPr>
                              <w:rFonts w:eastAsia="MS Mincho"/>
                              <w:kern w:val="2"/>
                              <w:sz w:val="22"/>
                              <w:szCs w:val="22"/>
                            </w:rPr>
                            <w:t>SI22: Didėjanti oro tarša ir triukšmas mieste dėl augančio automobilių skaičiaus;</w:t>
                          </w:r>
                        </w:p>
                        <w:p>
                          <w:pPr>
                            <w:rPr>
                              <w:sz w:val="10"/>
                              <w:szCs w:val="10"/>
                            </w:rPr>
                          </w:pPr>
                        </w:p>
                        <w:p>
                          <w:pPr>
                            <w:ind w:right="142"/>
                            <w:jc w:val="both"/>
                            <w:rPr>
                              <w:rFonts w:eastAsia="MS Mincho"/>
                              <w:kern w:val="2"/>
                              <w:sz w:val="22"/>
                              <w:szCs w:val="22"/>
                            </w:rPr>
                          </w:pPr>
                          <w:r>
                            <w:rPr>
                              <w:rFonts w:eastAsia="MS Mincho"/>
                              <w:kern w:val="2"/>
                              <w:sz w:val="22"/>
                              <w:szCs w:val="22"/>
                            </w:rPr>
                            <w:t>SI23: Nepakankama tvarka ir jos kontrolės priemonės prie daugiabučių atliekų konteinerių;</w:t>
                          </w:r>
                        </w:p>
                        <w:p>
                          <w:pPr>
                            <w:rPr>
                              <w:sz w:val="10"/>
                              <w:szCs w:val="10"/>
                            </w:rPr>
                          </w:pPr>
                        </w:p>
                        <w:p>
                          <w:pPr>
                            <w:ind w:right="142"/>
                            <w:jc w:val="both"/>
                            <w:rPr>
                              <w:rFonts w:eastAsia="MS Mincho"/>
                              <w:kern w:val="2"/>
                              <w:sz w:val="22"/>
                              <w:szCs w:val="22"/>
                            </w:rPr>
                          </w:pPr>
                          <w:r>
                            <w:rPr>
                              <w:rFonts w:eastAsia="MS Mincho"/>
                              <w:kern w:val="2"/>
                              <w:sz w:val="22"/>
                              <w:szCs w:val="22"/>
                            </w:rPr>
                            <w:t>SI24: Auga susidarančių komunalinių atliekų kiekis vienam gyventojui;</w:t>
                          </w:r>
                        </w:p>
                        <w:p>
                          <w:pPr>
                            <w:rPr>
                              <w:sz w:val="10"/>
                              <w:szCs w:val="10"/>
                            </w:rPr>
                          </w:pPr>
                        </w:p>
                        <w:p>
                          <w:pPr>
                            <w:ind w:right="142"/>
                            <w:jc w:val="both"/>
                            <w:rPr>
                              <w:rFonts w:eastAsia="MS Mincho"/>
                              <w:kern w:val="2"/>
                              <w:sz w:val="22"/>
                              <w:szCs w:val="22"/>
                            </w:rPr>
                          </w:pPr>
                          <w:r>
                            <w:rPr>
                              <w:rFonts w:eastAsia="MS Mincho"/>
                              <w:kern w:val="2"/>
                              <w:sz w:val="22"/>
                              <w:szCs w:val="22"/>
                            </w:rPr>
                            <w:t>SI25: Atsinaujinančių energijos išteklių naudojimo skatinimo ir energijos vartojimo efektyvumo didinimo srityse Šiaulių miestas užima 52 vietą tarp 60 Lietuvos savivaldybių (2022 m.);</w:t>
                          </w:r>
                        </w:p>
                        <w:p>
                          <w:pPr>
                            <w:rPr>
                              <w:sz w:val="10"/>
                              <w:szCs w:val="10"/>
                            </w:rPr>
                          </w:pPr>
                        </w:p>
                        <w:p>
                          <w:pPr>
                            <w:ind w:right="142"/>
                            <w:jc w:val="both"/>
                            <w:rPr>
                              <w:rFonts w:eastAsia="MS Mincho"/>
                              <w:kern w:val="2"/>
                              <w:sz w:val="22"/>
                              <w:szCs w:val="22"/>
                            </w:rPr>
                          </w:pPr>
                          <w:r>
                            <w:rPr>
                              <w:rFonts w:eastAsia="MS Mincho"/>
                              <w:kern w:val="2"/>
                              <w:sz w:val="22"/>
                              <w:szCs w:val="22"/>
                            </w:rPr>
                            <w:t>SI26: Tankiai urbanizuotose miesto dalyse mažėja gyventojų, nes jie keliasi į vienbučius namus priemiesčiuose, kur mokyklų ir darželių tinklas yra mažiau išvystytas;</w:t>
                          </w:r>
                        </w:p>
                        <w:p>
                          <w:pPr>
                            <w:rPr>
                              <w:sz w:val="10"/>
                              <w:szCs w:val="10"/>
                            </w:rPr>
                          </w:pPr>
                        </w:p>
                        <w:p>
                          <w:pPr>
                            <w:ind w:right="142"/>
                            <w:jc w:val="both"/>
                            <w:rPr>
                              <w:rFonts w:eastAsia="MS Mincho"/>
                              <w:kern w:val="2"/>
                              <w:sz w:val="22"/>
                              <w:szCs w:val="22"/>
                            </w:rPr>
                          </w:pPr>
                          <w:r>
                            <w:rPr>
                              <w:rFonts w:eastAsia="MS Mincho"/>
                              <w:kern w:val="2"/>
                              <w:sz w:val="22"/>
                              <w:szCs w:val="22"/>
                            </w:rPr>
                            <w:t>SI27: Svarbiausi tarptautiniai keliai aplenkia Šiaulius (Rail Baltica, Via Baltica). Dėl trūkstamos aplinkkelio dalies šiaurės-rytuose intensyvus eismas juda per centrinę miesto dalį;</w:t>
                          </w:r>
                        </w:p>
                        <w:p>
                          <w:pPr>
                            <w:rPr>
                              <w:sz w:val="10"/>
                              <w:szCs w:val="10"/>
                            </w:rPr>
                          </w:pPr>
                        </w:p>
                        <w:p>
                          <w:pPr>
                            <w:ind w:right="142"/>
                            <w:jc w:val="both"/>
                            <w:rPr>
                              <w:rFonts w:eastAsia="MS Mincho"/>
                              <w:kern w:val="2"/>
                              <w:sz w:val="22"/>
                              <w:szCs w:val="22"/>
                            </w:rPr>
                          </w:pPr>
                          <w:r>
                            <w:rPr>
                              <w:rFonts w:eastAsia="MS Mincho"/>
                              <w:kern w:val="2"/>
                              <w:sz w:val="22"/>
                              <w:szCs w:val="22"/>
                            </w:rPr>
                            <w:t>SI28: Viešasis transportas: mažėjančios pervežtų keleivių apimtys, tobulintinas viešojo transporto judėjimo grafikas.</w:t>
                          </w:r>
                        </w:p>
                        <w:p>
                          <w:pPr>
                            <w:rPr>
                              <w:sz w:val="10"/>
                              <w:szCs w:val="10"/>
                            </w:rPr>
                          </w:pPr>
                        </w:p>
                        <w:p>
                          <w:pPr>
                            <w:ind w:right="142"/>
                            <w:jc w:val="both"/>
                            <w:rPr>
                              <w:rFonts w:eastAsia="MS Mincho"/>
                              <w:kern w:val="2"/>
                              <w:sz w:val="22"/>
                              <w:szCs w:val="22"/>
                            </w:rPr>
                          </w:pPr>
                          <w:r>
                            <w:rPr>
                              <w:rFonts w:eastAsia="MS Mincho"/>
                              <w:kern w:val="2"/>
                              <w:sz w:val="22"/>
                              <w:szCs w:val="22"/>
                            </w:rPr>
                            <w:t>SI29: Prastos būklės dviračių takų tinklas;</w:t>
                          </w:r>
                        </w:p>
                        <w:p>
                          <w:pPr>
                            <w:rPr>
                              <w:sz w:val="10"/>
                              <w:szCs w:val="10"/>
                            </w:rPr>
                          </w:pPr>
                        </w:p>
                        <w:p>
                          <w:pPr>
                            <w:ind w:right="142"/>
                            <w:jc w:val="both"/>
                            <w:rPr>
                              <w:rFonts w:eastAsia="MS Mincho"/>
                              <w:kern w:val="2"/>
                              <w:sz w:val="22"/>
                              <w:szCs w:val="22"/>
                            </w:rPr>
                          </w:pPr>
                          <w:r>
                            <w:rPr>
                              <w:rFonts w:eastAsia="MS Mincho"/>
                              <w:kern w:val="2"/>
                              <w:sz w:val="22"/>
                              <w:szCs w:val="22"/>
                            </w:rPr>
                            <w:t>SI30: Blogėjanti esamų gatvių infrastruktūra;</w:t>
                          </w:r>
                        </w:p>
                        <w:p>
                          <w:pPr>
                            <w:rPr>
                              <w:sz w:val="10"/>
                              <w:szCs w:val="10"/>
                            </w:rPr>
                          </w:pPr>
                        </w:p>
                        <w:p>
                          <w:pPr>
                            <w:ind w:right="142"/>
                            <w:jc w:val="both"/>
                            <w:rPr>
                              <w:rFonts w:eastAsia="MS Mincho"/>
                              <w:kern w:val="2"/>
                              <w:sz w:val="22"/>
                              <w:szCs w:val="22"/>
                            </w:rPr>
                          </w:pPr>
                          <w:r>
                            <w:rPr>
                              <w:rFonts w:eastAsia="MS Mincho"/>
                              <w:kern w:val="2"/>
                              <w:sz w:val="22"/>
                              <w:szCs w:val="22"/>
                            </w:rPr>
                            <w:t>SI31: Elektromobilių stotelių trūkumas;</w:t>
                          </w:r>
                        </w:p>
                        <w:p>
                          <w:pPr>
                            <w:rPr>
                              <w:sz w:val="10"/>
                              <w:szCs w:val="10"/>
                            </w:rPr>
                          </w:pPr>
                        </w:p>
                        <w:p>
                          <w:pPr>
                            <w:ind w:right="142"/>
                            <w:jc w:val="both"/>
                            <w:rPr>
                              <w:rFonts w:eastAsia="MS Mincho"/>
                              <w:kern w:val="2"/>
                              <w:sz w:val="22"/>
                              <w:szCs w:val="22"/>
                            </w:rPr>
                          </w:pPr>
                          <w:r>
                            <w:rPr>
                              <w:rFonts w:eastAsia="MS Mincho"/>
                              <w:kern w:val="2"/>
                              <w:sz w:val="22"/>
                              <w:szCs w:val="22"/>
                            </w:rPr>
                            <w:t>SI32: Netolygus vaizdo stebėjimo kamerų išdėstymas, koncentruojantis į centrinę Šiaulių miesto dalį;</w:t>
                          </w:r>
                        </w:p>
                        <w:p>
                          <w:pPr>
                            <w:rPr>
                              <w:sz w:val="10"/>
                              <w:szCs w:val="10"/>
                            </w:rPr>
                          </w:pPr>
                        </w:p>
                        <w:p>
                          <w:pPr>
                            <w:ind w:right="142"/>
                            <w:jc w:val="both"/>
                            <w:rPr>
                              <w:rFonts w:eastAsia="MS Mincho"/>
                              <w:kern w:val="2"/>
                              <w:sz w:val="22"/>
                              <w:szCs w:val="22"/>
                            </w:rPr>
                          </w:pPr>
                          <w:r>
                            <w:rPr>
                              <w:rFonts w:eastAsia="MS Mincho"/>
                              <w:kern w:val="2"/>
                              <w:sz w:val="22"/>
                              <w:szCs w:val="22"/>
                            </w:rPr>
                            <w:t>SI33: Nusikalstamų veikų ir nepilnamečių, įtariamų padarius nusikalstamas veikas, skaičius išlieka aukščiausi tarp didžiųjų miestų ir palyginti su Lietuvos vidurkiu.;</w:t>
                          </w:r>
                        </w:p>
                        <w:p>
                          <w:pPr>
                            <w:rPr>
                              <w:sz w:val="10"/>
                              <w:szCs w:val="10"/>
                            </w:rPr>
                          </w:pPr>
                        </w:p>
                        <w:p>
                          <w:pPr>
                            <w:ind w:right="142"/>
                            <w:jc w:val="both"/>
                            <w:rPr>
                              <w:rFonts w:eastAsia="MS Mincho"/>
                              <w:kern w:val="2"/>
                              <w:sz w:val="22"/>
                              <w:szCs w:val="22"/>
                            </w:rPr>
                          </w:pPr>
                          <w:r>
                            <w:rPr>
                              <w:rFonts w:eastAsia="MS Mincho"/>
                              <w:kern w:val="2"/>
                              <w:sz w:val="22"/>
                              <w:szCs w:val="22"/>
                            </w:rPr>
                            <w:t>SI34: Aukštos kvalifikacijos darbuotojų (ypač IT srityje) trūkumas valstybės tarnyboje.</w:t>
                          </w:r>
                        </w:p>
                      </w:tc>
                    </w:tr>
                    <w:tr>
                      <w:trPr>
                        <w:trHeight w:val="210"/>
                      </w:trPr>
                      <w:tc>
                        <w:tcPr>
                          <w:tcW w:w="2503" w:type="pct"/>
                          <w:gridSpan w:val="2"/>
                          <w:tcBorders>
                            <w:top w:val="nil"/>
                            <w:bottom w:val="single" w:sz="4" w:space="0" w:color="auto"/>
                          </w:tcBorders>
                          <w:shd w:val="clear" w:color="auto" w:fill="auto"/>
                          <w:tcMar>
                            <w:top w:w="72" w:type="dxa"/>
                            <w:left w:w="144" w:type="dxa"/>
                            <w:bottom w:w="72" w:type="dxa"/>
                            <w:right w:w="144" w:type="dxa"/>
                          </w:tcMar>
                          <w:vAlign w:val="center"/>
                        </w:tcPr>
                        <w:p>
                          <w:pPr>
                            <w:rPr>
                              <w:sz w:val="10"/>
                              <w:szCs w:val="10"/>
                            </w:rPr>
                          </w:pPr>
                        </w:p>
                        <w:p>
                          <w:pPr>
                            <w:ind w:right="142"/>
                            <w:jc w:val="center"/>
                            <w:rPr>
                              <w:rFonts w:eastAsia="MS Mincho"/>
                              <w:b/>
                              <w:bCs/>
                              <w:kern w:val="2"/>
                              <w:sz w:val="22"/>
                              <w:szCs w:val="22"/>
                            </w:rPr>
                          </w:pPr>
                          <w:r>
                            <w:rPr>
                              <w:rFonts w:eastAsia="MS Mincho"/>
                              <w:b/>
                              <w:bCs/>
                              <w:color w:val="FDB515"/>
                              <w:kern w:val="2"/>
                              <w:sz w:val="22"/>
                              <w:szCs w:val="24"/>
                            </w:rPr>
                            <w:t>GALIMYBĖS</w:t>
                          </w:r>
                        </w:p>
                      </w:tc>
                      <w:tc>
                        <w:tcPr>
                          <w:tcW w:w="2497" w:type="pct"/>
                          <w:gridSpan w:val="2"/>
                          <w:tcBorders>
                            <w:top w:val="nil"/>
                            <w:bottom w:val="single" w:sz="4" w:space="0" w:color="auto"/>
                          </w:tcBorders>
                          <w:shd w:val="clear" w:color="auto" w:fill="auto"/>
                          <w:tcMar>
                            <w:top w:w="72" w:type="dxa"/>
                            <w:left w:w="144" w:type="dxa"/>
                            <w:bottom w:w="72" w:type="dxa"/>
                            <w:right w:w="144" w:type="dxa"/>
                          </w:tcMar>
                          <w:vAlign w:val="center"/>
                        </w:tcPr>
                        <w:p>
                          <w:pPr>
                            <w:rPr>
                              <w:sz w:val="10"/>
                              <w:szCs w:val="10"/>
                            </w:rPr>
                          </w:pPr>
                        </w:p>
                        <w:p>
                          <w:pPr>
                            <w:keepNext/>
                            <w:ind w:right="142"/>
                            <w:jc w:val="center"/>
                            <w:rPr>
                              <w:rFonts w:eastAsia="MS Mincho"/>
                              <w:b/>
                              <w:bCs/>
                              <w:color w:val="E86700"/>
                              <w:kern w:val="2"/>
                              <w:sz w:val="22"/>
                              <w:szCs w:val="22"/>
                            </w:rPr>
                          </w:pPr>
                          <w:r>
                            <w:rPr>
                              <w:rFonts w:eastAsia="MS Mincho"/>
                              <w:b/>
                              <w:bCs/>
                              <w:color w:val="E86700"/>
                              <w:kern w:val="2"/>
                              <w:sz w:val="22"/>
                              <w:szCs w:val="24"/>
                            </w:rPr>
                            <w:t>GRĖSMĖS</w:t>
                          </w:r>
                        </w:p>
                      </w:tc>
                    </w:tr>
                    <w:tr>
                      <w:trPr>
                        <w:gridBefore w:val="1"/>
                        <w:wBefore w:w="5" w:type="pct"/>
                        <w:trHeight w:val="759"/>
                      </w:trPr>
                      <w:tc>
                        <w:tcPr>
                          <w:tcW w:w="2498" w:type="pct"/>
                          <w:shd w:val="clear" w:color="auto" w:fill="auto"/>
                          <w:tcMar>
                            <w:top w:w="72" w:type="dxa"/>
                            <w:left w:w="144" w:type="dxa"/>
                            <w:bottom w:w="72" w:type="dxa"/>
                            <w:right w:w="144" w:type="dxa"/>
                          </w:tcMar>
                        </w:tcPr>
                        <w:p>
                          <w:pPr>
                            <w:rPr>
                              <w:sz w:val="10"/>
                              <w:szCs w:val="10"/>
                            </w:rPr>
                          </w:pPr>
                        </w:p>
                        <w:p>
                          <w:pPr>
                            <w:ind w:right="142"/>
                            <w:jc w:val="both"/>
                            <w:rPr>
                              <w:rFonts w:eastAsia="MS Mincho"/>
                              <w:kern w:val="2"/>
                              <w:sz w:val="22"/>
                              <w:szCs w:val="22"/>
                            </w:rPr>
                          </w:pPr>
                          <w:r>
                            <w:rPr>
                              <w:rFonts w:eastAsia="MS Mincho"/>
                              <w:kern w:val="2"/>
                              <w:sz w:val="22"/>
                              <w:szCs w:val="22"/>
                            </w:rPr>
                            <w:t>GA1: Bėgant laikui po COVID-19 pandemijos karantino sukeltų padarinių, užimtumo lygis augs, o bedarbių skaičius – mažės;</w:t>
                          </w:r>
                        </w:p>
                        <w:p>
                          <w:pPr>
                            <w:rPr>
                              <w:sz w:val="10"/>
                              <w:szCs w:val="10"/>
                            </w:rPr>
                          </w:pPr>
                        </w:p>
                        <w:p>
                          <w:pPr>
                            <w:ind w:right="142"/>
                            <w:jc w:val="both"/>
                            <w:rPr>
                              <w:rFonts w:eastAsia="MS Mincho"/>
                              <w:kern w:val="2"/>
                              <w:sz w:val="22"/>
                              <w:szCs w:val="22"/>
                            </w:rPr>
                          </w:pPr>
                          <w:r>
                            <w:rPr>
                              <w:rFonts w:eastAsia="MS Mincho"/>
                              <w:kern w:val="2"/>
                              <w:sz w:val="22"/>
                              <w:szCs w:val="22"/>
                            </w:rPr>
                            <w:t>GA2: Iš valstybės biudžeto skiriamos lėšos užimtumo didinimo programų, orientuotų į ilgalaikius bedarbius, įgyvendinimui;</w:t>
                          </w:r>
                        </w:p>
                        <w:p>
                          <w:pPr>
                            <w:rPr>
                              <w:sz w:val="10"/>
                              <w:szCs w:val="10"/>
                            </w:rPr>
                          </w:pPr>
                        </w:p>
                        <w:p>
                          <w:pPr>
                            <w:ind w:right="142"/>
                            <w:jc w:val="both"/>
                            <w:rPr>
                              <w:rFonts w:eastAsia="MS Mincho"/>
                              <w:kern w:val="2"/>
                              <w:sz w:val="22"/>
                              <w:szCs w:val="22"/>
                            </w:rPr>
                          </w:pPr>
                          <w:r>
                            <w:rPr>
                              <w:rFonts w:eastAsia="MS Mincho"/>
                              <w:kern w:val="2"/>
                              <w:sz w:val="22"/>
                              <w:szCs w:val="22"/>
                            </w:rPr>
                            <w:t>GA3: Didžiausią augimo potencialą turintis medienos, antžeminio transporto priemonių, branduolinių reaktorių, katilų, mašinų ir mechaninių įrenginių eksportas Šiaulių apskrityje;</w:t>
                          </w:r>
                        </w:p>
                        <w:p>
                          <w:pPr>
                            <w:rPr>
                              <w:sz w:val="10"/>
                              <w:szCs w:val="10"/>
                            </w:rPr>
                          </w:pPr>
                        </w:p>
                        <w:p>
                          <w:pPr>
                            <w:ind w:right="142"/>
                            <w:jc w:val="both"/>
                            <w:rPr>
                              <w:rFonts w:eastAsia="MS Mincho"/>
                              <w:kern w:val="2"/>
                              <w:sz w:val="22"/>
                              <w:szCs w:val="22"/>
                            </w:rPr>
                          </w:pPr>
                          <w:r>
                            <w:rPr>
                              <w:rFonts w:eastAsia="MS Mincho"/>
                              <w:kern w:val="2"/>
                              <w:sz w:val="22"/>
                              <w:szCs w:val="22"/>
                            </w:rPr>
                            <w:t>GA4: Centrinei valdžiai patvirtinus geležinkelio infrastruktūros finansavimą, augtų Šiaulių regiono ekonominis konkurencingumas;</w:t>
                          </w:r>
                        </w:p>
                        <w:p>
                          <w:pPr>
                            <w:rPr>
                              <w:sz w:val="10"/>
                              <w:szCs w:val="10"/>
                            </w:rPr>
                          </w:pPr>
                        </w:p>
                        <w:p>
                          <w:pPr>
                            <w:ind w:right="142"/>
                            <w:jc w:val="both"/>
                            <w:rPr>
                              <w:rFonts w:eastAsia="MS Mincho"/>
                              <w:kern w:val="2"/>
                              <w:sz w:val="22"/>
                              <w:szCs w:val="22"/>
                            </w:rPr>
                          </w:pPr>
                          <w:r>
                            <w:rPr>
                              <w:rFonts w:eastAsia="MS Mincho"/>
                              <w:kern w:val="2"/>
                              <w:sz w:val="22"/>
                              <w:szCs w:val="22"/>
                            </w:rPr>
                            <w:t>GA5: COVID-19 pandemijos sąlygotas progresas nuotolinio mokymo srityje;</w:t>
                          </w:r>
                        </w:p>
                        <w:p>
                          <w:pPr>
                            <w:rPr>
                              <w:sz w:val="10"/>
                              <w:szCs w:val="10"/>
                            </w:rPr>
                          </w:pPr>
                        </w:p>
                        <w:p>
                          <w:pPr>
                            <w:ind w:right="142"/>
                            <w:jc w:val="both"/>
                            <w:rPr>
                              <w:rFonts w:eastAsia="MS Mincho"/>
                              <w:kern w:val="2"/>
                              <w:sz w:val="22"/>
                              <w:szCs w:val="22"/>
                            </w:rPr>
                          </w:pPr>
                          <w:r>
                            <w:rPr>
                              <w:rFonts w:eastAsia="MS Mincho"/>
                              <w:kern w:val="2"/>
                              <w:sz w:val="22"/>
                              <w:szCs w:val="22"/>
                            </w:rPr>
                            <w:t>GA6: Kryptinga vaikų ir jaunimo edukacija paklausių profesijų pasirinkimo klausimais;</w:t>
                          </w:r>
                        </w:p>
                        <w:p>
                          <w:pPr>
                            <w:rPr>
                              <w:sz w:val="10"/>
                              <w:szCs w:val="10"/>
                            </w:rPr>
                          </w:pPr>
                        </w:p>
                        <w:p>
                          <w:pPr>
                            <w:ind w:right="142"/>
                            <w:jc w:val="both"/>
                            <w:rPr>
                              <w:rFonts w:eastAsia="MS Mincho"/>
                              <w:kern w:val="2"/>
                              <w:sz w:val="22"/>
                              <w:szCs w:val="22"/>
                            </w:rPr>
                          </w:pPr>
                          <w:r>
                            <w:rPr>
                              <w:rFonts w:eastAsia="MS Mincho"/>
                              <w:kern w:val="2"/>
                              <w:sz w:val="22"/>
                              <w:szCs w:val="22"/>
                            </w:rPr>
                            <w:t xml:space="preserve">GA7: Regioninio sporto klasterio modelio sukūrimas, įtraukiant miesto, regiono sporto organizacijas, sporto gimnaziją, sporto šakų federacijas; </w:t>
                          </w:r>
                        </w:p>
                        <w:p>
                          <w:pPr>
                            <w:rPr>
                              <w:sz w:val="10"/>
                              <w:szCs w:val="10"/>
                            </w:rPr>
                          </w:pPr>
                        </w:p>
                        <w:p>
                          <w:pPr>
                            <w:ind w:right="142"/>
                            <w:jc w:val="both"/>
                            <w:rPr>
                              <w:rFonts w:eastAsia="MS Mincho"/>
                              <w:kern w:val="2"/>
                              <w:sz w:val="22"/>
                              <w:szCs w:val="22"/>
                            </w:rPr>
                          </w:pPr>
                          <w:r>
                            <w:rPr>
                              <w:rFonts w:eastAsia="MS Mincho"/>
                              <w:kern w:val="2"/>
                              <w:sz w:val="22"/>
                              <w:szCs w:val="22"/>
                            </w:rPr>
                            <w:t>GA8: Galimybė inovatyvioms kultūros ir turizmo veikloms, sąlygotos pasikeitusiais gyventojų įpročiais po COVID-19 pandemijos, padidinto dėmesio tvarumo klausimams;</w:t>
                          </w:r>
                        </w:p>
                        <w:p>
                          <w:pPr>
                            <w:rPr>
                              <w:sz w:val="10"/>
                              <w:szCs w:val="10"/>
                            </w:rPr>
                          </w:pPr>
                        </w:p>
                        <w:p>
                          <w:pPr>
                            <w:ind w:right="142"/>
                            <w:jc w:val="both"/>
                            <w:rPr>
                              <w:rFonts w:eastAsia="MS Mincho"/>
                              <w:kern w:val="2"/>
                              <w:sz w:val="22"/>
                              <w:szCs w:val="22"/>
                            </w:rPr>
                          </w:pPr>
                          <w:r>
                            <w:rPr>
                              <w:rFonts w:eastAsia="MS Mincho"/>
                              <w:kern w:val="2"/>
                              <w:sz w:val="22"/>
                              <w:szCs w:val="22"/>
                            </w:rPr>
                            <w:t>GA9: Turistinio objekto – Kryžių kalno išnaudojimas turistams pritraukti į Šiaulius;</w:t>
                          </w:r>
                        </w:p>
                        <w:p>
                          <w:pPr>
                            <w:rPr>
                              <w:sz w:val="10"/>
                              <w:szCs w:val="10"/>
                            </w:rPr>
                          </w:pPr>
                        </w:p>
                        <w:p>
                          <w:pPr>
                            <w:ind w:right="142"/>
                            <w:jc w:val="both"/>
                            <w:rPr>
                              <w:rFonts w:eastAsia="MS Mincho"/>
                              <w:kern w:val="2"/>
                              <w:sz w:val="22"/>
                              <w:szCs w:val="22"/>
                            </w:rPr>
                          </w:pPr>
                          <w:r>
                            <w:rPr>
                              <w:rFonts w:eastAsia="MS Mincho"/>
                              <w:kern w:val="2"/>
                              <w:sz w:val="22"/>
                              <w:szCs w:val="22"/>
                            </w:rPr>
                            <w:t>GA10: Turizmo rūšių plėtra:</w:t>
                          </w:r>
                          <w:r>
                            <w:rPr>
                              <w:rFonts w:eastAsia="MS Mincho"/>
                              <w:b/>
                              <w:bCs/>
                              <w:kern w:val="2"/>
                              <w:sz w:val="22"/>
                              <w:szCs w:val="22"/>
                            </w:rPr>
                            <w:t xml:space="preserve"> </w:t>
                          </w:r>
                          <w:r>
                            <w:rPr>
                              <w:rFonts w:eastAsia="MS Mincho"/>
                              <w:kern w:val="2"/>
                              <w:sz w:val="22"/>
                              <w:szCs w:val="22"/>
                            </w:rPr>
                            <w:t xml:space="preserve">sporto, renginių turizmas ir pan. </w:t>
                          </w:r>
                        </w:p>
                        <w:p>
                          <w:pPr>
                            <w:rPr>
                              <w:sz w:val="10"/>
                              <w:szCs w:val="10"/>
                            </w:rPr>
                          </w:pPr>
                        </w:p>
                        <w:p>
                          <w:pPr>
                            <w:ind w:right="142"/>
                            <w:jc w:val="both"/>
                            <w:rPr>
                              <w:rFonts w:eastAsia="MS Mincho"/>
                              <w:kern w:val="2"/>
                              <w:sz w:val="22"/>
                              <w:szCs w:val="22"/>
                            </w:rPr>
                          </w:pPr>
                          <w:r>
                            <w:rPr>
                              <w:rFonts w:eastAsia="MS Mincho"/>
                              <w:kern w:val="2"/>
                              <w:sz w:val="22"/>
                              <w:szCs w:val="22"/>
                            </w:rPr>
                            <w:t>GA11: Gyventojų įtraukties į prevencines, profilaktines programas, prisidedančias prie visuomenės sveikatos stiprinimo, didinimas;</w:t>
                          </w:r>
                        </w:p>
                        <w:p>
                          <w:pPr>
                            <w:rPr>
                              <w:sz w:val="10"/>
                              <w:szCs w:val="10"/>
                            </w:rPr>
                          </w:pPr>
                        </w:p>
                        <w:p>
                          <w:pPr>
                            <w:ind w:right="142"/>
                            <w:jc w:val="both"/>
                            <w:rPr>
                              <w:rFonts w:eastAsia="MS Mincho"/>
                              <w:kern w:val="2"/>
                              <w:sz w:val="22"/>
                              <w:szCs w:val="22"/>
                            </w:rPr>
                          </w:pPr>
                          <w:r>
                            <w:rPr>
                              <w:rFonts w:eastAsia="MS Mincho"/>
                              <w:kern w:val="2"/>
                              <w:sz w:val="22"/>
                              <w:szCs w:val="22"/>
                            </w:rPr>
                            <w:t xml:space="preserve">GA12: Didėjančios NVO galimybės teikiant socialines paslaugas, gavus akreditaciją ar globos licenziją; </w:t>
                          </w:r>
                        </w:p>
                        <w:p>
                          <w:pPr>
                            <w:rPr>
                              <w:sz w:val="10"/>
                              <w:szCs w:val="10"/>
                            </w:rPr>
                          </w:pPr>
                        </w:p>
                        <w:p>
                          <w:pPr>
                            <w:ind w:right="142"/>
                            <w:jc w:val="both"/>
                            <w:rPr>
                              <w:rFonts w:eastAsia="MS Mincho"/>
                              <w:kern w:val="2"/>
                              <w:sz w:val="22"/>
                              <w:szCs w:val="22"/>
                            </w:rPr>
                          </w:pPr>
                          <w:r>
                            <w:rPr>
                              <w:rFonts w:eastAsia="MS Mincho"/>
                              <w:kern w:val="2"/>
                              <w:sz w:val="22"/>
                              <w:szCs w:val="22"/>
                            </w:rPr>
                            <w:t>GA13: Augantis valstybinis, Europos Sąjungos finansavimas tvarumui, darniam vystymuisi, žaliųjų plotų išsaugojimui;</w:t>
                          </w:r>
                        </w:p>
                        <w:p>
                          <w:pPr>
                            <w:rPr>
                              <w:sz w:val="10"/>
                              <w:szCs w:val="10"/>
                            </w:rPr>
                          </w:pPr>
                        </w:p>
                        <w:p>
                          <w:pPr>
                            <w:ind w:right="142"/>
                            <w:jc w:val="both"/>
                            <w:rPr>
                              <w:rFonts w:eastAsia="MS Mincho"/>
                              <w:kern w:val="2"/>
                              <w:sz w:val="22"/>
                              <w:szCs w:val="22"/>
                            </w:rPr>
                          </w:pPr>
                          <w:r>
                            <w:rPr>
                              <w:rFonts w:eastAsia="MS Mincho"/>
                              <w:kern w:val="2"/>
                              <w:sz w:val="22"/>
                              <w:szCs w:val="22"/>
                            </w:rPr>
                            <w:t>GA14: MBA (mechaninio biologinio apdorojimo) įrenginių modernizavimas sudarytų sąlygas iš mišrių komunalinių atliekų srauto atskirti reikšmingą kiekį pakuočių atliekų bei antrinių žaliavų;</w:t>
                          </w:r>
                        </w:p>
                        <w:p>
                          <w:pPr>
                            <w:rPr>
                              <w:sz w:val="10"/>
                              <w:szCs w:val="10"/>
                            </w:rPr>
                          </w:pPr>
                        </w:p>
                        <w:p>
                          <w:pPr>
                            <w:ind w:right="142"/>
                            <w:jc w:val="both"/>
                            <w:rPr>
                              <w:rFonts w:eastAsia="MS Mincho"/>
                              <w:kern w:val="2"/>
                              <w:sz w:val="22"/>
                              <w:szCs w:val="22"/>
                            </w:rPr>
                          </w:pPr>
                          <w:r>
                            <w:rPr>
                              <w:rFonts w:eastAsia="MS Mincho"/>
                              <w:kern w:val="2"/>
                              <w:sz w:val="22"/>
                              <w:szCs w:val="22"/>
                            </w:rPr>
                            <w:t>GA15: Stiprus Europos Sąjungos žaliasis kursas ir papildomos investicijos gali pagerinti pramoninių teritorijų ir žaliųjų teritorijų aplinkos kokybę;</w:t>
                          </w:r>
                        </w:p>
                        <w:p>
                          <w:pPr>
                            <w:rPr>
                              <w:sz w:val="10"/>
                              <w:szCs w:val="10"/>
                            </w:rPr>
                          </w:pPr>
                        </w:p>
                        <w:p>
                          <w:pPr>
                            <w:ind w:right="142"/>
                            <w:jc w:val="both"/>
                            <w:rPr>
                              <w:rFonts w:eastAsia="MS Mincho"/>
                              <w:kern w:val="2"/>
                              <w:sz w:val="22"/>
                              <w:szCs w:val="22"/>
                            </w:rPr>
                          </w:pPr>
                          <w:r>
                            <w:rPr>
                              <w:rFonts w:eastAsia="MS Mincho"/>
                              <w:kern w:val="2"/>
                              <w:sz w:val="22"/>
                              <w:szCs w:val="22"/>
                            </w:rPr>
                            <w:t xml:space="preserve">GA16: Dėl sparčiai populiarėjančių mikromobilumo priemonių, patogesnis centrinės miesto teritorijos pasiekiamumas ne automobiliais; </w:t>
                          </w:r>
                        </w:p>
                        <w:p>
                          <w:pPr>
                            <w:rPr>
                              <w:sz w:val="10"/>
                              <w:szCs w:val="10"/>
                            </w:rPr>
                          </w:pPr>
                        </w:p>
                        <w:p>
                          <w:pPr>
                            <w:ind w:right="142"/>
                            <w:jc w:val="both"/>
                            <w:rPr>
                              <w:rFonts w:eastAsia="MS Mincho"/>
                              <w:kern w:val="2"/>
                              <w:sz w:val="22"/>
                              <w:szCs w:val="22"/>
                            </w:rPr>
                          </w:pPr>
                          <w:r>
                            <w:rPr>
                              <w:rFonts w:eastAsia="MS Mincho"/>
                              <w:kern w:val="2"/>
                              <w:sz w:val="22"/>
                              <w:szCs w:val="22"/>
                            </w:rPr>
                            <w:t>GA17: Saugaus miesto gyventi pozicionavimas gali pritraukti gyventi daugiau jaunų darbingų šeimų;</w:t>
                          </w:r>
                        </w:p>
                        <w:p>
                          <w:pPr>
                            <w:rPr>
                              <w:sz w:val="10"/>
                              <w:szCs w:val="10"/>
                            </w:rPr>
                          </w:pPr>
                        </w:p>
                        <w:p>
                          <w:pPr>
                            <w:ind w:right="142"/>
                            <w:jc w:val="both"/>
                            <w:rPr>
                              <w:rFonts w:eastAsia="MS Mincho"/>
                              <w:kern w:val="2"/>
                              <w:sz w:val="22"/>
                              <w:szCs w:val="22"/>
                            </w:rPr>
                          </w:pPr>
                          <w:r>
                            <w:rPr>
                              <w:rFonts w:eastAsia="MS Mincho"/>
                              <w:kern w:val="2"/>
                              <w:sz w:val="22"/>
                              <w:szCs w:val="22"/>
                            </w:rPr>
                            <w:t>GA18: Tolimesnė procesų ir paslaugų skaitmenizacija, trumpinanti paslaugų teikimo laiką ir efektyviau išnaudojanti žmogiškuosius resursus;</w:t>
                          </w:r>
                        </w:p>
                        <w:p>
                          <w:pPr>
                            <w:rPr>
                              <w:sz w:val="10"/>
                              <w:szCs w:val="10"/>
                            </w:rPr>
                          </w:pPr>
                        </w:p>
                        <w:p>
                          <w:pPr>
                            <w:ind w:right="142"/>
                            <w:jc w:val="both"/>
                            <w:rPr>
                              <w:rFonts w:eastAsia="MS Mincho"/>
                              <w:kern w:val="2"/>
                              <w:sz w:val="22"/>
                              <w:szCs w:val="22"/>
                            </w:rPr>
                          </w:pPr>
                          <w:r>
                            <w:rPr>
                              <w:rFonts w:eastAsia="MS Mincho"/>
                              <w:kern w:val="2"/>
                              <w:sz w:val="22"/>
                              <w:szCs w:val="22"/>
                            </w:rPr>
                            <w:t>GA19: Svaresnis savivaldybės indėlis (įvairiomis formomis) pritraukiant bendruomenių, seniūnaitijų atstovus dalyvauti savivaldybės valdymo veiklose;</w:t>
                          </w:r>
                        </w:p>
                        <w:p>
                          <w:pPr>
                            <w:rPr>
                              <w:sz w:val="10"/>
                              <w:szCs w:val="10"/>
                            </w:rPr>
                          </w:pPr>
                        </w:p>
                        <w:p>
                          <w:pPr>
                            <w:ind w:right="142"/>
                            <w:jc w:val="both"/>
                            <w:rPr>
                              <w:rFonts w:eastAsia="MS Mincho"/>
                              <w:kern w:val="2"/>
                              <w:sz w:val="22"/>
                              <w:szCs w:val="22"/>
                            </w:rPr>
                          </w:pPr>
                          <w:r>
                            <w:rPr>
                              <w:rFonts w:eastAsia="MS Mincho"/>
                              <w:kern w:val="2"/>
                              <w:sz w:val="22"/>
                              <w:szCs w:val="22"/>
                            </w:rPr>
                            <w:t>GA20: Inovatyvios savivaldybės valdymo formos (atvirų duomenų plėtra, įvairios skaitmeninės platformos) įtraukiant gyventojus į sprendimų priėmimus.</w:t>
                          </w:r>
                        </w:p>
                      </w:tc>
                      <w:tc>
                        <w:tcPr>
                          <w:tcW w:w="2497" w:type="pct"/>
                          <w:gridSpan w:val="2"/>
                          <w:shd w:val="clear" w:color="auto" w:fill="auto"/>
                          <w:tcMar>
                            <w:top w:w="72" w:type="dxa"/>
                            <w:left w:w="144" w:type="dxa"/>
                            <w:bottom w:w="72" w:type="dxa"/>
                            <w:right w:w="144" w:type="dxa"/>
                          </w:tcMar>
                        </w:tcPr>
                        <w:p>
                          <w:pPr>
                            <w:rPr>
                              <w:sz w:val="10"/>
                              <w:szCs w:val="10"/>
                            </w:rPr>
                          </w:pPr>
                        </w:p>
                        <w:p>
                          <w:pPr>
                            <w:ind w:right="142"/>
                            <w:jc w:val="both"/>
                            <w:rPr>
                              <w:rFonts w:eastAsia="MS Mincho"/>
                              <w:kern w:val="2"/>
                              <w:sz w:val="22"/>
                              <w:szCs w:val="22"/>
                            </w:rPr>
                          </w:pPr>
                          <w:r>
                            <w:rPr>
                              <w:rFonts w:eastAsia="MS Mincho"/>
                              <w:kern w:val="2"/>
                              <w:sz w:val="22"/>
                              <w:szCs w:val="22"/>
                            </w:rPr>
                            <w:t xml:space="preserve">GR1: Lėtėjant ekonomikai, gali augti bedarbių skaičius, </w:t>
                          </w:r>
                          <w:r>
                            <w:rPr>
                              <w:rFonts w:eastAsia="MS Mincho"/>
                              <w:kern w:val="2"/>
                              <w:sz w:val="22"/>
                              <w:szCs w:val="24"/>
                            </w:rPr>
                            <w:t>sumažėti darbo užmokesčio augimo tempas</w:t>
                          </w:r>
                          <w:r>
                            <w:rPr>
                              <w:rFonts w:eastAsia="MS Mincho"/>
                              <w:kern w:val="2"/>
                              <w:sz w:val="22"/>
                              <w:szCs w:val="22"/>
                            </w:rPr>
                            <w:t>;</w:t>
                          </w:r>
                        </w:p>
                        <w:p>
                          <w:pPr>
                            <w:rPr>
                              <w:sz w:val="10"/>
                              <w:szCs w:val="10"/>
                            </w:rPr>
                          </w:pPr>
                        </w:p>
                        <w:p>
                          <w:pPr>
                            <w:ind w:right="142"/>
                            <w:jc w:val="both"/>
                            <w:rPr>
                              <w:rFonts w:eastAsia="MS Mincho"/>
                              <w:kern w:val="2"/>
                              <w:sz w:val="22"/>
                              <w:szCs w:val="22"/>
                            </w:rPr>
                          </w:pPr>
                          <w:r>
                            <w:rPr>
                              <w:rFonts w:eastAsia="MS Mincho"/>
                              <w:kern w:val="2"/>
                              <w:sz w:val="22"/>
                              <w:szCs w:val="22"/>
                            </w:rPr>
                            <w:t>GR2: Dėl mažėjančio gimstamumo Lietuvoje ims trūkti naujos darbo jėgos;</w:t>
                          </w:r>
                        </w:p>
                        <w:p>
                          <w:pPr>
                            <w:rPr>
                              <w:sz w:val="10"/>
                              <w:szCs w:val="10"/>
                            </w:rPr>
                          </w:pPr>
                        </w:p>
                        <w:p>
                          <w:pPr>
                            <w:ind w:right="142"/>
                            <w:jc w:val="both"/>
                            <w:rPr>
                              <w:rFonts w:eastAsia="MS Mincho"/>
                              <w:kern w:val="2"/>
                              <w:sz w:val="22"/>
                              <w:szCs w:val="22"/>
                            </w:rPr>
                          </w:pPr>
                          <w:r>
                            <w:rPr>
                              <w:rFonts w:eastAsia="MS Mincho"/>
                              <w:kern w:val="2"/>
                              <w:sz w:val="22"/>
                              <w:szCs w:val="22"/>
                            </w:rPr>
                            <w:t>GR3: Auganti infliacija gali neigiamai veikti vartotojų perkamąją galią ir taip lėtinti ekonomikos augimą;</w:t>
                          </w:r>
                        </w:p>
                        <w:p>
                          <w:pPr>
                            <w:rPr>
                              <w:sz w:val="10"/>
                              <w:szCs w:val="10"/>
                            </w:rPr>
                          </w:pPr>
                        </w:p>
                        <w:p>
                          <w:pPr>
                            <w:ind w:right="142"/>
                            <w:jc w:val="both"/>
                            <w:rPr>
                              <w:rFonts w:eastAsia="MS Mincho"/>
                              <w:kern w:val="2"/>
                              <w:sz w:val="22"/>
                              <w:szCs w:val="22"/>
                            </w:rPr>
                          </w:pPr>
                          <w:r>
                            <w:rPr>
                              <w:rFonts w:eastAsia="MS Mincho"/>
                              <w:kern w:val="2"/>
                              <w:sz w:val="22"/>
                              <w:szCs w:val="22"/>
                            </w:rPr>
                            <w:t>GR4: Artėjanti mokesčių reforma, didinsianti gyventojų pajamų apmokestinimą, gali pabloginti verslo aplinką ir Lietuvos konkurencingumą;</w:t>
                          </w:r>
                        </w:p>
                        <w:p>
                          <w:pPr>
                            <w:rPr>
                              <w:sz w:val="10"/>
                              <w:szCs w:val="10"/>
                            </w:rPr>
                          </w:pPr>
                        </w:p>
                        <w:p>
                          <w:pPr>
                            <w:ind w:right="142"/>
                            <w:jc w:val="both"/>
                            <w:rPr>
                              <w:rFonts w:eastAsia="MS Mincho"/>
                              <w:kern w:val="2"/>
                              <w:sz w:val="22"/>
                              <w:szCs w:val="22"/>
                            </w:rPr>
                          </w:pPr>
                          <w:r>
                            <w:rPr>
                              <w:rFonts w:eastAsia="MS Mincho"/>
                              <w:kern w:val="2"/>
                              <w:sz w:val="22"/>
                              <w:szCs w:val="22"/>
                            </w:rPr>
                            <w:t>GR5: Atsinaujinusi COVID-19, atsiradusi nauja pandemija, geopolitiniai veiksniai gali sulėtinti ekonomiką.</w:t>
                          </w:r>
                        </w:p>
                        <w:p>
                          <w:pPr>
                            <w:rPr>
                              <w:sz w:val="10"/>
                              <w:szCs w:val="10"/>
                            </w:rPr>
                          </w:pPr>
                        </w:p>
                        <w:p>
                          <w:pPr>
                            <w:ind w:right="142"/>
                            <w:jc w:val="both"/>
                            <w:rPr>
                              <w:rFonts w:eastAsia="MS Mincho"/>
                              <w:kern w:val="2"/>
                              <w:sz w:val="22"/>
                              <w:szCs w:val="22"/>
                            </w:rPr>
                          </w:pPr>
                          <w:r>
                            <w:rPr>
                              <w:rFonts w:eastAsia="MS Mincho"/>
                              <w:kern w:val="2"/>
                              <w:sz w:val="22"/>
                              <w:szCs w:val="22"/>
                            </w:rPr>
                            <w:t>GR6: Nekonkurencingas švietimo, kultūros, sveikatos specialistų darbo užmokestis;</w:t>
                          </w:r>
                        </w:p>
                        <w:p>
                          <w:pPr>
                            <w:rPr>
                              <w:sz w:val="10"/>
                              <w:szCs w:val="10"/>
                            </w:rPr>
                          </w:pPr>
                        </w:p>
                        <w:p>
                          <w:pPr>
                            <w:ind w:right="142"/>
                            <w:jc w:val="both"/>
                            <w:rPr>
                              <w:rFonts w:eastAsia="MS Mincho"/>
                              <w:kern w:val="2"/>
                              <w:sz w:val="22"/>
                              <w:szCs w:val="22"/>
                            </w:rPr>
                          </w:pPr>
                          <w:r>
                            <w:rPr>
                              <w:rFonts w:eastAsia="MS Mincho"/>
                              <w:kern w:val="2"/>
                              <w:sz w:val="22"/>
                              <w:szCs w:val="22"/>
                            </w:rPr>
                            <w:t>GR7: Mokytojų streiko valstybės mastu tikimybė;</w:t>
                          </w:r>
                        </w:p>
                        <w:p>
                          <w:pPr>
                            <w:rPr>
                              <w:sz w:val="10"/>
                              <w:szCs w:val="10"/>
                            </w:rPr>
                          </w:pPr>
                        </w:p>
                        <w:p>
                          <w:pPr>
                            <w:ind w:right="142"/>
                            <w:jc w:val="both"/>
                            <w:rPr>
                              <w:rFonts w:eastAsia="MS Mincho"/>
                              <w:kern w:val="2"/>
                              <w:sz w:val="22"/>
                              <w:szCs w:val="22"/>
                            </w:rPr>
                          </w:pPr>
                          <w:r>
                            <w:rPr>
                              <w:rFonts w:eastAsia="MS Mincho"/>
                              <w:kern w:val="2"/>
                              <w:sz w:val="22"/>
                              <w:szCs w:val="22"/>
                            </w:rPr>
                            <w:t xml:space="preserve">GR8: Didelis darbuotojų, dirbančių švietimo sistemoje, trūkumas; </w:t>
                          </w:r>
                        </w:p>
                        <w:p>
                          <w:pPr>
                            <w:rPr>
                              <w:sz w:val="10"/>
                              <w:szCs w:val="10"/>
                            </w:rPr>
                          </w:pPr>
                        </w:p>
                        <w:p>
                          <w:pPr>
                            <w:jc w:val="both"/>
                            <w:rPr>
                              <w:kern w:val="2"/>
                              <w:sz w:val="22"/>
                              <w:szCs w:val="22"/>
                            </w:rPr>
                          </w:pPr>
                          <w:r>
                            <w:rPr>
                              <w:kern w:val="2"/>
                              <w:sz w:val="22"/>
                              <w:szCs w:val="22"/>
                            </w:rPr>
                            <w:t>GR9: Nepakankami savivaldybės finansiniai pajėgumai spręsti sporto bazių infrastruktūros problemas, neskiriant Valstybės investicijų programos (VIP) ir ES lėšų;</w:t>
                          </w:r>
                        </w:p>
                        <w:p>
                          <w:pPr>
                            <w:rPr>
                              <w:sz w:val="10"/>
                              <w:szCs w:val="10"/>
                            </w:rPr>
                          </w:pPr>
                        </w:p>
                        <w:p>
                          <w:pPr>
                            <w:ind w:right="142"/>
                            <w:jc w:val="both"/>
                            <w:rPr>
                              <w:rFonts w:eastAsia="MS Mincho"/>
                              <w:kern w:val="2"/>
                              <w:sz w:val="22"/>
                              <w:szCs w:val="22"/>
                            </w:rPr>
                          </w:pPr>
                          <w:r>
                            <w:rPr>
                              <w:rFonts w:eastAsia="MS Mincho"/>
                              <w:kern w:val="2"/>
                              <w:sz w:val="22"/>
                              <w:szCs w:val="22"/>
                            </w:rPr>
                            <w:t>GR10: Pasikeitę gyventojų įpročiai dalyvauti kultūriniame gyvenime po COVID–19 pandemijos;</w:t>
                          </w:r>
                        </w:p>
                        <w:p>
                          <w:pPr>
                            <w:rPr>
                              <w:sz w:val="10"/>
                              <w:szCs w:val="10"/>
                            </w:rPr>
                          </w:pPr>
                        </w:p>
                        <w:p>
                          <w:pPr>
                            <w:ind w:right="142"/>
                            <w:jc w:val="both"/>
                            <w:rPr>
                              <w:rFonts w:eastAsia="MS Mincho"/>
                              <w:kern w:val="2"/>
                              <w:sz w:val="22"/>
                              <w:szCs w:val="22"/>
                            </w:rPr>
                          </w:pPr>
                          <w:r>
                            <w:rPr>
                              <w:rFonts w:eastAsia="MS Mincho"/>
                              <w:kern w:val="2"/>
                              <w:sz w:val="22"/>
                              <w:szCs w:val="22"/>
                            </w:rPr>
                            <w:t>GR11: Lėtėjant ekonomikai, mažėja turizmo paslaugų paklausa;</w:t>
                          </w:r>
                        </w:p>
                        <w:p>
                          <w:pPr>
                            <w:rPr>
                              <w:sz w:val="10"/>
                              <w:szCs w:val="10"/>
                            </w:rPr>
                          </w:pPr>
                        </w:p>
                        <w:p>
                          <w:pPr>
                            <w:ind w:right="142"/>
                            <w:jc w:val="both"/>
                            <w:rPr>
                              <w:rFonts w:eastAsia="MS Mincho"/>
                              <w:kern w:val="2"/>
                              <w:sz w:val="22"/>
                              <w:szCs w:val="22"/>
                            </w:rPr>
                          </w:pPr>
                          <w:r>
                            <w:rPr>
                              <w:rFonts w:eastAsia="MS Mincho"/>
                              <w:kern w:val="2"/>
                              <w:sz w:val="22"/>
                              <w:szCs w:val="22"/>
                            </w:rPr>
                            <w:t>GR12: Kaimyninių šalių geopolitiniai neramumai mažina turistų srautus;</w:t>
                          </w:r>
                        </w:p>
                        <w:p>
                          <w:pPr>
                            <w:rPr>
                              <w:sz w:val="10"/>
                              <w:szCs w:val="10"/>
                            </w:rPr>
                          </w:pPr>
                        </w:p>
                        <w:p>
                          <w:pPr>
                            <w:ind w:right="142"/>
                            <w:jc w:val="both"/>
                            <w:rPr>
                              <w:rFonts w:eastAsia="MS Mincho"/>
                              <w:kern w:val="2"/>
                              <w:sz w:val="22"/>
                              <w:szCs w:val="22"/>
                            </w:rPr>
                          </w:pPr>
                          <w:r>
                            <w:rPr>
                              <w:rFonts w:eastAsia="MS Mincho"/>
                              <w:kern w:val="2"/>
                              <w:sz w:val="22"/>
                              <w:szCs w:val="22"/>
                            </w:rPr>
                            <w:t>GR13: Sveikatos specialistų, ypatingai gydytojų, trūkumas;</w:t>
                          </w:r>
                        </w:p>
                        <w:p>
                          <w:pPr>
                            <w:rPr>
                              <w:sz w:val="10"/>
                              <w:szCs w:val="10"/>
                            </w:rPr>
                          </w:pPr>
                        </w:p>
                        <w:p>
                          <w:pPr>
                            <w:ind w:right="142"/>
                            <w:jc w:val="both"/>
                            <w:rPr>
                              <w:rFonts w:eastAsia="MS Mincho"/>
                              <w:kern w:val="2"/>
                              <w:sz w:val="22"/>
                              <w:szCs w:val="22"/>
                            </w:rPr>
                          </w:pPr>
                          <w:r>
                            <w:rPr>
                              <w:rFonts w:eastAsia="MS Mincho"/>
                              <w:kern w:val="2"/>
                              <w:sz w:val="22"/>
                              <w:szCs w:val="22"/>
                            </w:rPr>
                            <w:t>GR14: Spartėjantis gyvenimo būdo tempas, ekonominės ir geopolitinės padėties pokyčiai prisideda prie gyvenimo kokybės ir asmens sveikatos suprastėjimo, sergamumo padidėjimo;</w:t>
                          </w:r>
                        </w:p>
                        <w:p>
                          <w:pPr>
                            <w:rPr>
                              <w:sz w:val="10"/>
                              <w:szCs w:val="10"/>
                            </w:rPr>
                          </w:pPr>
                        </w:p>
                        <w:p>
                          <w:pPr>
                            <w:ind w:right="142"/>
                            <w:jc w:val="both"/>
                            <w:rPr>
                              <w:rFonts w:eastAsia="MS Mincho"/>
                              <w:kern w:val="2"/>
                              <w:sz w:val="22"/>
                              <w:szCs w:val="22"/>
                            </w:rPr>
                          </w:pPr>
                          <w:r>
                            <w:rPr>
                              <w:rFonts w:eastAsia="MS Mincho"/>
                              <w:kern w:val="2"/>
                              <w:sz w:val="22"/>
                              <w:szCs w:val="22"/>
                            </w:rPr>
                            <w:t>GR15: Žemas vyrų, gaunančių socialines paslaugas namuose, skaičius – daroma prielaida, jog vyrai laiku nesikreipia pagalbos;</w:t>
                          </w:r>
                        </w:p>
                        <w:p>
                          <w:pPr>
                            <w:rPr>
                              <w:sz w:val="10"/>
                              <w:szCs w:val="10"/>
                            </w:rPr>
                          </w:pPr>
                        </w:p>
                        <w:p>
                          <w:pPr>
                            <w:ind w:right="142"/>
                            <w:jc w:val="both"/>
                            <w:rPr>
                              <w:rFonts w:eastAsia="MS Mincho"/>
                              <w:kern w:val="2"/>
                              <w:sz w:val="22"/>
                              <w:szCs w:val="22"/>
                            </w:rPr>
                          </w:pPr>
                          <w:r>
                            <w:rPr>
                              <w:rFonts w:eastAsia="MS Mincho"/>
                              <w:kern w:val="2"/>
                              <w:sz w:val="22"/>
                              <w:szCs w:val="22"/>
                            </w:rPr>
                            <w:t>GR16: Lėtėjant ekonomikai ir augant infliacijai, gali didėti pajamų nelygybė ir augti skurdo rizika;</w:t>
                          </w:r>
                        </w:p>
                        <w:p>
                          <w:pPr>
                            <w:rPr>
                              <w:sz w:val="10"/>
                              <w:szCs w:val="10"/>
                            </w:rPr>
                          </w:pPr>
                        </w:p>
                        <w:p>
                          <w:pPr>
                            <w:ind w:right="142"/>
                            <w:jc w:val="both"/>
                            <w:rPr>
                              <w:rFonts w:eastAsia="MS Mincho"/>
                              <w:kern w:val="2"/>
                              <w:sz w:val="22"/>
                              <w:szCs w:val="22"/>
                            </w:rPr>
                          </w:pPr>
                          <w:r>
                            <w:rPr>
                              <w:rFonts w:eastAsia="MS Mincho"/>
                              <w:kern w:val="2"/>
                              <w:sz w:val="22"/>
                              <w:szCs w:val="22"/>
                            </w:rPr>
                            <w:t xml:space="preserve">GR17: Augant pasiūlai, didėjantis gyventojų (ypač jaunimo) polinkis į priklausomybes; </w:t>
                          </w:r>
                        </w:p>
                        <w:p>
                          <w:pPr>
                            <w:rPr>
                              <w:sz w:val="10"/>
                              <w:szCs w:val="10"/>
                            </w:rPr>
                          </w:pPr>
                        </w:p>
                        <w:p>
                          <w:pPr>
                            <w:ind w:right="142"/>
                            <w:jc w:val="both"/>
                            <w:rPr>
                              <w:rFonts w:eastAsia="MS Mincho"/>
                              <w:kern w:val="2"/>
                              <w:sz w:val="22"/>
                              <w:szCs w:val="22"/>
                            </w:rPr>
                          </w:pPr>
                          <w:r>
                            <w:rPr>
                              <w:rFonts w:eastAsia="MS Mincho"/>
                              <w:kern w:val="2"/>
                              <w:sz w:val="22"/>
                              <w:szCs w:val="22"/>
                            </w:rPr>
                            <w:t>GR18:</w:t>
                          </w:r>
                          <w:r>
                            <w:rPr>
                              <w:rFonts w:eastAsia="MS Mincho"/>
                              <w:b/>
                              <w:bCs/>
                              <w:kern w:val="2"/>
                              <w:sz w:val="22"/>
                              <w:szCs w:val="22"/>
                            </w:rPr>
                            <w:t xml:space="preserve"> </w:t>
                          </w:r>
                          <w:r>
                            <w:rPr>
                              <w:rFonts w:eastAsia="MS Mincho"/>
                              <w:kern w:val="2"/>
                              <w:sz w:val="22"/>
                              <w:szCs w:val="22"/>
                            </w:rPr>
                            <w:t>Dėl klimato kaitos, didėjančio užterštumo besikeičiantis kraštovaizdis ir biologinė įvairovė;</w:t>
                          </w:r>
                        </w:p>
                        <w:p>
                          <w:pPr>
                            <w:rPr>
                              <w:sz w:val="10"/>
                              <w:szCs w:val="10"/>
                            </w:rPr>
                          </w:pPr>
                        </w:p>
                        <w:p>
                          <w:pPr>
                            <w:ind w:right="142"/>
                            <w:jc w:val="both"/>
                            <w:rPr>
                              <w:rFonts w:eastAsia="MS Mincho"/>
                              <w:kern w:val="2"/>
                              <w:sz w:val="22"/>
                              <w:szCs w:val="22"/>
                            </w:rPr>
                          </w:pPr>
                          <w:r>
                            <w:rPr>
                              <w:rFonts w:eastAsia="MS Mincho"/>
                              <w:kern w:val="2"/>
                              <w:sz w:val="22"/>
                              <w:szCs w:val="22"/>
                            </w:rPr>
                            <w:t>GR19: Dėl netinkamų keliavimo įpročių didėjantis automobilizacijos lygis;</w:t>
                          </w:r>
                        </w:p>
                        <w:p>
                          <w:pPr>
                            <w:rPr>
                              <w:sz w:val="10"/>
                              <w:szCs w:val="10"/>
                            </w:rPr>
                          </w:pPr>
                        </w:p>
                        <w:p>
                          <w:pPr>
                            <w:ind w:right="142"/>
                            <w:jc w:val="both"/>
                            <w:rPr>
                              <w:rFonts w:eastAsia="MS Mincho"/>
                              <w:kern w:val="2"/>
                              <w:sz w:val="22"/>
                              <w:szCs w:val="22"/>
                            </w:rPr>
                          </w:pPr>
                          <w:r>
                            <w:rPr>
                              <w:rFonts w:eastAsia="MS Mincho"/>
                              <w:kern w:val="2"/>
                              <w:sz w:val="22"/>
                              <w:szCs w:val="22"/>
                            </w:rPr>
                            <w:t>GR20: Didėjantis gyventojų noras gyventi nuosavame būste mažins daugiabučių ir centro teritorijų patrauklumą, sukurs papildomą spaudimą socialinės ir inžinerinės infrastruktūros plėtrai netankiose miesto teritorijose;</w:t>
                          </w:r>
                        </w:p>
                        <w:p>
                          <w:pPr>
                            <w:rPr>
                              <w:sz w:val="10"/>
                              <w:szCs w:val="10"/>
                            </w:rPr>
                          </w:pPr>
                        </w:p>
                        <w:p>
                          <w:pPr>
                            <w:ind w:right="142"/>
                            <w:jc w:val="both"/>
                            <w:rPr>
                              <w:rFonts w:eastAsia="MS Mincho"/>
                              <w:kern w:val="2"/>
                              <w:sz w:val="22"/>
                              <w:szCs w:val="22"/>
                            </w:rPr>
                          </w:pPr>
                          <w:r>
                            <w:rPr>
                              <w:rFonts w:eastAsia="MS Mincho"/>
                              <w:kern w:val="2"/>
                              <w:sz w:val="22"/>
                              <w:szCs w:val="22"/>
                            </w:rPr>
                            <w:t>GR21:</w:t>
                          </w:r>
                          <w:r>
                            <w:rPr>
                              <w:rFonts w:eastAsia="MS Mincho"/>
                              <w:b/>
                              <w:bCs/>
                              <w:kern w:val="2"/>
                              <w:sz w:val="22"/>
                              <w:szCs w:val="22"/>
                            </w:rPr>
                            <w:t xml:space="preserve"> </w:t>
                          </w:r>
                          <w:r>
                            <w:rPr>
                              <w:rFonts w:eastAsia="MS Mincho"/>
                              <w:kern w:val="2"/>
                              <w:sz w:val="22"/>
                              <w:szCs w:val="22"/>
                            </w:rPr>
                            <w:t>Socialinė atskirtis ir skurdas gali padidinti nusikalstamumo lygį;</w:t>
                          </w:r>
                        </w:p>
                        <w:p>
                          <w:pPr>
                            <w:rPr>
                              <w:sz w:val="10"/>
                              <w:szCs w:val="10"/>
                            </w:rPr>
                          </w:pPr>
                        </w:p>
                        <w:p>
                          <w:pPr>
                            <w:ind w:right="142"/>
                            <w:jc w:val="both"/>
                            <w:rPr>
                              <w:rFonts w:eastAsia="MS Mincho"/>
                              <w:kern w:val="2"/>
                              <w:sz w:val="22"/>
                              <w:szCs w:val="22"/>
                            </w:rPr>
                          </w:pPr>
                          <w:r>
                            <w:rPr>
                              <w:rFonts w:eastAsia="MS Mincho"/>
                              <w:kern w:val="2"/>
                              <w:sz w:val="22"/>
                              <w:szCs w:val="22"/>
                            </w:rPr>
                            <w:t>GR22: Neatstovaujami gyventojų poreikiai neturint vietos bendruomenės atstovų, neįteisinant seniūnaičių instituto savivaldoje.</w:t>
                          </w:r>
                        </w:p>
                      </w:tc>
                    </w:tr>
                  </w:tbl>
                  <w:p>
                    <w:pPr>
                      <w:rPr>
                        <w:sz w:val="10"/>
                        <w:szCs w:val="10"/>
                      </w:rPr>
                    </w:pPr>
                  </w:p>
                  <w:p>
                    <w:pPr>
                      <w:jc w:val="both"/>
                      <w:rPr>
                        <w:rFonts w:eastAsia="Calibri"/>
                        <w:bCs/>
                        <w:sz w:val="22"/>
                        <w:szCs w:val="24"/>
                      </w:rPr>
                    </w:pPr>
                    <w:r>
                      <w:rPr>
                        <w:rFonts w:eastAsia="Calibri"/>
                        <w:b/>
                        <w:sz w:val="22"/>
                        <w:szCs w:val="24"/>
                      </w:rPr>
                      <w:t>Gyventojai ir imigracija.</w:t>
                    </w:r>
                    <w:r>
                      <w:rPr>
                        <w:rFonts w:eastAsia="Calibri"/>
                        <w:bCs/>
                        <w:sz w:val="22"/>
                        <w:szCs w:val="24"/>
                      </w:rPr>
                      <w:t xml:space="preserve"> Siekiant sumažinti senstančios visuomenės ir darbingo amžiaus gyventojų mažėjimo (SI2), mažėjančio gimstamumo (SI1 ir SI7) padarinius, naudinga kurti ir palaikyti imigrantams palankią, tolerantišką aplinką – auganti imigracija į Lietuvą ir į Šiaulius (ST1) didina miesto gyventojų skaičių, verslo galimybes, kultūrinį įvairiapusiškumą. Taip pat svarbu plėsti jau esamą gerą švietimo tinklą (ST28), gerinti sąlygas verslui, pritraukti daugiau didelių investuotojų (SI6), užtikrinti laisvalaikio ir kultūros paslaugų įvairovės trūkumo (SI13) problemos sprendimą. </w:t>
                    </w:r>
                  </w:p>
                  <w:p>
                    <w:pPr>
                      <w:rPr>
                        <w:sz w:val="10"/>
                        <w:szCs w:val="10"/>
                      </w:rPr>
                    </w:pPr>
                  </w:p>
                  <w:p>
                    <w:pPr>
                      <w:jc w:val="both"/>
                      <w:rPr>
                        <w:rFonts w:eastAsia="Calibri"/>
                        <w:bCs/>
                        <w:sz w:val="22"/>
                        <w:szCs w:val="24"/>
                      </w:rPr>
                    </w:pPr>
                    <w:r>
                      <w:rPr>
                        <w:rFonts w:eastAsia="Calibri"/>
                        <w:b/>
                        <w:sz w:val="22"/>
                        <w:szCs w:val="24"/>
                      </w:rPr>
                      <w:t>Užimtumo didinimas</w:t>
                    </w:r>
                    <w:r>
                      <w:rPr>
                        <w:rFonts w:eastAsia="Calibri"/>
                        <w:bCs/>
                        <w:sz w:val="22"/>
                        <w:szCs w:val="24"/>
                      </w:rPr>
                      <w:t>. Siekiant, kad ilgalaikių bedarbių skaičius toliau mažėtų (ST3), ypač turint omenyje tai, kad ekonomikai lėtėjant, gali augti bedarbių skaičius (GR1), svarbu toliau aktyviai dirbti su ilgalaikių bedarbių įtraukimu į darbo rinką (ST18, GA2). Trūkstant specialistų (SI16), svarbu dėti daug pastangų juos pritraukti į miestą, o stokojant darbo jėgos (GR2), skirtumą sumažins didėjantis imigrantų skaičius į Šiaulius (ST1).</w:t>
                    </w:r>
                  </w:p>
                  <w:p>
                    <w:pPr>
                      <w:rPr>
                        <w:sz w:val="10"/>
                        <w:szCs w:val="10"/>
                      </w:rPr>
                    </w:pPr>
                  </w:p>
                  <w:p>
                    <w:pPr>
                      <w:jc w:val="both"/>
                      <w:rPr>
                        <w:rFonts w:eastAsia="Calibri"/>
                        <w:bCs/>
                        <w:sz w:val="22"/>
                        <w:szCs w:val="24"/>
                      </w:rPr>
                    </w:pPr>
                    <w:r>
                      <w:rPr>
                        <w:rFonts w:eastAsia="Calibri"/>
                        <w:b/>
                        <w:sz w:val="22"/>
                        <w:szCs w:val="24"/>
                      </w:rPr>
                      <w:t>Sveikatos specialistų pritraukimas.</w:t>
                    </w:r>
                    <w:r>
                      <w:rPr>
                        <w:rFonts w:eastAsia="Calibri"/>
                        <w:bCs/>
                        <w:sz w:val="22"/>
                        <w:szCs w:val="24"/>
                      </w:rPr>
                      <w:t xml:space="preserve"> Auganti imigracija į miestą (ST1) taip pat galėtų padėti spręsti sveikatos specialistų pritraukimo problemą, būdingą tiek Šiaulių miestui, tiek visai Lietuvai (GR13). Jau esamos sveikatos specialistų pritraukimo ir studijų finansavimo schemos (ST16) įgyvendinimas padės padidinti gydytojų ir kt. sveikatos specialistų skaičių (SI15, SI16) ir sutrumpinti laukimo pas gydytojus eiles. Būtinas sveikatos priežiūros įstaigų įvaizdžio gerinimas, kuris glaudžiai susijęs su sveikatos specialistų darbo sąlygų patrauklumu ir šios profesijos pasirinkimu. </w:t>
                    </w:r>
                  </w:p>
                  <w:p>
                    <w:pPr>
                      <w:rPr>
                        <w:sz w:val="10"/>
                        <w:szCs w:val="10"/>
                      </w:rPr>
                    </w:pPr>
                  </w:p>
                  <w:p>
                    <w:pPr>
                      <w:jc w:val="both"/>
                      <w:rPr>
                        <w:rFonts w:eastAsia="Calibri"/>
                        <w:bCs/>
                        <w:sz w:val="22"/>
                        <w:szCs w:val="24"/>
                      </w:rPr>
                    </w:pPr>
                    <w:r>
                      <w:rPr>
                        <w:rFonts w:eastAsia="Calibri"/>
                        <w:b/>
                        <w:sz w:val="22"/>
                        <w:szCs w:val="24"/>
                      </w:rPr>
                      <w:t xml:space="preserve">Švietimas. </w:t>
                    </w:r>
                    <w:r>
                      <w:rPr>
                        <w:rFonts w:eastAsia="Calibri"/>
                        <w:bCs/>
                        <w:sz w:val="22"/>
                        <w:szCs w:val="24"/>
                      </w:rPr>
                      <w:t>Šiauliai gali pasigirti aukščiausia neformaliojo švietimo veiklose dalyvaujančių mokinių dalimi savivaldybės mokyklose, palyginti su didžiaisiais miestais ir Lietuvos vidurkiu (ST7). Ikimokyklinio ugdymo srityje mažėja vaikų, nelankančių ikimokyklinio ugdymo įstaigų, skaičius (ST8), o bendrojo ugdymo srityje atsiveria naujos galimybės nuotoliniam mokymui (GA5) ir skaitmeninių priemonių naudojimui (ST9). Būtina ir toliau vystyti esamų stiprybių plėtrą.</w:t>
                    </w:r>
                  </w:p>
                  <w:p>
                    <w:pPr>
                      <w:rPr>
                        <w:sz w:val="10"/>
                        <w:szCs w:val="10"/>
                      </w:rPr>
                    </w:pPr>
                  </w:p>
                  <w:p>
                    <w:pPr>
                      <w:jc w:val="both"/>
                      <w:rPr>
                        <w:rFonts w:eastAsia="Calibri"/>
                        <w:bCs/>
                        <w:sz w:val="22"/>
                        <w:szCs w:val="24"/>
                      </w:rPr>
                    </w:pPr>
                    <w:r>
                      <w:rPr>
                        <w:rFonts w:eastAsia="Calibri"/>
                        <w:b/>
                        <w:sz w:val="22"/>
                        <w:szCs w:val="24"/>
                      </w:rPr>
                      <w:t>Studentų pritraukimas.</w:t>
                    </w:r>
                    <w:r>
                      <w:rPr>
                        <w:rFonts w:eastAsia="Calibri"/>
                        <w:bCs/>
                        <w:sz w:val="22"/>
                        <w:szCs w:val="24"/>
                      </w:rPr>
                      <w:t xml:space="preserve"> Norint, kad studijuojančių skaičius Šiauliuose augtų, būtų galima orientuotis į efektyvesnę studentų pritraukimo į Šiaulius programą, ypač išnaudojant tai, kad įmonių parama studentams auga (ST10), sėkmingai vykdoma švietimo įstaigų kampanija “Šiauliai - karjeros miestas”, stiprus verslo, mokslo ir švietimo įstaigų bendradarbiavimas. Būtina pasinaudoti galimybe vykdyti vaikų ir jaunimo orientacija į paklausias specialybes (GA6). Tai padėtų padidinti studijuojančių Šiauliuose skaičių bei pritrauktų potencialių ateities specialistų į miestą. </w:t>
                    </w:r>
                  </w:p>
                  <w:p>
                    <w:pPr>
                      <w:rPr>
                        <w:sz w:val="10"/>
                        <w:szCs w:val="10"/>
                      </w:rPr>
                    </w:pPr>
                  </w:p>
                  <w:p>
                    <w:pPr>
                      <w:jc w:val="both"/>
                      <w:rPr>
                        <w:rFonts w:eastAsia="Calibri"/>
                        <w:bCs/>
                        <w:sz w:val="22"/>
                        <w:szCs w:val="24"/>
                      </w:rPr>
                    </w:pPr>
                    <w:r>
                      <w:rPr>
                        <w:rFonts w:eastAsia="Calibri"/>
                        <w:b/>
                        <w:sz w:val="22"/>
                        <w:szCs w:val="24"/>
                      </w:rPr>
                      <w:t>Turizmo skatinimas.</w:t>
                    </w:r>
                    <w:r>
                      <w:rPr>
                        <w:rFonts w:eastAsia="Calibri"/>
                        <w:bCs/>
                        <w:sz w:val="22"/>
                        <w:szCs w:val="24"/>
                      </w:rPr>
                      <w:t xml:space="preserve"> Atsinaujinus kultūros ir turizmo veikloms po pandemijos, turistų skaičius Šiaulių mieste vis dar nesiekia priešpandeminio laikotarpio lygio (SI10). Siekiant pozicionuoti Šiaulių miestą aktyvaus laisvalaikio, sporto ar renginių turizmo srityse (GA10), svarbu toliau kurti ir išnaudoti aktyvaus laisvalaikio turizmo produktus (ST13), vystyti kultūros paslaugas, kurti naujas kultūros renginių raiškos formas (SI 13), įgyvendinti priemones, prisidedančias prie turisto „išlaikymo“ Šiauliuose ilgiau nei vieną dieną. Siekiant aptarnauti galimą padidėjusį ne vienos dienos turistų srautą, turi būti planuojamas apgyvendinimo vietų skaičiaus didinimas (SI12).</w:t>
                    </w:r>
                  </w:p>
                  <w:p>
                    <w:pPr>
                      <w:rPr>
                        <w:sz w:val="10"/>
                        <w:szCs w:val="10"/>
                      </w:rPr>
                    </w:pPr>
                  </w:p>
                  <w:p>
                    <w:pPr>
                      <w:jc w:val="both"/>
                      <w:rPr>
                        <w:rFonts w:eastAsia="Calibri"/>
                        <w:bCs/>
                        <w:sz w:val="22"/>
                        <w:szCs w:val="24"/>
                      </w:rPr>
                    </w:pPr>
                    <w:r>
                      <w:rPr>
                        <w:rFonts w:eastAsia="Calibri"/>
                        <w:b/>
                        <w:sz w:val="22"/>
                        <w:szCs w:val="24"/>
                      </w:rPr>
                      <w:t>Kultūros paslaugų įvairovė.</w:t>
                    </w:r>
                    <w:r>
                      <w:rPr>
                        <w:rFonts w:eastAsia="Calibri"/>
                        <w:bCs/>
                        <w:sz w:val="22"/>
                        <w:szCs w:val="24"/>
                      </w:rPr>
                      <w:t xml:space="preserve"> Siekiant padidinti po pandemijos sumažėjusį kai kurių kultūros įstaigų lankomumą, ypač bibliotekos lankytojų ir vartotojų skaičių (SI14), būtina aktyviai įtraukti visas kultūros įstaigas ir jų teminių sričių įvairovę. Galimybė pratęsti kultūros įstaigų darbo laiką darbo dienomis ir atverti jų duris sekmadieniais ar švenčių dienomis. Didžioji dalis turizmo ir kultūros objektų susikoncentravę centrinėje miesto dalyje ir egzistuoja naujų kultūros renginių raiškos formų stoka (SI13), todėl labai svarbu išnaudoti miesto žaliąsias erdves perkeliant kultūros renginius į miesto centro užribį. Taip pat, turint omenyje augantį jaunimo organizacijose dalyvaujančių asmenų skaičių (ST11), galima didinti bendradarbiavimą su jaunimu, siekiant išsiaiškinti jų kultūrinius, su laisvalaikio ir profesine veikla susijusius poreikius, taip pat organizuoti festivalius jaunimui. </w:t>
                    </w:r>
                  </w:p>
                  <w:p>
                    <w:pPr>
                      <w:rPr>
                        <w:sz w:val="10"/>
                        <w:szCs w:val="10"/>
                      </w:rPr>
                    </w:pPr>
                  </w:p>
                  <w:p>
                    <w:pPr>
                      <w:jc w:val="both"/>
                      <w:rPr>
                        <w:rFonts w:eastAsia="Calibri"/>
                        <w:bCs/>
                        <w:sz w:val="22"/>
                        <w:szCs w:val="24"/>
                      </w:rPr>
                    </w:pPr>
                    <w:r>
                      <w:rPr>
                        <w:rFonts w:eastAsia="Calibri"/>
                        <w:b/>
                        <w:sz w:val="22"/>
                        <w:szCs w:val="24"/>
                      </w:rPr>
                      <w:t>Transportas.</w:t>
                    </w:r>
                    <w:r>
                      <w:rPr>
                        <w:rFonts w:eastAsia="Calibri"/>
                        <w:bCs/>
                        <w:sz w:val="22"/>
                        <w:szCs w:val="24"/>
                      </w:rPr>
                      <w:t xml:space="preserve"> Didėjantis automobilizacijos lygis (GR19) gali būti suvaldytas gerinant dviračių takų būklę, viešojo transporto sąlygas ir skatinant elektromobilių naudojimą. Dviračių takų tinklas Šiauliuose yra tankus (ST29), tačiau svarbu pagerinti dviračių takų būklę (SI29). Siekiant padidinti viešojo transporto keleivių skaičių (SI28), tobulintinas viešojo transporto judėjimo grafikas, galimybė atnaujinti autoparką renkantis autobusus, kurie naudoja tvarų kurą (elektra, vandenilis). Taip pat svarbios investicijos į elektromobilių stotelių infrastruktūrą (SI31).</w:t>
                    </w:r>
                  </w:p>
                  <w:p>
                    <w:pPr>
                      <w:rPr>
                        <w:sz w:val="10"/>
                        <w:szCs w:val="10"/>
                      </w:rPr>
                    </w:pPr>
                  </w:p>
                  <w:p>
                    <w:pPr>
                      <w:jc w:val="both"/>
                      <w:rPr>
                        <w:rFonts w:eastAsia="Calibri"/>
                        <w:bCs/>
                        <w:sz w:val="22"/>
                        <w:szCs w:val="24"/>
                      </w:rPr>
                    </w:pPr>
                    <w:r>
                      <w:rPr>
                        <w:rFonts w:eastAsia="Calibri"/>
                        <w:b/>
                        <w:sz w:val="22"/>
                        <w:szCs w:val="24"/>
                      </w:rPr>
                      <w:t>Saugumas</w:t>
                    </w:r>
                    <w:r>
                      <w:rPr>
                        <w:rFonts w:eastAsia="Calibri"/>
                        <w:bCs/>
                        <w:sz w:val="22"/>
                        <w:szCs w:val="24"/>
                      </w:rPr>
                      <w:t xml:space="preserve">. Siekiant išlaikyti ir / ar dar labiau sumažinti nusikalstamumo lygį ir padidinti ištirtų nusikaltimų dalį nuo visų nusikaltimų (ST32), naudinga išplėsti vaizdo stebėjimo kamerų tinklą, kuris šiuo metu susikoncentravęs centrinėje Šiaulių miesto dalyje (SI32). Siekiant operatyvios reakcijos, į saugumo klausimus įtraukti daugiau bendruomenių atstovų. </w:t>
                    </w:r>
                  </w:p>
                  <w:p>
                    <w:pPr>
                      <w:rPr>
                        <w:sz w:val="10"/>
                        <w:szCs w:val="10"/>
                      </w:rPr>
                    </w:pPr>
                  </w:p>
                  <w:p>
                    <w:pPr>
                      <w:jc w:val="both"/>
                      <w:rPr>
                        <w:rFonts w:eastAsia="Calibri"/>
                        <w:bCs/>
                        <w:sz w:val="22"/>
                        <w:szCs w:val="24"/>
                      </w:rPr>
                    </w:pPr>
                    <w:r>
                      <w:rPr>
                        <w:rFonts w:eastAsia="Calibri"/>
                        <w:b/>
                        <w:sz w:val="22"/>
                        <w:szCs w:val="24"/>
                      </w:rPr>
                      <w:t>Verslas.</w:t>
                    </w:r>
                    <w:r>
                      <w:rPr>
                        <w:rFonts w:eastAsia="Calibri"/>
                        <w:bCs/>
                        <w:sz w:val="22"/>
                        <w:szCs w:val="24"/>
                      </w:rPr>
                      <w:t xml:space="preserve"> Atsižvelgiant į tai, kad auganti infliacija gali neigiamai veikti vartotojų perkamąją galią ir lėtinti ekonomiką (GR3), svarbu toliau investuoti į Šiaulių miesto ekonominį potencialą keliančias sritis – tai Šiaulių m. savivaldybės administracija darė ir 2015–2022 m. laikotarpiu: finansavimas savivaldybės biudžete ekonomikos sričiai išaugo daugiau nei dvigubai. Pritrauktos didelės investicijos labai prisidėtų prie vidutinio darbo užmokesčio augimo (ST2).</w:t>
                    </w:r>
                  </w:p>
                  <w:p>
                    <w:pPr>
                      <w:rPr>
                        <w:sz w:val="10"/>
                        <w:szCs w:val="10"/>
                      </w:rPr>
                    </w:pPr>
                  </w:p>
                  <w:p>
                    <w:pPr>
                      <w:jc w:val="both"/>
                      <w:rPr>
                        <w:rFonts w:eastAsia="Calibri"/>
                        <w:bCs/>
                        <w:sz w:val="22"/>
                        <w:szCs w:val="24"/>
                      </w:rPr>
                    </w:pPr>
                    <w:r>
                      <w:rPr>
                        <w:rFonts w:eastAsia="Calibri"/>
                        <w:b/>
                        <w:sz w:val="22"/>
                        <w:szCs w:val="24"/>
                      </w:rPr>
                      <w:t>Socialinė apsauga ir sveikata.</w:t>
                    </w:r>
                    <w:r>
                      <w:rPr>
                        <w:rFonts w:eastAsia="Calibri"/>
                        <w:bCs/>
                        <w:sz w:val="22"/>
                        <w:szCs w:val="24"/>
                      </w:rPr>
                      <w:t xml:space="preserve"> Didelis ir toliau augantis sportuojančiųjų skaičius Šiaulių mieste (ST12) ir gyventojų įtrauktis į prevencines sveikatos gerinimo programas (GA11) prisideda prie bendros visuomenės sveikatos gerinimo ir ilgesnės vidutinės gyvenimo trukmės. Turint omenyje, kad gyventojai ilgiau gyvena ir didės socialines paslaugas vartojančių gyventojų skaičius, svarbu išnaudoti didėjančias NVO galimybes dalyvauti viešuose pirkimuose socialinėms paslaugoms teikti (GA12) dėl jų įvairovės ir skirtingų teikimo būdų galimybių didinimo. </w:t>
                    </w:r>
                  </w:p>
                  <w:p>
                    <w:pPr>
                      <w:rPr>
                        <w:sz w:val="10"/>
                        <w:szCs w:val="10"/>
                      </w:rPr>
                    </w:pPr>
                  </w:p>
                  <w:p>
                    <w:pPr>
                      <w:jc w:val="both"/>
                      <w:rPr>
                        <w:rFonts w:eastAsia="Calibri"/>
                        <w:bCs/>
                        <w:sz w:val="22"/>
                        <w:szCs w:val="24"/>
                      </w:rPr>
                    </w:pPr>
                    <w:r>
                      <w:rPr>
                        <w:rFonts w:eastAsia="Calibri"/>
                        <w:b/>
                        <w:sz w:val="22"/>
                        <w:szCs w:val="24"/>
                      </w:rPr>
                      <w:t>Sportas.</w:t>
                    </w:r>
                    <w:r>
                      <w:rPr>
                        <w:rFonts w:eastAsia="Calibri"/>
                        <w:bCs/>
                        <w:sz w:val="22"/>
                        <w:szCs w:val="24"/>
                      </w:rPr>
                      <w:t xml:space="preserve"> Sporto sritis Šiauliuose tik stiprėja – auga sporto varžybų ir sveikatingumo renginių dalyvių skaičius (ST12), aktyvaus laisvalaikio turizmo produktų skaičius (ST13), daugėja privačių sporto infrastruktūros projektų (ST14). Norint išnaudoti šias stiprybes dar efektyviau, sporto srityje vertėtų sukurti regioninį sporto klasterio modelį, įtraukiant miesto, regiono sporto organizacijas, sporto gimnaziją, sporto šakų federacijas (GA7). Kuriant tokį modelį, galėtų būti pasitelktas valstybinis ar ES finansavimas. Tai padėtų spręsti ir nepakankamo finansavimo sporto bazėms problemą (GR9).</w:t>
                    </w:r>
                  </w:p>
                  <w:p>
                    <w:pPr>
                      <w:rPr>
                        <w:sz w:val="10"/>
                        <w:szCs w:val="10"/>
                      </w:rPr>
                    </w:pPr>
                  </w:p>
                  <w:p>
                    <w:pPr>
                      <w:jc w:val="both"/>
                      <w:rPr>
                        <w:rFonts w:eastAsia="Calibri"/>
                        <w:bCs/>
                        <w:sz w:val="22"/>
                        <w:szCs w:val="24"/>
                      </w:rPr>
                    </w:pPr>
                  </w:p>
                </w:tc>
              </w:tr>
              <w:tr>
                <w:trPr>
                  <w:trHeight w:val="573"/>
                </w:trPr>
                <w:tc>
                  <w:tcPr>
                    <w:tcW w:w="9640"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both"/>
                      <w:rPr>
                        <w:rFonts w:eastAsia="Calibri"/>
                        <w:b/>
                        <w:sz w:val="22"/>
                        <w:szCs w:val="24"/>
                      </w:rPr>
                    </w:pPr>
                    <w:r>
                      <w:rPr>
                        <w:rFonts w:eastAsia="Calibri"/>
                        <w:b/>
                        <w:sz w:val="22"/>
                        <w:szCs w:val="24"/>
                      </w:rPr>
                      <w:t>Savivaldybės nustatytos pagrindinės problemos, kurių sprendimas būtų efektyvesnis kelių savivaldybių / regiono mastu:</w:t>
                    </w:r>
                  </w:p>
                  <w:p>
                    <w:pPr>
                      <w:rPr>
                        <w:sz w:val="10"/>
                        <w:szCs w:val="10"/>
                      </w:rPr>
                    </w:pPr>
                  </w:p>
                  <w:p>
                    <w:pPr>
                      <w:ind w:left="714" w:hanging="357"/>
                      <w:jc w:val="both"/>
                      <w:rPr>
                        <w:rFonts w:eastAsia="Calibri"/>
                        <w:bCs/>
                        <w:sz w:val="22"/>
                        <w:szCs w:val="24"/>
                      </w:rPr>
                    </w:pPr>
                    <w:r>
                      <w:rPr>
                        <w:rFonts w:eastAsia="Calibri"/>
                        <w:bCs/>
                        <w:sz w:val="22"/>
                        <w:szCs w:val="24"/>
                      </w:rPr>
                      <w:t>1.</w:t>
                      <w:tab/>
                    </w:r>
                    <w:r>
                      <w:rPr>
                        <w:rFonts w:eastAsia="MS Mincho"/>
                        <w:b/>
                        <w:bCs/>
                        <w:kern w:val="2"/>
                        <w:sz w:val="22"/>
                        <w:szCs w:val="24"/>
                      </w:rPr>
                      <w:t>Nekoordinuotai tarp Šiaulių miesto ir rajono vystomos miesto pakraščiuose esančios mažaaukštės namų, rekreacinės ir žaliosios teritorijos</w:t>
                    </w:r>
                    <w:r>
                      <w:rPr>
                        <w:rFonts w:eastAsia="MS Mincho"/>
                        <w:kern w:val="2"/>
                        <w:sz w:val="22"/>
                        <w:szCs w:val="24"/>
                      </w:rPr>
                      <w:t>, t. y. neracionaliai ir netolygiai plečiamas gatvių tinklas, atsiranda neplanuotas socialinės infrastruktūros poreikis, miesto ir rajono žaliosios erdvės ne visiškai išnaudoja savo rekreacinį potencialą. </w:t>
                    </w:r>
                  </w:p>
                  <w:p>
                    <w:pPr>
                      <w:ind w:left="714" w:hanging="357"/>
                      <w:jc w:val="both"/>
                      <w:rPr>
                        <w:rFonts w:eastAsia="Calibri"/>
                        <w:bCs/>
                        <w:sz w:val="22"/>
                        <w:szCs w:val="24"/>
                      </w:rPr>
                    </w:pPr>
                    <w:r>
                      <w:rPr>
                        <w:rFonts w:eastAsia="Calibri"/>
                        <w:bCs/>
                        <w:sz w:val="22"/>
                        <w:szCs w:val="24"/>
                      </w:rPr>
                      <w:t>2.</w:t>
                      <w:tab/>
                    </w:r>
                    <w:r>
                      <w:rPr>
                        <w:rFonts w:eastAsia="Calibri"/>
                        <w:b/>
                        <w:sz w:val="22"/>
                        <w:szCs w:val="24"/>
                      </w:rPr>
                      <w:t>Nepakankamai pritraukiamas didelių investuotojų skaičius</w:t>
                    </w:r>
                    <w:r>
                      <w:rPr>
                        <w:rFonts w:eastAsia="Calibri"/>
                        <w:bCs/>
                        <w:sz w:val="22"/>
                        <w:szCs w:val="24"/>
                      </w:rPr>
                      <w:t xml:space="preserve"> – galimas bendradarbiavimas tarp Šiaulių ir Šiaulių rajono / regiono savivaldybių, didinant Šiaulių regiono, kaip verslo vystymo centro, patrauklumą, pritraukiant investuotojus, sprendžiant inžinerinės aukštos kvalifikacijos specialistų trūkumą. </w:t>
                    </w:r>
                  </w:p>
                  <w:p>
                    <w:pPr>
                      <w:ind w:left="714" w:hanging="357"/>
                      <w:jc w:val="both"/>
                      <w:rPr>
                        <w:rFonts w:eastAsia="Calibri"/>
                        <w:bCs/>
                        <w:sz w:val="22"/>
                        <w:szCs w:val="24"/>
                      </w:rPr>
                    </w:pPr>
                    <w:r>
                      <w:rPr>
                        <w:rFonts w:eastAsia="Calibri"/>
                        <w:bCs/>
                        <w:sz w:val="22"/>
                        <w:szCs w:val="24"/>
                      </w:rPr>
                      <w:t>3.</w:t>
                      <w:tab/>
                    </w:r>
                    <w:r>
                      <w:rPr>
                        <w:rFonts w:eastAsia="Calibri"/>
                        <w:b/>
                        <w:sz w:val="22"/>
                        <w:szCs w:val="24"/>
                      </w:rPr>
                      <w:t>Trumpalaikių (vienos dienos) turistų dominavimas</w:t>
                    </w:r>
                    <w:r>
                      <w:rPr>
                        <w:rFonts w:eastAsia="Calibri"/>
                        <w:bCs/>
                        <w:sz w:val="22"/>
                        <w:szCs w:val="24"/>
                      </w:rPr>
                      <w:t>. Turizmo srityje reikalingas bendradarbiavimas su Šiaulių rajono / regiono savivaldybėmis, nacionalinėmis turizmo institucijomis tam, kad būtų galima pritraukti turistus ilgesniam laikui aplankant ne tik Šiaulių miestą, bet ir aplinkines savivaldybes.</w:t>
                    </w:r>
                  </w:p>
                </w:tc>
              </w:tr>
            </w:tbl>
            <w:p>
              <w:pPr>
                <w:rPr>
                  <w:sz w:val="10"/>
                  <w:szCs w:val="10"/>
                </w:rPr>
              </w:pPr>
            </w:p>
            <w:p/>
            <w:p>
              <w:pPr>
                <w:rPr>
                  <w:sz w:val="10"/>
                  <w:szCs w:val="10"/>
                </w:rPr>
              </w:pPr>
            </w:p>
            <w:p/>
            <w:p>
              <w:pPr>
                <w:rPr>
                  <w:sz w:val="10"/>
                  <w:szCs w:val="10"/>
                </w:rPr>
              </w:pPr>
            </w:p>
            <w:p/>
            <w:p>
              <w:pPr>
                <w:rPr>
                  <w:sz w:val="10"/>
                  <w:szCs w:val="10"/>
                </w:rPr>
              </w:pPr>
            </w:p>
            <w:p/>
            <w:p>
              <w:pPr>
                <w:rPr>
                  <w:sz w:val="10"/>
                  <w:szCs w:val="10"/>
                </w:rPr>
              </w:pPr>
            </w:p>
          </w:sdtContent>
        </w:sdt>
        <w:sdt>
          <w:sdtPr>
            <w:alias w:val="skyrius"/>
            <w:tag w:val="part_1e748474b75b464f8e4ef1599da86338"/>
            <w:lock w:val="sdtLocked"/>
            <w:richText/>
          </w:sdtPr>
          <w:sdtContent>
            <w:p>
              <w:pPr>
                <w:keepNext/>
                <w:keepLines/>
                <w:jc w:val="center"/>
                <w:rPr>
                  <w:b/>
                  <w:color w:val="000000"/>
                  <w:szCs w:val="24"/>
                </w:rPr>
              </w:pPr>
              <w:sdt>
                <w:sdtPr>
                  <w:alias w:val="Numeris"/>
                  <w:tag w:val="nr_1e748474b75b464f8e4ef1599da86338"/>
                  <w:lock w:val="sdtLocked"/>
                  <w:richText/>
                </w:sdtPr>
                <w:sdtContent>
                  <w:r>
                    <w:rPr>
                      <w:b/>
                      <w:color w:val="000000"/>
                      <w:szCs w:val="24"/>
                    </w:rPr>
                    <w:t>III</w:t>
                  </w:r>
                </w:sdtContent>
              </w:sdt>
              <w:r>
                <w:rPr>
                  <w:b/>
                  <w:color w:val="000000"/>
                  <w:szCs w:val="24"/>
                </w:rPr>
                <w:t xml:space="preserve"> SKYRIUS</w:t>
              </w:r>
            </w:p>
            <w:p>
              <w:pPr>
                <w:keepNext/>
                <w:keepLines/>
                <w:jc w:val="center"/>
                <w:rPr>
                  <w:b/>
                  <w:color w:val="000000"/>
                  <w:szCs w:val="24"/>
                </w:rPr>
              </w:pPr>
              <w:sdt>
                <w:sdtPr>
                  <w:alias w:val="Pavadinimas"/>
                  <w:tag w:val="title_1e748474b75b464f8e4ef1599da86338"/>
                  <w:lock w:val="sdtLocked"/>
                  <w:richText/>
                </w:sdtPr>
                <w:sdtContent>
                  <w:r>
                    <w:rPr>
                      <w:b/>
                      <w:color w:val="000000"/>
                      <w:szCs w:val="24"/>
                    </w:rPr>
                    <w:t>SAVIVALDYBĖS PLĖTROS VIZIJA</w:t>
                  </w:r>
                </w:sdtContent>
              </w:sdt>
            </w:p>
            <w:p>
              <w:pPr>
                <w:rPr>
                  <w:sz w:val="10"/>
                  <w:szCs w:val="10"/>
                </w:rPr>
              </w:pPr>
            </w:p>
            <w:p>
              <w:pPr>
                <w:keepNext/>
                <w:keepLines/>
                <w:ind w:firstLine="709"/>
                <w:jc w:val="both"/>
                <w:rPr>
                  <w:i/>
                  <w:color w:val="808080"/>
                  <w:szCs w:val="24"/>
                </w:rPr>
              </w:pPr>
            </w:p>
            <w:tbl>
              <w:tblPr>
                <w:tblW w:w="9640"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640"/>
              </w:tblGrid>
              <w:tr>
                <w:trPr>
                  <w:trHeight w:val="573"/>
                </w:trPr>
                <w:tc>
                  <w:tcPr>
                    <w:tcW w:w="9640" w:type="dxa"/>
                    <w:tcBorders>
                      <w:top w:val="single" w:sz="4" w:space="0" w:color="auto"/>
                      <w:left w:val="single" w:sz="4" w:space="0" w:color="auto"/>
                      <w:bottom w:val="single" w:sz="4" w:space="0" w:color="auto"/>
                      <w:right w:val="single" w:sz="4" w:space="0" w:color="auto"/>
                    </w:tcBorders>
                    <w:hideMark/>
                  </w:tcPr>
                  <w:p>
                    <w:pPr>
                      <w:rPr>
                        <w:sz w:val="10"/>
                        <w:szCs w:val="10"/>
                      </w:rPr>
                    </w:pPr>
                  </w:p>
                  <w:p>
                    <w:pPr>
                      <w:rPr>
                        <w:rFonts w:eastAsia="Calibri"/>
                        <w:b/>
                        <w:sz w:val="22"/>
                        <w:szCs w:val="24"/>
                      </w:rPr>
                    </w:pPr>
                    <w:r>
                      <w:rPr>
                        <w:rFonts w:eastAsia="Calibri"/>
                        <w:b/>
                        <w:sz w:val="22"/>
                        <w:szCs w:val="24"/>
                      </w:rPr>
                      <w:t>Savivaldybės plėtros vizija:</w:t>
                    </w:r>
                  </w:p>
                  <w:p>
                    <w:pPr>
                      <w:rPr>
                        <w:sz w:val="10"/>
                        <w:szCs w:val="10"/>
                      </w:rPr>
                    </w:pPr>
                  </w:p>
                  <w:p>
                    <w:pPr>
                      <w:rPr>
                        <w:rFonts w:eastAsia="Calibri"/>
                        <w:b/>
                        <w:sz w:val="22"/>
                        <w:szCs w:val="24"/>
                      </w:rPr>
                    </w:pPr>
                    <w:r>
                      <w:rPr>
                        <w:rFonts w:eastAsia="Calibri"/>
                        <w:b/>
                        <w:sz w:val="22"/>
                        <w:szCs w:val="24"/>
                      </w:rPr>
                      <w:t>ŠIAULIAI – Saulės miestas – atviras, veržlus ir saugus:</w:t>
                    </w:r>
                  </w:p>
                  <w:p>
                    <w:pPr>
                      <w:rPr>
                        <w:sz w:val="10"/>
                        <w:szCs w:val="10"/>
                      </w:rPr>
                    </w:pPr>
                  </w:p>
                  <w:p>
                    <w:pPr>
                      <w:ind w:left="720" w:hanging="360"/>
                      <w:rPr>
                        <w:rFonts w:eastAsia="Calibri"/>
                        <w:bCs/>
                        <w:sz w:val="22"/>
                        <w:szCs w:val="24"/>
                      </w:rPr>
                    </w:pPr>
                    <w:r>
                      <w:rPr>
                        <w:rFonts w:ascii="Symbol" w:eastAsia="Calibri" w:hAnsi="Symbol"/>
                        <w:bCs/>
                        <w:sz w:val="22"/>
                        <w:szCs w:val="24"/>
                      </w:rPr>
                      <w:t></w:t>
                      <w:tab/>
                    </w:r>
                    <w:r>
                      <w:rPr>
                        <w:rFonts w:eastAsia="Calibri"/>
                        <w:bCs/>
                        <w:sz w:val="22"/>
                        <w:szCs w:val="24"/>
                      </w:rPr>
                      <w:t>aktyvi, kūrybinga, jaunatviška ir atsakinga bendruomenė – gyvybingas miestas;</w:t>
                    </w:r>
                  </w:p>
                  <w:p>
                    <w:pPr>
                      <w:ind w:left="720" w:hanging="360"/>
                      <w:rPr>
                        <w:rFonts w:eastAsia="Calibri"/>
                        <w:bCs/>
                        <w:sz w:val="22"/>
                        <w:szCs w:val="24"/>
                      </w:rPr>
                    </w:pPr>
                    <w:r>
                      <w:rPr>
                        <w:rFonts w:ascii="Symbol" w:eastAsia="Calibri" w:hAnsi="Symbol"/>
                        <w:bCs/>
                        <w:sz w:val="22"/>
                        <w:szCs w:val="24"/>
                      </w:rPr>
                      <w:t></w:t>
                      <w:tab/>
                    </w:r>
                    <w:r>
                      <w:rPr>
                        <w:rFonts w:eastAsia="Calibri"/>
                        <w:bCs/>
                        <w:sz w:val="22"/>
                        <w:szCs w:val="24"/>
                      </w:rPr>
                      <w:t>regiono inovatyvios inžinerinės pramonės ir prekybos variklis, mokslo ir technologijų naujovių centras – traukiantis miestas;</w:t>
                    </w:r>
                  </w:p>
                  <w:p>
                    <w:pPr>
                      <w:ind w:left="720" w:hanging="360"/>
                      <w:rPr>
                        <w:rFonts w:eastAsia="Calibri"/>
                        <w:bCs/>
                        <w:sz w:val="22"/>
                        <w:szCs w:val="24"/>
                      </w:rPr>
                    </w:pPr>
                    <w:r>
                      <w:rPr>
                        <w:rFonts w:ascii="Symbol" w:eastAsia="Calibri" w:hAnsi="Symbol"/>
                        <w:bCs/>
                        <w:sz w:val="22"/>
                        <w:szCs w:val="24"/>
                      </w:rPr>
                      <w:t></w:t>
                      <w:tab/>
                    </w:r>
                    <w:r>
                      <w:rPr>
                        <w:rFonts w:eastAsia="Calibri"/>
                        <w:bCs/>
                        <w:sz w:val="22"/>
                        <w:szCs w:val="24"/>
                      </w:rPr>
                      <w:t>tvari infrastruktūra, patogi ir saugi gyvenamoji aplinka – kompaktiškas miestas.</w:t>
                    </w:r>
                  </w:p>
                  <w:p>
                    <w:pPr>
                      <w:rPr>
                        <w:sz w:val="10"/>
                        <w:szCs w:val="10"/>
                      </w:rPr>
                    </w:pPr>
                  </w:p>
                  <w:p>
                    <w:pPr>
                      <w:ind w:left="284"/>
                      <w:rPr>
                        <w:rFonts w:eastAsia="Calibri"/>
                        <w:bCs/>
                        <w:sz w:val="22"/>
                        <w:szCs w:val="24"/>
                      </w:rPr>
                    </w:pPr>
                    <w:r>
                      <w:rPr>
                        <w:rFonts w:eastAsia="Calibri"/>
                        <w:bCs/>
                        <w:sz w:val="22"/>
                        <w:szCs w:val="24"/>
                      </w:rPr>
                      <w:t>Žemiau pateikiami vizijos matavimo rodikliai ir jų planuojamos pasiekti reikšmės:</w:t>
                    </w:r>
                  </w:p>
                  <w:p>
                    <w:pPr>
                      <w:rPr>
                        <w:sz w:val="10"/>
                        <w:szCs w:val="10"/>
                      </w:rPr>
                    </w:pPr>
                  </w:p>
                  <w:tbl>
                    <w:tblPr>
                      <w:tblW w:w="9530" w:type="dxa"/>
                      <w:jc w:val="center"/>
                      <w:tblBorders>
                        <w:top w:val="single" w:sz="4" w:space="0" w:color="FEE1A1"/>
                        <w:left w:val="single" w:sz="4" w:space="0" w:color="FEE1A1"/>
                        <w:bottom w:val="single" w:sz="4" w:space="0" w:color="FEE1A1"/>
                        <w:right w:val="single" w:sz="4" w:space="0" w:color="FEE1A1"/>
                        <w:insideH w:val="single" w:sz="4" w:space="0" w:color="FEE1A1"/>
                        <w:insideV w:val="single" w:sz="4" w:space="0" w:color="FEE1A1"/>
                      </w:tblBorders>
                      <w:tblLayout w:type="fixed"/>
                      <w:tblCellMar>
                        <w:left w:w="0" w:type="dxa"/>
                        <w:right w:w="0" w:type="dxa"/>
                      </w:tblCellMar>
                      <w:tblLook w:val="04A0" w:firstRow="1" w:lastRow="0" w:firstColumn="1" w:lastColumn="0" w:noHBand="0" w:noVBand="1"/>
                    </w:tblPr>
                    <w:tblGrid>
                      <w:gridCol w:w="4524"/>
                      <w:gridCol w:w="1341"/>
                      <w:gridCol w:w="2114"/>
                      <w:gridCol w:w="1551"/>
                    </w:tblGrid>
                    <w:tr>
                      <w:trPr>
                        <w:trHeight w:val="258"/>
                        <w:jc w:val="center"/>
                      </w:trPr>
                      <w:tc>
                        <w:tcPr>
                          <w:tcW w:w="4524" w:type="dxa"/>
                          <w:shd w:val="clear" w:color="auto" w:fill="FDB515" w:themeFill="accent1"/>
                          <w:vAlign w:val="center"/>
                          <w:hideMark/>
                        </w:tcPr>
                        <w:p>
                          <w:pPr>
                            <w:jc w:val="center"/>
                            <w:rPr>
                              <w:b/>
                              <w:bCs/>
                              <w:sz w:val="20"/>
                              <w:lang w:eastAsia="lt-LT"/>
                            </w:rPr>
                          </w:pPr>
                          <w:r>
                            <w:rPr>
                              <w:b/>
                              <w:bCs/>
                              <w:sz w:val="20"/>
                              <w:lang w:eastAsia="lt-LT"/>
                            </w:rPr>
                            <w:t>Vizijos dedamoji</w:t>
                          </w:r>
                        </w:p>
                      </w:tc>
                      <w:tc>
                        <w:tcPr>
                          <w:tcW w:w="1341" w:type="dxa"/>
                          <w:shd w:val="clear" w:color="auto" w:fill="FDB515" w:themeFill="accent1"/>
                          <w:vAlign w:val="center"/>
                          <w:hideMark/>
                        </w:tcPr>
                        <w:p>
                          <w:pPr>
                            <w:jc w:val="center"/>
                            <w:rPr>
                              <w:b/>
                              <w:bCs/>
                              <w:sz w:val="20"/>
                              <w:lang w:eastAsia="lt-LT"/>
                            </w:rPr>
                          </w:pPr>
                          <w:r>
                            <w:rPr>
                              <w:b/>
                              <w:bCs/>
                              <w:sz w:val="20"/>
                              <w:lang w:eastAsia="lt-LT"/>
                            </w:rPr>
                            <w:t>Matavimo vnt.</w:t>
                          </w:r>
                        </w:p>
                      </w:tc>
                      <w:tc>
                        <w:tcPr>
                          <w:tcW w:w="2114" w:type="dxa"/>
                          <w:shd w:val="clear" w:color="auto" w:fill="FDB515" w:themeFill="accent1"/>
                          <w:vAlign w:val="center"/>
                        </w:tcPr>
                        <w:p>
                          <w:pPr>
                            <w:jc w:val="center"/>
                            <w:rPr>
                              <w:b/>
                              <w:bCs/>
                              <w:sz w:val="20"/>
                              <w:lang w:eastAsia="lt-LT"/>
                            </w:rPr>
                          </w:pPr>
                          <w:r>
                            <w:rPr>
                              <w:b/>
                              <w:bCs/>
                              <w:sz w:val="20"/>
                              <w:lang w:eastAsia="lt-LT"/>
                            </w:rPr>
                            <w:t>Paskutinė rodiklio reikšmė</w:t>
                          </w:r>
                        </w:p>
                      </w:tc>
                      <w:tc>
                        <w:tcPr>
                          <w:tcW w:w="1551" w:type="dxa"/>
                          <w:shd w:val="clear" w:color="auto" w:fill="FDB515" w:themeFill="accent1"/>
                          <w:vAlign w:val="center"/>
                          <w:hideMark/>
                        </w:tcPr>
                        <w:p>
                          <w:pPr>
                            <w:jc w:val="center"/>
                            <w:rPr>
                              <w:b/>
                              <w:bCs/>
                              <w:sz w:val="20"/>
                              <w:lang w:eastAsia="lt-LT"/>
                            </w:rPr>
                          </w:pPr>
                          <w:r>
                            <w:rPr>
                              <w:b/>
                              <w:bCs/>
                              <w:sz w:val="20"/>
                              <w:lang w:eastAsia="lt-LT"/>
                            </w:rPr>
                            <w:t>Planas 2033 m.</w:t>
                          </w:r>
                        </w:p>
                      </w:tc>
                    </w:tr>
                    <w:tr>
                      <w:trPr>
                        <w:trHeight w:val="258"/>
                        <w:jc w:val="center"/>
                      </w:trPr>
                      <w:tc>
                        <w:tcPr>
                          <w:tcW w:w="4524" w:type="dxa"/>
                          <w:shd w:val="clear" w:color="auto" w:fill="FEE1A1" w:themeFill="accent1" w:themeFillTint="66"/>
                          <w:vAlign w:val="bottom"/>
                          <w:hideMark/>
                        </w:tcPr>
                        <w:p>
                          <w:pPr>
                            <w:rPr>
                              <w:b/>
                              <w:bCs/>
                              <w:color w:val="000000"/>
                              <w:sz w:val="20"/>
                              <w:lang w:eastAsia="lt-LT"/>
                            </w:rPr>
                          </w:pPr>
                          <w:r>
                            <w:rPr>
                              <w:b/>
                              <w:bCs/>
                              <w:color w:val="000000"/>
                              <w:sz w:val="20"/>
                              <w:lang w:eastAsia="lt-LT"/>
                            </w:rPr>
                            <w:t>ATVIRAS</w:t>
                          </w:r>
                        </w:p>
                      </w:tc>
                      <w:tc>
                        <w:tcPr>
                          <w:tcW w:w="1341" w:type="dxa"/>
                          <w:shd w:val="clear" w:color="auto" w:fill="FEE1A1" w:themeFill="accent1" w:themeFillTint="66"/>
                          <w:vAlign w:val="center"/>
                          <w:hideMark/>
                        </w:tcPr>
                        <w:p>
                          <w:pPr>
                            <w:ind w:firstLine="53"/>
                            <w:jc w:val="center"/>
                            <w:rPr>
                              <w:b/>
                              <w:bCs/>
                              <w:color w:val="000000"/>
                              <w:sz w:val="20"/>
                              <w:lang w:eastAsia="lt-LT"/>
                            </w:rPr>
                          </w:pPr>
                        </w:p>
                      </w:tc>
                      <w:tc>
                        <w:tcPr>
                          <w:tcW w:w="2114" w:type="dxa"/>
                          <w:shd w:val="clear" w:color="auto" w:fill="FEE1A1" w:themeFill="accent1" w:themeFillTint="66"/>
                          <w:vAlign w:val="center"/>
                          <w:hideMark/>
                        </w:tcPr>
                        <w:p>
                          <w:pPr>
                            <w:jc w:val="center"/>
                            <w:rPr>
                              <w:b/>
                              <w:bCs/>
                              <w:color w:val="000000"/>
                              <w:sz w:val="20"/>
                              <w:lang w:eastAsia="lt-LT"/>
                            </w:rPr>
                          </w:pPr>
                        </w:p>
                      </w:tc>
                      <w:tc>
                        <w:tcPr>
                          <w:tcW w:w="1551" w:type="dxa"/>
                          <w:shd w:val="clear" w:color="auto" w:fill="FEE1A1" w:themeFill="accent1" w:themeFillTint="66"/>
                          <w:vAlign w:val="center"/>
                          <w:hideMark/>
                        </w:tcPr>
                        <w:p>
                          <w:pPr>
                            <w:ind w:firstLine="53"/>
                            <w:jc w:val="center"/>
                            <w:rPr>
                              <w:b/>
                              <w:bCs/>
                              <w:color w:val="000000"/>
                              <w:sz w:val="20"/>
                              <w:lang w:eastAsia="lt-LT"/>
                            </w:rPr>
                          </w:pPr>
                        </w:p>
                      </w:tc>
                    </w:tr>
                    <w:tr>
                      <w:trPr>
                        <w:trHeight w:val="258"/>
                        <w:jc w:val="center"/>
                      </w:trPr>
                      <w:tc>
                        <w:tcPr>
                          <w:tcW w:w="4524" w:type="dxa"/>
                          <w:shd w:val="clear" w:color="auto" w:fill="auto"/>
                          <w:vAlign w:val="center"/>
                          <w:hideMark/>
                        </w:tcPr>
                        <w:p>
                          <w:pPr>
                            <w:rPr>
                              <w:color w:val="000000"/>
                              <w:sz w:val="20"/>
                              <w:lang w:eastAsia="lt-LT"/>
                            </w:rPr>
                          </w:pPr>
                          <w:r>
                            <w:rPr>
                              <w:color w:val="000000"/>
                              <w:sz w:val="20"/>
                              <w:lang w:eastAsia="lt-LT"/>
                            </w:rPr>
                            <w:t>Gyventojų skaičius</w:t>
                          </w:r>
                        </w:p>
                      </w:tc>
                      <w:tc>
                        <w:tcPr>
                          <w:tcW w:w="1341" w:type="dxa"/>
                          <w:shd w:val="clear" w:color="auto" w:fill="auto"/>
                          <w:vAlign w:val="center"/>
                          <w:hideMark/>
                        </w:tcPr>
                        <w:p>
                          <w:pPr>
                            <w:jc w:val="center"/>
                            <w:rPr>
                              <w:color w:val="000000"/>
                              <w:sz w:val="20"/>
                              <w:lang w:eastAsia="lt-LT"/>
                            </w:rPr>
                          </w:pPr>
                          <w:r>
                            <w:rPr>
                              <w:color w:val="000000"/>
                              <w:sz w:val="20"/>
                              <w:lang w:eastAsia="lt-LT"/>
                            </w:rPr>
                            <w:t>tūkst. asm.</w:t>
                          </w:r>
                        </w:p>
                      </w:tc>
                      <w:tc>
                        <w:tcPr>
                          <w:tcW w:w="2114" w:type="dxa"/>
                          <w:shd w:val="clear" w:color="auto" w:fill="auto"/>
                          <w:noWrap/>
                          <w:vAlign w:val="center"/>
                          <w:hideMark/>
                        </w:tcPr>
                        <w:p>
                          <w:pPr>
                            <w:jc w:val="center"/>
                            <w:rPr>
                              <w:color w:val="000000"/>
                              <w:sz w:val="20"/>
                              <w:lang w:eastAsia="lt-LT"/>
                            </w:rPr>
                          </w:pPr>
                          <w:r>
                            <w:rPr>
                              <w:color w:val="000000"/>
                              <w:sz w:val="20"/>
                              <w:lang w:eastAsia="lt-LT"/>
                            </w:rPr>
                            <w:t xml:space="preserve">110,5  (2024)</w:t>
                          </w:r>
                        </w:p>
                      </w:tc>
                      <w:tc>
                        <w:tcPr>
                          <w:tcW w:w="1551" w:type="dxa"/>
                          <w:shd w:val="clear" w:color="auto" w:fill="ABDDB0"/>
                          <w:noWrap/>
                          <w:vAlign w:val="center"/>
                          <w:hideMark/>
                        </w:tcPr>
                        <w:p>
                          <w:pPr>
                            <w:jc w:val="center"/>
                            <w:rPr>
                              <w:color w:val="000000"/>
                              <w:sz w:val="20"/>
                              <w:lang w:eastAsia="lt-LT"/>
                            </w:rPr>
                          </w:pPr>
                          <w:r>
                            <w:rPr>
                              <w:color w:val="000000"/>
                              <w:sz w:val="20"/>
                              <w:lang w:eastAsia="lt-LT"/>
                            </w:rPr>
                            <w:t>119,0</w:t>
                          </w:r>
                        </w:p>
                      </w:tc>
                    </w:tr>
                    <w:tr>
                      <w:trPr>
                        <w:trHeight w:val="258"/>
                        <w:jc w:val="center"/>
                      </w:trPr>
                      <w:tc>
                        <w:tcPr>
                          <w:tcW w:w="4524" w:type="dxa"/>
                          <w:shd w:val="clear" w:color="auto" w:fill="auto"/>
                          <w:vAlign w:val="center"/>
                          <w:hideMark/>
                        </w:tcPr>
                        <w:p>
                          <w:pPr>
                            <w:rPr>
                              <w:color w:val="000000"/>
                              <w:sz w:val="20"/>
                              <w:lang w:eastAsia="lt-LT"/>
                            </w:rPr>
                          </w:pPr>
                          <w:r>
                            <w:rPr>
                              <w:color w:val="000000"/>
                              <w:sz w:val="20"/>
                              <w:lang w:eastAsia="lt-LT"/>
                            </w:rPr>
                            <w:t>Vaikų ir jaunimo dalis</w:t>
                          </w:r>
                        </w:p>
                      </w:tc>
                      <w:tc>
                        <w:tcPr>
                          <w:tcW w:w="1341" w:type="dxa"/>
                          <w:shd w:val="clear" w:color="auto" w:fill="auto"/>
                          <w:vAlign w:val="center"/>
                          <w:hideMark/>
                        </w:tcPr>
                        <w:p>
                          <w:pPr>
                            <w:jc w:val="center"/>
                            <w:rPr>
                              <w:color w:val="000000"/>
                              <w:sz w:val="20"/>
                              <w:lang w:eastAsia="lt-LT"/>
                            </w:rPr>
                          </w:pPr>
                          <w:r>
                            <w:rPr>
                              <w:color w:val="000000"/>
                              <w:sz w:val="20"/>
                              <w:lang w:eastAsia="lt-LT"/>
                            </w:rPr>
                            <w:t>proc.</w:t>
                          </w:r>
                        </w:p>
                      </w:tc>
                      <w:tc>
                        <w:tcPr>
                          <w:tcW w:w="2114" w:type="dxa"/>
                          <w:shd w:val="clear" w:color="auto" w:fill="auto"/>
                          <w:noWrap/>
                          <w:vAlign w:val="center"/>
                          <w:hideMark/>
                        </w:tcPr>
                        <w:p>
                          <w:pPr>
                            <w:jc w:val="center"/>
                            <w:rPr>
                              <w:color w:val="000000"/>
                              <w:sz w:val="20"/>
                              <w:lang w:eastAsia="lt-LT"/>
                            </w:rPr>
                          </w:pPr>
                          <w:r>
                            <w:rPr>
                              <w:color w:val="000000"/>
                              <w:sz w:val="20"/>
                              <w:lang w:eastAsia="lt-LT"/>
                            </w:rPr>
                            <w:t>27,7 (2024)</w:t>
                          </w:r>
                        </w:p>
                      </w:tc>
                      <w:tc>
                        <w:tcPr>
                          <w:tcW w:w="1551" w:type="dxa"/>
                          <w:shd w:val="clear" w:color="auto" w:fill="ABDDB0"/>
                          <w:noWrap/>
                          <w:vAlign w:val="center"/>
                          <w:hideMark/>
                        </w:tcPr>
                        <w:p>
                          <w:pPr>
                            <w:jc w:val="center"/>
                            <w:rPr>
                              <w:color w:val="000000"/>
                              <w:sz w:val="20"/>
                              <w:lang w:eastAsia="lt-LT"/>
                            </w:rPr>
                          </w:pPr>
                          <w:r>
                            <w:rPr>
                              <w:color w:val="000000"/>
                              <w:sz w:val="20"/>
                              <w:lang w:eastAsia="lt-LT"/>
                            </w:rPr>
                            <w:t>29,0</w:t>
                          </w:r>
                        </w:p>
                      </w:tc>
                    </w:tr>
                    <w:tr>
                      <w:trPr>
                        <w:trHeight w:val="258"/>
                        <w:jc w:val="center"/>
                      </w:trPr>
                      <w:tc>
                        <w:tcPr>
                          <w:tcW w:w="4524" w:type="dxa"/>
                          <w:shd w:val="clear" w:color="auto" w:fill="auto"/>
                          <w:vAlign w:val="center"/>
                          <w:hideMark/>
                        </w:tcPr>
                        <w:p>
                          <w:pPr>
                            <w:rPr>
                              <w:color w:val="000000"/>
                              <w:sz w:val="20"/>
                              <w:lang w:eastAsia="lt-LT"/>
                            </w:rPr>
                          </w:pPr>
                          <w:r>
                            <w:rPr>
                              <w:color w:val="000000"/>
                              <w:sz w:val="20"/>
                              <w:lang w:eastAsia="lt-LT"/>
                            </w:rPr>
                            <w:t>Studijuojančiųjų ir besimokančiųjų profesinėse mokymosi įstaigose dalis</w:t>
                          </w:r>
                        </w:p>
                      </w:tc>
                      <w:tc>
                        <w:tcPr>
                          <w:tcW w:w="1341" w:type="dxa"/>
                          <w:shd w:val="clear" w:color="auto" w:fill="auto"/>
                          <w:vAlign w:val="center"/>
                          <w:hideMark/>
                        </w:tcPr>
                        <w:p>
                          <w:pPr>
                            <w:jc w:val="center"/>
                            <w:rPr>
                              <w:color w:val="000000"/>
                              <w:sz w:val="20"/>
                              <w:lang w:eastAsia="lt-LT"/>
                            </w:rPr>
                          </w:pPr>
                          <w:r>
                            <w:rPr>
                              <w:color w:val="000000"/>
                              <w:sz w:val="20"/>
                              <w:lang w:eastAsia="lt-LT"/>
                            </w:rPr>
                            <w:t>proc.</w:t>
                          </w:r>
                        </w:p>
                      </w:tc>
                      <w:tc>
                        <w:tcPr>
                          <w:tcW w:w="2114" w:type="dxa"/>
                          <w:shd w:val="clear" w:color="auto" w:fill="auto"/>
                          <w:noWrap/>
                          <w:vAlign w:val="center"/>
                          <w:hideMark/>
                        </w:tcPr>
                        <w:p>
                          <w:pPr>
                            <w:jc w:val="center"/>
                            <w:rPr>
                              <w:color w:val="000000"/>
                              <w:sz w:val="20"/>
                              <w:lang w:eastAsia="lt-LT"/>
                            </w:rPr>
                          </w:pPr>
                          <w:r>
                            <w:rPr>
                              <w:color w:val="000000"/>
                              <w:sz w:val="20"/>
                              <w:lang w:eastAsia="lt-LT"/>
                            </w:rPr>
                            <w:t>5,3 (2023) </w:t>
                          </w:r>
                        </w:p>
                      </w:tc>
                      <w:tc>
                        <w:tcPr>
                          <w:tcW w:w="1551" w:type="dxa"/>
                          <w:shd w:val="clear" w:color="auto" w:fill="ABDDB0"/>
                          <w:noWrap/>
                          <w:vAlign w:val="center"/>
                          <w:hideMark/>
                        </w:tcPr>
                        <w:p>
                          <w:pPr>
                            <w:jc w:val="center"/>
                            <w:rPr>
                              <w:color w:val="000000"/>
                              <w:sz w:val="20"/>
                              <w:lang w:eastAsia="lt-LT"/>
                            </w:rPr>
                          </w:pPr>
                          <w:r>
                            <w:rPr>
                              <w:color w:val="000000"/>
                              <w:sz w:val="20"/>
                              <w:lang w:eastAsia="lt-LT"/>
                            </w:rPr>
                            <w:t>6,5</w:t>
                          </w:r>
                        </w:p>
                      </w:tc>
                    </w:tr>
                    <w:tr>
                      <w:trPr>
                        <w:trHeight w:val="258"/>
                        <w:jc w:val="center"/>
                      </w:trPr>
                      <w:tc>
                        <w:tcPr>
                          <w:tcW w:w="4524" w:type="dxa"/>
                          <w:shd w:val="clear" w:color="auto" w:fill="FEE1A1" w:themeFill="accent1" w:themeFillTint="66"/>
                          <w:vAlign w:val="bottom"/>
                          <w:hideMark/>
                        </w:tcPr>
                        <w:p>
                          <w:pPr>
                            <w:rPr>
                              <w:b/>
                              <w:bCs/>
                              <w:color w:val="000000"/>
                              <w:sz w:val="20"/>
                              <w:lang w:eastAsia="lt-LT"/>
                            </w:rPr>
                          </w:pPr>
                          <w:r>
                            <w:rPr>
                              <w:b/>
                              <w:bCs/>
                              <w:color w:val="000000"/>
                              <w:sz w:val="20"/>
                              <w:lang w:eastAsia="lt-LT"/>
                            </w:rPr>
                            <w:t>VERŽLUS</w:t>
                          </w:r>
                        </w:p>
                      </w:tc>
                      <w:tc>
                        <w:tcPr>
                          <w:tcW w:w="1341" w:type="dxa"/>
                          <w:shd w:val="clear" w:color="auto" w:fill="FEE1A1" w:themeFill="accent1" w:themeFillTint="66"/>
                          <w:vAlign w:val="center"/>
                          <w:hideMark/>
                        </w:tcPr>
                        <w:p>
                          <w:pPr>
                            <w:ind w:firstLine="53"/>
                            <w:jc w:val="center"/>
                            <w:rPr>
                              <w:b/>
                              <w:bCs/>
                              <w:color w:val="000000"/>
                              <w:sz w:val="20"/>
                              <w:lang w:eastAsia="lt-LT"/>
                            </w:rPr>
                          </w:pPr>
                        </w:p>
                      </w:tc>
                      <w:tc>
                        <w:tcPr>
                          <w:tcW w:w="2114" w:type="dxa"/>
                          <w:shd w:val="clear" w:color="auto" w:fill="FEE1A1" w:themeFill="accent1" w:themeFillTint="66"/>
                          <w:vAlign w:val="center"/>
                          <w:hideMark/>
                        </w:tcPr>
                        <w:p>
                          <w:pPr>
                            <w:ind w:firstLine="53"/>
                            <w:jc w:val="center"/>
                            <w:rPr>
                              <w:b/>
                              <w:bCs/>
                              <w:color w:val="000000"/>
                              <w:sz w:val="20"/>
                              <w:lang w:eastAsia="lt-LT"/>
                            </w:rPr>
                          </w:pPr>
                        </w:p>
                      </w:tc>
                      <w:tc>
                        <w:tcPr>
                          <w:tcW w:w="1551" w:type="dxa"/>
                          <w:shd w:val="clear" w:color="auto" w:fill="FEE1A1" w:themeFill="accent1" w:themeFillTint="66"/>
                          <w:vAlign w:val="center"/>
                          <w:hideMark/>
                        </w:tcPr>
                        <w:p>
                          <w:pPr>
                            <w:ind w:firstLine="53"/>
                            <w:jc w:val="center"/>
                            <w:rPr>
                              <w:b/>
                              <w:bCs/>
                              <w:color w:val="000000"/>
                              <w:sz w:val="20"/>
                              <w:lang w:eastAsia="lt-LT"/>
                            </w:rPr>
                          </w:pPr>
                        </w:p>
                      </w:tc>
                    </w:tr>
                    <w:tr>
                      <w:trPr>
                        <w:trHeight w:val="258"/>
                        <w:jc w:val="center"/>
                      </w:trPr>
                      <w:tc>
                        <w:tcPr>
                          <w:tcW w:w="4524" w:type="dxa"/>
                          <w:shd w:val="clear" w:color="auto" w:fill="auto"/>
                          <w:vAlign w:val="center"/>
                          <w:hideMark/>
                        </w:tcPr>
                        <w:p>
                          <w:pPr>
                            <w:rPr>
                              <w:sz w:val="20"/>
                              <w:lang w:eastAsia="lt-LT"/>
                            </w:rPr>
                          </w:pPr>
                          <w:r>
                            <w:rPr>
                              <w:sz w:val="20"/>
                              <w:lang w:eastAsia="lt-LT"/>
                            </w:rPr>
                            <w:t>Vidutinis mėnesinis bruto darbo užmokestis (santykis su LT vidurkiu)</w:t>
                          </w:r>
                        </w:p>
                      </w:tc>
                      <w:tc>
                        <w:tcPr>
                          <w:tcW w:w="1341" w:type="dxa"/>
                          <w:shd w:val="clear" w:color="auto" w:fill="auto"/>
                          <w:vAlign w:val="center"/>
                          <w:hideMark/>
                        </w:tcPr>
                        <w:p>
                          <w:pPr>
                            <w:jc w:val="center"/>
                            <w:rPr>
                              <w:sz w:val="20"/>
                              <w:lang w:eastAsia="lt-LT"/>
                            </w:rPr>
                          </w:pPr>
                          <w:r>
                            <w:rPr>
                              <w:sz w:val="20"/>
                              <w:lang w:eastAsia="lt-LT"/>
                            </w:rPr>
                            <w:t>Eur.</w:t>
                          </w:r>
                        </w:p>
                      </w:tc>
                      <w:tc>
                        <w:tcPr>
                          <w:tcW w:w="2114" w:type="dxa"/>
                          <w:shd w:val="clear" w:color="auto" w:fill="auto"/>
                          <w:vAlign w:val="center"/>
                          <w:hideMark/>
                        </w:tcPr>
                        <w:p>
                          <w:pPr>
                            <w:jc w:val="center"/>
                            <w:rPr>
                              <w:sz w:val="20"/>
                              <w:lang w:eastAsia="lt-LT"/>
                            </w:rPr>
                          </w:pPr>
                          <w:r>
                            <w:rPr>
                              <w:sz w:val="20"/>
                              <w:lang w:eastAsia="lt-LT"/>
                            </w:rPr>
                            <w:t>1546 (0,6) (2022) </w:t>
                          </w:r>
                        </w:p>
                      </w:tc>
                      <w:tc>
                        <w:tcPr>
                          <w:tcW w:w="1551" w:type="dxa"/>
                          <w:shd w:val="clear" w:color="auto" w:fill="ABDDB0"/>
                          <w:vAlign w:val="center"/>
                          <w:hideMark/>
                        </w:tcPr>
                        <w:p>
                          <w:pPr>
                            <w:jc w:val="center"/>
                            <w:rPr>
                              <w:sz w:val="20"/>
                              <w:lang w:eastAsia="lt-LT"/>
                            </w:rPr>
                          </w:pPr>
                          <w:r>
                            <w:rPr>
                              <w:sz w:val="20"/>
                              <w:lang w:eastAsia="lt-LT"/>
                            </w:rPr>
                            <w:t>0,92</w:t>
                          </w:r>
                        </w:p>
                      </w:tc>
                    </w:tr>
                    <w:tr>
                      <w:trPr>
                        <w:trHeight w:val="258"/>
                        <w:jc w:val="center"/>
                      </w:trPr>
                      <w:tc>
                        <w:tcPr>
                          <w:tcW w:w="4524" w:type="dxa"/>
                          <w:shd w:val="clear" w:color="auto" w:fill="auto"/>
                          <w:vAlign w:val="center"/>
                          <w:hideMark/>
                        </w:tcPr>
                        <w:p>
                          <w:pPr>
                            <w:rPr>
                              <w:sz w:val="20"/>
                              <w:lang w:eastAsia="lt-LT"/>
                            </w:rPr>
                          </w:pPr>
                          <w:r>
                            <w:rPr>
                              <w:sz w:val="20"/>
                              <w:lang w:eastAsia="lt-LT"/>
                            </w:rPr>
                            <w:t>Tiesioginės užsienio investicijos (santykis su LT vidurkiu)</w:t>
                          </w:r>
                        </w:p>
                      </w:tc>
                      <w:tc>
                        <w:tcPr>
                          <w:tcW w:w="1341" w:type="dxa"/>
                          <w:shd w:val="clear" w:color="auto" w:fill="auto"/>
                          <w:vAlign w:val="center"/>
                          <w:hideMark/>
                        </w:tcPr>
                        <w:p>
                          <w:pPr>
                            <w:jc w:val="center"/>
                            <w:rPr>
                              <w:sz w:val="20"/>
                              <w:lang w:eastAsia="lt-LT"/>
                            </w:rPr>
                          </w:pPr>
                          <w:r>
                            <w:rPr>
                              <w:sz w:val="20"/>
                              <w:lang w:eastAsia="lt-LT"/>
                            </w:rPr>
                            <w:t>Eur/gyv.</w:t>
                          </w:r>
                        </w:p>
                      </w:tc>
                      <w:tc>
                        <w:tcPr>
                          <w:tcW w:w="2114" w:type="dxa"/>
                          <w:shd w:val="clear" w:color="auto" w:fill="auto"/>
                          <w:vAlign w:val="center"/>
                          <w:hideMark/>
                        </w:tcPr>
                        <w:p>
                          <w:pPr>
                            <w:jc w:val="center"/>
                            <w:rPr>
                              <w:sz w:val="20"/>
                              <w:lang w:eastAsia="lt-LT"/>
                            </w:rPr>
                          </w:pPr>
                          <w:r>
                            <w:rPr>
                              <w:sz w:val="20"/>
                              <w:lang w:eastAsia="lt-LT"/>
                            </w:rPr>
                            <w:t>3202 (0,31) (2022)</w:t>
                          </w:r>
                        </w:p>
                      </w:tc>
                      <w:tc>
                        <w:tcPr>
                          <w:tcW w:w="1551" w:type="dxa"/>
                          <w:shd w:val="clear" w:color="auto" w:fill="ABDDB0"/>
                          <w:vAlign w:val="center"/>
                          <w:hideMark/>
                        </w:tcPr>
                        <w:p>
                          <w:pPr>
                            <w:jc w:val="center"/>
                            <w:rPr>
                              <w:sz w:val="20"/>
                              <w:lang w:eastAsia="lt-LT"/>
                            </w:rPr>
                          </w:pPr>
                          <w:r>
                            <w:rPr>
                              <w:sz w:val="20"/>
                              <w:lang w:eastAsia="lt-LT"/>
                            </w:rPr>
                            <w:t>0,55</w:t>
                          </w:r>
                        </w:p>
                      </w:tc>
                    </w:tr>
                    <w:tr>
                      <w:trPr>
                        <w:trHeight w:val="258"/>
                        <w:jc w:val="center"/>
                      </w:trPr>
                      <w:tc>
                        <w:tcPr>
                          <w:tcW w:w="4524" w:type="dxa"/>
                          <w:shd w:val="clear" w:color="auto" w:fill="auto"/>
                          <w:vAlign w:val="center"/>
                          <w:hideMark/>
                        </w:tcPr>
                        <w:p>
                          <w:pPr>
                            <w:rPr>
                              <w:sz w:val="20"/>
                              <w:lang w:eastAsia="lt-LT"/>
                            </w:rPr>
                          </w:pPr>
                          <w:r>
                            <w:rPr>
                              <w:sz w:val="20"/>
                              <w:lang w:eastAsia="lt-LT"/>
                            </w:rPr>
                            <w:t>Materialinės investicijos (santykis su LT vidurkiu)</w:t>
                          </w:r>
                        </w:p>
                      </w:tc>
                      <w:tc>
                        <w:tcPr>
                          <w:tcW w:w="1341" w:type="dxa"/>
                          <w:shd w:val="clear" w:color="auto" w:fill="auto"/>
                          <w:vAlign w:val="center"/>
                          <w:hideMark/>
                        </w:tcPr>
                        <w:p>
                          <w:pPr>
                            <w:jc w:val="center"/>
                            <w:rPr>
                              <w:sz w:val="20"/>
                              <w:lang w:eastAsia="lt-LT"/>
                            </w:rPr>
                          </w:pPr>
                          <w:r>
                            <w:rPr>
                              <w:sz w:val="20"/>
                              <w:lang w:eastAsia="lt-LT"/>
                            </w:rPr>
                            <w:t>Eur/gyv.</w:t>
                          </w:r>
                        </w:p>
                      </w:tc>
                      <w:tc>
                        <w:tcPr>
                          <w:tcW w:w="2114" w:type="dxa"/>
                          <w:shd w:val="clear" w:color="auto" w:fill="auto"/>
                          <w:vAlign w:val="center"/>
                          <w:hideMark/>
                        </w:tcPr>
                        <w:p>
                          <w:pPr>
                            <w:jc w:val="center"/>
                            <w:rPr>
                              <w:sz w:val="20"/>
                              <w:lang w:eastAsia="lt-LT"/>
                            </w:rPr>
                          </w:pPr>
                          <w:r>
                            <w:rPr>
                              <w:sz w:val="20"/>
                              <w:lang w:eastAsia="lt-LT"/>
                            </w:rPr>
                            <w:t>3044 (0,69) (2022) </w:t>
                          </w:r>
                        </w:p>
                      </w:tc>
                      <w:tc>
                        <w:tcPr>
                          <w:tcW w:w="1551" w:type="dxa"/>
                          <w:shd w:val="clear" w:color="auto" w:fill="ABDDB0"/>
                          <w:vAlign w:val="center"/>
                          <w:hideMark/>
                        </w:tcPr>
                        <w:p>
                          <w:pPr>
                            <w:jc w:val="center"/>
                            <w:rPr>
                              <w:sz w:val="20"/>
                              <w:lang w:eastAsia="lt-LT"/>
                            </w:rPr>
                          </w:pPr>
                          <w:r>
                            <w:rPr>
                              <w:sz w:val="20"/>
                              <w:lang w:eastAsia="lt-LT"/>
                            </w:rPr>
                            <w:t>0,9</w:t>
                          </w:r>
                        </w:p>
                      </w:tc>
                    </w:tr>
                    <w:tr>
                      <w:trPr>
                        <w:trHeight w:val="258"/>
                        <w:jc w:val="center"/>
                      </w:trPr>
                      <w:tc>
                        <w:tcPr>
                          <w:tcW w:w="4524" w:type="dxa"/>
                          <w:shd w:val="clear" w:color="auto" w:fill="FEE1A1" w:themeFill="accent1" w:themeFillTint="66"/>
                          <w:vAlign w:val="bottom"/>
                          <w:hideMark/>
                        </w:tcPr>
                        <w:p>
                          <w:pPr>
                            <w:rPr>
                              <w:b/>
                              <w:bCs/>
                              <w:color w:val="000000"/>
                              <w:sz w:val="20"/>
                              <w:lang w:eastAsia="lt-LT"/>
                            </w:rPr>
                          </w:pPr>
                          <w:r>
                            <w:rPr>
                              <w:b/>
                              <w:bCs/>
                              <w:color w:val="000000"/>
                              <w:sz w:val="20"/>
                              <w:lang w:eastAsia="lt-LT"/>
                            </w:rPr>
                            <w:t>SAUGUS</w:t>
                          </w:r>
                        </w:p>
                      </w:tc>
                      <w:tc>
                        <w:tcPr>
                          <w:tcW w:w="1341" w:type="dxa"/>
                          <w:shd w:val="clear" w:color="auto" w:fill="FEE1A1" w:themeFill="accent1" w:themeFillTint="66"/>
                          <w:vAlign w:val="center"/>
                          <w:hideMark/>
                        </w:tcPr>
                        <w:p>
                          <w:pPr>
                            <w:ind w:firstLine="53"/>
                            <w:jc w:val="center"/>
                            <w:rPr>
                              <w:b/>
                              <w:bCs/>
                              <w:color w:val="000000"/>
                              <w:sz w:val="20"/>
                              <w:lang w:eastAsia="lt-LT"/>
                            </w:rPr>
                          </w:pPr>
                        </w:p>
                      </w:tc>
                      <w:tc>
                        <w:tcPr>
                          <w:tcW w:w="2114" w:type="dxa"/>
                          <w:shd w:val="clear" w:color="auto" w:fill="FEE1A1" w:themeFill="accent1" w:themeFillTint="66"/>
                          <w:vAlign w:val="center"/>
                          <w:hideMark/>
                        </w:tcPr>
                        <w:p>
                          <w:pPr>
                            <w:ind w:firstLine="53"/>
                            <w:jc w:val="center"/>
                            <w:rPr>
                              <w:b/>
                              <w:bCs/>
                              <w:color w:val="000000"/>
                              <w:sz w:val="20"/>
                              <w:lang w:eastAsia="lt-LT"/>
                            </w:rPr>
                          </w:pPr>
                        </w:p>
                      </w:tc>
                      <w:tc>
                        <w:tcPr>
                          <w:tcW w:w="1551" w:type="dxa"/>
                          <w:shd w:val="clear" w:color="auto" w:fill="FEE1A1" w:themeFill="accent1" w:themeFillTint="66"/>
                          <w:vAlign w:val="center"/>
                          <w:hideMark/>
                        </w:tcPr>
                        <w:p>
                          <w:pPr>
                            <w:ind w:firstLine="53"/>
                            <w:jc w:val="center"/>
                            <w:rPr>
                              <w:b/>
                              <w:bCs/>
                              <w:color w:val="000000"/>
                              <w:sz w:val="20"/>
                              <w:lang w:eastAsia="lt-LT"/>
                            </w:rPr>
                          </w:pPr>
                        </w:p>
                      </w:tc>
                    </w:tr>
                    <w:tr>
                      <w:trPr>
                        <w:trHeight w:val="258"/>
                        <w:jc w:val="center"/>
                      </w:trPr>
                      <w:tc>
                        <w:tcPr>
                          <w:tcW w:w="4524" w:type="dxa"/>
                          <w:vMerge w:val="restart"/>
                          <w:shd w:val="clear" w:color="auto" w:fill="auto"/>
                          <w:vAlign w:val="center"/>
                          <w:hideMark/>
                        </w:tcPr>
                        <w:p>
                          <w:pPr>
                            <w:rPr>
                              <w:color w:val="000000"/>
                              <w:sz w:val="20"/>
                              <w:lang w:eastAsia="lt-LT"/>
                            </w:rPr>
                          </w:pPr>
                          <w:r>
                            <w:rPr>
                              <w:color w:val="000000"/>
                              <w:sz w:val="20"/>
                              <w:lang w:eastAsia="lt-LT"/>
                            </w:rPr>
                            <w:t>Šiaulių miesto savivaldybės gyvenimo kokybės indeksas</w:t>
                          </w:r>
                        </w:p>
                      </w:tc>
                      <w:tc>
                        <w:tcPr>
                          <w:tcW w:w="1341" w:type="dxa"/>
                          <w:shd w:val="clear" w:color="auto" w:fill="auto"/>
                          <w:vAlign w:val="center"/>
                          <w:hideMark/>
                        </w:tcPr>
                        <w:p>
                          <w:pPr>
                            <w:jc w:val="center"/>
                            <w:rPr>
                              <w:color w:val="000000"/>
                              <w:sz w:val="20"/>
                              <w:lang w:eastAsia="lt-LT"/>
                            </w:rPr>
                          </w:pPr>
                          <w:r>
                            <w:rPr>
                              <w:color w:val="000000"/>
                              <w:sz w:val="20"/>
                              <w:lang w:eastAsia="lt-LT"/>
                            </w:rPr>
                            <w:t>balas</w:t>
                          </w:r>
                        </w:p>
                      </w:tc>
                      <w:tc>
                        <w:tcPr>
                          <w:tcW w:w="2114" w:type="dxa"/>
                          <w:shd w:val="clear" w:color="auto" w:fill="auto"/>
                          <w:vAlign w:val="center"/>
                          <w:hideMark/>
                        </w:tcPr>
                        <w:p>
                          <w:pPr>
                            <w:jc w:val="center"/>
                            <w:rPr>
                              <w:color w:val="000000"/>
                              <w:sz w:val="20"/>
                              <w:lang w:eastAsia="lt-LT"/>
                            </w:rPr>
                          </w:pPr>
                          <w:r>
                            <w:rPr>
                              <w:color w:val="000000"/>
                              <w:sz w:val="20"/>
                              <w:lang w:eastAsia="lt-LT"/>
                            </w:rPr>
                            <w:t>0,67 (2022) </w:t>
                          </w:r>
                        </w:p>
                      </w:tc>
                      <w:tc>
                        <w:tcPr>
                          <w:tcW w:w="1551" w:type="dxa"/>
                          <w:shd w:val="clear" w:color="auto" w:fill="ABDDB0"/>
                          <w:vAlign w:val="center"/>
                          <w:hideMark/>
                        </w:tcPr>
                        <w:p>
                          <w:pPr>
                            <w:jc w:val="center"/>
                            <w:rPr>
                              <w:color w:val="000000"/>
                              <w:sz w:val="20"/>
                              <w:lang w:eastAsia="lt-LT"/>
                            </w:rPr>
                          </w:pPr>
                          <w:r>
                            <w:rPr>
                              <w:color w:val="000000"/>
                              <w:sz w:val="20"/>
                              <w:lang w:eastAsia="lt-LT"/>
                            </w:rPr>
                            <w:t>0,85</w:t>
                          </w:r>
                        </w:p>
                      </w:tc>
                    </w:tr>
                    <w:tr>
                      <w:trPr>
                        <w:trHeight w:val="258"/>
                        <w:jc w:val="center"/>
                      </w:trPr>
                      <w:tc>
                        <w:tcPr>
                          <w:tcW w:w="4524" w:type="dxa"/>
                          <w:vMerge/>
                          <w:vAlign w:val="center"/>
                          <w:hideMark/>
                        </w:tcPr>
                        <w:p>
                          <w:pPr>
                            <w:rPr>
                              <w:color w:val="000000"/>
                              <w:sz w:val="20"/>
                              <w:lang w:eastAsia="lt-LT"/>
                            </w:rPr>
                          </w:pPr>
                        </w:p>
                      </w:tc>
                      <w:tc>
                        <w:tcPr>
                          <w:tcW w:w="1341" w:type="dxa"/>
                          <w:shd w:val="clear" w:color="auto" w:fill="auto"/>
                          <w:vAlign w:val="center"/>
                          <w:hideMark/>
                        </w:tcPr>
                        <w:p>
                          <w:pPr>
                            <w:jc w:val="center"/>
                            <w:rPr>
                              <w:color w:val="000000"/>
                              <w:sz w:val="20"/>
                              <w:lang w:eastAsia="lt-LT"/>
                            </w:rPr>
                          </w:pPr>
                          <w:r>
                            <w:rPr>
                              <w:color w:val="000000"/>
                              <w:sz w:val="20"/>
                              <w:lang w:eastAsia="lt-LT"/>
                            </w:rPr>
                            <w:t>vieta tarp kt. sav.</w:t>
                          </w:r>
                        </w:p>
                      </w:tc>
                      <w:tc>
                        <w:tcPr>
                          <w:tcW w:w="2114" w:type="dxa"/>
                          <w:shd w:val="clear" w:color="auto" w:fill="auto"/>
                          <w:vAlign w:val="center"/>
                          <w:hideMark/>
                        </w:tcPr>
                        <w:p>
                          <w:pPr>
                            <w:ind w:firstLine="53"/>
                            <w:jc w:val="center"/>
                            <w:rPr>
                              <w:color w:val="000000"/>
                              <w:sz w:val="20"/>
                              <w:lang w:eastAsia="lt-LT"/>
                            </w:rPr>
                          </w:pPr>
                          <w:r>
                            <w:rPr>
                              <w:color w:val="000000"/>
                              <w:sz w:val="20"/>
                              <w:lang w:eastAsia="lt-LT"/>
                            </w:rPr>
                            <w:t>12 (2022)</w:t>
                          </w:r>
                        </w:p>
                      </w:tc>
                      <w:tc>
                        <w:tcPr>
                          <w:tcW w:w="1551" w:type="dxa"/>
                          <w:shd w:val="clear" w:color="auto" w:fill="ABDDB0"/>
                          <w:vAlign w:val="center"/>
                          <w:hideMark/>
                        </w:tcPr>
                        <w:p>
                          <w:pPr>
                            <w:jc w:val="center"/>
                            <w:rPr>
                              <w:color w:val="000000"/>
                              <w:sz w:val="20"/>
                              <w:lang w:eastAsia="lt-LT"/>
                            </w:rPr>
                          </w:pPr>
                          <w:r>
                            <w:rPr>
                              <w:color w:val="000000"/>
                              <w:sz w:val="20"/>
                              <w:lang w:eastAsia="lt-LT"/>
                            </w:rPr>
                            <w:t>TOP 5</w:t>
                          </w:r>
                        </w:p>
                      </w:tc>
                    </w:tr>
                    <w:tr>
                      <w:trPr>
                        <w:trHeight w:val="258"/>
                        <w:jc w:val="center"/>
                      </w:trPr>
                      <w:tc>
                        <w:tcPr>
                          <w:tcW w:w="4524" w:type="dxa"/>
                          <w:vMerge w:val="restart"/>
                          <w:shd w:val="clear" w:color="auto" w:fill="auto"/>
                          <w:vAlign w:val="center"/>
                          <w:hideMark/>
                        </w:tcPr>
                        <w:p>
                          <w:pPr>
                            <w:rPr>
                              <w:color w:val="000000"/>
                              <w:sz w:val="20"/>
                              <w:lang w:eastAsia="lt-LT"/>
                            </w:rPr>
                          </w:pPr>
                          <w:r>
                            <w:rPr>
                              <w:color w:val="000000"/>
                              <w:sz w:val="20"/>
                              <w:lang w:eastAsia="lt-LT"/>
                            </w:rPr>
                            <w:t>Savivaldybės darnios energetikos plėtros indeksas</w:t>
                          </w:r>
                          <w:r>
                            <w:rPr>
                              <w:color w:val="000000"/>
                              <w:sz w:val="20"/>
                              <w:vertAlign w:val="superscript"/>
                              <w:lang w:eastAsia="lt-LT"/>
                            </w:rPr>
                            <w:footnoteReference w:id="1"/>
                          </w:r>
                        </w:p>
                      </w:tc>
                      <w:tc>
                        <w:tcPr>
                          <w:tcW w:w="1341" w:type="dxa"/>
                          <w:shd w:val="clear" w:color="auto" w:fill="auto"/>
                          <w:vAlign w:val="center"/>
                          <w:hideMark/>
                        </w:tcPr>
                        <w:p>
                          <w:pPr>
                            <w:jc w:val="center"/>
                            <w:rPr>
                              <w:color w:val="000000"/>
                              <w:sz w:val="20"/>
                              <w:lang w:eastAsia="lt-LT"/>
                            </w:rPr>
                          </w:pPr>
                          <w:r>
                            <w:rPr>
                              <w:color w:val="000000"/>
                              <w:sz w:val="20"/>
                              <w:lang w:eastAsia="lt-LT"/>
                            </w:rPr>
                            <w:t>balas</w:t>
                          </w:r>
                        </w:p>
                      </w:tc>
                      <w:tc>
                        <w:tcPr>
                          <w:tcW w:w="2114" w:type="dxa"/>
                          <w:shd w:val="clear" w:color="auto" w:fill="auto"/>
                          <w:vAlign w:val="center"/>
                          <w:hideMark/>
                        </w:tcPr>
                        <w:p>
                          <w:pPr>
                            <w:jc w:val="center"/>
                            <w:rPr>
                              <w:color w:val="000000"/>
                              <w:sz w:val="20"/>
                              <w:lang w:eastAsia="lt-LT"/>
                            </w:rPr>
                          </w:pPr>
                          <w:r>
                            <w:rPr>
                              <w:color w:val="000000"/>
                              <w:sz w:val="20"/>
                              <w:lang w:eastAsia="lt-LT"/>
                            </w:rPr>
                            <w:t>26,5 (2022) </w:t>
                          </w:r>
                        </w:p>
                      </w:tc>
                      <w:tc>
                        <w:tcPr>
                          <w:tcW w:w="1551" w:type="dxa"/>
                          <w:shd w:val="clear" w:color="auto" w:fill="ABDDB0"/>
                          <w:vAlign w:val="center"/>
                          <w:hideMark/>
                        </w:tcPr>
                        <w:p>
                          <w:pPr>
                            <w:jc w:val="center"/>
                            <w:rPr>
                              <w:color w:val="000000"/>
                              <w:sz w:val="20"/>
                              <w:lang w:eastAsia="lt-LT"/>
                            </w:rPr>
                          </w:pPr>
                          <w:r>
                            <w:rPr>
                              <w:color w:val="000000"/>
                              <w:sz w:val="20"/>
                              <w:lang w:eastAsia="lt-LT"/>
                            </w:rPr>
                            <w:t>46</w:t>
                          </w:r>
                        </w:p>
                      </w:tc>
                    </w:tr>
                    <w:tr>
                      <w:trPr>
                        <w:trHeight w:val="258"/>
                        <w:jc w:val="center"/>
                      </w:trPr>
                      <w:tc>
                        <w:tcPr>
                          <w:tcW w:w="4524" w:type="dxa"/>
                          <w:vMerge/>
                          <w:vAlign w:val="center"/>
                          <w:hideMark/>
                        </w:tcPr>
                        <w:p>
                          <w:pPr>
                            <w:rPr>
                              <w:color w:val="000000"/>
                              <w:sz w:val="20"/>
                              <w:lang w:eastAsia="lt-LT"/>
                            </w:rPr>
                          </w:pPr>
                        </w:p>
                      </w:tc>
                      <w:tc>
                        <w:tcPr>
                          <w:tcW w:w="1341" w:type="dxa"/>
                          <w:shd w:val="clear" w:color="auto" w:fill="auto"/>
                          <w:vAlign w:val="center"/>
                          <w:hideMark/>
                        </w:tcPr>
                        <w:p>
                          <w:pPr>
                            <w:jc w:val="center"/>
                            <w:rPr>
                              <w:color w:val="000000"/>
                              <w:sz w:val="20"/>
                              <w:lang w:eastAsia="lt-LT"/>
                            </w:rPr>
                          </w:pPr>
                          <w:r>
                            <w:rPr>
                              <w:color w:val="000000"/>
                              <w:sz w:val="20"/>
                              <w:lang w:eastAsia="lt-LT"/>
                            </w:rPr>
                            <w:t>vieta tarp kt. sav.</w:t>
                          </w:r>
                        </w:p>
                      </w:tc>
                      <w:tc>
                        <w:tcPr>
                          <w:tcW w:w="2114" w:type="dxa"/>
                          <w:shd w:val="clear" w:color="auto" w:fill="auto"/>
                          <w:vAlign w:val="center"/>
                          <w:hideMark/>
                        </w:tcPr>
                        <w:p>
                          <w:pPr>
                            <w:jc w:val="center"/>
                            <w:rPr>
                              <w:color w:val="000000"/>
                              <w:sz w:val="20"/>
                              <w:lang w:eastAsia="lt-LT"/>
                            </w:rPr>
                          </w:pPr>
                          <w:r>
                            <w:rPr>
                              <w:color w:val="000000"/>
                              <w:sz w:val="20"/>
                              <w:lang w:eastAsia="lt-LT"/>
                            </w:rPr>
                            <w:t>52 (2022) </w:t>
                          </w:r>
                        </w:p>
                      </w:tc>
                      <w:tc>
                        <w:tcPr>
                          <w:tcW w:w="1551" w:type="dxa"/>
                          <w:shd w:val="clear" w:color="auto" w:fill="ABDDB0"/>
                          <w:vAlign w:val="center"/>
                          <w:hideMark/>
                        </w:tcPr>
                        <w:p>
                          <w:pPr>
                            <w:jc w:val="center"/>
                            <w:rPr>
                              <w:color w:val="000000"/>
                              <w:sz w:val="20"/>
                              <w:lang w:eastAsia="lt-LT"/>
                            </w:rPr>
                          </w:pPr>
                          <w:r>
                            <w:rPr>
                              <w:color w:val="000000"/>
                              <w:sz w:val="20"/>
                              <w:lang w:eastAsia="lt-LT"/>
                            </w:rPr>
                            <w:t>TOP 10</w:t>
                          </w:r>
                        </w:p>
                      </w:tc>
                    </w:tr>
                    <w:tr>
                      <w:trPr>
                        <w:trHeight w:val="258"/>
                        <w:jc w:val="center"/>
                      </w:trPr>
                      <w:tc>
                        <w:tcPr>
                          <w:tcW w:w="4524" w:type="dxa"/>
                          <w:shd w:val="clear" w:color="auto" w:fill="auto"/>
                          <w:vAlign w:val="center"/>
                          <w:hideMark/>
                        </w:tcPr>
                        <w:p>
                          <w:pPr>
                            <w:rPr>
                              <w:color w:val="000000"/>
                              <w:sz w:val="20"/>
                              <w:lang w:eastAsia="lt-LT"/>
                            </w:rPr>
                          </w:pPr>
                          <w:r>
                            <w:rPr>
                              <w:color w:val="000000"/>
                              <w:sz w:val="20"/>
                              <w:lang w:eastAsia="lt-LT"/>
                            </w:rPr>
                            <w:t>Miesto patrauklumo gyventi vertinimas</w:t>
                          </w:r>
                        </w:p>
                      </w:tc>
                      <w:tc>
                        <w:tcPr>
                          <w:tcW w:w="1341" w:type="dxa"/>
                          <w:shd w:val="clear" w:color="auto" w:fill="auto"/>
                          <w:vAlign w:val="center"/>
                          <w:hideMark/>
                        </w:tcPr>
                        <w:p>
                          <w:pPr>
                            <w:jc w:val="center"/>
                            <w:rPr>
                              <w:color w:val="000000"/>
                              <w:sz w:val="20"/>
                              <w:lang w:eastAsia="lt-LT"/>
                            </w:rPr>
                          </w:pPr>
                          <w:r>
                            <w:rPr>
                              <w:color w:val="000000"/>
                              <w:sz w:val="20"/>
                              <w:lang w:eastAsia="lt-LT"/>
                            </w:rPr>
                            <w:t>balas</w:t>
                          </w:r>
                        </w:p>
                      </w:tc>
                      <w:tc>
                        <w:tcPr>
                          <w:tcW w:w="2114" w:type="dxa"/>
                          <w:shd w:val="clear" w:color="auto" w:fill="auto"/>
                          <w:vAlign w:val="center"/>
                          <w:hideMark/>
                        </w:tcPr>
                        <w:p>
                          <w:pPr>
                            <w:jc w:val="center"/>
                            <w:rPr>
                              <w:color w:val="000000"/>
                              <w:sz w:val="20"/>
                              <w:lang w:eastAsia="lt-LT"/>
                            </w:rPr>
                          </w:pPr>
                          <w:r>
                            <w:rPr>
                              <w:color w:val="000000"/>
                              <w:sz w:val="20"/>
                              <w:lang w:eastAsia="lt-LT"/>
                            </w:rPr>
                            <w:t>7,7 (2023) </w:t>
                          </w:r>
                        </w:p>
                      </w:tc>
                      <w:tc>
                        <w:tcPr>
                          <w:tcW w:w="1551" w:type="dxa"/>
                          <w:shd w:val="clear" w:color="auto" w:fill="ABDDB0"/>
                          <w:vAlign w:val="center"/>
                          <w:hideMark/>
                        </w:tcPr>
                        <w:p>
                          <w:pPr>
                            <w:jc w:val="center"/>
                            <w:rPr>
                              <w:color w:val="000000"/>
                              <w:sz w:val="20"/>
                              <w:lang w:eastAsia="lt-LT"/>
                            </w:rPr>
                          </w:pPr>
                          <w:r>
                            <w:rPr>
                              <w:color w:val="000000"/>
                              <w:sz w:val="20"/>
                              <w:lang w:eastAsia="lt-LT"/>
                            </w:rPr>
                            <w:t>8,2</w:t>
                          </w:r>
                        </w:p>
                      </w:tc>
                    </w:tr>
                    <w:tr>
                      <w:trPr>
                        <w:trHeight w:val="258"/>
                        <w:jc w:val="center"/>
                      </w:trPr>
                      <w:tc>
                        <w:tcPr>
                          <w:tcW w:w="4524" w:type="dxa"/>
                          <w:shd w:val="clear" w:color="auto" w:fill="auto"/>
                          <w:vAlign w:val="center"/>
                          <w:hideMark/>
                        </w:tcPr>
                        <w:p>
                          <w:pPr>
                            <w:rPr>
                              <w:color w:val="000000"/>
                              <w:sz w:val="20"/>
                              <w:lang w:eastAsia="lt-LT"/>
                            </w:rPr>
                          </w:pPr>
                          <w:r>
                            <w:rPr>
                              <w:color w:val="000000"/>
                              <w:sz w:val="20"/>
                              <w:lang w:eastAsia="lt-LT"/>
                            </w:rPr>
                            <w:t>Gyventojų pasitenkinimas Savivaldybės darbu</w:t>
                          </w:r>
                        </w:p>
                      </w:tc>
                      <w:tc>
                        <w:tcPr>
                          <w:tcW w:w="1341" w:type="dxa"/>
                          <w:shd w:val="clear" w:color="auto" w:fill="auto"/>
                          <w:vAlign w:val="center"/>
                          <w:hideMark/>
                        </w:tcPr>
                        <w:p>
                          <w:pPr>
                            <w:jc w:val="center"/>
                            <w:rPr>
                              <w:color w:val="000000"/>
                              <w:sz w:val="20"/>
                              <w:lang w:eastAsia="lt-LT"/>
                            </w:rPr>
                          </w:pPr>
                          <w:r>
                            <w:rPr>
                              <w:color w:val="000000"/>
                              <w:sz w:val="20"/>
                              <w:lang w:eastAsia="lt-LT"/>
                            </w:rPr>
                            <w:t>balas</w:t>
                          </w:r>
                        </w:p>
                      </w:tc>
                      <w:tc>
                        <w:tcPr>
                          <w:tcW w:w="2114" w:type="dxa"/>
                          <w:shd w:val="clear" w:color="auto" w:fill="auto"/>
                          <w:vAlign w:val="center"/>
                          <w:hideMark/>
                        </w:tcPr>
                        <w:p>
                          <w:pPr>
                            <w:jc w:val="center"/>
                            <w:rPr>
                              <w:color w:val="000000"/>
                              <w:sz w:val="20"/>
                              <w:lang w:eastAsia="lt-LT"/>
                            </w:rPr>
                          </w:pPr>
                          <w:r>
                            <w:rPr>
                              <w:color w:val="000000"/>
                              <w:sz w:val="20"/>
                              <w:lang w:eastAsia="lt-LT"/>
                            </w:rPr>
                            <w:t>7,1 (2023) </w:t>
                          </w:r>
                        </w:p>
                      </w:tc>
                      <w:tc>
                        <w:tcPr>
                          <w:tcW w:w="1551" w:type="dxa"/>
                          <w:shd w:val="clear" w:color="auto" w:fill="ABDDB0"/>
                          <w:vAlign w:val="center"/>
                          <w:hideMark/>
                        </w:tcPr>
                        <w:p>
                          <w:pPr>
                            <w:jc w:val="center"/>
                            <w:rPr>
                              <w:color w:val="000000"/>
                              <w:sz w:val="20"/>
                              <w:lang w:eastAsia="lt-LT"/>
                            </w:rPr>
                          </w:pPr>
                          <w:r>
                            <w:rPr>
                              <w:color w:val="000000"/>
                              <w:sz w:val="20"/>
                              <w:lang w:eastAsia="lt-LT"/>
                            </w:rPr>
                            <w:t>8,4</w:t>
                          </w:r>
                        </w:p>
                      </w:tc>
                    </w:tr>
                  </w:tbl>
                  <w:p>
                    <w:pPr>
                      <w:jc w:val="both"/>
                      <w:rPr>
                        <w:rFonts w:eastAsia="Calibri"/>
                        <w:bCs/>
                        <w:i/>
                        <w:color w:val="808080"/>
                        <w:sz w:val="22"/>
                        <w:szCs w:val="24"/>
                      </w:rPr>
                    </w:pPr>
                  </w:p>
                </w:tc>
              </w:tr>
            </w:tbl>
            <w:p/>
            <w:p>
              <w:pPr>
                <w:rPr>
                  <w:sz w:val="10"/>
                  <w:szCs w:val="10"/>
                </w:rPr>
              </w:pPr>
            </w:p>
          </w:sdtContent>
        </w:sdt>
        <w:sdt>
          <w:sdtPr>
            <w:alias w:val="skyrius"/>
            <w:tag w:val="part_c487f833e22446fb82b58aaea9026f8c"/>
            <w:lock w:val="sdtLocked"/>
            <w:richText/>
          </w:sdtPr>
          <w:sdtContent>
            <w:p>
              <w:pPr>
                <w:jc w:val="center"/>
                <w:rPr>
                  <w:b/>
                  <w:color w:val="000000"/>
                  <w:szCs w:val="24"/>
                </w:rPr>
              </w:pPr>
              <w:sdt>
                <w:sdtPr>
                  <w:alias w:val="Numeris"/>
                  <w:tag w:val="nr_c487f833e22446fb82b58aaea9026f8c"/>
                  <w:lock w:val="sdtLocked"/>
                  <w:richText/>
                </w:sdtPr>
                <w:sdtContent>
                  <w:r>
                    <w:rPr>
                      <w:b/>
                      <w:color w:val="000000"/>
                      <w:szCs w:val="24"/>
                    </w:rPr>
                    <w:t>IV</w:t>
                  </w:r>
                </w:sdtContent>
              </w:sdt>
              <w:r>
                <w:rPr>
                  <w:b/>
                  <w:color w:val="000000"/>
                  <w:szCs w:val="24"/>
                </w:rPr>
                <w:t xml:space="preserve"> SKYRIUS</w:t>
              </w:r>
            </w:p>
            <w:p>
              <w:pPr>
                <w:jc w:val="center"/>
                <w:rPr>
                  <w:b/>
                  <w:color w:val="000000"/>
                  <w:szCs w:val="24"/>
                </w:rPr>
              </w:pPr>
              <w:sdt>
                <w:sdtPr>
                  <w:alias w:val="Pavadinimas"/>
                  <w:tag w:val="title_c487f833e22446fb82b58aaea9026f8c"/>
                  <w:lock w:val="sdtLocked"/>
                  <w:richText/>
                </w:sdtPr>
                <w:sdtContent>
                  <w:r>
                    <w:rPr>
                      <w:b/>
                      <w:color w:val="000000"/>
                      <w:szCs w:val="24"/>
                    </w:rPr>
                    <w:t>SAVIVALDYBĖS PLĖTROS TIKSLAI IR UŽDAVINIAI</w:t>
                  </w:r>
                </w:sdtContent>
              </w:sdt>
            </w:p>
            <w:p>
              <w:pPr>
                <w:rPr>
                  <w:sz w:val="10"/>
                  <w:szCs w:val="10"/>
                </w:rPr>
              </w:pPr>
            </w:p>
            <w:p>
              <w:pPr>
                <w:jc w:val="center"/>
                <w:rPr>
                  <w:b/>
                  <w:color w:val="000000"/>
                  <w:szCs w:val="24"/>
                </w:rPr>
              </w:pPr>
            </w:p>
            <w:p>
              <w:pPr>
                <w:rPr>
                  <w:sz w:val="10"/>
                  <w:szCs w:val="10"/>
                </w:rPr>
              </w:pPr>
            </w:p>
            <w:tbl>
              <w:tblPr>
                <w:tblW w:w="9640"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640"/>
              </w:tblGrid>
              <w:tr>
                <w:trPr>
                  <w:trHeight w:val="573"/>
                </w:trPr>
                <w:tc>
                  <w:tcPr>
                    <w:tcW w:w="9640"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both"/>
                      <w:rPr>
                        <w:rFonts w:eastAsia="Calibri"/>
                        <w:b/>
                        <w:sz w:val="22"/>
                        <w:szCs w:val="24"/>
                      </w:rPr>
                    </w:pPr>
                    <w:r>
                      <w:rPr>
                        <w:rFonts w:eastAsia="Calibri"/>
                        <w:b/>
                        <w:sz w:val="22"/>
                        <w:szCs w:val="24"/>
                      </w:rPr>
                      <w:t>Savivaldybės plėtros tikslai ir poveikio rodikliai</w:t>
                    </w:r>
                  </w:p>
                  <w:p>
                    <w:pPr>
                      <w:rPr>
                        <w:sz w:val="10"/>
                        <w:szCs w:val="10"/>
                      </w:rPr>
                    </w:pPr>
                  </w:p>
                  <w:p>
                    <w:pPr>
                      <w:jc w:val="both"/>
                      <w:rPr>
                        <w:rFonts w:eastAsia="Calibri"/>
                        <w:bCs/>
                        <w:sz w:val="22"/>
                        <w:szCs w:val="24"/>
                      </w:rPr>
                    </w:pPr>
                    <w:r>
                      <w:rPr>
                        <w:rFonts w:eastAsia="Calibri"/>
                        <w:bCs/>
                        <w:sz w:val="22"/>
                        <w:szCs w:val="24"/>
                      </w:rPr>
                      <w:t>ŠSPP sudaro 9 plėtros tikslai, kurių kiekvienas turi numatytus poveikio rodiklius. Žemiau pateikiami plėtros tikslai ir jų poveikio rodikliai:</w:t>
                    </w:r>
                  </w:p>
                  <w:p>
                    <w:pPr>
                      <w:rPr>
                        <w:sz w:val="10"/>
                        <w:szCs w:val="10"/>
                      </w:rPr>
                    </w:pPr>
                  </w:p>
                  <w:p>
                    <w:pPr>
                      <w:jc w:val="both"/>
                      <w:rPr>
                        <w:rFonts w:eastAsia="Calibri"/>
                        <w:b/>
                        <w:sz w:val="22"/>
                        <w:szCs w:val="24"/>
                      </w:rPr>
                    </w:pPr>
                    <w:r>
                      <w:rPr>
                        <w:rFonts w:eastAsia="Calibri"/>
                        <w:b/>
                        <w:sz w:val="22"/>
                        <w:szCs w:val="24"/>
                      </w:rPr>
                      <w:t>11. Užtikrinti pažangų, efektyvų ir įtraukų Savivaldybės darbą</w:t>
                    </w:r>
                  </w:p>
                  <w:p>
                    <w:pPr>
                      <w:rPr>
                        <w:sz w:val="10"/>
                        <w:szCs w:val="10"/>
                      </w:rPr>
                    </w:pPr>
                  </w:p>
                  <w:p>
                    <w:pPr>
                      <w:ind w:left="720" w:hanging="360"/>
                      <w:jc w:val="both"/>
                      <w:rPr>
                        <w:rFonts w:eastAsia="Calibri"/>
                        <w:bCs/>
                        <w:sz w:val="22"/>
                        <w:szCs w:val="24"/>
                      </w:rPr>
                    </w:pPr>
                    <w:r>
                      <w:rPr>
                        <w:rFonts w:ascii="Arial" w:eastAsia="Calibri" w:hAnsi="Arial"/>
                        <w:bCs/>
                        <w:color w:val="FDB515"/>
                        <w:sz w:val="22"/>
                        <w:szCs w:val="24"/>
                      </w:rPr>
                      <w:t>►</w:t>
                      <w:tab/>
                    </w:r>
                    <w:r>
                      <w:rPr>
                        <w:rFonts w:eastAsia="Calibri"/>
                        <w:bCs/>
                        <w:sz w:val="22"/>
                        <w:szCs w:val="24"/>
                      </w:rPr>
                      <w:t>P-11-01 Gyventojų pasitenkinimas savivaldybės administracijos darbu (proc.)</w:t>
                    </w:r>
                  </w:p>
                  <w:p>
                    <w:pPr>
                      <w:ind w:left="720" w:hanging="360"/>
                      <w:jc w:val="both"/>
                      <w:rPr>
                        <w:rFonts w:eastAsia="Calibri"/>
                        <w:bCs/>
                        <w:sz w:val="22"/>
                        <w:szCs w:val="24"/>
                      </w:rPr>
                    </w:pPr>
                    <w:r>
                      <w:rPr>
                        <w:rFonts w:ascii="Arial" w:eastAsia="Calibri" w:hAnsi="Arial"/>
                        <w:bCs/>
                        <w:color w:val="FDB515"/>
                        <w:sz w:val="22"/>
                        <w:szCs w:val="24"/>
                      </w:rPr>
                      <w:t>►</w:t>
                      <w:tab/>
                    </w:r>
                    <w:r>
                      <w:rPr>
                        <w:rFonts w:eastAsia="Calibri"/>
                        <w:bCs/>
                        <w:sz w:val="22"/>
                        <w:szCs w:val="24"/>
                      </w:rPr>
                      <w:t>P-11-02 El. būdu teikiamų paslaugų dalis nuo visų galimų teikti el. būdu paslaugų (proc.)</w:t>
                    </w:r>
                  </w:p>
                  <w:p>
                    <w:pPr>
                      <w:ind w:left="720" w:hanging="360"/>
                      <w:jc w:val="both"/>
                      <w:rPr>
                        <w:rFonts w:eastAsia="Calibri"/>
                        <w:bCs/>
                        <w:sz w:val="22"/>
                        <w:szCs w:val="24"/>
                      </w:rPr>
                    </w:pPr>
                    <w:r>
                      <w:rPr>
                        <w:rFonts w:ascii="Arial" w:eastAsia="Calibri" w:hAnsi="Arial"/>
                        <w:bCs/>
                        <w:color w:val="FDB515"/>
                        <w:sz w:val="22"/>
                        <w:szCs w:val="24"/>
                      </w:rPr>
                      <w:t>►</w:t>
                      <w:tab/>
                    </w:r>
                    <w:r>
                      <w:rPr>
                        <w:rFonts w:eastAsia="Calibri"/>
                        <w:bCs/>
                        <w:sz w:val="22"/>
                        <w:szCs w:val="24"/>
                      </w:rPr>
                      <w:t>P-11-03 Patvirtintų pareigybių skaičius savivaldybės administracijoje, tenkantis 1 tūkst. nuolatinių gyventojų (asm.)</w:t>
                    </w:r>
                  </w:p>
                  <w:p>
                    <w:pPr>
                      <w:ind w:left="720" w:hanging="360"/>
                      <w:jc w:val="both"/>
                      <w:rPr>
                        <w:rFonts w:eastAsia="Calibri"/>
                        <w:bCs/>
                        <w:sz w:val="22"/>
                        <w:szCs w:val="24"/>
                      </w:rPr>
                    </w:pPr>
                    <w:r>
                      <w:rPr>
                        <w:rFonts w:ascii="Arial" w:eastAsia="Calibri" w:hAnsi="Arial"/>
                        <w:bCs/>
                        <w:color w:val="FDB515"/>
                        <w:sz w:val="22"/>
                        <w:szCs w:val="24"/>
                      </w:rPr>
                      <w:t>►</w:t>
                      <w:tab/>
                    </w:r>
                    <w:r>
                      <w:rPr>
                        <w:rFonts w:eastAsia="Calibri"/>
                        <w:bCs/>
                        <w:sz w:val="22"/>
                        <w:szCs w:val="24"/>
                      </w:rPr>
                      <w:t>P-11-04</w:t>
                      <w:tab/>
                      <w:t xml:space="preserve"> Savivaldybės biudžetas, tenkantis vienam Šiaulių miesto gyventojui (Eur)</w:t>
                    </w:r>
                  </w:p>
                  <w:p>
                    <w:pPr>
                      <w:rPr>
                        <w:sz w:val="10"/>
                        <w:szCs w:val="10"/>
                      </w:rPr>
                    </w:pPr>
                  </w:p>
                  <w:p>
                    <w:pPr>
                      <w:jc w:val="both"/>
                      <w:rPr>
                        <w:rFonts w:eastAsia="Calibri"/>
                        <w:b/>
                        <w:iCs/>
                        <w:sz w:val="22"/>
                        <w:szCs w:val="24"/>
                      </w:rPr>
                    </w:pPr>
                    <w:r>
                      <w:rPr>
                        <w:rFonts w:eastAsia="Calibri"/>
                        <w:b/>
                        <w:iCs/>
                        <w:sz w:val="22"/>
                        <w:szCs w:val="24"/>
                      </w:rPr>
                      <w:t>12. Užtikrinti įtraukias, konkurencingas kultūrines paslaugas ir jų prieinamumą</w:t>
                    </w:r>
                  </w:p>
                  <w:p>
                    <w:pPr>
                      <w:rPr>
                        <w:sz w:val="10"/>
                        <w:szCs w:val="10"/>
                      </w:rPr>
                    </w:pPr>
                  </w:p>
                  <w:p>
                    <w:pPr>
                      <w:ind w:left="720" w:hanging="360"/>
                      <w:jc w:val="both"/>
                      <w:rPr>
                        <w:rFonts w:eastAsia="Calibri"/>
                        <w:bCs/>
                        <w:iCs/>
                        <w:color w:val="808080"/>
                        <w:sz w:val="22"/>
                        <w:szCs w:val="24"/>
                      </w:rPr>
                    </w:pPr>
                    <w:r>
                      <w:rPr>
                        <w:rFonts w:ascii="Arial" w:eastAsia="Calibri" w:hAnsi="Arial"/>
                        <w:bCs/>
                        <w:iCs/>
                        <w:color w:val="FDB515"/>
                        <w:sz w:val="22"/>
                        <w:szCs w:val="24"/>
                      </w:rPr>
                      <w:t>►</w:t>
                      <w:tab/>
                    </w:r>
                    <w:r>
                      <w:rPr>
                        <w:rFonts w:eastAsia="Calibri"/>
                        <w:bCs/>
                        <w:iCs/>
                        <w:sz w:val="22"/>
                        <w:szCs w:val="24"/>
                      </w:rPr>
                      <w:t>P-12-01 Gyventojų pasitenkinimas kultūros paslaugomis (balas)</w:t>
                    </w:r>
                  </w:p>
                  <w:p>
                    <w:pPr>
                      <w:rPr>
                        <w:sz w:val="10"/>
                        <w:szCs w:val="10"/>
                      </w:rPr>
                    </w:pPr>
                  </w:p>
                  <w:p>
                    <w:pPr>
                      <w:jc w:val="both"/>
                      <w:rPr>
                        <w:rFonts w:eastAsia="Calibri"/>
                        <w:b/>
                        <w:iCs/>
                        <w:sz w:val="22"/>
                        <w:szCs w:val="24"/>
                      </w:rPr>
                    </w:pPr>
                    <w:r>
                      <w:rPr>
                        <w:rFonts w:eastAsia="Calibri"/>
                        <w:b/>
                        <w:iCs/>
                        <w:sz w:val="22"/>
                        <w:szCs w:val="24"/>
                      </w:rPr>
                      <w:t>13. Pagerinti aplinkos kokybę mieste, užtikrinant poveikio klimatui neutralumą</w:t>
                    </w:r>
                  </w:p>
                  <w:p>
                    <w:pPr>
                      <w:rPr>
                        <w:sz w:val="10"/>
                        <w:szCs w:val="10"/>
                      </w:rPr>
                    </w:pPr>
                  </w:p>
                  <w:p>
                    <w:pPr>
                      <w:ind w:left="720" w:hanging="360"/>
                      <w:jc w:val="both"/>
                      <w:rPr>
                        <w:rFonts w:eastAsia="Calibri"/>
                        <w:bCs/>
                        <w:iCs/>
                        <w:color w:val="808080"/>
                        <w:sz w:val="22"/>
                        <w:szCs w:val="24"/>
                      </w:rPr>
                    </w:pPr>
                    <w:r>
                      <w:rPr>
                        <w:rFonts w:ascii="Arial" w:eastAsia="Calibri" w:hAnsi="Arial"/>
                        <w:bCs/>
                        <w:iCs/>
                        <w:color w:val="FDB515"/>
                        <w:sz w:val="22"/>
                        <w:szCs w:val="24"/>
                      </w:rPr>
                      <w:t>►</w:t>
                      <w:tab/>
                    </w:r>
                    <w:r>
                      <w:rPr>
                        <w:rFonts w:eastAsia="Calibri"/>
                        <w:bCs/>
                        <w:iCs/>
                        <w:sz w:val="22"/>
                        <w:szCs w:val="24"/>
                      </w:rPr>
                      <w:t>P-13-01</w:t>
                      <w:tab/>
                      <w:t>Savivaldybės darnios energetikos plėtros indeksas (balas)</w:t>
                    </w:r>
                  </w:p>
                  <w:p>
                    <w:pPr>
                      <w:rPr>
                        <w:sz w:val="10"/>
                        <w:szCs w:val="10"/>
                      </w:rPr>
                    </w:pPr>
                  </w:p>
                  <w:p>
                    <w:pPr>
                      <w:jc w:val="both"/>
                      <w:rPr>
                        <w:rFonts w:eastAsia="Calibri"/>
                        <w:b/>
                        <w:iCs/>
                        <w:sz w:val="22"/>
                        <w:szCs w:val="24"/>
                      </w:rPr>
                    </w:pPr>
                    <w:r>
                      <w:rPr>
                        <w:rFonts w:eastAsia="Calibri"/>
                        <w:b/>
                        <w:iCs/>
                        <w:sz w:val="22"/>
                        <w:szCs w:val="24"/>
                      </w:rPr>
                      <w:t>14. Formuoti gyvybingą, tvarią ir darniai sujungtą miesto struktūrą</w:t>
                    </w:r>
                  </w:p>
                  <w:p>
                    <w:pPr>
                      <w:rPr>
                        <w:sz w:val="10"/>
                        <w:szCs w:val="10"/>
                      </w:rPr>
                    </w:pPr>
                  </w:p>
                  <w:p>
                    <w:pPr>
                      <w:ind w:left="720" w:hanging="360"/>
                      <w:jc w:val="both"/>
                      <w:rPr>
                        <w:rFonts w:eastAsia="Calibri"/>
                        <w:bCs/>
                        <w:iCs/>
                        <w:sz w:val="22"/>
                        <w:szCs w:val="24"/>
                      </w:rPr>
                    </w:pPr>
                    <w:r>
                      <w:rPr>
                        <w:rFonts w:ascii="Arial" w:eastAsia="Calibri" w:hAnsi="Arial"/>
                        <w:bCs/>
                        <w:iCs/>
                        <w:color w:val="FDB515"/>
                        <w:sz w:val="22"/>
                        <w:szCs w:val="24"/>
                      </w:rPr>
                      <w:t>►</w:t>
                      <w:tab/>
                    </w:r>
                    <w:r>
                      <w:rPr>
                        <w:rFonts w:eastAsia="Calibri"/>
                        <w:bCs/>
                        <w:iCs/>
                        <w:sz w:val="22"/>
                        <w:szCs w:val="24"/>
                      </w:rPr>
                      <w:t>P-14-01 Miesto driekos indeksas (balas)</w:t>
                    </w:r>
                  </w:p>
                  <w:p>
                    <w:pPr>
                      <w:ind w:left="720" w:hanging="360"/>
                      <w:jc w:val="both"/>
                      <w:rPr>
                        <w:rFonts w:eastAsia="Calibri"/>
                        <w:b/>
                        <w:iCs/>
                        <w:color w:val="808080"/>
                        <w:sz w:val="22"/>
                        <w:szCs w:val="24"/>
                      </w:rPr>
                    </w:pPr>
                    <w:r>
                      <w:rPr>
                        <w:rFonts w:ascii="Arial" w:eastAsia="Calibri" w:hAnsi="Arial"/>
                        <w:iCs/>
                        <w:color w:val="FDB515"/>
                        <w:sz w:val="22"/>
                        <w:szCs w:val="24"/>
                      </w:rPr>
                      <w:t>►</w:t>
                      <w:tab/>
                    </w:r>
                    <w:r>
                      <w:rPr>
                        <w:rFonts w:eastAsia="Calibri"/>
                        <w:bCs/>
                        <w:iCs/>
                        <w:sz w:val="22"/>
                        <w:szCs w:val="24"/>
                      </w:rPr>
                      <w:t>P-14-02 Miesto patrauklumo gyventi vertinimas (balas)</w:t>
                    </w:r>
                  </w:p>
                  <w:p>
                    <w:pPr>
                      <w:rPr>
                        <w:sz w:val="10"/>
                        <w:szCs w:val="10"/>
                      </w:rPr>
                    </w:pPr>
                  </w:p>
                  <w:p>
                    <w:pPr>
                      <w:jc w:val="both"/>
                      <w:rPr>
                        <w:rFonts w:eastAsia="Calibri"/>
                        <w:b/>
                        <w:iCs/>
                        <w:sz w:val="22"/>
                        <w:szCs w:val="24"/>
                      </w:rPr>
                    </w:pPr>
                    <w:r>
                      <w:rPr>
                        <w:rFonts w:eastAsia="Calibri"/>
                        <w:b/>
                        <w:iCs/>
                        <w:sz w:val="22"/>
                        <w:szCs w:val="24"/>
                      </w:rPr>
                      <w:t>15. Skatinti miesto ekonominę plėtrą, sudarant palankias sąlygas verslo, turizmo ir laisvalaikio vystymuisi</w:t>
                    </w:r>
                  </w:p>
                  <w:p>
                    <w:pPr>
                      <w:rPr>
                        <w:sz w:val="10"/>
                        <w:szCs w:val="10"/>
                      </w:rPr>
                    </w:pPr>
                  </w:p>
                  <w:p>
                    <w:pPr>
                      <w:ind w:left="720" w:hanging="360"/>
                      <w:jc w:val="both"/>
                      <w:rPr>
                        <w:rFonts w:eastAsia="Calibri"/>
                        <w:bCs/>
                        <w:iCs/>
                        <w:sz w:val="22"/>
                        <w:szCs w:val="24"/>
                      </w:rPr>
                    </w:pPr>
                    <w:r>
                      <w:rPr>
                        <w:rFonts w:ascii="Arial" w:eastAsia="Calibri" w:hAnsi="Arial"/>
                        <w:bCs/>
                        <w:iCs/>
                        <w:color w:val="FDB515"/>
                        <w:sz w:val="22"/>
                        <w:szCs w:val="24"/>
                      </w:rPr>
                      <w:t>►</w:t>
                      <w:tab/>
                    </w:r>
                    <w:r>
                      <w:rPr>
                        <w:rFonts w:eastAsia="Calibri"/>
                        <w:bCs/>
                        <w:iCs/>
                        <w:sz w:val="22"/>
                        <w:szCs w:val="24"/>
                      </w:rPr>
                      <w:t>P-15-01 Vidutinis mėnesinis bruto darbo užmokestis (santykis su LT vidurkiu) (Eur)</w:t>
                    </w:r>
                  </w:p>
                  <w:p>
                    <w:pPr>
                      <w:ind w:left="720" w:hanging="360"/>
                      <w:jc w:val="both"/>
                      <w:rPr>
                        <w:rFonts w:eastAsia="Calibri"/>
                        <w:bCs/>
                        <w:iCs/>
                        <w:sz w:val="22"/>
                        <w:szCs w:val="24"/>
                      </w:rPr>
                    </w:pPr>
                    <w:r>
                      <w:rPr>
                        <w:rFonts w:ascii="Arial" w:eastAsia="Calibri" w:hAnsi="Arial"/>
                        <w:bCs/>
                        <w:iCs/>
                        <w:color w:val="FDB515"/>
                        <w:sz w:val="22"/>
                        <w:szCs w:val="24"/>
                      </w:rPr>
                      <w:t>►</w:t>
                      <w:tab/>
                    </w:r>
                    <w:r>
                      <w:rPr>
                        <w:rFonts w:eastAsia="Calibri"/>
                        <w:bCs/>
                        <w:iCs/>
                        <w:sz w:val="22"/>
                        <w:szCs w:val="24"/>
                      </w:rPr>
                      <w:t xml:space="preserve">P-15-02 Materialinės investicijos, tenkančios 1 gyventojui (santykis su didžiųjų miestų vidurkiu)  (Eur) </w:t>
                    </w:r>
                  </w:p>
                  <w:p>
                    <w:pPr>
                      <w:ind w:left="720" w:hanging="360"/>
                      <w:jc w:val="both"/>
                      <w:rPr>
                        <w:rFonts w:eastAsia="Calibri"/>
                        <w:bCs/>
                        <w:iCs/>
                        <w:sz w:val="22"/>
                        <w:szCs w:val="24"/>
                      </w:rPr>
                    </w:pPr>
                    <w:r>
                      <w:rPr>
                        <w:rFonts w:ascii="Arial" w:eastAsia="Calibri" w:hAnsi="Arial"/>
                        <w:bCs/>
                        <w:iCs/>
                        <w:color w:val="FDB515"/>
                        <w:sz w:val="22"/>
                        <w:szCs w:val="24"/>
                      </w:rPr>
                      <w:t>►</w:t>
                      <w:tab/>
                    </w:r>
                    <w:r>
                      <w:rPr>
                        <w:rFonts w:eastAsia="Calibri"/>
                        <w:bCs/>
                        <w:iCs/>
                        <w:sz w:val="22"/>
                        <w:szCs w:val="24"/>
                      </w:rPr>
                      <w:t>P-15-03 Nakvynių ir turistų skaičius apgyvendinimo įstaigose (tūkst. vnt. / asm.)</w:t>
                    </w:r>
                  </w:p>
                  <w:p>
                    <w:pPr>
                      <w:ind w:left="720" w:hanging="360"/>
                      <w:jc w:val="both"/>
                      <w:rPr>
                        <w:rFonts w:eastAsia="Calibri"/>
                        <w:bCs/>
                        <w:iCs/>
                        <w:color w:val="808080"/>
                        <w:sz w:val="22"/>
                        <w:szCs w:val="24"/>
                      </w:rPr>
                    </w:pPr>
                    <w:r>
                      <w:rPr>
                        <w:rFonts w:ascii="Arial" w:eastAsia="Calibri" w:hAnsi="Arial"/>
                        <w:bCs/>
                        <w:iCs/>
                        <w:color w:val="FDB515"/>
                        <w:sz w:val="22"/>
                        <w:szCs w:val="24"/>
                      </w:rPr>
                      <w:t>►</w:t>
                      <w:tab/>
                    </w:r>
                    <w:r>
                      <w:rPr>
                        <w:rFonts w:eastAsia="Calibri"/>
                        <w:bCs/>
                        <w:iCs/>
                        <w:sz w:val="22"/>
                        <w:szCs w:val="24"/>
                      </w:rPr>
                      <w:t>P-15-04 Vietos ir užsienio turistų pasitenkinimo lygis (proc.)</w:t>
                    </w:r>
                  </w:p>
                  <w:p>
                    <w:pPr>
                      <w:rPr>
                        <w:sz w:val="10"/>
                        <w:szCs w:val="10"/>
                      </w:rPr>
                    </w:pPr>
                  </w:p>
                  <w:p>
                    <w:pPr>
                      <w:jc w:val="both"/>
                      <w:rPr>
                        <w:rFonts w:eastAsia="Calibri"/>
                        <w:b/>
                        <w:iCs/>
                        <w:sz w:val="22"/>
                        <w:szCs w:val="24"/>
                      </w:rPr>
                    </w:pPr>
                    <w:r>
                      <w:rPr>
                        <w:rFonts w:eastAsia="Calibri"/>
                        <w:b/>
                        <w:iCs/>
                        <w:sz w:val="22"/>
                        <w:szCs w:val="24"/>
                      </w:rPr>
                      <w:t>16. Užtikrinti socialinės apsaugos sistemą, mažinančią socialinę atskirtį ir didinančią socialinę integraciją</w:t>
                    </w:r>
                  </w:p>
                  <w:p>
                    <w:pPr>
                      <w:rPr>
                        <w:sz w:val="10"/>
                        <w:szCs w:val="10"/>
                      </w:rPr>
                    </w:pPr>
                  </w:p>
                  <w:p>
                    <w:pPr>
                      <w:ind w:left="720" w:hanging="360"/>
                      <w:jc w:val="both"/>
                      <w:rPr>
                        <w:rFonts w:eastAsia="Calibri"/>
                        <w:bCs/>
                        <w:iCs/>
                        <w:sz w:val="22"/>
                        <w:szCs w:val="24"/>
                      </w:rPr>
                    </w:pPr>
                    <w:r>
                      <w:rPr>
                        <w:rFonts w:ascii="Arial" w:eastAsia="Calibri" w:hAnsi="Arial"/>
                        <w:bCs/>
                        <w:iCs/>
                        <w:color w:val="FDB515"/>
                        <w:sz w:val="22"/>
                        <w:szCs w:val="24"/>
                      </w:rPr>
                      <w:t>►</w:t>
                      <w:tab/>
                    </w:r>
                    <w:r>
                      <w:rPr>
                        <w:rFonts w:eastAsia="Calibri"/>
                        <w:bCs/>
                        <w:iCs/>
                        <w:sz w:val="22"/>
                        <w:szCs w:val="24"/>
                      </w:rPr>
                      <w:t>P-16-01 Socialinių paslaugų gavėjų dalis (proc.)</w:t>
                    </w:r>
                  </w:p>
                  <w:p>
                    <w:pPr>
                      <w:ind w:left="720" w:hanging="360"/>
                      <w:jc w:val="both"/>
                      <w:rPr>
                        <w:rFonts w:eastAsia="Calibri"/>
                        <w:bCs/>
                        <w:iCs/>
                        <w:color w:val="808080"/>
                        <w:sz w:val="22"/>
                        <w:szCs w:val="24"/>
                      </w:rPr>
                    </w:pPr>
                    <w:r>
                      <w:rPr>
                        <w:rFonts w:ascii="Arial" w:eastAsia="Calibri" w:hAnsi="Arial"/>
                        <w:bCs/>
                        <w:iCs/>
                        <w:color w:val="FDB515"/>
                        <w:sz w:val="22"/>
                        <w:szCs w:val="24"/>
                      </w:rPr>
                      <w:t>►</w:t>
                      <w:tab/>
                    </w:r>
                    <w:r>
                      <w:rPr>
                        <w:rFonts w:eastAsia="Calibri"/>
                        <w:bCs/>
                        <w:iCs/>
                        <w:sz w:val="22"/>
                        <w:szCs w:val="24"/>
                      </w:rPr>
                      <w:t>P-16-02 Socialinio saugumo indeksas (balas)</w:t>
                    </w:r>
                  </w:p>
                  <w:p>
                    <w:pPr>
                      <w:ind w:left="720" w:hanging="360"/>
                      <w:jc w:val="both"/>
                      <w:rPr>
                        <w:rFonts w:eastAsia="Calibri"/>
                        <w:bCs/>
                        <w:iCs/>
                        <w:color w:val="808080"/>
                        <w:sz w:val="22"/>
                        <w:szCs w:val="24"/>
                      </w:rPr>
                    </w:pPr>
                    <w:r>
                      <w:rPr>
                        <w:rFonts w:ascii="Arial" w:eastAsia="Calibri" w:hAnsi="Arial"/>
                        <w:bCs/>
                        <w:iCs/>
                        <w:color w:val="FDB515"/>
                        <w:sz w:val="22"/>
                        <w:szCs w:val="24"/>
                      </w:rPr>
                      <w:t>►</w:t>
                      <w:tab/>
                    </w:r>
                    <w:r>
                      <w:rPr>
                        <w:rFonts w:eastAsia="Calibri"/>
                        <w:bCs/>
                        <w:iCs/>
                        <w:sz w:val="22"/>
                        <w:szCs w:val="24"/>
                      </w:rPr>
                      <w:t>P-16-03 Demografinės senatvės koeficientas (asm.)</w:t>
                    </w:r>
                  </w:p>
                  <w:p>
                    <w:pPr>
                      <w:rPr>
                        <w:sz w:val="10"/>
                        <w:szCs w:val="10"/>
                      </w:rPr>
                    </w:pPr>
                  </w:p>
                  <w:p>
                    <w:pPr>
                      <w:jc w:val="both"/>
                      <w:rPr>
                        <w:rFonts w:eastAsia="Calibri"/>
                        <w:b/>
                        <w:iCs/>
                        <w:sz w:val="22"/>
                        <w:szCs w:val="24"/>
                      </w:rPr>
                    </w:pPr>
                    <w:r>
                      <w:rPr>
                        <w:rFonts w:eastAsia="Calibri"/>
                        <w:b/>
                        <w:iCs/>
                        <w:sz w:val="22"/>
                        <w:szCs w:val="24"/>
                      </w:rPr>
                      <w:t>17. Ugdyti fiziškai aktyvią ir sportuojančią bendruomenę</w:t>
                    </w:r>
                  </w:p>
                  <w:p>
                    <w:pPr>
                      <w:rPr>
                        <w:sz w:val="10"/>
                        <w:szCs w:val="10"/>
                      </w:rPr>
                    </w:pPr>
                  </w:p>
                  <w:p>
                    <w:pPr>
                      <w:ind w:left="720" w:hanging="360"/>
                      <w:jc w:val="both"/>
                      <w:rPr>
                        <w:rFonts w:eastAsia="Calibri"/>
                        <w:bCs/>
                        <w:iCs/>
                        <w:sz w:val="22"/>
                        <w:szCs w:val="24"/>
                      </w:rPr>
                    </w:pPr>
                    <w:r>
                      <w:rPr>
                        <w:rFonts w:ascii="Arial" w:eastAsia="Calibri" w:hAnsi="Arial"/>
                        <w:bCs/>
                        <w:iCs/>
                        <w:color w:val="FDB515"/>
                        <w:sz w:val="22"/>
                        <w:szCs w:val="24"/>
                      </w:rPr>
                      <w:t>►</w:t>
                      <w:tab/>
                    </w:r>
                    <w:r>
                      <w:rPr>
                        <w:rFonts w:eastAsia="Calibri"/>
                        <w:bCs/>
                        <w:iCs/>
                        <w:sz w:val="22"/>
                        <w:szCs w:val="24"/>
                      </w:rPr>
                      <w:t>P-17-01 Sporto varžybų ir sveikatingumo renginių dalyvių skaičius (tūkst. asm.)</w:t>
                    </w:r>
                  </w:p>
                  <w:p>
                    <w:pPr>
                      <w:ind w:left="720" w:hanging="360"/>
                      <w:jc w:val="both"/>
                      <w:rPr>
                        <w:rFonts w:eastAsia="Calibri"/>
                        <w:bCs/>
                        <w:iCs/>
                        <w:color w:val="808080"/>
                        <w:sz w:val="22"/>
                        <w:szCs w:val="24"/>
                      </w:rPr>
                    </w:pPr>
                    <w:r>
                      <w:rPr>
                        <w:rFonts w:ascii="Arial" w:eastAsia="Calibri" w:hAnsi="Arial"/>
                        <w:bCs/>
                        <w:iCs/>
                        <w:color w:val="FDB515"/>
                        <w:sz w:val="22"/>
                        <w:szCs w:val="24"/>
                      </w:rPr>
                      <w:t>►</w:t>
                      <w:tab/>
                    </w:r>
                    <w:r>
                      <w:rPr>
                        <w:rFonts w:eastAsia="Calibri"/>
                        <w:bCs/>
                        <w:iCs/>
                        <w:sz w:val="22"/>
                        <w:szCs w:val="24"/>
                      </w:rPr>
                      <w:t>P-17-02</w:t>
                      <w:tab/>
                      <w:t xml:space="preserve"> Vasaros olimpinių žaidynių / paralimpinių žaidynių dalyvių skaičius  (asm.)</w:t>
                    </w:r>
                  </w:p>
                  <w:p>
                    <w:pPr>
                      <w:rPr>
                        <w:sz w:val="10"/>
                        <w:szCs w:val="10"/>
                      </w:rPr>
                    </w:pPr>
                  </w:p>
                  <w:p>
                    <w:pPr>
                      <w:jc w:val="both"/>
                      <w:rPr>
                        <w:rFonts w:eastAsia="Calibri"/>
                        <w:b/>
                        <w:iCs/>
                        <w:sz w:val="22"/>
                        <w:szCs w:val="24"/>
                      </w:rPr>
                    </w:pPr>
                    <w:r>
                      <w:rPr>
                        <w:rFonts w:eastAsia="Calibri"/>
                        <w:b/>
                        <w:iCs/>
                        <w:sz w:val="22"/>
                        <w:szCs w:val="24"/>
                      </w:rPr>
                      <w:t>18. Užtikrinti įtraukias, kokybiškas, prieinamas švietimo paslaugas ir didinti galimybes jaunimui</w:t>
                    </w:r>
                  </w:p>
                  <w:p>
                    <w:pPr>
                      <w:rPr>
                        <w:sz w:val="10"/>
                        <w:szCs w:val="10"/>
                      </w:rPr>
                    </w:pPr>
                  </w:p>
                  <w:p>
                    <w:pPr>
                      <w:ind w:left="720" w:hanging="360"/>
                      <w:jc w:val="both"/>
                      <w:rPr>
                        <w:rFonts w:eastAsia="Calibri"/>
                        <w:bCs/>
                        <w:iCs/>
                        <w:sz w:val="22"/>
                        <w:szCs w:val="24"/>
                      </w:rPr>
                    </w:pPr>
                    <w:r>
                      <w:rPr>
                        <w:rFonts w:ascii="Arial" w:eastAsia="Calibri" w:hAnsi="Arial"/>
                        <w:bCs/>
                        <w:iCs/>
                        <w:color w:val="FDB515"/>
                        <w:sz w:val="22"/>
                        <w:szCs w:val="24"/>
                      </w:rPr>
                      <w:t>►</w:t>
                      <w:tab/>
                    </w:r>
                    <w:r>
                      <w:rPr>
                        <w:rFonts w:eastAsia="Calibri"/>
                        <w:bCs/>
                        <w:iCs/>
                        <w:sz w:val="22"/>
                        <w:szCs w:val="24"/>
                      </w:rPr>
                      <w:t>P-18-01</w:t>
                      <w:tab/>
                      <w:t xml:space="preserve"> Vaikų ir jaunimo (0–29 m. amžiaus) dalis nuo bendro gyventojų skaičiaus (proc.) </w:t>
                    </w:r>
                  </w:p>
                  <w:p>
                    <w:pPr>
                      <w:ind w:left="720" w:hanging="360"/>
                      <w:jc w:val="both"/>
                      <w:rPr>
                        <w:rFonts w:eastAsia="Calibri"/>
                        <w:bCs/>
                        <w:iCs/>
                        <w:sz w:val="22"/>
                        <w:szCs w:val="24"/>
                      </w:rPr>
                    </w:pPr>
                    <w:r>
                      <w:rPr>
                        <w:rFonts w:ascii="Arial" w:eastAsia="Calibri" w:hAnsi="Arial"/>
                        <w:bCs/>
                        <w:iCs/>
                        <w:color w:val="FDB515"/>
                        <w:sz w:val="22"/>
                        <w:szCs w:val="24"/>
                      </w:rPr>
                      <w:t>►</w:t>
                      <w:tab/>
                    </w:r>
                    <w:r>
                      <w:rPr>
                        <w:rFonts w:eastAsia="Calibri"/>
                        <w:bCs/>
                        <w:iCs/>
                        <w:sz w:val="22"/>
                        <w:szCs w:val="24"/>
                      </w:rPr>
                      <w:t>P-18-02</w:t>
                      <w:tab/>
                      <w:t xml:space="preserve"> Vaikų, dalyvaujančių ikimokykliniame ugdyme 3–5 metų, dalis nuo vaikų (3–5 m.) (proc.)</w:t>
                    </w:r>
                  </w:p>
                  <w:p>
                    <w:pPr>
                      <w:ind w:left="720" w:hanging="360"/>
                      <w:jc w:val="both"/>
                      <w:rPr>
                        <w:rFonts w:eastAsia="Calibri"/>
                        <w:bCs/>
                        <w:iCs/>
                        <w:sz w:val="22"/>
                        <w:szCs w:val="24"/>
                      </w:rPr>
                    </w:pPr>
                    <w:r>
                      <w:rPr>
                        <w:rFonts w:ascii="Arial" w:eastAsia="Calibri" w:hAnsi="Arial"/>
                        <w:bCs/>
                        <w:iCs/>
                        <w:color w:val="FDB515"/>
                        <w:sz w:val="22"/>
                        <w:szCs w:val="24"/>
                      </w:rPr>
                      <w:t>►</w:t>
                      <w:tab/>
                    </w:r>
                    <w:r>
                      <w:rPr>
                        <w:rFonts w:eastAsia="Calibri"/>
                        <w:bCs/>
                        <w:iCs/>
                        <w:sz w:val="22"/>
                        <w:szCs w:val="24"/>
                      </w:rPr>
                      <w:t>P-18-03</w:t>
                      <w:tab/>
                      <w:t xml:space="preserve"> Mokyklinio amžiaus vaikų, nesimokančių mokyklose, skaičius, tenkantis 1000 gyv. (asm. / 1000 gyv.)</w:t>
                    </w:r>
                  </w:p>
                  <w:p>
                    <w:pPr>
                      <w:ind w:left="720" w:hanging="360"/>
                      <w:jc w:val="both"/>
                      <w:rPr>
                        <w:rFonts w:eastAsia="Calibri"/>
                        <w:bCs/>
                        <w:iCs/>
                        <w:sz w:val="22"/>
                        <w:szCs w:val="24"/>
                      </w:rPr>
                    </w:pPr>
                    <w:r>
                      <w:rPr>
                        <w:rFonts w:ascii="Arial" w:eastAsia="Calibri" w:hAnsi="Arial"/>
                        <w:bCs/>
                        <w:iCs/>
                        <w:color w:val="FDB515"/>
                        <w:sz w:val="22"/>
                        <w:szCs w:val="24"/>
                      </w:rPr>
                      <w:t>►</w:t>
                      <w:tab/>
                    </w:r>
                    <w:r>
                      <w:rPr>
                        <w:rFonts w:eastAsia="Calibri"/>
                        <w:bCs/>
                        <w:iCs/>
                        <w:sz w:val="22"/>
                        <w:szCs w:val="24"/>
                      </w:rPr>
                      <w:t>P-18-04</w:t>
                      <w:tab/>
                      <w:t xml:space="preserve"> Neformaliojo švietimo veiklose dalyvaujančių mokinių dalis Šiaulių miesto savivaldybės mokyklose nuo visų mokinių (proc.)</w:t>
                    </w:r>
                  </w:p>
                  <w:p>
                    <w:pPr>
                      <w:ind w:left="720" w:hanging="360"/>
                      <w:jc w:val="both"/>
                      <w:rPr>
                        <w:rFonts w:eastAsia="Calibri"/>
                        <w:bCs/>
                        <w:iCs/>
                        <w:color w:val="808080"/>
                        <w:sz w:val="22"/>
                        <w:szCs w:val="24"/>
                      </w:rPr>
                    </w:pPr>
                    <w:r>
                      <w:rPr>
                        <w:rFonts w:ascii="Arial" w:eastAsia="Calibri" w:hAnsi="Arial"/>
                        <w:bCs/>
                        <w:iCs/>
                        <w:color w:val="FDB515"/>
                        <w:sz w:val="22"/>
                        <w:szCs w:val="24"/>
                      </w:rPr>
                      <w:t>►</w:t>
                      <w:tab/>
                    </w:r>
                    <w:r>
                      <w:rPr>
                        <w:rFonts w:eastAsia="Calibri"/>
                        <w:bCs/>
                        <w:iCs/>
                        <w:sz w:val="22"/>
                        <w:szCs w:val="24"/>
                      </w:rPr>
                      <w:t>P-18-05</w:t>
                      <w:tab/>
                      <w:t xml:space="preserve"> Studijuojančiųjų ir besimokančiųjų (profesinis) dalis nuo nuolatinių gyventojų skaičiaus (proc.)</w:t>
                    </w:r>
                  </w:p>
                  <w:p>
                    <w:pPr>
                      <w:rPr>
                        <w:sz w:val="10"/>
                        <w:szCs w:val="10"/>
                      </w:rPr>
                    </w:pPr>
                  </w:p>
                  <w:p>
                    <w:pPr>
                      <w:jc w:val="both"/>
                      <w:rPr>
                        <w:rFonts w:eastAsia="Calibri"/>
                        <w:b/>
                        <w:iCs/>
                        <w:sz w:val="22"/>
                        <w:szCs w:val="24"/>
                      </w:rPr>
                    </w:pPr>
                    <w:r>
                      <w:rPr>
                        <w:rFonts w:eastAsia="Calibri"/>
                        <w:b/>
                        <w:iCs/>
                        <w:sz w:val="22"/>
                        <w:szCs w:val="24"/>
                      </w:rPr>
                      <w:t>19. Sudaryti palankias sąlygas miesto bendruomenei sveikatinti ir gerinti sveikatos priežiūros paslaugų kokybę ir prieinamumą</w:t>
                    </w:r>
                  </w:p>
                  <w:p>
                    <w:pPr>
                      <w:rPr>
                        <w:sz w:val="10"/>
                        <w:szCs w:val="10"/>
                      </w:rPr>
                    </w:pPr>
                  </w:p>
                  <w:p>
                    <w:pPr>
                      <w:ind w:left="720" w:hanging="360"/>
                      <w:jc w:val="both"/>
                      <w:rPr>
                        <w:rFonts w:eastAsia="Calibri"/>
                        <w:bCs/>
                        <w:iCs/>
                        <w:sz w:val="22"/>
                        <w:szCs w:val="24"/>
                      </w:rPr>
                    </w:pPr>
                    <w:r>
                      <w:rPr>
                        <w:rFonts w:ascii="Arial" w:eastAsia="Calibri" w:hAnsi="Arial"/>
                        <w:bCs/>
                        <w:iCs/>
                        <w:color w:val="FDB515"/>
                        <w:sz w:val="22"/>
                        <w:szCs w:val="24"/>
                      </w:rPr>
                      <w:t>►</w:t>
                      <w:tab/>
                    </w:r>
                    <w:r>
                      <w:rPr>
                        <w:rFonts w:eastAsia="Calibri"/>
                        <w:bCs/>
                        <w:iCs/>
                        <w:sz w:val="22"/>
                        <w:szCs w:val="24"/>
                      </w:rPr>
                      <w:t>P-19-01 Gyventojų pasitenkinimas sveikatos priežiūros centrų (poliklinikų, sveikatos biuro) paslaugomis (balas)</w:t>
                    </w:r>
                  </w:p>
                  <w:p>
                    <w:pPr>
                      <w:ind w:left="720" w:hanging="360"/>
                      <w:jc w:val="both"/>
                      <w:rPr>
                        <w:rFonts w:eastAsia="Calibri"/>
                        <w:bCs/>
                        <w:iCs/>
                        <w:sz w:val="22"/>
                        <w:szCs w:val="24"/>
                      </w:rPr>
                    </w:pPr>
                    <w:r>
                      <w:rPr>
                        <w:rFonts w:ascii="Arial" w:eastAsia="Calibri" w:hAnsi="Arial"/>
                        <w:bCs/>
                        <w:iCs/>
                        <w:color w:val="FDB515"/>
                        <w:sz w:val="22"/>
                        <w:szCs w:val="24"/>
                      </w:rPr>
                      <w:t>►</w:t>
                      <w:tab/>
                    </w:r>
                    <w:r>
                      <w:rPr>
                        <w:rFonts w:eastAsia="Calibri"/>
                        <w:bCs/>
                        <w:iCs/>
                        <w:sz w:val="22"/>
                        <w:szCs w:val="24"/>
                      </w:rPr>
                      <w:t>P-19-02 Praktikuojančių sveikatos priežiūros specialistų skaičius, tenkantis 10 tūkst. gyventojų (asm.)</w:t>
                    </w:r>
                  </w:p>
                  <w:p>
                    <w:pPr>
                      <w:ind w:left="720" w:hanging="360"/>
                      <w:jc w:val="both"/>
                      <w:rPr>
                        <w:rFonts w:eastAsia="Calibri"/>
                        <w:bCs/>
                        <w:iCs/>
                        <w:color w:val="808080"/>
                        <w:sz w:val="22"/>
                        <w:szCs w:val="24"/>
                      </w:rPr>
                    </w:pPr>
                    <w:r>
                      <w:rPr>
                        <w:rFonts w:ascii="Arial" w:eastAsia="Calibri" w:hAnsi="Arial"/>
                        <w:bCs/>
                        <w:iCs/>
                        <w:color w:val="FDB515"/>
                        <w:sz w:val="22"/>
                        <w:szCs w:val="24"/>
                      </w:rPr>
                      <w:t>►</w:t>
                      <w:tab/>
                    </w:r>
                    <w:r>
                      <w:rPr>
                        <w:rFonts w:eastAsia="Calibri"/>
                        <w:bCs/>
                        <w:iCs/>
                        <w:sz w:val="22"/>
                        <w:szCs w:val="24"/>
                      </w:rPr>
                      <w:t>P-19-03 Vidutinė gyvenimo trukmė (m.)</w:t>
                    </w:r>
                  </w:p>
                  <w:p>
                    <w:pPr>
                      <w:rPr>
                        <w:sz w:val="10"/>
                        <w:szCs w:val="10"/>
                      </w:rPr>
                    </w:pPr>
                  </w:p>
                  <w:p>
                    <w:pPr>
                      <w:ind w:left="360"/>
                      <w:jc w:val="both"/>
                      <w:rPr>
                        <w:rFonts w:eastAsia="Calibri"/>
                        <w:bCs/>
                        <w:iCs/>
                        <w:color w:val="808080"/>
                        <w:sz w:val="22"/>
                        <w:szCs w:val="24"/>
                      </w:rPr>
                    </w:pPr>
                  </w:p>
                </w:tc>
              </w:tr>
              <w:tr>
                <w:trPr>
                  <w:trHeight w:val="573"/>
                </w:trPr>
                <w:tc>
                  <w:tcPr>
                    <w:tcW w:w="9640"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both"/>
                      <w:rPr>
                        <w:rFonts w:eastAsia="Calibri"/>
                        <w:b/>
                        <w:sz w:val="22"/>
                        <w:szCs w:val="24"/>
                      </w:rPr>
                    </w:pPr>
                    <w:r>
                      <w:rPr>
                        <w:rFonts w:eastAsia="Calibri"/>
                        <w:b/>
                        <w:sz w:val="22"/>
                        <w:szCs w:val="24"/>
                      </w:rPr>
                      <w:t>Savivaldybės plėtros uždaviniai ir rezultato rodikliai</w:t>
                    </w:r>
                  </w:p>
                  <w:p>
                    <w:pPr>
                      <w:rPr>
                        <w:sz w:val="10"/>
                        <w:szCs w:val="10"/>
                      </w:rPr>
                    </w:pPr>
                  </w:p>
                  <w:p>
                    <w:pPr>
                      <w:jc w:val="both"/>
                      <w:rPr>
                        <w:rFonts w:eastAsia="Calibri"/>
                        <w:bCs/>
                        <w:sz w:val="22"/>
                        <w:szCs w:val="24"/>
                      </w:rPr>
                    </w:pPr>
                    <w:r>
                      <w:rPr>
                        <w:rFonts w:eastAsia="Calibri"/>
                        <w:bCs/>
                        <w:sz w:val="22"/>
                        <w:szCs w:val="24"/>
                      </w:rPr>
                      <w:t>ŠSPP turi 21 plėtros uždavinį, kurių kiekvienas turi numatytus rezultato rodiklius. Žemiau pateikiami plėtros uždaviniai ir jų rezultato rodikliai:</w:t>
                    </w:r>
                  </w:p>
                  <w:p>
                    <w:pPr>
                      <w:rPr>
                        <w:sz w:val="10"/>
                        <w:szCs w:val="10"/>
                      </w:rPr>
                    </w:pPr>
                  </w:p>
                  <w:p>
                    <w:pPr>
                      <w:jc w:val="both"/>
                      <w:rPr>
                        <w:rFonts w:eastAsia="Calibri"/>
                        <w:b/>
                        <w:iCs/>
                        <w:sz w:val="22"/>
                        <w:szCs w:val="24"/>
                      </w:rPr>
                    </w:pPr>
                    <w:r>
                      <w:rPr>
                        <w:rFonts w:eastAsia="Calibri"/>
                        <w:b/>
                        <w:iCs/>
                        <w:sz w:val="22"/>
                        <w:szCs w:val="24"/>
                      </w:rPr>
                      <w:t>11-01 Gerinti veiklos valdymą ir efektyviai išnaudoti pažangius skaitmeninius sprendimus teikiant paslaugas</w:t>
                    </w:r>
                  </w:p>
                  <w:p>
                    <w:pPr>
                      <w:rPr>
                        <w:sz w:val="10"/>
                        <w:szCs w:val="10"/>
                      </w:rPr>
                    </w:pPr>
                  </w:p>
                  <w:p>
                    <w:pPr>
                      <w:ind w:left="720" w:hanging="360"/>
                      <w:jc w:val="both"/>
                      <w:rPr>
                        <w:rFonts w:eastAsia="Calibri"/>
                        <w:bCs/>
                        <w:iCs/>
                        <w:sz w:val="22"/>
                        <w:szCs w:val="24"/>
                      </w:rPr>
                    </w:pPr>
                    <w:r>
                      <w:rPr>
                        <w:rFonts w:ascii="Arial" w:eastAsia="Calibri" w:hAnsi="Arial"/>
                        <w:bCs/>
                        <w:iCs/>
                        <w:color w:val="FDB515"/>
                        <w:sz w:val="22"/>
                        <w:szCs w:val="24"/>
                      </w:rPr>
                      <w:t>►</w:t>
                      <w:tab/>
                    </w:r>
                    <w:r>
                      <w:rPr>
                        <w:rFonts w:eastAsia="Calibri"/>
                        <w:bCs/>
                        <w:iCs/>
                        <w:sz w:val="22"/>
                        <w:szCs w:val="24"/>
                      </w:rPr>
                      <w:t>R-11-01-01 Savivaldybės biudžetas, tenkantis vienai patvirtintai pareigybei savivaldybės administracijoje (mln. Eur)</w:t>
                    </w:r>
                  </w:p>
                  <w:p>
                    <w:pPr>
                      <w:ind w:left="720" w:hanging="360"/>
                      <w:jc w:val="both"/>
                      <w:rPr>
                        <w:rFonts w:eastAsia="Calibri"/>
                        <w:bCs/>
                        <w:iCs/>
                        <w:sz w:val="22"/>
                        <w:szCs w:val="24"/>
                      </w:rPr>
                    </w:pPr>
                    <w:r>
                      <w:rPr>
                        <w:rFonts w:ascii="Arial" w:eastAsia="Calibri" w:hAnsi="Arial"/>
                        <w:bCs/>
                        <w:iCs/>
                        <w:color w:val="FDB515"/>
                        <w:sz w:val="22"/>
                        <w:szCs w:val="24"/>
                      </w:rPr>
                      <w:t>►</w:t>
                      <w:tab/>
                    </w:r>
                    <w:r>
                      <w:rPr>
                        <w:rFonts w:eastAsia="Calibri"/>
                        <w:bCs/>
                        <w:iCs/>
                        <w:sz w:val="22"/>
                        <w:szCs w:val="24"/>
                      </w:rPr>
                      <w:t>R-11-01-02 Vieta pagal lyčių lygybės stebėsenos savivaldybėse rodiklius (v.)</w:t>
                    </w:r>
                  </w:p>
                  <w:p>
                    <w:pPr>
                      <w:rPr>
                        <w:sz w:val="10"/>
                        <w:szCs w:val="10"/>
                      </w:rPr>
                    </w:pPr>
                  </w:p>
                  <w:p>
                    <w:pPr>
                      <w:jc w:val="both"/>
                      <w:rPr>
                        <w:rFonts w:eastAsia="Calibri"/>
                        <w:b/>
                        <w:iCs/>
                        <w:sz w:val="22"/>
                        <w:szCs w:val="24"/>
                      </w:rPr>
                    </w:pPr>
                    <w:r>
                      <w:rPr>
                        <w:rFonts w:eastAsia="Calibri"/>
                        <w:b/>
                        <w:iCs/>
                        <w:sz w:val="22"/>
                        <w:szCs w:val="24"/>
                      </w:rPr>
                      <w:t>11-02 Skatinti įtraukų bendradarbiavimą su visuomene ir suinteresuotomis šalimis</w:t>
                    </w:r>
                  </w:p>
                  <w:p>
                    <w:pPr>
                      <w:rPr>
                        <w:sz w:val="10"/>
                        <w:szCs w:val="10"/>
                      </w:rPr>
                    </w:pPr>
                  </w:p>
                  <w:p>
                    <w:pPr>
                      <w:ind w:left="720" w:hanging="360"/>
                      <w:jc w:val="both"/>
                      <w:rPr>
                        <w:rFonts w:eastAsia="Calibri"/>
                        <w:bCs/>
                        <w:iCs/>
                        <w:sz w:val="22"/>
                        <w:szCs w:val="24"/>
                      </w:rPr>
                    </w:pPr>
                    <w:r>
                      <w:rPr>
                        <w:rFonts w:ascii="Arial" w:eastAsia="Calibri" w:hAnsi="Arial"/>
                        <w:bCs/>
                        <w:iCs/>
                        <w:color w:val="FDB515"/>
                        <w:sz w:val="22"/>
                        <w:szCs w:val="24"/>
                      </w:rPr>
                      <w:t>►</w:t>
                      <w:tab/>
                    </w:r>
                    <w:r>
                      <w:rPr>
                        <w:rFonts w:eastAsia="Calibri"/>
                        <w:bCs/>
                        <w:iCs/>
                        <w:sz w:val="22"/>
                        <w:szCs w:val="24"/>
                      </w:rPr>
                      <w:t>R-11-02-01 Gyventojų aktyvumas vietos savivaldos rinkimuose (proc.)</w:t>
                    </w:r>
                  </w:p>
                  <w:p>
                    <w:pPr>
                      <w:rPr>
                        <w:sz w:val="10"/>
                        <w:szCs w:val="10"/>
                      </w:rPr>
                    </w:pPr>
                  </w:p>
                  <w:p>
                    <w:pPr>
                      <w:jc w:val="both"/>
                      <w:rPr>
                        <w:rFonts w:eastAsia="Calibri"/>
                        <w:b/>
                        <w:iCs/>
                        <w:sz w:val="22"/>
                        <w:szCs w:val="24"/>
                      </w:rPr>
                    </w:pPr>
                    <w:r>
                      <w:rPr>
                        <w:rFonts w:eastAsia="Calibri"/>
                        <w:b/>
                        <w:iCs/>
                        <w:sz w:val="22"/>
                        <w:szCs w:val="24"/>
                      </w:rPr>
                      <w:t>12-01 Stiprinti miesto kultūrinio gyvenimo aktyvumą</w:t>
                    </w:r>
                  </w:p>
                  <w:p>
                    <w:pPr>
                      <w:rPr>
                        <w:sz w:val="10"/>
                        <w:szCs w:val="10"/>
                      </w:rPr>
                    </w:pPr>
                  </w:p>
                  <w:p>
                    <w:pPr>
                      <w:ind w:left="720" w:hanging="360"/>
                      <w:jc w:val="both"/>
                      <w:rPr>
                        <w:rFonts w:eastAsia="Calibri"/>
                        <w:bCs/>
                        <w:iCs/>
                        <w:sz w:val="22"/>
                        <w:szCs w:val="24"/>
                      </w:rPr>
                    </w:pPr>
                    <w:r>
                      <w:rPr>
                        <w:rFonts w:ascii="Arial" w:eastAsia="Calibri" w:hAnsi="Arial"/>
                        <w:bCs/>
                        <w:iCs/>
                        <w:color w:val="FDB515"/>
                        <w:sz w:val="22"/>
                        <w:szCs w:val="24"/>
                      </w:rPr>
                      <w:t>►</w:t>
                      <w:tab/>
                    </w:r>
                    <w:r>
                      <w:rPr>
                        <w:rFonts w:eastAsia="Calibri"/>
                        <w:bCs/>
                        <w:iCs/>
                        <w:sz w:val="22"/>
                        <w:szCs w:val="24"/>
                      </w:rPr>
                      <w:t>R-12-01-01Kultūros įstaigų lankytojų skaičius (tūkst. asm.):</w:t>
                    </w:r>
                  </w:p>
                  <w:p>
                    <w:pPr>
                      <w:ind w:left="720"/>
                      <w:jc w:val="both"/>
                      <w:rPr>
                        <w:rFonts w:eastAsia="Calibri"/>
                        <w:bCs/>
                        <w:i/>
                        <w:sz w:val="22"/>
                        <w:szCs w:val="24"/>
                      </w:rPr>
                    </w:pPr>
                    <w:r>
                      <w:rPr>
                        <w:rFonts w:eastAsia="Calibri"/>
                        <w:bCs/>
                        <w:i/>
                        <w:sz w:val="22"/>
                        <w:szCs w:val="24"/>
                      </w:rPr>
                      <w:t>Bibliotekų lankytojų skaičius (tūkst. asm.)</w:t>
                    </w:r>
                  </w:p>
                  <w:p>
                    <w:pPr>
                      <w:ind w:left="720"/>
                      <w:jc w:val="both"/>
                      <w:rPr>
                        <w:rFonts w:eastAsia="Calibri"/>
                        <w:bCs/>
                        <w:i/>
                        <w:sz w:val="22"/>
                        <w:szCs w:val="24"/>
                      </w:rPr>
                    </w:pPr>
                    <w:r>
                      <w:rPr>
                        <w:rFonts w:eastAsia="Calibri"/>
                        <w:bCs/>
                        <w:i/>
                        <w:sz w:val="22"/>
                        <w:szCs w:val="24"/>
                      </w:rPr>
                      <w:t>Muziejų lankytojų skaičius (tūkst. asm.)</w:t>
                    </w:r>
                  </w:p>
                  <w:p>
                    <w:pPr>
                      <w:ind w:left="720"/>
                      <w:jc w:val="both"/>
                      <w:rPr>
                        <w:rFonts w:eastAsia="Calibri"/>
                        <w:bCs/>
                        <w:i/>
                        <w:sz w:val="22"/>
                        <w:szCs w:val="24"/>
                      </w:rPr>
                    </w:pPr>
                    <w:r>
                      <w:rPr>
                        <w:rFonts w:eastAsia="Calibri"/>
                        <w:bCs/>
                        <w:i/>
                        <w:sz w:val="22"/>
                        <w:szCs w:val="24"/>
                      </w:rPr>
                      <w:t>Galerijų lankytojų skaičius (tūkst. asm.)</w:t>
                    </w:r>
                  </w:p>
                  <w:p>
                    <w:pPr>
                      <w:ind w:left="720"/>
                      <w:jc w:val="both"/>
                      <w:rPr>
                        <w:rFonts w:eastAsia="Calibri"/>
                        <w:bCs/>
                        <w:i/>
                        <w:sz w:val="22"/>
                        <w:szCs w:val="24"/>
                      </w:rPr>
                    </w:pPr>
                    <w:r>
                      <w:rPr>
                        <w:rFonts w:eastAsia="Calibri"/>
                        <w:bCs/>
                        <w:i/>
                        <w:sz w:val="22"/>
                        <w:szCs w:val="24"/>
                      </w:rPr>
                      <w:t>Teatrų lankytojų skaičius (tūkst. asm.)</w:t>
                    </w:r>
                  </w:p>
                  <w:p>
                    <w:pPr>
                      <w:ind w:left="720"/>
                      <w:jc w:val="both"/>
                      <w:rPr>
                        <w:rFonts w:eastAsia="Calibri"/>
                        <w:bCs/>
                        <w:i/>
                        <w:sz w:val="22"/>
                        <w:szCs w:val="24"/>
                      </w:rPr>
                    </w:pPr>
                    <w:r>
                      <w:rPr>
                        <w:rFonts w:eastAsia="Calibri"/>
                        <w:bCs/>
                        <w:i/>
                        <w:sz w:val="22"/>
                        <w:szCs w:val="24"/>
                      </w:rPr>
                      <w:t>Koncertų salių lankytojų skaičius (tūkst. asm.)</w:t>
                    </w:r>
                  </w:p>
                  <w:p>
                    <w:pPr>
                      <w:ind w:left="720"/>
                      <w:jc w:val="both"/>
                      <w:rPr>
                        <w:rFonts w:eastAsia="Calibri"/>
                        <w:bCs/>
                        <w:i/>
                        <w:sz w:val="22"/>
                        <w:szCs w:val="24"/>
                      </w:rPr>
                    </w:pPr>
                    <w:r>
                      <w:rPr>
                        <w:rFonts w:eastAsia="Calibri"/>
                        <w:bCs/>
                        <w:i/>
                        <w:sz w:val="22"/>
                        <w:szCs w:val="24"/>
                      </w:rPr>
                      <w:t xml:space="preserve">Kultūros centrų lankytojų skaičius (tūkst. asm.) </w:t>
                    </w:r>
                  </w:p>
                  <w:p>
                    <w:pPr>
                      <w:ind w:left="720" w:hanging="360"/>
                      <w:jc w:val="both"/>
                      <w:rPr>
                        <w:rFonts w:eastAsia="Calibri"/>
                        <w:bCs/>
                        <w:iCs/>
                        <w:sz w:val="22"/>
                        <w:szCs w:val="24"/>
                      </w:rPr>
                    </w:pPr>
                    <w:r>
                      <w:rPr>
                        <w:rFonts w:ascii="Arial" w:eastAsia="Calibri" w:hAnsi="Arial"/>
                        <w:bCs/>
                        <w:iCs/>
                        <w:color w:val="FDB515"/>
                        <w:sz w:val="22"/>
                        <w:szCs w:val="24"/>
                      </w:rPr>
                      <w:t>►</w:t>
                      <w:tab/>
                    </w:r>
                    <w:r>
                      <w:rPr>
                        <w:rFonts w:eastAsia="Calibri"/>
                        <w:bCs/>
                        <w:iCs/>
                        <w:sz w:val="22"/>
                        <w:szCs w:val="24"/>
                      </w:rPr>
                      <w:t>R-12-01-02 Naujų užsienio miestų (ir šalių), įtrauktų į ilgalaikę kultūros partnerystę (trunkančią ilgiau kaip 1 m.), skaičius (vnt.)</w:t>
                    </w:r>
                  </w:p>
                  <w:p>
                    <w:pPr>
                      <w:rPr>
                        <w:sz w:val="10"/>
                        <w:szCs w:val="10"/>
                      </w:rPr>
                    </w:pPr>
                  </w:p>
                  <w:p>
                    <w:pPr>
                      <w:jc w:val="both"/>
                      <w:rPr>
                        <w:rFonts w:eastAsia="Calibri"/>
                        <w:b/>
                        <w:iCs/>
                        <w:sz w:val="22"/>
                        <w:szCs w:val="24"/>
                      </w:rPr>
                    </w:pPr>
                    <w:r>
                      <w:rPr>
                        <w:rFonts w:eastAsia="Calibri"/>
                        <w:b/>
                        <w:iCs/>
                        <w:sz w:val="22"/>
                        <w:szCs w:val="24"/>
                      </w:rPr>
                      <w:t>12-02 Išvystyti gyventojų poreikius atitinkančią kultūros įstaigų infrastruktūrą</w:t>
                    </w:r>
                  </w:p>
                  <w:p>
                    <w:pPr>
                      <w:rPr>
                        <w:sz w:val="10"/>
                        <w:szCs w:val="10"/>
                      </w:rPr>
                    </w:pPr>
                  </w:p>
                  <w:p>
                    <w:pPr>
                      <w:ind w:left="720" w:hanging="360"/>
                      <w:jc w:val="both"/>
                      <w:rPr>
                        <w:rFonts w:eastAsia="Calibri"/>
                        <w:bCs/>
                        <w:iCs/>
                        <w:sz w:val="22"/>
                        <w:szCs w:val="24"/>
                      </w:rPr>
                    </w:pPr>
                    <w:r>
                      <w:rPr>
                        <w:rFonts w:ascii="Arial" w:eastAsia="Calibri" w:hAnsi="Arial"/>
                        <w:bCs/>
                        <w:iCs/>
                        <w:color w:val="FDB515"/>
                        <w:sz w:val="22"/>
                        <w:szCs w:val="24"/>
                      </w:rPr>
                      <w:t>►</w:t>
                      <w:tab/>
                    </w:r>
                    <w:r>
                      <w:rPr>
                        <w:rFonts w:eastAsia="Calibri"/>
                        <w:bCs/>
                        <w:iCs/>
                        <w:sz w:val="22"/>
                        <w:szCs w:val="24"/>
                      </w:rPr>
                      <w:t>R-12-02-01 Kultūros įstaigų pastatų, kurie yra geros būklės</w:t>
                    </w:r>
                    <w:r>
                      <w:rPr>
                        <w:rFonts w:eastAsia="Calibri"/>
                        <w:bCs/>
                        <w:iCs/>
                        <w:sz w:val="22"/>
                        <w:szCs w:val="24"/>
                        <w:vertAlign w:val="superscript"/>
                      </w:rPr>
                      <w:footnoteReference w:id="2"/>
                    </w:r>
                    <w:r>
                      <w:rPr>
                        <w:rFonts w:eastAsia="Calibri"/>
                        <w:bCs/>
                        <w:iCs/>
                        <w:sz w:val="22"/>
                        <w:szCs w:val="24"/>
                      </w:rPr>
                      <w:t>, skaičius nuo visų kultūros įstaigų pastatų (vnt. / vnt.)</w:t>
                    </w:r>
                  </w:p>
                  <w:p>
                    <w:pPr>
                      <w:rPr>
                        <w:sz w:val="10"/>
                        <w:szCs w:val="10"/>
                      </w:rPr>
                    </w:pPr>
                  </w:p>
                  <w:p>
                    <w:pPr>
                      <w:jc w:val="both"/>
                      <w:rPr>
                        <w:rFonts w:eastAsia="Calibri"/>
                        <w:b/>
                        <w:iCs/>
                        <w:sz w:val="22"/>
                        <w:szCs w:val="24"/>
                      </w:rPr>
                    </w:pPr>
                    <w:r>
                      <w:rPr>
                        <w:rFonts w:eastAsia="Calibri"/>
                        <w:b/>
                        <w:iCs/>
                        <w:sz w:val="22"/>
                        <w:szCs w:val="24"/>
                      </w:rPr>
                      <w:t>13-01 Mažinti aplinkos taršą ir kurti miesto ekosistemą, siekiant didinti atsparumą klimato kaitos padariniams</w:t>
                    </w:r>
                  </w:p>
                  <w:p>
                    <w:pPr>
                      <w:rPr>
                        <w:sz w:val="10"/>
                        <w:szCs w:val="10"/>
                      </w:rPr>
                    </w:pPr>
                  </w:p>
                  <w:p>
                    <w:pPr>
                      <w:ind w:left="720" w:hanging="360"/>
                      <w:jc w:val="both"/>
                      <w:rPr>
                        <w:rFonts w:eastAsia="Calibri"/>
                        <w:bCs/>
                        <w:iCs/>
                        <w:sz w:val="22"/>
                        <w:szCs w:val="24"/>
                      </w:rPr>
                    </w:pPr>
                    <w:r>
                      <w:rPr>
                        <w:rFonts w:ascii="Arial" w:eastAsia="Calibri" w:hAnsi="Arial"/>
                        <w:bCs/>
                        <w:iCs/>
                        <w:color w:val="FDB515"/>
                        <w:sz w:val="22"/>
                        <w:szCs w:val="24"/>
                      </w:rPr>
                      <w:t>►</w:t>
                      <w:tab/>
                    </w:r>
                    <w:r>
                      <w:rPr>
                        <w:rFonts w:eastAsia="Calibri"/>
                        <w:bCs/>
                        <w:iCs/>
                        <w:sz w:val="22"/>
                        <w:szCs w:val="24"/>
                      </w:rPr>
                      <w:t>R-13-01-01 Atsinaujinančių išteklių dalis pagal savivaldybės energijos balansą (proc.)</w:t>
                    </w:r>
                  </w:p>
                  <w:p>
                    <w:pPr>
                      <w:ind w:left="720" w:hanging="360"/>
                      <w:jc w:val="both"/>
                      <w:rPr>
                        <w:rFonts w:eastAsia="Calibri"/>
                        <w:bCs/>
                        <w:iCs/>
                        <w:sz w:val="22"/>
                        <w:szCs w:val="24"/>
                      </w:rPr>
                    </w:pPr>
                    <w:r>
                      <w:rPr>
                        <w:rFonts w:ascii="Arial" w:eastAsia="Calibri" w:hAnsi="Arial"/>
                        <w:bCs/>
                        <w:iCs/>
                        <w:color w:val="FDB515"/>
                        <w:sz w:val="22"/>
                        <w:szCs w:val="24"/>
                      </w:rPr>
                      <w:t>►</w:t>
                      <w:tab/>
                    </w:r>
                    <w:r>
                      <w:rPr>
                        <w:rFonts w:eastAsia="Calibri"/>
                        <w:bCs/>
                        <w:iCs/>
                        <w:sz w:val="22"/>
                        <w:szCs w:val="24"/>
                      </w:rPr>
                      <w:t>R-13-01-02 Gyventojų dalis, kurių būstai veikiami padidinto triukšmo lygio, nuo visų gyventojų skaičiaus (proc.)</w:t>
                    </w:r>
                  </w:p>
                  <w:p>
                    <w:pPr>
                      <w:ind w:left="720" w:hanging="360"/>
                      <w:jc w:val="both"/>
                      <w:rPr>
                        <w:rFonts w:eastAsia="Calibri"/>
                        <w:bCs/>
                        <w:iCs/>
                        <w:sz w:val="22"/>
                        <w:szCs w:val="24"/>
                      </w:rPr>
                    </w:pPr>
                    <w:r>
                      <w:rPr>
                        <w:rFonts w:ascii="Arial" w:eastAsia="Calibri" w:hAnsi="Arial"/>
                        <w:bCs/>
                        <w:iCs/>
                        <w:color w:val="FDB515"/>
                        <w:sz w:val="22"/>
                        <w:szCs w:val="24"/>
                      </w:rPr>
                      <w:t>►</w:t>
                      <w:tab/>
                    </w:r>
                    <w:r>
                      <w:rPr>
                        <w:rFonts w:eastAsia="Calibri"/>
                        <w:bCs/>
                        <w:iCs/>
                        <w:sz w:val="22"/>
                        <w:szCs w:val="24"/>
                      </w:rPr>
                      <w:t>R-13-01-03 Kietųjų dalelių skaičius (μg/m³)</w:t>
                    </w:r>
                  </w:p>
                  <w:p>
                    <w:pPr>
                      <w:ind w:left="720" w:hanging="360"/>
                      <w:jc w:val="both"/>
                      <w:rPr>
                        <w:rFonts w:eastAsia="Calibri"/>
                        <w:bCs/>
                        <w:iCs/>
                        <w:sz w:val="22"/>
                        <w:szCs w:val="24"/>
                      </w:rPr>
                    </w:pPr>
                    <w:r>
                      <w:rPr>
                        <w:rFonts w:ascii="Arial" w:eastAsia="Calibri" w:hAnsi="Arial"/>
                        <w:bCs/>
                        <w:iCs/>
                        <w:color w:val="FDB515"/>
                        <w:sz w:val="22"/>
                        <w:szCs w:val="24"/>
                      </w:rPr>
                      <w:t>►</w:t>
                      <w:tab/>
                    </w:r>
                    <w:r>
                      <w:rPr>
                        <w:rFonts w:eastAsia="Calibri"/>
                        <w:bCs/>
                        <w:iCs/>
                        <w:sz w:val="22"/>
                        <w:szCs w:val="24"/>
                      </w:rPr>
                      <w:t>R-11-01-04 Bendras viešųjų atskirųjų želdynų plotas, tenkantis vienam miesto gyventojui (m²)</w:t>
                    </w:r>
                  </w:p>
                  <w:p>
                    <w:pPr>
                      <w:rPr>
                        <w:sz w:val="10"/>
                        <w:szCs w:val="10"/>
                      </w:rPr>
                    </w:pPr>
                  </w:p>
                  <w:p>
                    <w:pPr>
                      <w:jc w:val="both"/>
                      <w:rPr>
                        <w:rFonts w:eastAsia="Calibri"/>
                        <w:b/>
                        <w:iCs/>
                        <w:sz w:val="22"/>
                        <w:szCs w:val="24"/>
                      </w:rPr>
                    </w:pPr>
                    <w:r>
                      <w:rPr>
                        <w:rFonts w:eastAsia="Calibri"/>
                        <w:b/>
                        <w:iCs/>
                        <w:sz w:val="22"/>
                        <w:szCs w:val="24"/>
                      </w:rPr>
                      <w:t>13-02 Taikyti žiedinės ekonomikos principus komunalinių atliekų tvarkyme</w:t>
                    </w:r>
                  </w:p>
                  <w:p>
                    <w:pPr>
                      <w:rPr>
                        <w:sz w:val="10"/>
                        <w:szCs w:val="10"/>
                      </w:rPr>
                    </w:pPr>
                  </w:p>
                  <w:p>
                    <w:pPr>
                      <w:ind w:left="720" w:hanging="360"/>
                      <w:jc w:val="both"/>
                      <w:rPr>
                        <w:rFonts w:eastAsia="Calibri"/>
                        <w:bCs/>
                        <w:iCs/>
                        <w:sz w:val="22"/>
                        <w:szCs w:val="24"/>
                      </w:rPr>
                    </w:pPr>
                    <w:r>
                      <w:rPr>
                        <w:rFonts w:ascii="Arial" w:eastAsia="Calibri" w:hAnsi="Arial"/>
                        <w:bCs/>
                        <w:iCs/>
                        <w:color w:val="FDB515"/>
                        <w:sz w:val="22"/>
                        <w:szCs w:val="24"/>
                      </w:rPr>
                      <w:t>►</w:t>
                      <w:tab/>
                    </w:r>
                    <w:r>
                      <w:rPr>
                        <w:rFonts w:eastAsia="Calibri"/>
                        <w:bCs/>
                        <w:iCs/>
                        <w:sz w:val="22"/>
                        <w:szCs w:val="24"/>
                      </w:rPr>
                      <w:t>R-13-02-01 Sąvartynuose šalinamų komunalinių atliekų dalis nuo visų susidariusių komunalinių atliekų (proc.)</w:t>
                    </w:r>
                  </w:p>
                  <w:p>
                    <w:pPr>
                      <w:ind w:left="720" w:hanging="360"/>
                      <w:jc w:val="both"/>
                      <w:rPr>
                        <w:rFonts w:eastAsia="Calibri"/>
                        <w:bCs/>
                        <w:iCs/>
                        <w:sz w:val="22"/>
                        <w:szCs w:val="24"/>
                      </w:rPr>
                    </w:pPr>
                    <w:r>
                      <w:rPr>
                        <w:rFonts w:ascii="Arial" w:eastAsia="Calibri" w:hAnsi="Arial"/>
                        <w:bCs/>
                        <w:iCs/>
                        <w:color w:val="FDB515"/>
                        <w:sz w:val="22"/>
                        <w:szCs w:val="24"/>
                      </w:rPr>
                      <w:t>►</w:t>
                      <w:tab/>
                    </w:r>
                    <w:r>
                      <w:rPr>
                        <w:rFonts w:eastAsia="Calibri"/>
                        <w:bCs/>
                        <w:iCs/>
                        <w:sz w:val="22"/>
                        <w:szCs w:val="24"/>
                      </w:rPr>
                      <w:t>R-13-02-02 Atliekų, tenkančių vienam gyventojui, kiekis (kg/1 gyv.)</w:t>
                    </w:r>
                  </w:p>
                  <w:p>
                    <w:pPr>
                      <w:rPr>
                        <w:sz w:val="10"/>
                        <w:szCs w:val="10"/>
                      </w:rPr>
                    </w:pPr>
                  </w:p>
                  <w:p>
                    <w:pPr>
                      <w:jc w:val="both"/>
                      <w:rPr>
                        <w:rFonts w:eastAsia="Calibri"/>
                        <w:b/>
                        <w:iCs/>
                        <w:sz w:val="22"/>
                        <w:szCs w:val="24"/>
                      </w:rPr>
                    </w:pPr>
                    <w:r>
                      <w:rPr>
                        <w:rFonts w:eastAsia="Calibri"/>
                        <w:b/>
                        <w:iCs/>
                        <w:sz w:val="22"/>
                        <w:szCs w:val="24"/>
                      </w:rPr>
                      <w:t>14-01 Kompleksiškai planuoti gyvybingą ir nuoseklią miesto struktūrą</w:t>
                    </w:r>
                  </w:p>
                  <w:p>
                    <w:pPr>
                      <w:rPr>
                        <w:sz w:val="10"/>
                        <w:szCs w:val="10"/>
                      </w:rPr>
                    </w:pPr>
                  </w:p>
                  <w:p>
                    <w:pPr>
                      <w:ind w:left="720" w:hanging="360"/>
                      <w:jc w:val="both"/>
                      <w:rPr>
                        <w:rFonts w:eastAsia="Calibri"/>
                        <w:bCs/>
                        <w:iCs/>
                        <w:sz w:val="22"/>
                        <w:szCs w:val="24"/>
                      </w:rPr>
                    </w:pPr>
                    <w:r>
                      <w:rPr>
                        <w:rFonts w:ascii="Arial" w:eastAsia="Calibri" w:hAnsi="Arial"/>
                        <w:bCs/>
                        <w:iCs/>
                        <w:color w:val="FDB515"/>
                        <w:sz w:val="22"/>
                        <w:szCs w:val="24"/>
                      </w:rPr>
                      <w:t>►</w:t>
                      <w:tab/>
                    </w:r>
                    <w:r>
                      <w:rPr>
                        <w:rFonts w:eastAsia="Calibri"/>
                        <w:bCs/>
                        <w:iCs/>
                        <w:sz w:val="22"/>
                        <w:szCs w:val="24"/>
                      </w:rPr>
                      <w:t>R-14-01-01 Kompleksiniais teritorijų planavimo dokumentais naujai suplanuotų teritorijų bendras plotas, palyginti su bendru miesto urbanizuotų teritorijų plotu (proc.)</w:t>
                    </w:r>
                  </w:p>
                  <w:p>
                    <w:pPr>
                      <w:rPr>
                        <w:sz w:val="10"/>
                        <w:szCs w:val="10"/>
                      </w:rPr>
                    </w:pPr>
                  </w:p>
                  <w:p>
                    <w:pPr>
                      <w:jc w:val="both"/>
                      <w:rPr>
                        <w:rFonts w:eastAsia="Calibri"/>
                        <w:b/>
                        <w:iCs/>
                        <w:sz w:val="22"/>
                        <w:szCs w:val="24"/>
                      </w:rPr>
                    </w:pPr>
                    <w:r>
                      <w:rPr>
                        <w:rFonts w:eastAsia="Calibri"/>
                        <w:b/>
                        <w:iCs/>
                        <w:sz w:val="22"/>
                        <w:szCs w:val="24"/>
                      </w:rPr>
                      <w:t>14-02 Formuoti darnias miesto jungtis, užtikrinančias tvarų ir saugų judėjimą mieste</w:t>
                    </w:r>
                  </w:p>
                  <w:p>
                    <w:pPr>
                      <w:rPr>
                        <w:sz w:val="10"/>
                        <w:szCs w:val="10"/>
                      </w:rPr>
                    </w:pPr>
                  </w:p>
                  <w:p>
                    <w:pPr>
                      <w:ind w:left="720" w:hanging="360"/>
                      <w:jc w:val="both"/>
                      <w:rPr>
                        <w:rFonts w:eastAsia="Calibri"/>
                        <w:bCs/>
                        <w:iCs/>
                        <w:sz w:val="22"/>
                        <w:szCs w:val="24"/>
                      </w:rPr>
                    </w:pPr>
                    <w:r>
                      <w:rPr>
                        <w:rFonts w:ascii="Arial" w:eastAsia="Calibri" w:hAnsi="Arial"/>
                        <w:bCs/>
                        <w:iCs/>
                        <w:color w:val="FDB515"/>
                        <w:sz w:val="22"/>
                        <w:szCs w:val="24"/>
                      </w:rPr>
                      <w:t>►</w:t>
                      <w:tab/>
                    </w:r>
                    <w:r>
                      <w:rPr>
                        <w:rFonts w:eastAsia="Calibri"/>
                        <w:bCs/>
                        <w:iCs/>
                        <w:sz w:val="22"/>
                        <w:szCs w:val="24"/>
                      </w:rPr>
                      <w:t>R-14-02-01 Neasfaltuotų gatvių dalis nuo viso gatvių tinklo (proc.)</w:t>
                    </w:r>
                  </w:p>
                  <w:p>
                    <w:pPr>
                      <w:ind w:left="720" w:hanging="360"/>
                      <w:jc w:val="both"/>
                      <w:rPr>
                        <w:rFonts w:eastAsia="Calibri"/>
                        <w:bCs/>
                        <w:iCs/>
                        <w:sz w:val="22"/>
                        <w:szCs w:val="24"/>
                      </w:rPr>
                    </w:pPr>
                    <w:r>
                      <w:rPr>
                        <w:rFonts w:ascii="Arial" w:eastAsia="Calibri" w:hAnsi="Arial"/>
                        <w:bCs/>
                        <w:iCs/>
                        <w:color w:val="FDB515"/>
                        <w:sz w:val="22"/>
                        <w:szCs w:val="24"/>
                      </w:rPr>
                      <w:t>►</w:t>
                      <w:tab/>
                    </w:r>
                    <w:r>
                      <w:rPr>
                        <w:rFonts w:eastAsia="Calibri"/>
                        <w:bCs/>
                        <w:iCs/>
                        <w:sz w:val="22"/>
                        <w:szCs w:val="24"/>
                      </w:rPr>
                      <w:t>R-14-02-02 Atnaujintų pėsčiųjų takų dalis nuo bendro takų ilgio (proc.)</w:t>
                    </w:r>
                  </w:p>
                  <w:p>
                    <w:pPr>
                      <w:ind w:left="720" w:hanging="360"/>
                      <w:jc w:val="both"/>
                      <w:rPr>
                        <w:rFonts w:eastAsia="Calibri"/>
                        <w:bCs/>
                        <w:iCs/>
                        <w:sz w:val="22"/>
                        <w:szCs w:val="24"/>
                      </w:rPr>
                    </w:pPr>
                    <w:r>
                      <w:rPr>
                        <w:rFonts w:ascii="Arial" w:eastAsia="Calibri" w:hAnsi="Arial"/>
                        <w:bCs/>
                        <w:iCs/>
                        <w:color w:val="FDB515"/>
                        <w:sz w:val="22"/>
                        <w:szCs w:val="24"/>
                      </w:rPr>
                      <w:t>►</w:t>
                      <w:tab/>
                    </w:r>
                    <w:r>
                      <w:rPr>
                        <w:rFonts w:eastAsia="Calibri"/>
                        <w:bCs/>
                        <w:iCs/>
                        <w:sz w:val="22"/>
                        <w:szCs w:val="24"/>
                      </w:rPr>
                      <w:t>R-14-02-03 Dviračių takų ilgis metų pabaigoje, tenkantis 1 tūkst. gyventojų (km)</w:t>
                    </w:r>
                  </w:p>
                  <w:p>
                    <w:pPr>
                      <w:ind w:left="720" w:hanging="360"/>
                      <w:jc w:val="both"/>
                      <w:rPr>
                        <w:rFonts w:eastAsia="Calibri"/>
                        <w:bCs/>
                        <w:iCs/>
                        <w:sz w:val="22"/>
                        <w:szCs w:val="24"/>
                      </w:rPr>
                    </w:pPr>
                    <w:r>
                      <w:rPr>
                        <w:rFonts w:ascii="Arial" w:eastAsia="Calibri" w:hAnsi="Arial"/>
                        <w:bCs/>
                        <w:iCs/>
                        <w:color w:val="FDB515"/>
                        <w:sz w:val="22"/>
                        <w:szCs w:val="24"/>
                      </w:rPr>
                      <w:t>►</w:t>
                      <w:tab/>
                    </w:r>
                    <w:r>
                      <w:rPr>
                        <w:rFonts w:eastAsia="Calibri"/>
                        <w:bCs/>
                        <w:iCs/>
                        <w:sz w:val="22"/>
                        <w:szCs w:val="24"/>
                      </w:rPr>
                      <w:t>R-14-02-0</w:t>
                    </w:r>
                    <w:r>
                      <w:rPr>
                        <w:rFonts w:eastAsia="Calibri"/>
                        <w:bCs/>
                        <w:iCs/>
                        <w:sz w:val="22"/>
                        <w:szCs w:val="24"/>
                        <w:lang w:val="en-US"/>
                      </w:rPr>
                      <w:t>4</w:t>
                    </w:r>
                    <w:r>
                      <w:rPr>
                        <w:rFonts w:eastAsia="Calibri"/>
                        <w:bCs/>
                        <w:iCs/>
                        <w:sz w:val="22"/>
                        <w:szCs w:val="24"/>
                      </w:rPr>
                      <w:t xml:space="preserve"> Modalinis kelionių pasiskirstymas (automobiliu, viešuoju transportu, dviračiais, pėsčiomis, kita) (proc.)</w:t>
                    </w:r>
                  </w:p>
                  <w:p>
                    <w:pPr>
                      <w:ind w:left="720" w:hanging="360"/>
                      <w:jc w:val="both"/>
                      <w:rPr>
                        <w:rFonts w:eastAsia="Calibri"/>
                        <w:bCs/>
                        <w:iCs/>
                        <w:sz w:val="22"/>
                        <w:szCs w:val="24"/>
                      </w:rPr>
                    </w:pPr>
                    <w:r>
                      <w:rPr>
                        <w:rFonts w:ascii="Arial" w:eastAsia="Calibri" w:hAnsi="Arial"/>
                        <w:bCs/>
                        <w:iCs/>
                        <w:color w:val="FDB515"/>
                        <w:sz w:val="22"/>
                        <w:szCs w:val="24"/>
                      </w:rPr>
                      <w:t>►</w:t>
                      <w:tab/>
                    </w:r>
                    <w:r>
                      <w:rPr>
                        <w:rFonts w:eastAsia="Calibri"/>
                        <w:bCs/>
                        <w:iCs/>
                        <w:sz w:val="22"/>
                        <w:szCs w:val="24"/>
                      </w:rPr>
                      <w:t>R-14-02-05 Vidutiniškai vienam gyventojui tenkančių kelionių autobusais skaičius (tūkst. asm.)</w:t>
                    </w:r>
                  </w:p>
                  <w:p>
                    <w:pPr>
                      <w:rPr>
                        <w:sz w:val="10"/>
                        <w:szCs w:val="10"/>
                      </w:rPr>
                    </w:pPr>
                  </w:p>
                  <w:p>
                    <w:pPr>
                      <w:jc w:val="both"/>
                      <w:rPr>
                        <w:rFonts w:eastAsia="Calibri"/>
                        <w:b/>
                        <w:iCs/>
                        <w:sz w:val="22"/>
                        <w:szCs w:val="24"/>
                      </w:rPr>
                    </w:pPr>
                    <w:r>
                      <w:rPr>
                        <w:rFonts w:eastAsia="Calibri"/>
                        <w:b/>
                        <w:iCs/>
                        <w:sz w:val="22"/>
                        <w:szCs w:val="24"/>
                      </w:rPr>
                      <w:t>14-03 Užtikrinti tvarią, kokybišką miesto infrastruktūros plėtrą</w:t>
                    </w:r>
                  </w:p>
                  <w:p>
                    <w:pPr>
                      <w:rPr>
                        <w:sz w:val="10"/>
                        <w:szCs w:val="10"/>
                      </w:rPr>
                    </w:pPr>
                  </w:p>
                  <w:p>
                    <w:pPr>
                      <w:ind w:left="720" w:hanging="360"/>
                      <w:jc w:val="both"/>
                      <w:rPr>
                        <w:rFonts w:eastAsia="Calibri"/>
                        <w:b/>
                        <w:iCs/>
                        <w:sz w:val="22"/>
                        <w:szCs w:val="24"/>
                      </w:rPr>
                    </w:pPr>
                    <w:r>
                      <w:rPr>
                        <w:rFonts w:ascii="Arial" w:eastAsia="Calibri" w:hAnsi="Arial"/>
                        <w:iCs/>
                        <w:color w:val="FDB515"/>
                        <w:sz w:val="22"/>
                        <w:szCs w:val="24"/>
                      </w:rPr>
                      <w:t>►</w:t>
                      <w:tab/>
                    </w:r>
                    <w:r>
                      <w:rPr>
                        <w:rFonts w:eastAsia="Calibri"/>
                        <w:bCs/>
                        <w:iCs/>
                        <w:sz w:val="22"/>
                        <w:szCs w:val="24"/>
                      </w:rPr>
                      <w:t>R-14-03-01 Renovuotų daugiabučių dalis nuo visų renovuotinų daugiabučių (proc.)</w:t>
                    </w:r>
                  </w:p>
                  <w:p>
                    <w:pPr>
                      <w:ind w:left="720" w:hanging="360"/>
                      <w:jc w:val="both"/>
                      <w:rPr>
                        <w:rFonts w:eastAsia="Calibri"/>
                        <w:bCs/>
                        <w:iCs/>
                        <w:sz w:val="22"/>
                        <w:szCs w:val="24"/>
                      </w:rPr>
                    </w:pPr>
                    <w:r>
                      <w:rPr>
                        <w:rFonts w:ascii="Arial" w:eastAsia="Calibri" w:hAnsi="Arial"/>
                        <w:bCs/>
                        <w:iCs/>
                        <w:color w:val="FDB515"/>
                        <w:sz w:val="22"/>
                        <w:szCs w:val="24"/>
                      </w:rPr>
                      <w:t>►</w:t>
                      <w:tab/>
                    </w:r>
                    <w:r>
                      <w:rPr>
                        <w:rFonts w:eastAsia="Calibri"/>
                        <w:bCs/>
                        <w:iCs/>
                        <w:sz w:val="22"/>
                        <w:szCs w:val="24"/>
                      </w:rPr>
                      <w:t>R-14-03-02 Naujai suplanuotų / atnaujintų viešųjų erdvių plotas 1 gyventojui (m²)</w:t>
                    </w:r>
                  </w:p>
                  <w:p>
                    <w:pPr>
                      <w:rPr>
                        <w:sz w:val="10"/>
                        <w:szCs w:val="10"/>
                      </w:rPr>
                    </w:pPr>
                  </w:p>
                  <w:p>
                    <w:pPr>
                      <w:jc w:val="both"/>
                      <w:rPr>
                        <w:rFonts w:eastAsia="Calibri"/>
                        <w:b/>
                        <w:iCs/>
                        <w:sz w:val="22"/>
                        <w:szCs w:val="24"/>
                      </w:rPr>
                    </w:pPr>
                    <w:r>
                      <w:rPr>
                        <w:rFonts w:eastAsia="Calibri"/>
                        <w:b/>
                        <w:iCs/>
                        <w:sz w:val="22"/>
                        <w:szCs w:val="24"/>
                      </w:rPr>
                      <w:t>15-01 Pagerinti investicijų pritraukimo ir verslo plėtros sąlygas</w:t>
                    </w:r>
                  </w:p>
                  <w:p>
                    <w:pPr>
                      <w:rPr>
                        <w:sz w:val="10"/>
                        <w:szCs w:val="10"/>
                      </w:rPr>
                    </w:pPr>
                  </w:p>
                  <w:p>
                    <w:pPr>
                      <w:ind w:left="720" w:hanging="360"/>
                      <w:jc w:val="both"/>
                      <w:rPr>
                        <w:rFonts w:eastAsia="Calibri"/>
                        <w:bCs/>
                        <w:iCs/>
                        <w:sz w:val="22"/>
                        <w:szCs w:val="24"/>
                      </w:rPr>
                    </w:pPr>
                    <w:r>
                      <w:rPr>
                        <w:rFonts w:ascii="Arial" w:eastAsia="Calibri" w:hAnsi="Arial"/>
                        <w:bCs/>
                        <w:iCs/>
                        <w:color w:val="FDB515"/>
                        <w:sz w:val="22"/>
                        <w:szCs w:val="24"/>
                      </w:rPr>
                      <w:t>►</w:t>
                      <w:tab/>
                    </w:r>
                    <w:r>
                      <w:rPr>
                        <w:rFonts w:eastAsia="Calibri"/>
                        <w:bCs/>
                        <w:iCs/>
                        <w:sz w:val="22"/>
                        <w:szCs w:val="24"/>
                      </w:rPr>
                      <w:t>R-15-01-01 Tiesioginės užsienio investicijos (TUI), tenkančios 1 gyventojui (santykis su LT vidurkiu) (Eur)</w:t>
                    </w:r>
                  </w:p>
                  <w:p>
                    <w:pPr>
                      <w:ind w:left="720" w:hanging="360"/>
                      <w:jc w:val="both"/>
                      <w:rPr>
                        <w:rFonts w:eastAsia="Calibri"/>
                        <w:bCs/>
                        <w:iCs/>
                        <w:sz w:val="22"/>
                        <w:szCs w:val="24"/>
                      </w:rPr>
                    </w:pPr>
                    <w:r>
                      <w:rPr>
                        <w:rFonts w:ascii="Arial" w:eastAsia="Calibri" w:hAnsi="Arial"/>
                        <w:bCs/>
                        <w:iCs/>
                        <w:color w:val="FDB515"/>
                        <w:sz w:val="22"/>
                        <w:szCs w:val="24"/>
                      </w:rPr>
                      <w:t>►</w:t>
                      <w:tab/>
                    </w:r>
                    <w:r>
                      <w:rPr>
                        <w:rFonts w:eastAsia="Calibri"/>
                        <w:bCs/>
                        <w:iCs/>
                        <w:sz w:val="22"/>
                        <w:szCs w:val="24"/>
                      </w:rPr>
                      <w:t>R-15-01-02 Registruotų bedarbių ir darbingo amžiaus gyventojų santykis (proc.)</w:t>
                    </w:r>
                  </w:p>
                  <w:p>
                    <w:pPr>
                      <w:ind w:left="720" w:hanging="360"/>
                      <w:jc w:val="both"/>
                      <w:rPr>
                        <w:rFonts w:eastAsia="Calibri"/>
                        <w:bCs/>
                        <w:iCs/>
                        <w:sz w:val="22"/>
                        <w:szCs w:val="24"/>
                      </w:rPr>
                    </w:pPr>
                    <w:r>
                      <w:rPr>
                        <w:rFonts w:ascii="Arial" w:eastAsia="Calibri" w:hAnsi="Arial"/>
                        <w:bCs/>
                        <w:iCs/>
                        <w:color w:val="FDB515"/>
                        <w:sz w:val="22"/>
                        <w:szCs w:val="24"/>
                      </w:rPr>
                      <w:t>►</w:t>
                      <w:tab/>
                    </w:r>
                    <w:r>
                      <w:rPr>
                        <w:rFonts w:eastAsia="Calibri"/>
                        <w:bCs/>
                        <w:iCs/>
                        <w:sz w:val="22"/>
                        <w:szCs w:val="24"/>
                      </w:rPr>
                      <w:t>R-15-01-03 Veikiančių įmonių metų pradžioje skaičius, tenkantis 1 tūkst. gyv. (vnt.)</w:t>
                    </w:r>
                  </w:p>
                  <w:p>
                    <w:pPr>
                      <w:rPr>
                        <w:sz w:val="10"/>
                        <w:szCs w:val="10"/>
                      </w:rPr>
                    </w:pPr>
                  </w:p>
                  <w:p>
                    <w:pPr>
                      <w:jc w:val="both"/>
                      <w:rPr>
                        <w:rFonts w:eastAsia="Calibri"/>
                        <w:b/>
                        <w:iCs/>
                        <w:sz w:val="22"/>
                        <w:szCs w:val="24"/>
                      </w:rPr>
                    </w:pPr>
                    <w:r>
                      <w:rPr>
                        <w:rFonts w:eastAsia="Calibri"/>
                        <w:b/>
                        <w:iCs/>
                        <w:sz w:val="22"/>
                        <w:szCs w:val="24"/>
                      </w:rPr>
                      <w:t>15-02 Stiprinti miesto patrauklumą plėtojant turizmo sektorių</w:t>
                    </w:r>
                  </w:p>
                  <w:p>
                    <w:pPr>
                      <w:rPr>
                        <w:sz w:val="10"/>
                        <w:szCs w:val="10"/>
                      </w:rPr>
                    </w:pPr>
                  </w:p>
                  <w:p>
                    <w:pPr>
                      <w:ind w:left="720" w:hanging="360"/>
                      <w:jc w:val="both"/>
                      <w:rPr>
                        <w:rFonts w:eastAsia="Calibri"/>
                        <w:bCs/>
                        <w:iCs/>
                        <w:sz w:val="22"/>
                        <w:szCs w:val="24"/>
                      </w:rPr>
                    </w:pPr>
                    <w:r>
                      <w:rPr>
                        <w:rFonts w:ascii="Arial" w:eastAsia="Calibri" w:hAnsi="Arial"/>
                        <w:bCs/>
                        <w:iCs/>
                        <w:color w:val="FDB515"/>
                        <w:sz w:val="22"/>
                        <w:szCs w:val="24"/>
                      </w:rPr>
                      <w:t>►</w:t>
                      <w:tab/>
                    </w:r>
                    <w:r>
                      <w:rPr>
                        <w:rFonts w:eastAsia="Calibri"/>
                        <w:bCs/>
                        <w:iCs/>
                        <w:sz w:val="22"/>
                        <w:szCs w:val="24"/>
                      </w:rPr>
                      <w:t>R-15-02-01 Turistų informacijos centro lankytojų ir interneto svetainių, socialinių tinklų vartotojų skaičius (tūkst. asm.)</w:t>
                    </w:r>
                  </w:p>
                  <w:p>
                    <w:pPr>
                      <w:ind w:left="720" w:hanging="360"/>
                      <w:jc w:val="both"/>
                      <w:rPr>
                        <w:rFonts w:eastAsia="Calibri"/>
                        <w:bCs/>
                        <w:iCs/>
                        <w:sz w:val="22"/>
                        <w:szCs w:val="24"/>
                      </w:rPr>
                    </w:pPr>
                    <w:r>
                      <w:rPr>
                        <w:rFonts w:ascii="Arial" w:eastAsia="Calibri" w:hAnsi="Arial"/>
                        <w:bCs/>
                        <w:iCs/>
                        <w:color w:val="FDB515"/>
                        <w:sz w:val="22"/>
                        <w:szCs w:val="24"/>
                      </w:rPr>
                      <w:t>►</w:t>
                      <w:tab/>
                    </w:r>
                    <w:r>
                      <w:rPr>
                        <w:rFonts w:eastAsia="Calibri"/>
                        <w:bCs/>
                        <w:iCs/>
                        <w:sz w:val="22"/>
                        <w:szCs w:val="24"/>
                      </w:rPr>
                      <w:t>R-15-02-02 Vietų skaičius apgyvendinimo įstaigose (vnt.)</w:t>
                    </w:r>
                  </w:p>
                  <w:p>
                    <w:pPr>
                      <w:ind w:left="720" w:hanging="360"/>
                      <w:jc w:val="both"/>
                      <w:rPr>
                        <w:rFonts w:eastAsia="Calibri"/>
                        <w:bCs/>
                        <w:iCs/>
                        <w:sz w:val="22"/>
                        <w:szCs w:val="24"/>
                      </w:rPr>
                    </w:pPr>
                    <w:r>
                      <w:rPr>
                        <w:rFonts w:ascii="Arial" w:eastAsia="Calibri" w:hAnsi="Arial"/>
                        <w:bCs/>
                        <w:iCs/>
                        <w:color w:val="FDB515"/>
                        <w:sz w:val="22"/>
                        <w:szCs w:val="24"/>
                      </w:rPr>
                      <w:t>►</w:t>
                      <w:tab/>
                    </w:r>
                    <w:r>
                      <w:rPr>
                        <w:rFonts w:eastAsia="Calibri"/>
                        <w:bCs/>
                        <w:iCs/>
                        <w:sz w:val="22"/>
                        <w:szCs w:val="24"/>
                      </w:rPr>
                      <w:t>R-15-02-03 Teigiamai Šiaulių miesto įvaizdį vertinančių miesto svečių dalis (proc.)</w:t>
                    </w:r>
                  </w:p>
                  <w:p>
                    <w:pPr>
                      <w:rPr>
                        <w:sz w:val="10"/>
                        <w:szCs w:val="10"/>
                      </w:rPr>
                    </w:pPr>
                  </w:p>
                  <w:p>
                    <w:pPr>
                      <w:jc w:val="both"/>
                      <w:rPr>
                        <w:rFonts w:eastAsia="Calibri"/>
                        <w:b/>
                        <w:iCs/>
                        <w:sz w:val="22"/>
                        <w:szCs w:val="24"/>
                      </w:rPr>
                    </w:pPr>
                    <w:r>
                      <w:rPr>
                        <w:rFonts w:eastAsia="Calibri"/>
                        <w:b/>
                        <w:iCs/>
                        <w:sz w:val="22"/>
                        <w:szCs w:val="24"/>
                      </w:rPr>
                      <w:t>15-03 Didinti Šiaulių miesto žinomumą ir teigiamą įvaizdį, stiprinant miesto identitetą ir rinkodarą</w:t>
                    </w:r>
                  </w:p>
                  <w:p>
                    <w:pPr>
                      <w:rPr>
                        <w:sz w:val="10"/>
                        <w:szCs w:val="10"/>
                      </w:rPr>
                    </w:pPr>
                  </w:p>
                  <w:p>
                    <w:pPr>
                      <w:ind w:left="720" w:hanging="360"/>
                      <w:jc w:val="both"/>
                      <w:rPr>
                        <w:rFonts w:eastAsia="Calibri"/>
                        <w:bCs/>
                        <w:iCs/>
                        <w:sz w:val="22"/>
                        <w:szCs w:val="24"/>
                      </w:rPr>
                    </w:pPr>
                    <w:r>
                      <w:rPr>
                        <w:rFonts w:ascii="Arial" w:eastAsia="Calibri" w:hAnsi="Arial"/>
                        <w:bCs/>
                        <w:iCs/>
                        <w:color w:val="FDB515"/>
                        <w:sz w:val="22"/>
                        <w:szCs w:val="24"/>
                      </w:rPr>
                      <w:t>►</w:t>
                      <w:tab/>
                    </w:r>
                    <w:r>
                      <w:rPr>
                        <w:rFonts w:eastAsia="Calibri"/>
                        <w:bCs/>
                        <w:iCs/>
                        <w:sz w:val="22"/>
                        <w:szCs w:val="24"/>
                      </w:rPr>
                      <w:t>R-15-03-01 Bendras svetainės „www.siauliai.lt“ aktyvių vartotojų skaičius (tūkst. vnt.)</w:t>
                    </w:r>
                  </w:p>
                  <w:p>
                    <w:pPr>
                      <w:ind w:left="720" w:hanging="360"/>
                      <w:jc w:val="both"/>
                      <w:rPr>
                        <w:rFonts w:eastAsia="Calibri"/>
                        <w:bCs/>
                        <w:iCs/>
                        <w:sz w:val="22"/>
                        <w:szCs w:val="24"/>
                      </w:rPr>
                    </w:pPr>
                    <w:r>
                      <w:rPr>
                        <w:rFonts w:ascii="Arial" w:eastAsia="Calibri" w:hAnsi="Arial"/>
                        <w:bCs/>
                        <w:iCs/>
                        <w:color w:val="FDB515"/>
                        <w:sz w:val="22"/>
                        <w:szCs w:val="24"/>
                      </w:rPr>
                      <w:t>►</w:t>
                      <w:tab/>
                    </w:r>
                    <w:r>
                      <w:rPr>
                        <w:rFonts w:eastAsia="Calibri"/>
                        <w:bCs/>
                        <w:iCs/>
                        <w:sz w:val="22"/>
                        <w:szCs w:val="24"/>
                      </w:rPr>
                      <w:t>R-15-03-02 Savivaldybės administracijos paskyrų „Facebook“ / „Instagram“ socialiniuose tinkluose stebėtojų skaičius (tūkst. vnt.)</w:t>
                    </w:r>
                  </w:p>
                  <w:p>
                    <w:pPr>
                      <w:ind w:left="720" w:hanging="360"/>
                      <w:jc w:val="both"/>
                      <w:rPr>
                        <w:rFonts w:eastAsia="Calibri"/>
                        <w:bCs/>
                        <w:iCs/>
                        <w:sz w:val="22"/>
                        <w:szCs w:val="24"/>
                      </w:rPr>
                    </w:pPr>
                    <w:r>
                      <w:rPr>
                        <w:rFonts w:ascii="Arial" w:eastAsia="Calibri" w:hAnsi="Arial"/>
                        <w:bCs/>
                        <w:iCs/>
                        <w:color w:val="FDB515"/>
                        <w:sz w:val="22"/>
                        <w:szCs w:val="24"/>
                      </w:rPr>
                      <w:t>►</w:t>
                      <w:tab/>
                    </w:r>
                    <w:r>
                      <w:rPr>
                        <w:rFonts w:eastAsia="Calibri"/>
                        <w:bCs/>
                        <w:iCs/>
                        <w:sz w:val="22"/>
                        <w:szCs w:val="24"/>
                      </w:rPr>
                      <w:t>R-15-03-03 Savivaldybės administracijos „YouTube“ kanalo prenumeratorių skaičius (vnt.)</w:t>
                    </w:r>
                  </w:p>
                  <w:p>
                    <w:pPr>
                      <w:ind w:left="720" w:hanging="360"/>
                      <w:jc w:val="both"/>
                      <w:rPr>
                        <w:rFonts w:eastAsia="Calibri"/>
                        <w:bCs/>
                        <w:iCs/>
                        <w:sz w:val="22"/>
                        <w:szCs w:val="24"/>
                      </w:rPr>
                    </w:pPr>
                    <w:r>
                      <w:rPr>
                        <w:rFonts w:ascii="Arial" w:eastAsia="Calibri" w:hAnsi="Arial"/>
                        <w:bCs/>
                        <w:iCs/>
                        <w:color w:val="FDB515"/>
                        <w:sz w:val="22"/>
                        <w:szCs w:val="24"/>
                      </w:rPr>
                      <w:t>►</w:t>
                      <w:tab/>
                    </w:r>
                    <w:r>
                      <w:rPr>
                        <w:rFonts w:eastAsia="Calibri"/>
                        <w:bCs/>
                        <w:iCs/>
                        <w:sz w:val="22"/>
                        <w:szCs w:val="24"/>
                      </w:rPr>
                      <w:t>R-15-03-04 Teigiamai Šiaulių miesto įvaizdį vertinančių studentų, verslo atstovų, miesto svečių ir gyventojų dalis (proc.)</w:t>
                    </w:r>
                  </w:p>
                  <w:p>
                    <w:pPr>
                      <w:rPr>
                        <w:sz w:val="10"/>
                        <w:szCs w:val="10"/>
                      </w:rPr>
                    </w:pPr>
                  </w:p>
                  <w:p>
                    <w:pPr>
                      <w:jc w:val="both"/>
                      <w:rPr>
                        <w:rFonts w:eastAsia="Calibri"/>
                        <w:b/>
                        <w:iCs/>
                        <w:sz w:val="22"/>
                        <w:szCs w:val="24"/>
                      </w:rPr>
                    </w:pPr>
                    <w:r>
                      <w:rPr>
                        <w:rFonts w:eastAsia="Calibri"/>
                        <w:b/>
                        <w:iCs/>
                        <w:sz w:val="22"/>
                        <w:szCs w:val="24"/>
                      </w:rPr>
                      <w:t xml:space="preserve">16-01 Užtikrinti nuoseklų ir efektyvų socialinių paslaugų teikimą </w:t>
                    </w:r>
                  </w:p>
                  <w:p>
                    <w:pPr>
                      <w:rPr>
                        <w:sz w:val="10"/>
                        <w:szCs w:val="10"/>
                      </w:rPr>
                    </w:pPr>
                  </w:p>
                  <w:p>
                    <w:pPr>
                      <w:ind w:left="720" w:hanging="360"/>
                      <w:jc w:val="both"/>
                      <w:rPr>
                        <w:rFonts w:eastAsia="Calibri"/>
                        <w:bCs/>
                        <w:iCs/>
                        <w:sz w:val="22"/>
                        <w:szCs w:val="24"/>
                      </w:rPr>
                    </w:pPr>
                    <w:r>
                      <w:rPr>
                        <w:rFonts w:ascii="Arial" w:eastAsia="Calibri" w:hAnsi="Arial"/>
                        <w:bCs/>
                        <w:iCs/>
                        <w:color w:val="FDB515"/>
                        <w:sz w:val="22"/>
                        <w:szCs w:val="24"/>
                      </w:rPr>
                      <w:t>►</w:t>
                      <w:tab/>
                    </w:r>
                    <w:r>
                      <w:rPr>
                        <w:rFonts w:eastAsia="Calibri"/>
                        <w:bCs/>
                        <w:iCs/>
                        <w:sz w:val="22"/>
                        <w:szCs w:val="24"/>
                      </w:rPr>
                      <w:t>R-16-01-01 Teikiamų socialinių paslaugų rūšių (bendrųjų socialinių paslaugų, socialinės priežiūros paslaugų, socialinės globos paslaugų) skaičius (vnt.)</w:t>
                    </w:r>
                  </w:p>
                  <w:p>
                    <w:pPr>
                      <w:rPr>
                        <w:sz w:val="10"/>
                        <w:szCs w:val="10"/>
                      </w:rPr>
                    </w:pPr>
                  </w:p>
                  <w:p>
                    <w:pPr>
                      <w:jc w:val="both"/>
                      <w:rPr>
                        <w:rFonts w:eastAsia="Calibri"/>
                        <w:b/>
                        <w:iCs/>
                        <w:sz w:val="22"/>
                        <w:szCs w:val="24"/>
                      </w:rPr>
                    </w:pPr>
                    <w:r>
                      <w:rPr>
                        <w:rFonts w:eastAsia="Calibri"/>
                        <w:b/>
                        <w:iCs/>
                        <w:sz w:val="22"/>
                        <w:szCs w:val="24"/>
                      </w:rPr>
                      <w:t>16-02 Užtikrinti socialinių paslaugų prieinamumą ir kokybę, plečiant, atnaujinant ir modernizuojant socialinių paslaugų infrastruktūrą</w:t>
                    </w:r>
                  </w:p>
                  <w:p>
                    <w:pPr>
                      <w:rPr>
                        <w:sz w:val="10"/>
                        <w:szCs w:val="10"/>
                      </w:rPr>
                    </w:pPr>
                  </w:p>
                  <w:p>
                    <w:pPr>
                      <w:ind w:left="720" w:hanging="360"/>
                      <w:jc w:val="both"/>
                      <w:rPr>
                        <w:rFonts w:eastAsia="Calibri"/>
                        <w:bCs/>
                        <w:iCs/>
                        <w:sz w:val="22"/>
                        <w:szCs w:val="24"/>
                      </w:rPr>
                    </w:pPr>
                    <w:r>
                      <w:rPr>
                        <w:rFonts w:ascii="Arial" w:eastAsia="Calibri" w:hAnsi="Arial"/>
                        <w:bCs/>
                        <w:iCs/>
                        <w:color w:val="FDB515"/>
                        <w:sz w:val="22"/>
                        <w:szCs w:val="24"/>
                      </w:rPr>
                      <w:t>►</w:t>
                      <w:tab/>
                    </w:r>
                    <w:r>
                      <w:rPr>
                        <w:rFonts w:eastAsia="Calibri"/>
                        <w:bCs/>
                        <w:iCs/>
                        <w:sz w:val="22"/>
                        <w:szCs w:val="24"/>
                      </w:rPr>
                      <w:t>R-16-02-01 Socialinių įstaigų pastatų, kurie yra geros būklės, skaičius nuo visų socialinių įstaigų pastatų (vnt. / vnt.)</w:t>
                    </w:r>
                  </w:p>
                  <w:p>
                    <w:pPr>
                      <w:spacing w:line="276" w:lineRule="auto"/>
                      <w:ind w:left="720" w:right="142" w:hanging="360"/>
                      <w:jc w:val="both"/>
                      <w:rPr>
                        <w:rFonts w:eastAsia="Calibri"/>
                        <w:bCs/>
                        <w:iCs/>
                        <w:sz w:val="22"/>
                        <w:szCs w:val="24"/>
                      </w:rPr>
                    </w:pPr>
                    <w:r>
                      <w:rPr>
                        <w:rFonts w:ascii="Arial" w:eastAsia="Calibri" w:hAnsi="Arial"/>
                        <w:bCs/>
                        <w:iCs/>
                        <w:color w:val="FDB515"/>
                        <w:sz w:val="22"/>
                        <w:szCs w:val="24"/>
                      </w:rPr>
                      <w:t>►</w:t>
                      <w:tab/>
                    </w:r>
                    <w:r>
                      <w:rPr>
                        <w:rFonts w:eastAsia="Calibri"/>
                        <w:bCs/>
                        <w:iCs/>
                        <w:sz w:val="22"/>
                        <w:szCs w:val="24"/>
                      </w:rPr>
                      <w:t>R-16-02-02 Asmenų ir šeimų, laukiančių socialinio būsto nuomos, laukimo laikas (metai)</w:t>
                    </w:r>
                  </w:p>
                  <w:p>
                    <w:pPr>
                      <w:rPr>
                        <w:sz w:val="10"/>
                        <w:szCs w:val="10"/>
                      </w:rPr>
                    </w:pPr>
                  </w:p>
                  <w:p>
                    <w:pPr>
                      <w:jc w:val="both"/>
                      <w:rPr>
                        <w:rFonts w:eastAsia="Calibri"/>
                        <w:b/>
                        <w:iCs/>
                        <w:sz w:val="22"/>
                        <w:szCs w:val="24"/>
                      </w:rPr>
                    </w:pPr>
                    <w:r>
                      <w:rPr>
                        <w:rFonts w:eastAsia="Calibri"/>
                        <w:b/>
                        <w:iCs/>
                        <w:sz w:val="22"/>
                        <w:szCs w:val="24"/>
                      </w:rPr>
                      <w:t xml:space="preserve">17-01 Skatinti gyventojų fizinio aktyvumo veiklas ir plėtoti aukšto meistriškumo sportininkų rengimo sistemą </w:t>
                    </w:r>
                  </w:p>
                  <w:p>
                    <w:pPr>
                      <w:rPr>
                        <w:sz w:val="10"/>
                        <w:szCs w:val="10"/>
                      </w:rPr>
                    </w:pPr>
                  </w:p>
                  <w:p>
                    <w:pPr>
                      <w:ind w:left="720" w:hanging="360"/>
                      <w:jc w:val="both"/>
                      <w:rPr>
                        <w:rFonts w:eastAsia="Calibri"/>
                        <w:bCs/>
                        <w:iCs/>
                        <w:sz w:val="22"/>
                        <w:szCs w:val="24"/>
                      </w:rPr>
                    </w:pPr>
                    <w:r>
                      <w:rPr>
                        <w:rFonts w:ascii="Arial" w:eastAsia="Calibri" w:hAnsi="Arial"/>
                        <w:bCs/>
                        <w:iCs/>
                        <w:color w:val="FDB515"/>
                        <w:sz w:val="22"/>
                        <w:szCs w:val="24"/>
                      </w:rPr>
                      <w:t>►</w:t>
                      <w:tab/>
                    </w:r>
                    <w:r>
                      <w:rPr>
                        <w:rFonts w:eastAsia="Calibri"/>
                        <w:bCs/>
                        <w:iCs/>
                        <w:sz w:val="22"/>
                        <w:szCs w:val="24"/>
                      </w:rPr>
                      <w:t>R-17-01-01 Sportuojančiųjų sporto klubuose ir ugdymo centruose dalis nuo gyventojų skaičiaus (proc.)</w:t>
                    </w:r>
                  </w:p>
                  <w:p>
                    <w:pPr>
                      <w:ind w:left="720" w:hanging="360"/>
                      <w:jc w:val="both"/>
                      <w:rPr>
                        <w:rFonts w:eastAsia="Calibri"/>
                        <w:bCs/>
                        <w:iCs/>
                        <w:sz w:val="22"/>
                        <w:szCs w:val="24"/>
                      </w:rPr>
                    </w:pPr>
                    <w:r>
                      <w:rPr>
                        <w:rFonts w:ascii="Arial" w:eastAsia="Calibri" w:hAnsi="Arial"/>
                        <w:bCs/>
                        <w:iCs/>
                        <w:color w:val="FDB515"/>
                        <w:sz w:val="22"/>
                        <w:szCs w:val="24"/>
                      </w:rPr>
                      <w:t>►</w:t>
                      <w:tab/>
                    </w:r>
                    <w:r>
                      <w:rPr>
                        <w:rFonts w:eastAsia="Calibri"/>
                        <w:bCs/>
                        <w:iCs/>
                        <w:sz w:val="22"/>
                        <w:szCs w:val="24"/>
                      </w:rPr>
                      <w:t>R-17-01-02 Europos ir pasaulio suaugusiųjų čempionatų olimpinių sporto šakų 1–3 v. laimėtojai (asm.)</w:t>
                    </w:r>
                  </w:p>
                  <w:p>
                    <w:pPr>
                      <w:rPr>
                        <w:sz w:val="10"/>
                        <w:szCs w:val="10"/>
                      </w:rPr>
                    </w:pPr>
                  </w:p>
                  <w:p>
                    <w:pPr>
                      <w:jc w:val="both"/>
                      <w:rPr>
                        <w:rFonts w:eastAsia="Calibri"/>
                        <w:b/>
                        <w:iCs/>
                        <w:sz w:val="22"/>
                        <w:szCs w:val="24"/>
                      </w:rPr>
                    </w:pPr>
                    <w:r>
                      <w:rPr>
                        <w:rFonts w:eastAsia="Calibri"/>
                        <w:b/>
                        <w:iCs/>
                        <w:sz w:val="22"/>
                        <w:szCs w:val="24"/>
                      </w:rPr>
                      <w:t>17-02 Išvystyti gyventojų poreikius atitinkančią sporto ir fizinio aktyvumo infrastruktūrą</w:t>
                    </w:r>
                  </w:p>
                  <w:p>
                    <w:pPr>
                      <w:rPr>
                        <w:sz w:val="10"/>
                        <w:szCs w:val="10"/>
                      </w:rPr>
                    </w:pPr>
                  </w:p>
                  <w:p>
                    <w:pPr>
                      <w:ind w:left="720" w:hanging="360"/>
                      <w:jc w:val="both"/>
                      <w:rPr>
                        <w:rFonts w:eastAsia="Calibri"/>
                        <w:bCs/>
                        <w:iCs/>
                        <w:sz w:val="22"/>
                        <w:szCs w:val="24"/>
                      </w:rPr>
                    </w:pPr>
                    <w:r>
                      <w:rPr>
                        <w:rFonts w:ascii="Arial" w:eastAsia="Calibri" w:hAnsi="Arial"/>
                        <w:bCs/>
                        <w:iCs/>
                        <w:color w:val="FDB515"/>
                        <w:sz w:val="22"/>
                        <w:szCs w:val="24"/>
                      </w:rPr>
                      <w:t>►</w:t>
                      <w:tab/>
                    </w:r>
                    <w:r>
                      <w:rPr>
                        <w:rFonts w:eastAsia="Calibri"/>
                        <w:bCs/>
                        <w:iCs/>
                        <w:sz w:val="22"/>
                        <w:szCs w:val="24"/>
                      </w:rPr>
                      <w:t>R-17-02-01 Savivaldybės sporto įstaigų pastatų / statinių, bazių, kurios yra geros būklės, skaičius nuo visų Savivaldybės sporto įstaigų pastatų / statinių, bazių skaičiaus (vnt. / vnt.)</w:t>
                    </w:r>
                  </w:p>
                  <w:p>
                    <w:pPr>
                      <w:ind w:left="720" w:hanging="360"/>
                      <w:jc w:val="both"/>
                      <w:rPr>
                        <w:rFonts w:eastAsia="Calibri"/>
                        <w:bCs/>
                        <w:iCs/>
                        <w:sz w:val="22"/>
                        <w:szCs w:val="24"/>
                      </w:rPr>
                    </w:pPr>
                    <w:r>
                      <w:rPr>
                        <w:rFonts w:ascii="Arial" w:eastAsia="Calibri" w:hAnsi="Arial"/>
                        <w:bCs/>
                        <w:iCs/>
                        <w:color w:val="FDB515"/>
                        <w:sz w:val="22"/>
                        <w:szCs w:val="24"/>
                      </w:rPr>
                      <w:t>►</w:t>
                      <w:tab/>
                    </w:r>
                    <w:r>
                      <w:rPr>
                        <w:rFonts w:eastAsia="Calibri"/>
                        <w:bCs/>
                        <w:iCs/>
                        <w:sz w:val="22"/>
                        <w:szCs w:val="24"/>
                      </w:rPr>
                      <w:t>R-17-02-02 Savivaldybės sporto įstaigų pastatų / statinių, bazių, pritaikytų fizinę negalią turintiems asmenims, dalis (proc.)</w:t>
                    </w:r>
                  </w:p>
                  <w:p>
                    <w:pPr>
                      <w:rPr>
                        <w:sz w:val="10"/>
                        <w:szCs w:val="10"/>
                      </w:rPr>
                    </w:pPr>
                  </w:p>
                  <w:p>
                    <w:pPr>
                      <w:jc w:val="both"/>
                      <w:rPr>
                        <w:rFonts w:eastAsia="Calibri"/>
                        <w:b/>
                        <w:iCs/>
                        <w:sz w:val="22"/>
                        <w:szCs w:val="24"/>
                      </w:rPr>
                    </w:pPr>
                    <w:r>
                      <w:rPr>
                        <w:rFonts w:eastAsia="Calibri"/>
                        <w:b/>
                        <w:iCs/>
                        <w:sz w:val="22"/>
                        <w:szCs w:val="24"/>
                      </w:rPr>
                      <w:t xml:space="preserve">18-01 Plėtoti inovatyvią švietimo sistemą, ugdančią aktyvią ir kūrybingą asmenybę </w:t>
                    </w:r>
                  </w:p>
                  <w:p>
                    <w:pPr>
                      <w:rPr>
                        <w:sz w:val="10"/>
                        <w:szCs w:val="10"/>
                      </w:rPr>
                    </w:pPr>
                  </w:p>
                  <w:p>
                    <w:pPr>
                      <w:ind w:left="720" w:hanging="360"/>
                      <w:jc w:val="both"/>
                      <w:rPr>
                        <w:rFonts w:eastAsia="Calibri"/>
                        <w:bCs/>
                        <w:iCs/>
                        <w:sz w:val="22"/>
                        <w:szCs w:val="24"/>
                      </w:rPr>
                    </w:pPr>
                    <w:r>
                      <w:rPr>
                        <w:rFonts w:ascii="Arial" w:eastAsia="Calibri" w:hAnsi="Arial"/>
                        <w:bCs/>
                        <w:iCs/>
                        <w:color w:val="FDB515"/>
                        <w:sz w:val="22"/>
                        <w:szCs w:val="24"/>
                      </w:rPr>
                      <w:t>►</w:t>
                      <w:tab/>
                    </w:r>
                    <w:r>
                      <w:rPr>
                        <w:rFonts w:eastAsia="Calibri"/>
                        <w:bCs/>
                        <w:iCs/>
                        <w:sz w:val="22"/>
                        <w:szCs w:val="24"/>
                      </w:rPr>
                      <w:t>R-18-01-01 Išlaikiusių brandos egzaminus dalis nuo laikiusiųjų (proc.)</w:t>
                    </w:r>
                  </w:p>
                  <w:p>
                    <w:pPr>
                      <w:ind w:left="720" w:hanging="360"/>
                      <w:jc w:val="both"/>
                      <w:rPr>
                        <w:rFonts w:eastAsia="Calibri"/>
                        <w:bCs/>
                        <w:iCs/>
                        <w:sz w:val="22"/>
                        <w:szCs w:val="24"/>
                      </w:rPr>
                    </w:pPr>
                    <w:r>
                      <w:rPr>
                        <w:rFonts w:ascii="Arial" w:eastAsia="Calibri" w:hAnsi="Arial"/>
                        <w:bCs/>
                        <w:iCs/>
                        <w:color w:val="FDB515"/>
                        <w:sz w:val="22"/>
                        <w:szCs w:val="24"/>
                      </w:rPr>
                      <w:t>►</w:t>
                      <w:tab/>
                    </w:r>
                    <w:r>
                      <w:rPr>
                        <w:rFonts w:eastAsia="Calibri"/>
                        <w:bCs/>
                        <w:iCs/>
                        <w:sz w:val="22"/>
                        <w:szCs w:val="24"/>
                      </w:rPr>
                      <w:t>R-18-01-02 Įstojusių į aukštąsias mokyklas dalis (asmenys, baigę bendrojo ugdymo mokyklas Šiauliuose) nuo visų, gavusiųjų vidurinį išsilavinimą (proc.)</w:t>
                    </w:r>
                  </w:p>
                  <w:p>
                    <w:pPr>
                      <w:ind w:left="720" w:hanging="360"/>
                      <w:jc w:val="both"/>
                      <w:rPr>
                        <w:rFonts w:eastAsia="Calibri"/>
                        <w:bCs/>
                        <w:iCs/>
                        <w:sz w:val="22"/>
                        <w:szCs w:val="24"/>
                      </w:rPr>
                    </w:pPr>
                    <w:r>
                      <w:rPr>
                        <w:rFonts w:ascii="Arial" w:eastAsia="Calibri" w:hAnsi="Arial"/>
                        <w:bCs/>
                        <w:iCs/>
                        <w:color w:val="FDB515"/>
                        <w:sz w:val="22"/>
                        <w:szCs w:val="24"/>
                      </w:rPr>
                      <w:t>►</w:t>
                      <w:tab/>
                    </w:r>
                    <w:r>
                      <w:rPr>
                        <w:rFonts w:eastAsia="Calibri"/>
                        <w:bCs/>
                        <w:iCs/>
                        <w:sz w:val="22"/>
                        <w:szCs w:val="24"/>
                      </w:rPr>
                      <w:t>R-18-01-03 Pagalbos mokiniui specialistų, tenkančių 100 mokinių, skaičius (asm.)</w:t>
                    </w:r>
                  </w:p>
                  <w:p>
                    <w:pPr>
                      <w:rPr>
                        <w:sz w:val="10"/>
                        <w:szCs w:val="10"/>
                      </w:rPr>
                    </w:pPr>
                  </w:p>
                  <w:p>
                    <w:pPr>
                      <w:jc w:val="both"/>
                      <w:rPr>
                        <w:rFonts w:eastAsia="Calibri"/>
                        <w:b/>
                        <w:iCs/>
                        <w:sz w:val="22"/>
                        <w:szCs w:val="24"/>
                      </w:rPr>
                    </w:pPr>
                    <w:r>
                      <w:rPr>
                        <w:rFonts w:eastAsia="Calibri"/>
                        <w:b/>
                        <w:iCs/>
                        <w:sz w:val="22"/>
                        <w:szCs w:val="24"/>
                      </w:rPr>
                      <w:t>18-02 Užtikrinti švietimo paslaugų prieinamumą ir kokybę, gerinant ugdymo (-si) aplinką</w:t>
                    </w:r>
                  </w:p>
                  <w:p>
                    <w:pPr>
                      <w:rPr>
                        <w:sz w:val="10"/>
                        <w:szCs w:val="10"/>
                      </w:rPr>
                    </w:pPr>
                  </w:p>
                  <w:p>
                    <w:pPr>
                      <w:ind w:left="720" w:hanging="360"/>
                      <w:jc w:val="both"/>
                      <w:rPr>
                        <w:rFonts w:eastAsia="Calibri"/>
                        <w:bCs/>
                        <w:iCs/>
                        <w:sz w:val="22"/>
                        <w:szCs w:val="24"/>
                      </w:rPr>
                    </w:pPr>
                    <w:r>
                      <w:rPr>
                        <w:rFonts w:ascii="Arial" w:eastAsia="Calibri" w:hAnsi="Arial"/>
                        <w:bCs/>
                        <w:iCs/>
                        <w:color w:val="FDB515"/>
                        <w:sz w:val="22"/>
                        <w:szCs w:val="24"/>
                      </w:rPr>
                      <w:t>►</w:t>
                      <w:tab/>
                    </w:r>
                    <w:r>
                      <w:rPr>
                        <w:rFonts w:eastAsia="Calibri"/>
                        <w:bCs/>
                        <w:iCs/>
                        <w:sz w:val="22"/>
                        <w:szCs w:val="24"/>
                      </w:rPr>
                      <w:t>R-18-02-01 Ikimokyklinio ugdymo įstaigų pastatų, kurie yra geros būklės, skaičius nuo visų ikimokyklinio ugdymo įstaigų pastatų skaičiaus (vnt. / vnt.)</w:t>
                    </w:r>
                  </w:p>
                  <w:p>
                    <w:pPr>
                      <w:ind w:left="720" w:hanging="360"/>
                      <w:jc w:val="both"/>
                      <w:rPr>
                        <w:rFonts w:eastAsia="Calibri"/>
                        <w:bCs/>
                        <w:iCs/>
                        <w:sz w:val="22"/>
                        <w:szCs w:val="24"/>
                      </w:rPr>
                    </w:pPr>
                    <w:r>
                      <w:rPr>
                        <w:rFonts w:ascii="Arial" w:eastAsia="Calibri" w:hAnsi="Arial"/>
                        <w:bCs/>
                        <w:iCs/>
                        <w:color w:val="FDB515"/>
                        <w:sz w:val="22"/>
                        <w:szCs w:val="24"/>
                      </w:rPr>
                      <w:t>►</w:t>
                      <w:tab/>
                    </w:r>
                    <w:r>
                      <w:rPr>
                        <w:rFonts w:eastAsia="Calibri"/>
                        <w:bCs/>
                        <w:iCs/>
                        <w:sz w:val="22"/>
                        <w:szCs w:val="24"/>
                      </w:rPr>
                      <w:t>R-18-02-02 Bendrojo ugdymo mokyklų pastatų, kurie yra geros būklės, skaičius nuo visų bendrojo ugdymo mokyklų pastatų skaičiaus (vnt. / vnt.)</w:t>
                    </w:r>
                  </w:p>
                  <w:p>
                    <w:pPr>
                      <w:ind w:left="720" w:hanging="360"/>
                      <w:jc w:val="both"/>
                      <w:rPr>
                        <w:rFonts w:eastAsia="Calibri"/>
                        <w:bCs/>
                        <w:iCs/>
                        <w:sz w:val="22"/>
                        <w:szCs w:val="24"/>
                      </w:rPr>
                    </w:pPr>
                    <w:r>
                      <w:rPr>
                        <w:rFonts w:ascii="Arial" w:eastAsia="Calibri" w:hAnsi="Arial"/>
                        <w:bCs/>
                        <w:iCs/>
                        <w:color w:val="FDB515"/>
                        <w:sz w:val="22"/>
                        <w:szCs w:val="24"/>
                      </w:rPr>
                      <w:t>►</w:t>
                      <w:tab/>
                    </w:r>
                    <w:r>
                      <w:rPr>
                        <w:rFonts w:eastAsia="Calibri"/>
                        <w:bCs/>
                        <w:iCs/>
                        <w:sz w:val="22"/>
                        <w:szCs w:val="24"/>
                      </w:rPr>
                      <w:t>R-18-02-03 Neformaliojo švietimo įstaigų pastatų, kurie yra geros būklės, skaičius nuo visų neformaliojo švietimo įstaigų pastatų skaičiaus (vnt. / vnt.)</w:t>
                    </w:r>
                  </w:p>
                  <w:p>
                    <w:pPr>
                      <w:rPr>
                        <w:sz w:val="10"/>
                        <w:szCs w:val="10"/>
                      </w:rPr>
                    </w:pPr>
                  </w:p>
                  <w:p>
                    <w:pPr>
                      <w:jc w:val="both"/>
                      <w:rPr>
                        <w:rFonts w:eastAsia="Calibri"/>
                        <w:b/>
                        <w:iCs/>
                        <w:sz w:val="22"/>
                        <w:szCs w:val="24"/>
                      </w:rPr>
                    </w:pPr>
                    <w:r>
                      <w:rPr>
                        <w:rFonts w:eastAsia="Calibri"/>
                        <w:b/>
                        <w:iCs/>
                        <w:sz w:val="22"/>
                        <w:szCs w:val="24"/>
                      </w:rPr>
                      <w:t>18-03 Sudaryti sąlygas jaunimo savirealizacijai jų poreikiams pritaikytoje aplinkoje</w:t>
                    </w:r>
                  </w:p>
                  <w:p>
                    <w:pPr>
                      <w:rPr>
                        <w:sz w:val="10"/>
                        <w:szCs w:val="10"/>
                      </w:rPr>
                    </w:pPr>
                  </w:p>
                  <w:p>
                    <w:pPr>
                      <w:ind w:left="720" w:hanging="360"/>
                      <w:jc w:val="both"/>
                      <w:rPr>
                        <w:rFonts w:eastAsia="Calibri"/>
                        <w:bCs/>
                        <w:iCs/>
                        <w:sz w:val="22"/>
                        <w:szCs w:val="24"/>
                      </w:rPr>
                    </w:pPr>
                    <w:r>
                      <w:rPr>
                        <w:rFonts w:ascii="Arial" w:eastAsia="Calibri" w:hAnsi="Arial"/>
                        <w:bCs/>
                        <w:iCs/>
                        <w:color w:val="FDB515"/>
                        <w:sz w:val="22"/>
                        <w:szCs w:val="24"/>
                      </w:rPr>
                      <w:t>►</w:t>
                      <w:tab/>
                    </w:r>
                    <w:r>
                      <w:rPr>
                        <w:rFonts w:eastAsia="Calibri"/>
                        <w:bCs/>
                        <w:iCs/>
                        <w:sz w:val="22"/>
                        <w:szCs w:val="24"/>
                      </w:rPr>
                      <w:t>R-18-03-01 Nepilnamečių, įtariamų padarius nusikalstamas veikas, skaičius, tenkantis 100 tūkst. 14−17 metų amžiaus vaikų (asm.)</w:t>
                    </w:r>
                  </w:p>
                  <w:p>
                    <w:pPr>
                      <w:ind w:left="720" w:hanging="360"/>
                      <w:jc w:val="both"/>
                      <w:rPr>
                        <w:rFonts w:eastAsia="Calibri"/>
                        <w:bCs/>
                        <w:iCs/>
                        <w:sz w:val="22"/>
                        <w:szCs w:val="24"/>
                      </w:rPr>
                    </w:pPr>
                    <w:r>
                      <w:rPr>
                        <w:rFonts w:ascii="Arial" w:eastAsia="Calibri" w:hAnsi="Arial"/>
                        <w:bCs/>
                        <w:iCs/>
                        <w:color w:val="FDB515"/>
                        <w:sz w:val="22"/>
                        <w:szCs w:val="24"/>
                      </w:rPr>
                      <w:t>►</w:t>
                      <w:tab/>
                    </w:r>
                    <w:r>
                      <w:rPr>
                        <w:rFonts w:eastAsia="Calibri"/>
                        <w:bCs/>
                        <w:iCs/>
                        <w:sz w:val="22"/>
                        <w:szCs w:val="24"/>
                      </w:rPr>
                      <w:t>R-18-03-02 Mokinių vasaros užimtumas nuo bendro mokinių skaičiaus (proc.)</w:t>
                    </w:r>
                  </w:p>
                  <w:p>
                    <w:pPr>
                      <w:ind w:left="720" w:hanging="360"/>
                      <w:jc w:val="both"/>
                      <w:rPr>
                        <w:rFonts w:eastAsia="Calibri"/>
                        <w:bCs/>
                        <w:iCs/>
                        <w:sz w:val="22"/>
                        <w:szCs w:val="24"/>
                      </w:rPr>
                    </w:pPr>
                    <w:r>
                      <w:rPr>
                        <w:rFonts w:ascii="Arial" w:eastAsia="Calibri" w:hAnsi="Arial"/>
                        <w:bCs/>
                        <w:iCs/>
                        <w:color w:val="FDB515"/>
                        <w:sz w:val="22"/>
                        <w:szCs w:val="24"/>
                      </w:rPr>
                      <w:t>►</w:t>
                      <w:tab/>
                    </w:r>
                    <w:r>
                      <w:rPr>
                        <w:rFonts w:eastAsia="Calibri"/>
                        <w:bCs/>
                        <w:iCs/>
                        <w:sz w:val="22"/>
                        <w:szCs w:val="24"/>
                      </w:rPr>
                      <w:t>R-18-03-03 Jaunimo organizacijose dalyvaujančių asmenų skaičius (asm.)</w:t>
                    </w:r>
                  </w:p>
                  <w:p>
                    <w:pPr>
                      <w:rPr>
                        <w:sz w:val="10"/>
                        <w:szCs w:val="10"/>
                      </w:rPr>
                    </w:pPr>
                  </w:p>
                  <w:p>
                    <w:pPr>
                      <w:jc w:val="both"/>
                      <w:rPr>
                        <w:rFonts w:eastAsia="Calibri"/>
                        <w:b/>
                        <w:iCs/>
                        <w:sz w:val="22"/>
                        <w:szCs w:val="24"/>
                      </w:rPr>
                    </w:pPr>
                    <w:r>
                      <w:rPr>
                        <w:rFonts w:eastAsia="Calibri"/>
                        <w:b/>
                        <w:iCs/>
                        <w:sz w:val="22"/>
                        <w:szCs w:val="24"/>
                      </w:rPr>
                      <w:t xml:space="preserve">19-01 Plėtoti asmens ir visuomenės sveikatos priežiūros paslaugas, ugdyti visuomenės poreikį sveikai gyventi </w:t>
                    </w:r>
                  </w:p>
                  <w:p>
                    <w:pPr>
                      <w:rPr>
                        <w:sz w:val="10"/>
                        <w:szCs w:val="10"/>
                      </w:rPr>
                    </w:pPr>
                  </w:p>
                  <w:p>
                    <w:pPr>
                      <w:ind w:left="720" w:hanging="360"/>
                      <w:jc w:val="both"/>
                      <w:rPr>
                        <w:rFonts w:eastAsia="Calibri"/>
                        <w:bCs/>
                        <w:iCs/>
                        <w:sz w:val="22"/>
                        <w:szCs w:val="24"/>
                      </w:rPr>
                    </w:pPr>
                    <w:r>
                      <w:rPr>
                        <w:rFonts w:ascii="Arial" w:eastAsia="Calibri" w:hAnsi="Arial"/>
                        <w:bCs/>
                        <w:iCs/>
                        <w:color w:val="FDB515"/>
                        <w:sz w:val="22"/>
                        <w:szCs w:val="24"/>
                      </w:rPr>
                      <w:t>►</w:t>
                      <w:tab/>
                    </w:r>
                    <w:r>
                      <w:rPr>
                        <w:rFonts w:eastAsia="Calibri"/>
                        <w:bCs/>
                        <w:iCs/>
                        <w:sz w:val="22"/>
                        <w:szCs w:val="24"/>
                      </w:rPr>
                      <w:t>R-19-01-01 Paliatyvios pagalbos, globos, slaugos ir palaikomojo gydymo lovų skaičius, tenkantis 1 tūkst. gyventojų (vnt.)</w:t>
                    </w:r>
                  </w:p>
                  <w:p>
                    <w:pPr>
                      <w:ind w:left="720" w:hanging="360"/>
                      <w:jc w:val="both"/>
                      <w:rPr>
                        <w:rFonts w:eastAsia="Calibri"/>
                        <w:bCs/>
                        <w:iCs/>
                        <w:sz w:val="22"/>
                        <w:szCs w:val="24"/>
                      </w:rPr>
                    </w:pPr>
                    <w:r>
                      <w:rPr>
                        <w:rFonts w:ascii="Arial" w:eastAsia="Calibri" w:hAnsi="Arial"/>
                        <w:bCs/>
                        <w:iCs/>
                        <w:color w:val="FDB515"/>
                        <w:sz w:val="22"/>
                        <w:szCs w:val="24"/>
                      </w:rPr>
                      <w:t>►</w:t>
                      <w:tab/>
                    </w:r>
                    <w:r>
                      <w:rPr>
                        <w:rFonts w:eastAsia="Calibri"/>
                        <w:bCs/>
                        <w:iCs/>
                        <w:sz w:val="22"/>
                        <w:szCs w:val="24"/>
                      </w:rPr>
                      <w:t>R-19-01-02 Pacientų, kurie pas šeimos gydytoją patenka per 7 kalendorines dienas, dalis (proc.)</w:t>
                    </w:r>
                  </w:p>
                  <w:p>
                    <w:pPr>
                      <w:ind w:left="720" w:hanging="360"/>
                      <w:jc w:val="both"/>
                      <w:rPr>
                        <w:rFonts w:eastAsia="Calibri"/>
                        <w:bCs/>
                        <w:iCs/>
                        <w:sz w:val="22"/>
                        <w:szCs w:val="24"/>
                      </w:rPr>
                    </w:pPr>
                    <w:r>
                      <w:rPr>
                        <w:rFonts w:ascii="Arial" w:eastAsia="Calibri" w:hAnsi="Arial"/>
                        <w:bCs/>
                        <w:iCs/>
                        <w:color w:val="FDB515"/>
                        <w:sz w:val="22"/>
                        <w:szCs w:val="24"/>
                      </w:rPr>
                      <w:t>►</w:t>
                      <w:tab/>
                    </w:r>
                    <w:r>
                      <w:rPr>
                        <w:rFonts w:eastAsia="Calibri"/>
                        <w:bCs/>
                        <w:iCs/>
                        <w:sz w:val="22"/>
                        <w:szCs w:val="24"/>
                      </w:rPr>
                      <w:t>R-19-01-03 Savižudybių skaičius, tenkantis 100 tūkst. gyventojų (asm.)</w:t>
                    </w:r>
                  </w:p>
                  <w:p>
                    <w:pPr>
                      <w:rPr>
                        <w:sz w:val="10"/>
                        <w:szCs w:val="10"/>
                      </w:rPr>
                    </w:pPr>
                  </w:p>
                  <w:p>
                    <w:pPr>
                      <w:jc w:val="both"/>
                      <w:rPr>
                        <w:rFonts w:eastAsia="Calibri"/>
                        <w:b/>
                        <w:iCs/>
                        <w:sz w:val="22"/>
                        <w:szCs w:val="24"/>
                      </w:rPr>
                    </w:pPr>
                    <w:r>
                      <w:rPr>
                        <w:rFonts w:eastAsia="Calibri"/>
                        <w:b/>
                        <w:iCs/>
                        <w:sz w:val="22"/>
                        <w:szCs w:val="24"/>
                      </w:rPr>
                      <w:t>19-02 Užtikrinti asmens sveikatos priežiūros paslaugų prieinamumą ir kokybę, atnaujinant esamą bei įrengiant naują infrastruktūrą</w:t>
                    </w:r>
                  </w:p>
                  <w:p>
                    <w:pPr>
                      <w:rPr>
                        <w:sz w:val="10"/>
                        <w:szCs w:val="10"/>
                      </w:rPr>
                    </w:pPr>
                  </w:p>
                  <w:p>
                    <w:pPr>
                      <w:ind w:left="720" w:hanging="360"/>
                      <w:jc w:val="both"/>
                      <w:rPr>
                        <w:rFonts w:eastAsia="Calibri"/>
                        <w:bCs/>
                        <w:iCs/>
                        <w:sz w:val="22"/>
                        <w:szCs w:val="24"/>
                      </w:rPr>
                    </w:pPr>
                    <w:r>
                      <w:rPr>
                        <w:rFonts w:ascii="Arial" w:eastAsia="Calibri" w:hAnsi="Arial"/>
                        <w:bCs/>
                        <w:iCs/>
                        <w:color w:val="FDB515"/>
                        <w:sz w:val="22"/>
                        <w:szCs w:val="24"/>
                      </w:rPr>
                      <w:t>►</w:t>
                      <w:tab/>
                    </w:r>
                    <w:r>
                      <w:rPr>
                        <w:rFonts w:eastAsia="Calibri"/>
                        <w:bCs/>
                        <w:iCs/>
                        <w:sz w:val="22"/>
                        <w:szCs w:val="24"/>
                      </w:rPr>
                      <w:t>R-19-02-01 Savivaldybės sveikatos įstaigų pastatų, kurie yra geros būklės, skaičius nuo visų sveikatos įstaigų pastatų skaičiaus (vnt. / vnt.)</w:t>
                    </w:r>
                  </w:p>
                </w:tc>
              </w:tr>
            </w:tbl>
            <w:p>
              <w:pPr>
                <w:jc w:val="center"/>
                <w:rPr>
                  <w:b/>
                  <w:color w:val="000000"/>
                  <w:szCs w:val="24"/>
                </w:rPr>
              </w:pPr>
            </w:p>
            <w:p>
              <w:pPr>
                <w:spacing w:line="276" w:lineRule="auto"/>
                <w:rPr>
                  <w:b/>
                  <w:color w:val="000000"/>
                  <w:szCs w:val="24"/>
                </w:rPr>
              </w:pPr>
              <w:r>
                <w:rPr>
                  <w:b/>
                  <w:color w:val="000000"/>
                  <w:szCs w:val="24"/>
                </w:rPr>
                <w:br w:type="page"/>
              </w:r>
            </w:p>
            <w:p>
              <w:pPr>
                <w:rPr>
                  <w:sz w:val="10"/>
                  <w:szCs w:val="10"/>
                </w:rPr>
              </w:pPr>
            </w:p>
            <w:p>
              <w:pPr>
                <w:jc w:val="center"/>
                <w:rPr>
                  <w:b/>
                  <w:color w:val="000000"/>
                  <w:szCs w:val="24"/>
                </w:rPr>
                <w:sectPr>
                  <w:headerReference w:type="even" r:id="rId12"/>
                  <w:headerReference w:type="default" r:id="rId13"/>
                  <w:footerReference w:type="even" r:id="rId14"/>
                  <w:footerReference w:type="default" r:id="rId15"/>
                  <w:headerReference w:type="first" r:id="rId16"/>
                  <w:footerReference w:type="first" r:id="rId17"/>
                  <w:type w:val="continuous"/>
                  <w:pgSz w:w="11906" w:h="16838"/>
                  <w:pgMar w:top="1134" w:right="1134" w:bottom="1134" w:left="1418" w:header="567" w:footer="567" w:gutter="0"/>
                  <w:cols w:space="1296"/>
                  <w:titlePg/>
                  <w:docGrid w:linePitch="360"/>
                </w:sectPr>
              </w:pPr>
            </w:p>
            <w:p>
              <w:pPr>
                <w:tabs>
                  <w:tab w:val="center" w:pos="4819"/>
                  <w:tab w:val="right" w:pos="9638"/>
                </w:tabs>
                <w:ind w:left="284" w:right="142"/>
                <w:jc w:val="both"/>
                <w:rPr>
                  <w:rFonts w:eastAsia="MS Mincho"/>
                  <w:kern w:val="2"/>
                  <w:sz w:val="22"/>
                  <w:szCs w:val="24"/>
                </w:rPr>
              </w:pPr>
            </w:p>
          </w:sdtContent>
        </w:sdt>
        <w:sdt>
          <w:sdtPr>
            <w:alias w:val="skyrius"/>
            <w:tag w:val="part_6eb1156e546f462d9998e59d84226307"/>
            <w:lock w:val="sdtLocked"/>
            <w:richText/>
          </w:sdtPr>
          <w:sdtContent>
            <w:p>
              <w:pPr>
                <w:jc w:val="center"/>
                <w:rPr>
                  <w:b/>
                  <w:color w:val="000000"/>
                  <w:szCs w:val="24"/>
                </w:rPr>
              </w:pPr>
              <w:sdt>
                <w:sdtPr>
                  <w:alias w:val="Numeris"/>
                  <w:tag w:val="nr_6eb1156e546f462d9998e59d84226307"/>
                  <w:lock w:val="sdtLocked"/>
                  <w:richText/>
                </w:sdtPr>
                <w:sdtContent>
                  <w:r>
                    <w:rPr>
                      <w:b/>
                      <w:color w:val="000000"/>
                      <w:szCs w:val="24"/>
                    </w:rPr>
                    <w:t>V</w:t>
                  </w:r>
                </w:sdtContent>
              </w:sdt>
              <w:r>
                <w:rPr>
                  <w:b/>
                  <w:color w:val="000000"/>
                  <w:szCs w:val="24"/>
                </w:rPr>
                <w:t xml:space="preserve"> SKYRIUS</w:t>
              </w:r>
            </w:p>
            <w:p>
              <w:pPr>
                <w:jc w:val="center"/>
                <w:rPr>
                  <w:b/>
                  <w:color w:val="000000"/>
                  <w:szCs w:val="24"/>
                </w:rPr>
              </w:pPr>
              <w:sdt>
                <w:sdtPr>
                  <w:alias w:val="Pavadinimas"/>
                  <w:tag w:val="title_6eb1156e546f462d9998e59d84226307"/>
                  <w:lock w:val="sdtLocked"/>
                  <w:richText/>
                </w:sdtPr>
                <w:sdtContent>
                  <w:r>
                    <w:rPr>
                      <w:b/>
                      <w:color w:val="000000"/>
                      <w:szCs w:val="24"/>
                    </w:rPr>
                    <w:t>PRIEMONIŲ PLANAS</w:t>
                  </w:r>
                </w:sdtContent>
              </w:sdt>
            </w:p>
            <w:p>
              <w:pPr>
                <w:jc w:val="both"/>
                <w:rPr>
                  <w:bCs/>
                  <w:color w:val="000000"/>
                </w:rPr>
              </w:pPr>
            </w:p>
            <w:p>
              <w:pPr>
                <w:keepNext/>
                <w:ind w:left="284" w:right="142"/>
                <w:jc w:val="both"/>
                <w:rPr>
                  <w:b/>
                  <w:bCs/>
                  <w:color w:val="FDB515"/>
                  <w:sz w:val="20"/>
                </w:rPr>
              </w:pPr>
              <w:r>
                <w:rPr>
                  <w:rFonts w:eastAsia="MS Mincho"/>
                  <w:b/>
                  <w:bCs/>
                  <w:color w:val="FDB515"/>
                  <w:kern w:val="2"/>
                  <w:sz w:val="20"/>
                </w:rPr>
                <w:t xml:space="preserve">Lentelė 1. </w:t>
              </w:r>
              <w:r>
                <w:rPr>
                  <w:b/>
                  <w:bCs/>
                  <w:color w:val="FDB515"/>
                  <w:sz w:val="20"/>
                </w:rPr>
                <w:t>Savivaldybės plėtros tikslai, uždaviniai, priemonės ir jų stebėsenos rodikliai</w:t>
              </w:r>
            </w:p>
            <w:p>
              <w:pPr>
                <w:rPr>
                  <w:sz w:val="18"/>
                  <w:szCs w:val="18"/>
                </w:rPr>
              </w:pPr>
            </w:p>
            <w:tbl>
              <w:tblPr>
                <w:tblW w:w="1431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8"/>
                <w:gridCol w:w="2126"/>
                <w:gridCol w:w="850"/>
                <w:gridCol w:w="709"/>
                <w:gridCol w:w="709"/>
                <w:gridCol w:w="1417"/>
                <w:gridCol w:w="4111"/>
                <w:gridCol w:w="1134"/>
                <w:gridCol w:w="1134"/>
                <w:gridCol w:w="1134"/>
              </w:tblGrid>
              <w:tr>
                <w:trPr>
                  <w:trHeight w:val="430"/>
                  <w:tblHeader/>
                  <w:jc w:val="center"/>
                </w:trPr>
                <w:tc>
                  <w:tcPr>
                    <w:tcW w:w="988" w:type="dxa"/>
                    <w:vMerge w:val="restart"/>
                    <w:shd w:val="clear" w:color="auto" w:fill="DBE5F1"/>
                    <w:noWrap/>
                    <w:vAlign w:val="center"/>
                    <w:hideMark/>
                  </w:tcPr>
                  <w:p>
                    <w:pPr>
                      <w:jc w:val="center"/>
                      <w:rPr>
                        <w:b/>
                        <w:bCs/>
                        <w:sz w:val="18"/>
                        <w:szCs w:val="18"/>
                      </w:rPr>
                    </w:pPr>
                    <w:r>
                      <w:rPr>
                        <w:rFonts w:eastAsia="Calibri"/>
                        <w:b/>
                        <w:bCs/>
                        <w:sz w:val="18"/>
                        <w:szCs w:val="18"/>
                      </w:rPr>
                      <w:t>Tikslo, uždav., priem. kodas</w:t>
                    </w:r>
                  </w:p>
                </w:tc>
                <w:tc>
                  <w:tcPr>
                    <w:tcW w:w="2126" w:type="dxa"/>
                    <w:vMerge w:val="restart"/>
                    <w:shd w:val="clear" w:color="auto" w:fill="DBE5F1"/>
                    <w:vAlign w:val="center"/>
                    <w:hideMark/>
                  </w:tcPr>
                  <w:p>
                    <w:pPr>
                      <w:jc w:val="center"/>
                      <w:rPr>
                        <w:b/>
                        <w:bCs/>
                        <w:sz w:val="18"/>
                        <w:szCs w:val="18"/>
                      </w:rPr>
                    </w:pPr>
                    <w:r>
                      <w:rPr>
                        <w:rFonts w:eastAsia="Calibri"/>
                        <w:b/>
                        <w:bCs/>
                        <w:sz w:val="18"/>
                        <w:szCs w:val="18"/>
                      </w:rPr>
                      <w:t>Tikslas, uždavinys, priemonė</w:t>
                    </w:r>
                  </w:p>
                </w:tc>
                <w:tc>
                  <w:tcPr>
                    <w:tcW w:w="850" w:type="dxa"/>
                    <w:vMerge w:val="restart"/>
                    <w:shd w:val="clear" w:color="auto" w:fill="DBE5F1"/>
                    <w:vAlign w:val="center"/>
                    <w:hideMark/>
                  </w:tcPr>
                  <w:p>
                    <w:pPr>
                      <w:jc w:val="center"/>
                      <w:rPr>
                        <w:b/>
                        <w:bCs/>
                        <w:sz w:val="16"/>
                        <w:szCs w:val="16"/>
                      </w:rPr>
                    </w:pPr>
                    <w:r>
                      <w:rPr>
                        <w:rFonts w:eastAsia="Calibri"/>
                        <w:b/>
                        <w:bCs/>
                        <w:sz w:val="16"/>
                        <w:szCs w:val="16"/>
                      </w:rPr>
                      <w:t>Koordi-natorius</w:t>
                    </w:r>
                  </w:p>
                </w:tc>
                <w:tc>
                  <w:tcPr>
                    <w:tcW w:w="1418" w:type="dxa"/>
                    <w:gridSpan w:val="2"/>
                    <w:shd w:val="clear" w:color="auto" w:fill="DBE5F1"/>
                    <w:vAlign w:val="center"/>
                    <w:hideMark/>
                  </w:tcPr>
                  <w:p>
                    <w:pPr>
                      <w:jc w:val="center"/>
                      <w:rPr>
                        <w:b/>
                        <w:bCs/>
                        <w:sz w:val="18"/>
                        <w:szCs w:val="18"/>
                      </w:rPr>
                    </w:pPr>
                    <w:r>
                      <w:rPr>
                        <w:rFonts w:eastAsia="Calibri"/>
                        <w:b/>
                        <w:bCs/>
                        <w:sz w:val="18"/>
                        <w:szCs w:val="18"/>
                      </w:rPr>
                      <w:t>Įgyvendinimo laikotarpis, metais</w:t>
                    </w:r>
                  </w:p>
                </w:tc>
                <w:tc>
                  <w:tcPr>
                    <w:tcW w:w="1417" w:type="dxa"/>
                    <w:vMerge w:val="restart"/>
                    <w:shd w:val="clear" w:color="auto" w:fill="DBE5F1"/>
                    <w:vAlign w:val="center"/>
                    <w:hideMark/>
                  </w:tcPr>
                  <w:p>
                    <w:pPr>
                      <w:jc w:val="center"/>
                      <w:rPr>
                        <w:b/>
                        <w:bCs/>
                        <w:sz w:val="18"/>
                        <w:szCs w:val="18"/>
                      </w:rPr>
                    </w:pPr>
                    <w:r>
                      <w:rPr>
                        <w:b/>
                        <w:bCs/>
                        <w:sz w:val="18"/>
                        <w:szCs w:val="18"/>
                      </w:rPr>
                      <w:t>Rodiklio Nr.</w:t>
                    </w:r>
                  </w:p>
                </w:tc>
                <w:tc>
                  <w:tcPr>
                    <w:tcW w:w="4111" w:type="dxa"/>
                    <w:vMerge w:val="restart"/>
                    <w:shd w:val="clear" w:color="auto" w:fill="DBE5F1"/>
                    <w:vAlign w:val="center"/>
                    <w:hideMark/>
                  </w:tcPr>
                  <w:p>
                    <w:pPr>
                      <w:jc w:val="center"/>
                      <w:rPr>
                        <w:b/>
                        <w:bCs/>
                        <w:sz w:val="18"/>
                        <w:szCs w:val="18"/>
                      </w:rPr>
                    </w:pPr>
                    <w:r>
                      <w:rPr>
                        <w:rFonts w:eastAsia="Calibri"/>
                        <w:b/>
                        <w:bCs/>
                        <w:sz w:val="18"/>
                        <w:szCs w:val="18"/>
                      </w:rPr>
                      <w:t>Stebėsenos rodiklis (matavimo vienetai)</w:t>
                    </w:r>
                  </w:p>
                </w:tc>
                <w:tc>
                  <w:tcPr>
                    <w:tcW w:w="1134" w:type="dxa"/>
                    <w:vMerge w:val="restart"/>
                    <w:shd w:val="clear" w:color="auto" w:fill="DBE5F1"/>
                    <w:vAlign w:val="center"/>
                    <w:hideMark/>
                  </w:tcPr>
                  <w:p>
                    <w:pPr>
                      <w:jc w:val="center"/>
                      <w:rPr>
                        <w:b/>
                        <w:bCs/>
                        <w:sz w:val="18"/>
                        <w:szCs w:val="18"/>
                      </w:rPr>
                    </w:pPr>
                    <w:r>
                      <w:rPr>
                        <w:b/>
                        <w:bCs/>
                        <w:sz w:val="18"/>
                        <w:szCs w:val="18"/>
                      </w:rPr>
                      <w:t>Rodiklio šaltinis</w:t>
                    </w:r>
                  </w:p>
                </w:tc>
                <w:tc>
                  <w:tcPr>
                    <w:tcW w:w="2268" w:type="dxa"/>
                    <w:gridSpan w:val="2"/>
                    <w:shd w:val="clear" w:color="auto" w:fill="DBE5F1"/>
                    <w:vAlign w:val="center"/>
                    <w:hideMark/>
                  </w:tcPr>
                  <w:p>
                    <w:pPr>
                      <w:jc w:val="center"/>
                      <w:rPr>
                        <w:b/>
                        <w:bCs/>
                        <w:sz w:val="18"/>
                        <w:szCs w:val="18"/>
                      </w:rPr>
                    </w:pPr>
                    <w:r>
                      <w:rPr>
                        <w:rFonts w:eastAsia="Calibri"/>
                        <w:b/>
                        <w:bCs/>
                        <w:sz w:val="18"/>
                        <w:szCs w:val="18"/>
                      </w:rPr>
                      <w:t>Siektina stebėsenos rodiklio reikšmė</w:t>
                    </w:r>
                  </w:p>
                </w:tc>
              </w:tr>
              <w:tr>
                <w:trPr>
                  <w:trHeight w:val="413"/>
                  <w:tblHeader/>
                  <w:jc w:val="center"/>
                </w:trPr>
                <w:tc>
                  <w:tcPr>
                    <w:tcW w:w="988" w:type="dxa"/>
                    <w:vMerge/>
                    <w:shd w:val="clear" w:color="auto" w:fill="DBE5F1"/>
                    <w:vAlign w:val="center"/>
                    <w:hideMark/>
                  </w:tcPr>
                  <w:p>
                    <w:pPr>
                      <w:rPr>
                        <w:b/>
                        <w:bCs/>
                        <w:sz w:val="18"/>
                        <w:szCs w:val="18"/>
                      </w:rPr>
                    </w:pPr>
                  </w:p>
                </w:tc>
                <w:tc>
                  <w:tcPr>
                    <w:tcW w:w="2126" w:type="dxa"/>
                    <w:vMerge/>
                    <w:shd w:val="clear" w:color="auto" w:fill="DBE5F1"/>
                    <w:vAlign w:val="center"/>
                    <w:hideMark/>
                  </w:tcPr>
                  <w:p>
                    <w:pPr>
                      <w:rPr>
                        <w:b/>
                        <w:bCs/>
                        <w:sz w:val="18"/>
                        <w:szCs w:val="18"/>
                      </w:rPr>
                    </w:pPr>
                  </w:p>
                </w:tc>
                <w:tc>
                  <w:tcPr>
                    <w:tcW w:w="850" w:type="dxa"/>
                    <w:vMerge/>
                    <w:shd w:val="clear" w:color="auto" w:fill="DBE5F1"/>
                    <w:vAlign w:val="center"/>
                    <w:hideMark/>
                  </w:tcPr>
                  <w:p>
                    <w:pPr>
                      <w:jc w:val="center"/>
                      <w:rPr>
                        <w:b/>
                        <w:bCs/>
                        <w:sz w:val="18"/>
                        <w:szCs w:val="18"/>
                      </w:rPr>
                    </w:pPr>
                  </w:p>
                </w:tc>
                <w:tc>
                  <w:tcPr>
                    <w:tcW w:w="709" w:type="dxa"/>
                    <w:shd w:val="clear" w:color="auto" w:fill="DBE5F1"/>
                    <w:vAlign w:val="center"/>
                    <w:hideMark/>
                  </w:tcPr>
                  <w:p>
                    <w:pPr>
                      <w:jc w:val="center"/>
                      <w:rPr>
                        <w:b/>
                        <w:bCs/>
                        <w:sz w:val="16"/>
                        <w:szCs w:val="16"/>
                      </w:rPr>
                    </w:pPr>
                    <w:r>
                      <w:rPr>
                        <w:rFonts w:eastAsia="Calibri"/>
                        <w:b/>
                        <w:bCs/>
                        <w:sz w:val="16"/>
                        <w:szCs w:val="16"/>
                      </w:rPr>
                      <w:t>Pradž.</w:t>
                    </w:r>
                  </w:p>
                </w:tc>
                <w:tc>
                  <w:tcPr>
                    <w:tcW w:w="709" w:type="dxa"/>
                    <w:shd w:val="clear" w:color="auto" w:fill="DBE5F1"/>
                    <w:vAlign w:val="center"/>
                    <w:hideMark/>
                  </w:tcPr>
                  <w:p>
                    <w:pPr>
                      <w:jc w:val="center"/>
                      <w:rPr>
                        <w:b/>
                        <w:bCs/>
                        <w:sz w:val="16"/>
                        <w:szCs w:val="16"/>
                      </w:rPr>
                    </w:pPr>
                    <w:r>
                      <w:rPr>
                        <w:rFonts w:eastAsia="Calibri"/>
                        <w:b/>
                        <w:bCs/>
                        <w:sz w:val="16"/>
                        <w:szCs w:val="16"/>
                      </w:rPr>
                      <w:t>Pab.</w:t>
                    </w:r>
                  </w:p>
                </w:tc>
                <w:tc>
                  <w:tcPr>
                    <w:tcW w:w="1417" w:type="dxa"/>
                    <w:vMerge/>
                    <w:shd w:val="clear" w:color="auto" w:fill="DBE5F1"/>
                    <w:vAlign w:val="center"/>
                    <w:hideMark/>
                  </w:tcPr>
                  <w:p>
                    <w:pPr>
                      <w:jc w:val="center"/>
                      <w:rPr>
                        <w:b/>
                        <w:bCs/>
                        <w:sz w:val="18"/>
                        <w:szCs w:val="18"/>
                      </w:rPr>
                    </w:pPr>
                  </w:p>
                </w:tc>
                <w:tc>
                  <w:tcPr>
                    <w:tcW w:w="4111" w:type="dxa"/>
                    <w:vMerge/>
                    <w:shd w:val="clear" w:color="auto" w:fill="DBE5F1"/>
                    <w:vAlign w:val="center"/>
                    <w:hideMark/>
                  </w:tcPr>
                  <w:p>
                    <w:pPr>
                      <w:jc w:val="center"/>
                      <w:rPr>
                        <w:b/>
                        <w:bCs/>
                        <w:sz w:val="18"/>
                        <w:szCs w:val="18"/>
                      </w:rPr>
                    </w:pPr>
                  </w:p>
                </w:tc>
                <w:tc>
                  <w:tcPr>
                    <w:tcW w:w="1134" w:type="dxa"/>
                    <w:vMerge/>
                    <w:shd w:val="clear" w:color="auto" w:fill="DBE5F1"/>
                    <w:vAlign w:val="center"/>
                    <w:hideMark/>
                  </w:tcPr>
                  <w:p>
                    <w:pPr>
                      <w:jc w:val="center"/>
                      <w:rPr>
                        <w:b/>
                        <w:bCs/>
                        <w:sz w:val="18"/>
                        <w:szCs w:val="18"/>
                      </w:rPr>
                    </w:pPr>
                  </w:p>
                </w:tc>
                <w:tc>
                  <w:tcPr>
                    <w:tcW w:w="1134" w:type="dxa"/>
                    <w:shd w:val="clear" w:color="auto" w:fill="DBE5F1"/>
                    <w:vAlign w:val="center"/>
                    <w:hideMark/>
                  </w:tcPr>
                  <w:p>
                    <w:pPr>
                      <w:jc w:val="center"/>
                      <w:rPr>
                        <w:b/>
                        <w:bCs/>
                        <w:sz w:val="18"/>
                        <w:szCs w:val="18"/>
                      </w:rPr>
                    </w:pPr>
                    <w:r>
                      <w:rPr>
                        <w:rFonts w:eastAsia="Calibri"/>
                        <w:b/>
                        <w:bCs/>
                        <w:sz w:val="18"/>
                        <w:szCs w:val="18"/>
                      </w:rPr>
                      <w:t>Laikotarp. pradž.</w:t>
                    </w:r>
                    <w:r>
                      <w:rPr>
                        <w:rFonts w:eastAsia="Calibri"/>
                        <w:b/>
                        <w:bCs/>
                        <w:sz w:val="18"/>
                        <w:szCs w:val="18"/>
                        <w:vertAlign w:val="superscript"/>
                      </w:rPr>
                      <w:footnoteReference w:id="3"/>
                    </w:r>
                  </w:p>
                </w:tc>
                <w:tc>
                  <w:tcPr>
                    <w:tcW w:w="1134" w:type="dxa"/>
                    <w:shd w:val="clear" w:color="auto" w:fill="DBE5F1"/>
                    <w:vAlign w:val="center"/>
                    <w:hideMark/>
                  </w:tcPr>
                  <w:p>
                    <w:pPr>
                      <w:jc w:val="center"/>
                      <w:rPr>
                        <w:b/>
                        <w:bCs/>
                        <w:sz w:val="18"/>
                        <w:szCs w:val="18"/>
                      </w:rPr>
                    </w:pPr>
                    <w:r>
                      <w:rPr>
                        <w:rFonts w:eastAsia="Calibri"/>
                        <w:b/>
                        <w:bCs/>
                        <w:sz w:val="18"/>
                        <w:szCs w:val="18"/>
                      </w:rPr>
                      <w:t>Laikotarp. pab.</w:t>
                    </w:r>
                    <w:r>
                      <w:rPr>
                        <w:rFonts w:eastAsia="Calibri"/>
                        <w:b/>
                        <w:bCs/>
                        <w:sz w:val="18"/>
                        <w:szCs w:val="18"/>
                        <w:vertAlign w:val="superscript"/>
                      </w:rPr>
                      <w:footnoteReference w:id="4"/>
                    </w:r>
                  </w:p>
                </w:tc>
              </w:tr>
              <w:tr>
                <w:trPr>
                  <w:trHeight w:val="551"/>
                  <w:jc w:val="center"/>
                </w:trPr>
                <w:tc>
                  <w:tcPr>
                    <w:tcW w:w="988" w:type="dxa"/>
                    <w:vMerge w:val="restart"/>
                    <w:shd w:val="clear" w:color="auto" w:fill="FFD966"/>
                    <w:noWrap/>
                    <w:vAlign w:val="center"/>
                    <w:hideMark/>
                  </w:tcPr>
                  <w:p>
                    <w:pPr>
                      <w:rPr>
                        <w:b/>
                        <w:bCs/>
                        <w:sz w:val="20"/>
                      </w:rPr>
                    </w:pPr>
                    <w:r>
                      <w:rPr>
                        <w:b/>
                        <w:bCs/>
                        <w:sz w:val="20"/>
                      </w:rPr>
                      <w:t>11</w:t>
                    </w:r>
                  </w:p>
                </w:tc>
                <w:tc>
                  <w:tcPr>
                    <w:tcW w:w="2126" w:type="dxa"/>
                    <w:vMerge w:val="restart"/>
                    <w:shd w:val="clear" w:color="auto" w:fill="FFD966"/>
                    <w:vAlign w:val="center"/>
                    <w:hideMark/>
                  </w:tcPr>
                  <w:p>
                    <w:pPr>
                      <w:rPr>
                        <w:b/>
                        <w:bCs/>
                        <w:sz w:val="20"/>
                      </w:rPr>
                    </w:pPr>
                    <w:r>
                      <w:rPr>
                        <w:b/>
                        <w:bCs/>
                        <w:sz w:val="20"/>
                      </w:rPr>
                      <w:t>Užtikrinti pažangų, efektyvų ir įtraukų Savivaldybės darbą</w:t>
                    </w:r>
                  </w:p>
                </w:tc>
                <w:tc>
                  <w:tcPr>
                    <w:tcW w:w="850" w:type="dxa"/>
                    <w:vMerge w:val="restart"/>
                    <w:shd w:val="clear" w:color="auto" w:fill="FFD966"/>
                    <w:vAlign w:val="center"/>
                    <w:hideMark/>
                  </w:tcPr>
                  <w:p>
                    <w:pPr>
                      <w:jc w:val="center"/>
                      <w:rPr>
                        <w:sz w:val="20"/>
                      </w:rPr>
                    </w:pPr>
                    <w:r>
                      <w:rPr>
                        <w:sz w:val="20"/>
                      </w:rPr>
                      <w:t>BRS</w:t>
                    </w:r>
                  </w:p>
                </w:tc>
                <w:tc>
                  <w:tcPr>
                    <w:tcW w:w="709" w:type="dxa"/>
                    <w:vMerge w:val="restart"/>
                    <w:shd w:val="clear" w:color="auto" w:fill="FFD966"/>
                    <w:vAlign w:val="center"/>
                    <w:hideMark/>
                  </w:tcPr>
                  <w:p>
                    <w:pPr>
                      <w:jc w:val="center"/>
                      <w:rPr>
                        <w:sz w:val="20"/>
                      </w:rPr>
                    </w:pPr>
                    <w:r>
                      <w:rPr>
                        <w:sz w:val="20"/>
                      </w:rPr>
                      <w:t>2025</w:t>
                    </w:r>
                  </w:p>
                </w:tc>
                <w:tc>
                  <w:tcPr>
                    <w:tcW w:w="709" w:type="dxa"/>
                    <w:vMerge w:val="restart"/>
                    <w:shd w:val="clear" w:color="auto" w:fill="FFD966"/>
                    <w:vAlign w:val="center"/>
                    <w:hideMark/>
                  </w:tcPr>
                  <w:p>
                    <w:pPr>
                      <w:jc w:val="center"/>
                      <w:rPr>
                        <w:sz w:val="20"/>
                      </w:rPr>
                    </w:pPr>
                    <w:r>
                      <w:rPr>
                        <w:sz w:val="20"/>
                      </w:rPr>
                      <w:t>2033</w:t>
                    </w:r>
                  </w:p>
                </w:tc>
                <w:tc>
                  <w:tcPr>
                    <w:tcW w:w="1417" w:type="dxa"/>
                    <w:shd w:val="clear" w:color="auto" w:fill="FFD966"/>
                    <w:vAlign w:val="center"/>
                    <w:hideMark/>
                  </w:tcPr>
                  <w:p>
                    <w:pPr>
                      <w:rPr>
                        <w:sz w:val="20"/>
                      </w:rPr>
                    </w:pPr>
                    <w:r>
                      <w:rPr>
                        <w:sz w:val="20"/>
                      </w:rPr>
                      <w:t>P-11-01</w:t>
                    </w:r>
                  </w:p>
                </w:tc>
                <w:tc>
                  <w:tcPr>
                    <w:tcW w:w="4111" w:type="dxa"/>
                    <w:shd w:val="clear" w:color="auto" w:fill="FFD966"/>
                    <w:vAlign w:val="center"/>
                    <w:hideMark/>
                  </w:tcPr>
                  <w:p>
                    <w:pPr>
                      <w:rPr>
                        <w:sz w:val="20"/>
                      </w:rPr>
                    </w:pPr>
                    <w:r>
                      <w:rPr>
                        <w:sz w:val="20"/>
                      </w:rPr>
                      <w:t>Gyventojų pasitenkinimas savivaldybės administracijos darbu (proc.)</w:t>
                    </w:r>
                  </w:p>
                </w:tc>
                <w:tc>
                  <w:tcPr>
                    <w:tcW w:w="1134" w:type="dxa"/>
                    <w:shd w:val="clear" w:color="auto" w:fill="FFD966"/>
                    <w:vAlign w:val="center"/>
                    <w:hideMark/>
                  </w:tcPr>
                  <w:p>
                    <w:pPr>
                      <w:jc w:val="center"/>
                      <w:rPr>
                        <w:sz w:val="20"/>
                      </w:rPr>
                    </w:pPr>
                    <w:r>
                      <w:rPr>
                        <w:sz w:val="20"/>
                      </w:rPr>
                      <w:t>Tyrimas (AAS)</w:t>
                    </w:r>
                  </w:p>
                </w:tc>
                <w:tc>
                  <w:tcPr>
                    <w:tcW w:w="1134" w:type="dxa"/>
                    <w:shd w:val="clear" w:color="auto" w:fill="FFD966"/>
                    <w:vAlign w:val="center"/>
                    <w:hideMark/>
                  </w:tcPr>
                  <w:p>
                    <w:pPr>
                      <w:jc w:val="center"/>
                      <w:rPr>
                        <w:sz w:val="20"/>
                      </w:rPr>
                    </w:pPr>
                    <w:r>
                      <w:rPr>
                        <w:sz w:val="20"/>
                      </w:rPr>
                      <w:t>7,1 (2023)</w:t>
                    </w:r>
                  </w:p>
                </w:tc>
                <w:tc>
                  <w:tcPr>
                    <w:tcW w:w="1134" w:type="dxa"/>
                    <w:shd w:val="clear" w:color="auto" w:fill="FFD966"/>
                    <w:vAlign w:val="center"/>
                    <w:hideMark/>
                  </w:tcPr>
                  <w:p>
                    <w:pPr>
                      <w:jc w:val="center"/>
                      <w:rPr>
                        <w:sz w:val="20"/>
                      </w:rPr>
                    </w:pPr>
                    <w:r>
                      <w:rPr>
                        <w:sz w:val="20"/>
                      </w:rPr>
                      <w:t>7,6 (2033)</w:t>
                    </w:r>
                  </w:p>
                </w:tc>
              </w:tr>
              <w:tr>
                <w:trPr>
                  <w:trHeight w:val="559"/>
                  <w:jc w:val="center"/>
                </w:trPr>
                <w:tc>
                  <w:tcPr>
                    <w:tcW w:w="988" w:type="dxa"/>
                    <w:vMerge/>
                    <w:shd w:val="clear" w:color="auto" w:fill="FFD966"/>
                    <w:vAlign w:val="center"/>
                    <w:hideMark/>
                  </w:tcPr>
                  <w:p>
                    <w:pPr>
                      <w:rPr>
                        <w:b/>
                        <w:bCs/>
                        <w:sz w:val="20"/>
                      </w:rPr>
                    </w:pPr>
                  </w:p>
                </w:tc>
                <w:tc>
                  <w:tcPr>
                    <w:tcW w:w="2126" w:type="dxa"/>
                    <w:vMerge/>
                    <w:shd w:val="clear" w:color="auto" w:fill="FFD966"/>
                    <w:vAlign w:val="center"/>
                    <w:hideMark/>
                  </w:tcPr>
                  <w:p>
                    <w:pPr>
                      <w:rPr>
                        <w:b/>
                        <w:bCs/>
                        <w:sz w:val="20"/>
                      </w:rPr>
                    </w:pPr>
                  </w:p>
                </w:tc>
                <w:tc>
                  <w:tcPr>
                    <w:tcW w:w="850" w:type="dxa"/>
                    <w:vMerge/>
                    <w:shd w:val="clear" w:color="auto" w:fill="FFD966"/>
                    <w:vAlign w:val="center"/>
                    <w:hideMark/>
                  </w:tcPr>
                  <w:p>
                    <w:pPr>
                      <w:rPr>
                        <w:sz w:val="20"/>
                      </w:rPr>
                    </w:pPr>
                  </w:p>
                </w:tc>
                <w:tc>
                  <w:tcPr>
                    <w:tcW w:w="709" w:type="dxa"/>
                    <w:vMerge/>
                    <w:shd w:val="clear" w:color="auto" w:fill="FFD966"/>
                    <w:vAlign w:val="center"/>
                    <w:hideMark/>
                  </w:tcPr>
                  <w:p>
                    <w:pPr>
                      <w:rPr>
                        <w:sz w:val="20"/>
                      </w:rPr>
                    </w:pPr>
                  </w:p>
                </w:tc>
                <w:tc>
                  <w:tcPr>
                    <w:tcW w:w="709" w:type="dxa"/>
                    <w:vMerge/>
                    <w:shd w:val="clear" w:color="auto" w:fill="FFD966"/>
                    <w:vAlign w:val="center"/>
                    <w:hideMark/>
                  </w:tcPr>
                  <w:p>
                    <w:pPr>
                      <w:rPr>
                        <w:sz w:val="20"/>
                      </w:rPr>
                    </w:pPr>
                  </w:p>
                </w:tc>
                <w:tc>
                  <w:tcPr>
                    <w:tcW w:w="1417" w:type="dxa"/>
                    <w:shd w:val="clear" w:color="auto" w:fill="FFD966"/>
                    <w:vAlign w:val="center"/>
                    <w:hideMark/>
                  </w:tcPr>
                  <w:p>
                    <w:pPr>
                      <w:rPr>
                        <w:sz w:val="20"/>
                      </w:rPr>
                    </w:pPr>
                    <w:r>
                      <w:rPr>
                        <w:sz w:val="20"/>
                      </w:rPr>
                      <w:t>P-11-02</w:t>
                    </w:r>
                  </w:p>
                </w:tc>
                <w:tc>
                  <w:tcPr>
                    <w:tcW w:w="4111" w:type="dxa"/>
                    <w:shd w:val="clear" w:color="auto" w:fill="FFD966"/>
                    <w:vAlign w:val="center"/>
                    <w:hideMark/>
                  </w:tcPr>
                  <w:p>
                    <w:pPr>
                      <w:rPr>
                        <w:sz w:val="20"/>
                      </w:rPr>
                    </w:pPr>
                    <w:r>
                      <w:rPr>
                        <w:sz w:val="20"/>
                      </w:rPr>
                      <w:t>El. būdu teikiamų paslaugų dalis nuo visų galimų teikti el. būdu paslaugų (proc.)</w:t>
                    </w:r>
                  </w:p>
                </w:tc>
                <w:tc>
                  <w:tcPr>
                    <w:tcW w:w="1134" w:type="dxa"/>
                    <w:shd w:val="clear" w:color="auto" w:fill="FFD966"/>
                    <w:vAlign w:val="center"/>
                    <w:hideMark/>
                  </w:tcPr>
                  <w:p>
                    <w:pPr>
                      <w:jc w:val="center"/>
                      <w:rPr>
                        <w:sz w:val="20"/>
                      </w:rPr>
                    </w:pPr>
                    <w:r>
                      <w:rPr>
                        <w:sz w:val="20"/>
                      </w:rPr>
                      <w:t>ŠMSA (AAS)</w:t>
                    </w:r>
                  </w:p>
                </w:tc>
                <w:tc>
                  <w:tcPr>
                    <w:tcW w:w="1134" w:type="dxa"/>
                    <w:shd w:val="clear" w:color="auto" w:fill="FFD966"/>
                    <w:vAlign w:val="center"/>
                    <w:hideMark/>
                  </w:tcPr>
                  <w:p>
                    <w:pPr>
                      <w:jc w:val="center"/>
                      <w:rPr>
                        <w:sz w:val="20"/>
                      </w:rPr>
                    </w:pPr>
                    <w:r>
                      <w:rPr>
                        <w:sz w:val="20"/>
                      </w:rPr>
                      <w:t>74,9 (2022)</w:t>
                    </w:r>
                  </w:p>
                </w:tc>
                <w:tc>
                  <w:tcPr>
                    <w:tcW w:w="1134" w:type="dxa"/>
                    <w:shd w:val="clear" w:color="auto" w:fill="FFD966"/>
                    <w:vAlign w:val="center"/>
                    <w:hideMark/>
                  </w:tcPr>
                  <w:p>
                    <w:pPr>
                      <w:jc w:val="center"/>
                      <w:rPr>
                        <w:sz w:val="20"/>
                      </w:rPr>
                    </w:pPr>
                    <w:r>
                      <w:rPr>
                        <w:sz w:val="20"/>
                      </w:rPr>
                      <w:t>100 (2033)</w:t>
                    </w:r>
                  </w:p>
                </w:tc>
              </w:tr>
              <w:tr>
                <w:trPr>
                  <w:trHeight w:val="519"/>
                  <w:jc w:val="center"/>
                </w:trPr>
                <w:tc>
                  <w:tcPr>
                    <w:tcW w:w="988" w:type="dxa"/>
                    <w:vMerge/>
                    <w:shd w:val="clear" w:color="auto" w:fill="FFD966"/>
                    <w:vAlign w:val="center"/>
                    <w:hideMark/>
                  </w:tcPr>
                  <w:p>
                    <w:pPr>
                      <w:rPr>
                        <w:b/>
                        <w:bCs/>
                        <w:sz w:val="20"/>
                      </w:rPr>
                    </w:pPr>
                  </w:p>
                </w:tc>
                <w:tc>
                  <w:tcPr>
                    <w:tcW w:w="2126" w:type="dxa"/>
                    <w:vMerge/>
                    <w:shd w:val="clear" w:color="auto" w:fill="FFD966"/>
                    <w:vAlign w:val="center"/>
                    <w:hideMark/>
                  </w:tcPr>
                  <w:p>
                    <w:pPr>
                      <w:rPr>
                        <w:b/>
                        <w:bCs/>
                        <w:sz w:val="20"/>
                      </w:rPr>
                    </w:pPr>
                  </w:p>
                </w:tc>
                <w:tc>
                  <w:tcPr>
                    <w:tcW w:w="850" w:type="dxa"/>
                    <w:vMerge/>
                    <w:shd w:val="clear" w:color="auto" w:fill="FFD966"/>
                    <w:vAlign w:val="center"/>
                    <w:hideMark/>
                  </w:tcPr>
                  <w:p>
                    <w:pPr>
                      <w:rPr>
                        <w:sz w:val="20"/>
                      </w:rPr>
                    </w:pPr>
                  </w:p>
                </w:tc>
                <w:tc>
                  <w:tcPr>
                    <w:tcW w:w="709" w:type="dxa"/>
                    <w:vMerge/>
                    <w:shd w:val="clear" w:color="auto" w:fill="FFD966"/>
                    <w:vAlign w:val="center"/>
                    <w:hideMark/>
                  </w:tcPr>
                  <w:p>
                    <w:pPr>
                      <w:rPr>
                        <w:sz w:val="20"/>
                      </w:rPr>
                    </w:pPr>
                  </w:p>
                </w:tc>
                <w:tc>
                  <w:tcPr>
                    <w:tcW w:w="709" w:type="dxa"/>
                    <w:vMerge/>
                    <w:shd w:val="clear" w:color="auto" w:fill="FFD966"/>
                    <w:vAlign w:val="center"/>
                    <w:hideMark/>
                  </w:tcPr>
                  <w:p>
                    <w:pPr>
                      <w:rPr>
                        <w:sz w:val="20"/>
                      </w:rPr>
                    </w:pPr>
                  </w:p>
                </w:tc>
                <w:tc>
                  <w:tcPr>
                    <w:tcW w:w="1417" w:type="dxa"/>
                    <w:shd w:val="clear" w:color="auto" w:fill="FFD966"/>
                    <w:vAlign w:val="center"/>
                    <w:hideMark/>
                  </w:tcPr>
                  <w:p>
                    <w:pPr>
                      <w:rPr>
                        <w:sz w:val="20"/>
                      </w:rPr>
                    </w:pPr>
                    <w:r>
                      <w:rPr>
                        <w:sz w:val="20"/>
                      </w:rPr>
                      <w:t>P-11-03</w:t>
                    </w:r>
                  </w:p>
                </w:tc>
                <w:tc>
                  <w:tcPr>
                    <w:tcW w:w="4111" w:type="dxa"/>
                    <w:shd w:val="clear" w:color="auto" w:fill="FFD966"/>
                    <w:vAlign w:val="center"/>
                    <w:hideMark/>
                  </w:tcPr>
                  <w:p>
                    <w:pPr>
                      <w:rPr>
                        <w:sz w:val="20"/>
                      </w:rPr>
                    </w:pPr>
                    <w:r>
                      <w:rPr>
                        <w:sz w:val="20"/>
                      </w:rPr>
                      <w:t>Patvirtintų pareigybių skaičius savivaldybės administracijoje, tenkantis 1 tūkst. nuolatinių gyventojų (asm. per metus)</w:t>
                    </w:r>
                  </w:p>
                </w:tc>
                <w:tc>
                  <w:tcPr>
                    <w:tcW w:w="1134" w:type="dxa"/>
                    <w:shd w:val="clear" w:color="auto" w:fill="FFD966"/>
                    <w:vAlign w:val="center"/>
                    <w:hideMark/>
                  </w:tcPr>
                  <w:p>
                    <w:pPr>
                      <w:jc w:val="center"/>
                      <w:rPr>
                        <w:sz w:val="20"/>
                      </w:rPr>
                    </w:pPr>
                    <w:r>
                      <w:rPr>
                        <w:sz w:val="20"/>
                      </w:rPr>
                      <w:t>ŠMSA (PS)</w:t>
                    </w:r>
                  </w:p>
                </w:tc>
                <w:tc>
                  <w:tcPr>
                    <w:tcW w:w="1134" w:type="dxa"/>
                    <w:shd w:val="clear" w:color="auto" w:fill="FFD966"/>
                    <w:vAlign w:val="center"/>
                    <w:hideMark/>
                  </w:tcPr>
                  <w:p>
                    <w:pPr>
                      <w:jc w:val="center"/>
                      <w:rPr>
                        <w:sz w:val="20"/>
                      </w:rPr>
                    </w:pPr>
                    <w:r>
                      <w:rPr>
                        <w:sz w:val="20"/>
                      </w:rPr>
                      <w:t>2,5 (2023)</w:t>
                    </w:r>
                  </w:p>
                </w:tc>
                <w:tc>
                  <w:tcPr>
                    <w:tcW w:w="1134" w:type="dxa"/>
                    <w:shd w:val="clear" w:color="auto" w:fill="FFD966"/>
                    <w:vAlign w:val="center"/>
                    <w:hideMark/>
                  </w:tcPr>
                  <w:p>
                    <w:pPr>
                      <w:jc w:val="center"/>
                      <w:rPr>
                        <w:sz w:val="20"/>
                      </w:rPr>
                    </w:pPr>
                    <w:r>
                      <w:rPr>
                        <w:sz w:val="20"/>
                      </w:rPr>
                      <w:t>2,6 (2033)</w:t>
                    </w:r>
                  </w:p>
                </w:tc>
              </w:tr>
              <w:tr>
                <w:trPr>
                  <w:trHeight w:val="649"/>
                  <w:jc w:val="center"/>
                </w:trPr>
                <w:tc>
                  <w:tcPr>
                    <w:tcW w:w="988" w:type="dxa"/>
                    <w:vMerge/>
                    <w:shd w:val="clear" w:color="auto" w:fill="FFD966"/>
                    <w:vAlign w:val="center"/>
                    <w:hideMark/>
                  </w:tcPr>
                  <w:p>
                    <w:pPr>
                      <w:rPr>
                        <w:b/>
                        <w:bCs/>
                        <w:sz w:val="20"/>
                      </w:rPr>
                    </w:pPr>
                  </w:p>
                </w:tc>
                <w:tc>
                  <w:tcPr>
                    <w:tcW w:w="2126" w:type="dxa"/>
                    <w:vMerge/>
                    <w:shd w:val="clear" w:color="auto" w:fill="FFD966"/>
                    <w:vAlign w:val="center"/>
                    <w:hideMark/>
                  </w:tcPr>
                  <w:p>
                    <w:pPr>
                      <w:rPr>
                        <w:b/>
                        <w:bCs/>
                        <w:sz w:val="20"/>
                      </w:rPr>
                    </w:pPr>
                  </w:p>
                </w:tc>
                <w:tc>
                  <w:tcPr>
                    <w:tcW w:w="850" w:type="dxa"/>
                    <w:vMerge/>
                    <w:shd w:val="clear" w:color="auto" w:fill="FFD966"/>
                    <w:vAlign w:val="center"/>
                    <w:hideMark/>
                  </w:tcPr>
                  <w:p>
                    <w:pPr>
                      <w:rPr>
                        <w:sz w:val="20"/>
                      </w:rPr>
                    </w:pPr>
                  </w:p>
                </w:tc>
                <w:tc>
                  <w:tcPr>
                    <w:tcW w:w="709" w:type="dxa"/>
                    <w:vMerge/>
                    <w:shd w:val="clear" w:color="auto" w:fill="FFD966"/>
                    <w:vAlign w:val="center"/>
                    <w:hideMark/>
                  </w:tcPr>
                  <w:p>
                    <w:pPr>
                      <w:rPr>
                        <w:sz w:val="20"/>
                      </w:rPr>
                    </w:pPr>
                  </w:p>
                </w:tc>
                <w:tc>
                  <w:tcPr>
                    <w:tcW w:w="709" w:type="dxa"/>
                    <w:vMerge/>
                    <w:shd w:val="clear" w:color="auto" w:fill="FFD966"/>
                    <w:vAlign w:val="center"/>
                    <w:hideMark/>
                  </w:tcPr>
                  <w:p>
                    <w:pPr>
                      <w:rPr>
                        <w:sz w:val="20"/>
                      </w:rPr>
                    </w:pPr>
                  </w:p>
                </w:tc>
                <w:tc>
                  <w:tcPr>
                    <w:tcW w:w="1417" w:type="dxa"/>
                    <w:shd w:val="clear" w:color="auto" w:fill="FFD966"/>
                    <w:vAlign w:val="center"/>
                    <w:hideMark/>
                  </w:tcPr>
                  <w:p>
                    <w:pPr>
                      <w:rPr>
                        <w:sz w:val="20"/>
                      </w:rPr>
                    </w:pPr>
                    <w:r>
                      <w:rPr>
                        <w:sz w:val="20"/>
                      </w:rPr>
                      <w:t>P-11-04</w:t>
                    </w:r>
                  </w:p>
                </w:tc>
                <w:tc>
                  <w:tcPr>
                    <w:tcW w:w="4111" w:type="dxa"/>
                    <w:shd w:val="clear" w:color="auto" w:fill="FFD966"/>
                    <w:vAlign w:val="center"/>
                    <w:hideMark/>
                  </w:tcPr>
                  <w:p>
                    <w:pPr>
                      <w:rPr>
                        <w:sz w:val="20"/>
                      </w:rPr>
                    </w:pPr>
                    <w:r>
                      <w:rPr>
                        <w:sz w:val="20"/>
                      </w:rPr>
                      <w:t>Savivaldybės biudžetas, tenkantis vienam Šiaulių miesto nuolatiniam gyventojui (Eur per metus)</w:t>
                    </w:r>
                  </w:p>
                </w:tc>
                <w:tc>
                  <w:tcPr>
                    <w:tcW w:w="1134" w:type="dxa"/>
                    <w:shd w:val="clear" w:color="auto" w:fill="FFD966"/>
                    <w:vAlign w:val="center"/>
                    <w:hideMark/>
                  </w:tcPr>
                  <w:p>
                    <w:pPr>
                      <w:jc w:val="center"/>
                      <w:rPr>
                        <w:sz w:val="20"/>
                      </w:rPr>
                    </w:pPr>
                    <w:r>
                      <w:rPr>
                        <w:sz w:val="20"/>
                      </w:rPr>
                      <w:t>ŠMSA (SPFS)</w:t>
                    </w:r>
                  </w:p>
                </w:tc>
                <w:tc>
                  <w:tcPr>
                    <w:tcW w:w="1134" w:type="dxa"/>
                    <w:shd w:val="clear" w:color="auto" w:fill="FFD966"/>
                    <w:vAlign w:val="center"/>
                    <w:hideMark/>
                  </w:tcPr>
                  <w:p>
                    <w:pPr>
                      <w:jc w:val="center"/>
                      <w:rPr>
                        <w:sz w:val="20"/>
                      </w:rPr>
                    </w:pPr>
                    <w:r>
                      <w:rPr>
                        <w:sz w:val="20"/>
                      </w:rPr>
                      <w:t>2104 (2023)</w:t>
                    </w:r>
                  </w:p>
                </w:tc>
                <w:tc>
                  <w:tcPr>
                    <w:tcW w:w="1134" w:type="dxa"/>
                    <w:shd w:val="clear" w:color="auto" w:fill="FFD966"/>
                    <w:vAlign w:val="center"/>
                    <w:hideMark/>
                  </w:tcPr>
                  <w:p>
                    <w:pPr>
                      <w:jc w:val="center"/>
                      <w:rPr>
                        <w:sz w:val="20"/>
                      </w:rPr>
                    </w:pPr>
                    <w:r>
                      <w:rPr>
                        <w:sz w:val="20"/>
                      </w:rPr>
                      <w:t>3376 (2033)</w:t>
                    </w:r>
                  </w:p>
                </w:tc>
              </w:tr>
              <w:tr>
                <w:trPr>
                  <w:trHeight w:val="780"/>
                  <w:jc w:val="center"/>
                </w:trPr>
                <w:tc>
                  <w:tcPr>
                    <w:tcW w:w="988" w:type="dxa"/>
                    <w:vMerge w:val="restart"/>
                    <w:shd w:val="clear" w:color="auto" w:fill="FCE4D6"/>
                    <w:noWrap/>
                    <w:vAlign w:val="center"/>
                    <w:hideMark/>
                  </w:tcPr>
                  <w:p>
                    <w:pPr>
                      <w:rPr>
                        <w:b/>
                        <w:bCs/>
                        <w:sz w:val="20"/>
                      </w:rPr>
                    </w:pPr>
                    <w:r>
                      <w:rPr>
                        <w:b/>
                        <w:bCs/>
                        <w:sz w:val="20"/>
                      </w:rPr>
                      <w:t>11-01</w:t>
                    </w:r>
                  </w:p>
                </w:tc>
                <w:tc>
                  <w:tcPr>
                    <w:tcW w:w="2126" w:type="dxa"/>
                    <w:vMerge w:val="restart"/>
                    <w:shd w:val="clear" w:color="auto" w:fill="FCE4D6"/>
                    <w:vAlign w:val="center"/>
                    <w:hideMark/>
                  </w:tcPr>
                  <w:p>
                    <w:pPr>
                      <w:rPr>
                        <w:b/>
                        <w:bCs/>
                        <w:sz w:val="20"/>
                      </w:rPr>
                    </w:pPr>
                    <w:r>
                      <w:rPr>
                        <w:b/>
                        <w:bCs/>
                        <w:sz w:val="20"/>
                      </w:rPr>
                      <w:t>Gerinti veiklos valdymą ir efektyviai išnaudoti pažangius skaitmeninius sprendimus teikiant paslaugas</w:t>
                    </w:r>
                  </w:p>
                </w:tc>
                <w:tc>
                  <w:tcPr>
                    <w:tcW w:w="850" w:type="dxa"/>
                    <w:vMerge w:val="restart"/>
                    <w:shd w:val="clear" w:color="auto" w:fill="FCE4D6"/>
                    <w:vAlign w:val="center"/>
                    <w:hideMark/>
                  </w:tcPr>
                  <w:p>
                    <w:pPr>
                      <w:jc w:val="center"/>
                      <w:rPr>
                        <w:sz w:val="20"/>
                      </w:rPr>
                    </w:pPr>
                    <w:r>
                      <w:rPr>
                        <w:sz w:val="20"/>
                      </w:rPr>
                      <w:t>AD</w:t>
                    </w:r>
                  </w:p>
                </w:tc>
                <w:tc>
                  <w:tcPr>
                    <w:tcW w:w="709" w:type="dxa"/>
                    <w:vMerge w:val="restart"/>
                    <w:shd w:val="clear" w:color="auto" w:fill="FCE4D6"/>
                    <w:vAlign w:val="center"/>
                    <w:hideMark/>
                  </w:tcPr>
                  <w:p>
                    <w:pPr>
                      <w:jc w:val="center"/>
                      <w:rPr>
                        <w:sz w:val="20"/>
                      </w:rPr>
                    </w:pPr>
                    <w:r>
                      <w:rPr>
                        <w:sz w:val="20"/>
                      </w:rPr>
                      <w:t>2025</w:t>
                    </w:r>
                  </w:p>
                </w:tc>
                <w:tc>
                  <w:tcPr>
                    <w:tcW w:w="709" w:type="dxa"/>
                    <w:vMerge w:val="restart"/>
                    <w:shd w:val="clear" w:color="auto" w:fill="FCE4D6"/>
                    <w:vAlign w:val="center"/>
                    <w:hideMark/>
                  </w:tcPr>
                  <w:p>
                    <w:pPr>
                      <w:jc w:val="center"/>
                      <w:rPr>
                        <w:sz w:val="20"/>
                      </w:rPr>
                    </w:pPr>
                    <w:r>
                      <w:rPr>
                        <w:sz w:val="20"/>
                      </w:rPr>
                      <w:t>2033</w:t>
                    </w:r>
                  </w:p>
                </w:tc>
                <w:tc>
                  <w:tcPr>
                    <w:tcW w:w="1417" w:type="dxa"/>
                    <w:shd w:val="clear" w:color="auto" w:fill="FCE4D6"/>
                    <w:vAlign w:val="center"/>
                    <w:hideMark/>
                  </w:tcPr>
                  <w:p>
                    <w:pPr>
                      <w:rPr>
                        <w:sz w:val="20"/>
                      </w:rPr>
                    </w:pPr>
                    <w:r>
                      <w:rPr>
                        <w:sz w:val="20"/>
                      </w:rPr>
                      <w:t>R-11-01-01</w:t>
                    </w:r>
                  </w:p>
                </w:tc>
                <w:tc>
                  <w:tcPr>
                    <w:tcW w:w="4111" w:type="dxa"/>
                    <w:shd w:val="clear" w:color="auto" w:fill="FCE4D6"/>
                    <w:vAlign w:val="center"/>
                    <w:hideMark/>
                  </w:tcPr>
                  <w:p>
                    <w:pPr>
                      <w:rPr>
                        <w:sz w:val="20"/>
                      </w:rPr>
                    </w:pPr>
                    <w:r>
                      <w:rPr>
                        <w:sz w:val="20"/>
                      </w:rPr>
                      <w:t>Savivaldybės biudžetas, tenkantis vienai patvirtintai pareigybei savivaldybės administracijoje (mln. Eur per metus)</w:t>
                    </w:r>
                  </w:p>
                </w:tc>
                <w:tc>
                  <w:tcPr>
                    <w:tcW w:w="1134" w:type="dxa"/>
                    <w:shd w:val="clear" w:color="auto" w:fill="FCE4D6"/>
                    <w:vAlign w:val="center"/>
                    <w:hideMark/>
                  </w:tcPr>
                  <w:p>
                    <w:pPr>
                      <w:jc w:val="center"/>
                      <w:rPr>
                        <w:sz w:val="20"/>
                      </w:rPr>
                    </w:pPr>
                    <w:r>
                      <w:rPr>
                        <w:sz w:val="20"/>
                      </w:rPr>
                      <w:t>ŠMSA (SPFS)</w:t>
                    </w:r>
                  </w:p>
                </w:tc>
                <w:tc>
                  <w:tcPr>
                    <w:tcW w:w="1134" w:type="dxa"/>
                    <w:shd w:val="clear" w:color="auto" w:fill="FCE4D6"/>
                    <w:vAlign w:val="center"/>
                    <w:hideMark/>
                  </w:tcPr>
                  <w:p>
                    <w:pPr>
                      <w:jc w:val="center"/>
                      <w:rPr>
                        <w:sz w:val="20"/>
                      </w:rPr>
                    </w:pPr>
                    <w:r>
                      <w:rPr>
                        <w:sz w:val="20"/>
                      </w:rPr>
                      <w:t>0,82 (2023)</w:t>
                    </w:r>
                  </w:p>
                </w:tc>
                <w:tc>
                  <w:tcPr>
                    <w:tcW w:w="1134" w:type="dxa"/>
                    <w:shd w:val="clear" w:color="auto" w:fill="FCE4D6"/>
                    <w:vAlign w:val="center"/>
                    <w:hideMark/>
                  </w:tcPr>
                  <w:p>
                    <w:pPr>
                      <w:jc w:val="center"/>
                      <w:rPr>
                        <w:sz w:val="20"/>
                      </w:rPr>
                    </w:pPr>
                    <w:r>
                      <w:rPr>
                        <w:sz w:val="20"/>
                      </w:rPr>
                      <w:t>1,3 (2033)</w:t>
                    </w:r>
                  </w:p>
                </w:tc>
              </w:tr>
              <w:tr>
                <w:trPr>
                  <w:trHeight w:val="530"/>
                  <w:jc w:val="center"/>
                </w:trPr>
                <w:tc>
                  <w:tcPr>
                    <w:tcW w:w="988" w:type="dxa"/>
                    <w:vMerge/>
                    <w:shd w:val="clear" w:color="auto" w:fill="FCE4D6"/>
                    <w:vAlign w:val="center"/>
                    <w:hideMark/>
                  </w:tcPr>
                  <w:p>
                    <w:pPr>
                      <w:rPr>
                        <w:b/>
                        <w:bCs/>
                        <w:sz w:val="20"/>
                      </w:rPr>
                    </w:pPr>
                  </w:p>
                </w:tc>
                <w:tc>
                  <w:tcPr>
                    <w:tcW w:w="2126" w:type="dxa"/>
                    <w:vMerge/>
                    <w:shd w:val="clear" w:color="auto" w:fill="FCE4D6"/>
                    <w:vAlign w:val="center"/>
                    <w:hideMark/>
                  </w:tcPr>
                  <w:p>
                    <w:pPr>
                      <w:rPr>
                        <w:b/>
                        <w:bCs/>
                        <w:sz w:val="20"/>
                      </w:rPr>
                    </w:pPr>
                  </w:p>
                </w:tc>
                <w:tc>
                  <w:tcPr>
                    <w:tcW w:w="850" w:type="dxa"/>
                    <w:vMerge/>
                    <w:shd w:val="clear" w:color="auto" w:fill="FCE4D6"/>
                    <w:vAlign w:val="center"/>
                    <w:hideMark/>
                  </w:tcPr>
                  <w:p>
                    <w:pPr>
                      <w:rPr>
                        <w:sz w:val="20"/>
                      </w:rPr>
                    </w:pPr>
                  </w:p>
                </w:tc>
                <w:tc>
                  <w:tcPr>
                    <w:tcW w:w="709" w:type="dxa"/>
                    <w:vMerge/>
                    <w:shd w:val="clear" w:color="auto" w:fill="FCE4D6"/>
                    <w:vAlign w:val="center"/>
                    <w:hideMark/>
                  </w:tcPr>
                  <w:p>
                    <w:pPr>
                      <w:rPr>
                        <w:sz w:val="20"/>
                      </w:rPr>
                    </w:pPr>
                  </w:p>
                </w:tc>
                <w:tc>
                  <w:tcPr>
                    <w:tcW w:w="709" w:type="dxa"/>
                    <w:vMerge/>
                    <w:shd w:val="clear" w:color="auto" w:fill="FCE4D6"/>
                    <w:vAlign w:val="center"/>
                    <w:hideMark/>
                  </w:tcPr>
                  <w:p>
                    <w:pPr>
                      <w:rPr>
                        <w:sz w:val="20"/>
                      </w:rPr>
                    </w:pPr>
                  </w:p>
                </w:tc>
                <w:tc>
                  <w:tcPr>
                    <w:tcW w:w="1417" w:type="dxa"/>
                    <w:shd w:val="clear" w:color="auto" w:fill="FCE4D6"/>
                    <w:vAlign w:val="center"/>
                    <w:hideMark/>
                  </w:tcPr>
                  <w:p>
                    <w:pPr>
                      <w:rPr>
                        <w:sz w:val="20"/>
                      </w:rPr>
                    </w:pPr>
                    <w:r>
                      <w:rPr>
                        <w:sz w:val="20"/>
                      </w:rPr>
                      <w:t>R-11-01-02</w:t>
                    </w:r>
                  </w:p>
                </w:tc>
                <w:tc>
                  <w:tcPr>
                    <w:tcW w:w="4111" w:type="dxa"/>
                    <w:shd w:val="clear" w:color="auto" w:fill="FCE4D6"/>
                    <w:vAlign w:val="center"/>
                    <w:hideMark/>
                  </w:tcPr>
                  <w:p>
                    <w:pPr>
                      <w:rPr>
                        <w:sz w:val="20"/>
                      </w:rPr>
                    </w:pPr>
                    <w:r>
                      <w:rPr>
                        <w:sz w:val="20"/>
                      </w:rPr>
                      <w:t>Vieta pagal lyčių lygybės stebėsenos savivaldybėse rodiklius (v.)</w:t>
                    </w:r>
                  </w:p>
                </w:tc>
                <w:tc>
                  <w:tcPr>
                    <w:tcW w:w="1134" w:type="dxa"/>
                    <w:shd w:val="clear" w:color="auto" w:fill="FCE4D6"/>
                    <w:vAlign w:val="center"/>
                    <w:hideMark/>
                  </w:tcPr>
                  <w:p>
                    <w:pPr>
                      <w:jc w:val="center"/>
                      <w:rPr>
                        <w:sz w:val="20"/>
                      </w:rPr>
                    </w:pPr>
                    <w:r>
                      <w:rPr>
                        <w:sz w:val="20"/>
                      </w:rPr>
                      <w:t>LGKT (KAAK)</w:t>
                    </w:r>
                  </w:p>
                </w:tc>
                <w:tc>
                  <w:tcPr>
                    <w:tcW w:w="1134" w:type="dxa"/>
                    <w:shd w:val="clear" w:color="auto" w:fill="FCE4D6"/>
                    <w:vAlign w:val="center"/>
                    <w:hideMark/>
                  </w:tcPr>
                  <w:p>
                    <w:pPr>
                      <w:jc w:val="center"/>
                      <w:rPr>
                        <w:sz w:val="20"/>
                      </w:rPr>
                    </w:pPr>
                    <w:r>
                      <w:rPr>
                        <w:sz w:val="20"/>
                      </w:rPr>
                      <w:t>21 (2022)</w:t>
                    </w:r>
                  </w:p>
                </w:tc>
                <w:tc>
                  <w:tcPr>
                    <w:tcW w:w="1134" w:type="dxa"/>
                    <w:shd w:val="clear" w:color="auto" w:fill="FCE4D6"/>
                    <w:vAlign w:val="center"/>
                    <w:hideMark/>
                  </w:tcPr>
                  <w:p>
                    <w:pPr>
                      <w:jc w:val="center"/>
                      <w:rPr>
                        <w:sz w:val="20"/>
                      </w:rPr>
                    </w:pPr>
                    <w:r>
                      <w:rPr>
                        <w:sz w:val="20"/>
                      </w:rPr>
                      <w:t>10 (2033)</w:t>
                    </w:r>
                  </w:p>
                </w:tc>
              </w:tr>
              <w:tr>
                <w:trPr>
                  <w:trHeight w:val="700"/>
                  <w:jc w:val="center"/>
                </w:trPr>
                <w:tc>
                  <w:tcPr>
                    <w:tcW w:w="988" w:type="dxa"/>
                    <w:vMerge w:val="restart"/>
                    <w:noWrap/>
                    <w:vAlign w:val="center"/>
                    <w:hideMark/>
                  </w:tcPr>
                  <w:p>
                    <w:pPr>
                      <w:rPr>
                        <w:sz w:val="20"/>
                      </w:rPr>
                    </w:pPr>
                    <w:r>
                      <w:rPr>
                        <w:sz w:val="20"/>
                      </w:rPr>
                      <w:t>11-01-01</w:t>
                    </w:r>
                  </w:p>
                </w:tc>
                <w:tc>
                  <w:tcPr>
                    <w:tcW w:w="2126" w:type="dxa"/>
                    <w:vMerge w:val="restart"/>
                    <w:vAlign w:val="center"/>
                    <w:hideMark/>
                  </w:tcPr>
                  <w:p>
                    <w:pPr>
                      <w:rPr>
                        <w:sz w:val="20"/>
                      </w:rPr>
                    </w:pPr>
                    <w:r>
                      <w:rPr>
                        <w:sz w:val="20"/>
                      </w:rPr>
                      <w:t>Didinti savivaldybės administracijos ir jos atliekamų funkcijų skaitmenizacijos lygį</w:t>
                    </w:r>
                  </w:p>
                </w:tc>
                <w:tc>
                  <w:tcPr>
                    <w:tcW w:w="850" w:type="dxa"/>
                    <w:vMerge w:val="restart"/>
                    <w:vAlign w:val="center"/>
                    <w:hideMark/>
                  </w:tcPr>
                  <w:p>
                    <w:pPr>
                      <w:jc w:val="center"/>
                      <w:rPr>
                        <w:sz w:val="20"/>
                      </w:rPr>
                    </w:pPr>
                    <w:r>
                      <w:rPr>
                        <w:sz w:val="20"/>
                      </w:rPr>
                      <w:t>BRS (ITP)</w:t>
                    </w:r>
                  </w:p>
                </w:tc>
                <w:tc>
                  <w:tcPr>
                    <w:tcW w:w="709" w:type="dxa"/>
                    <w:vMerge w:val="restart"/>
                    <w:vAlign w:val="center"/>
                    <w:hideMark/>
                  </w:tcPr>
                  <w:p>
                    <w:pPr>
                      <w:jc w:val="center"/>
                      <w:rPr>
                        <w:sz w:val="20"/>
                      </w:rPr>
                    </w:pPr>
                    <w:r>
                      <w:rPr>
                        <w:sz w:val="20"/>
                      </w:rPr>
                      <w:t>2025</w:t>
                    </w:r>
                  </w:p>
                </w:tc>
                <w:tc>
                  <w:tcPr>
                    <w:tcW w:w="709" w:type="dxa"/>
                    <w:vMerge w:val="restart"/>
                    <w:vAlign w:val="center"/>
                    <w:hideMark/>
                  </w:tcPr>
                  <w:p>
                    <w:pPr>
                      <w:jc w:val="center"/>
                      <w:rPr>
                        <w:sz w:val="20"/>
                      </w:rPr>
                    </w:pPr>
                    <w:r>
                      <w:rPr>
                        <w:sz w:val="20"/>
                      </w:rPr>
                      <w:t>2033</w:t>
                    </w:r>
                  </w:p>
                </w:tc>
                <w:tc>
                  <w:tcPr>
                    <w:tcW w:w="1417" w:type="dxa"/>
                    <w:vAlign w:val="center"/>
                    <w:hideMark/>
                  </w:tcPr>
                  <w:p>
                    <w:pPr>
                      <w:rPr>
                        <w:sz w:val="20"/>
                      </w:rPr>
                    </w:pPr>
                    <w:r>
                      <w:rPr>
                        <w:sz w:val="20"/>
                      </w:rPr>
                      <w:t>P-11-01-01-01</w:t>
                    </w:r>
                  </w:p>
                </w:tc>
                <w:tc>
                  <w:tcPr>
                    <w:tcW w:w="4111" w:type="dxa"/>
                    <w:vAlign w:val="center"/>
                    <w:hideMark/>
                  </w:tcPr>
                  <w:p>
                    <w:pPr>
                      <w:rPr>
                        <w:sz w:val="20"/>
                      </w:rPr>
                    </w:pPr>
                    <w:r>
                      <w:rPr>
                        <w:sz w:val="20"/>
                      </w:rPr>
                      <w:t>Elektroniniu būdu suteiktų administracinių paslaugų dalis nuo visų suteiktų paslaugų (proc.)</w:t>
                    </w:r>
                  </w:p>
                </w:tc>
                <w:tc>
                  <w:tcPr>
                    <w:tcW w:w="1134" w:type="dxa"/>
                    <w:vAlign w:val="center"/>
                    <w:hideMark/>
                  </w:tcPr>
                  <w:p>
                    <w:pPr>
                      <w:jc w:val="center"/>
                      <w:rPr>
                        <w:sz w:val="20"/>
                      </w:rPr>
                    </w:pPr>
                    <w:r>
                      <w:rPr>
                        <w:sz w:val="20"/>
                      </w:rPr>
                      <w:t>AAS</w:t>
                    </w:r>
                  </w:p>
                </w:tc>
                <w:tc>
                  <w:tcPr>
                    <w:tcW w:w="1134" w:type="dxa"/>
                    <w:vAlign w:val="center"/>
                    <w:hideMark/>
                  </w:tcPr>
                  <w:p>
                    <w:pPr>
                      <w:jc w:val="center"/>
                      <w:rPr>
                        <w:sz w:val="20"/>
                      </w:rPr>
                    </w:pPr>
                    <w:r>
                      <w:rPr>
                        <w:sz w:val="20"/>
                      </w:rPr>
                      <w:t>22 (2023)</w:t>
                    </w:r>
                  </w:p>
                </w:tc>
                <w:tc>
                  <w:tcPr>
                    <w:tcW w:w="1134" w:type="dxa"/>
                    <w:vAlign w:val="center"/>
                    <w:hideMark/>
                  </w:tcPr>
                  <w:p>
                    <w:pPr>
                      <w:jc w:val="center"/>
                      <w:rPr>
                        <w:sz w:val="20"/>
                      </w:rPr>
                    </w:pPr>
                    <w:r>
                      <w:rPr>
                        <w:sz w:val="20"/>
                      </w:rPr>
                      <w:t>42 (2033)</w:t>
                    </w:r>
                  </w:p>
                </w:tc>
              </w:tr>
              <w:tr>
                <w:trPr>
                  <w:trHeight w:val="569"/>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jc w:val="center"/>
                      <w:rPr>
                        <w:sz w:val="20"/>
                      </w:rPr>
                    </w:pPr>
                  </w:p>
                </w:tc>
                <w:tc>
                  <w:tcPr>
                    <w:tcW w:w="709" w:type="dxa"/>
                    <w:vMerge/>
                    <w:vAlign w:val="center"/>
                    <w:hideMark/>
                  </w:tcPr>
                  <w:p>
                    <w:pPr>
                      <w:jc w:val="center"/>
                      <w:rPr>
                        <w:sz w:val="20"/>
                      </w:rPr>
                    </w:pPr>
                  </w:p>
                </w:tc>
                <w:tc>
                  <w:tcPr>
                    <w:tcW w:w="709" w:type="dxa"/>
                    <w:vMerge/>
                    <w:vAlign w:val="center"/>
                    <w:hideMark/>
                  </w:tcPr>
                  <w:p>
                    <w:pPr>
                      <w:jc w:val="center"/>
                      <w:rPr>
                        <w:sz w:val="20"/>
                      </w:rPr>
                    </w:pPr>
                  </w:p>
                </w:tc>
                <w:tc>
                  <w:tcPr>
                    <w:tcW w:w="1417" w:type="dxa"/>
                    <w:vAlign w:val="center"/>
                    <w:hideMark/>
                  </w:tcPr>
                  <w:p>
                    <w:pPr>
                      <w:rPr>
                        <w:sz w:val="20"/>
                      </w:rPr>
                    </w:pPr>
                    <w:r>
                      <w:rPr>
                        <w:sz w:val="20"/>
                      </w:rPr>
                      <w:t>P-11-01-01-02</w:t>
                    </w:r>
                  </w:p>
                </w:tc>
                <w:tc>
                  <w:tcPr>
                    <w:tcW w:w="4111" w:type="dxa"/>
                    <w:vAlign w:val="center"/>
                    <w:hideMark/>
                  </w:tcPr>
                  <w:p>
                    <w:pPr>
                      <w:rPr>
                        <w:sz w:val="20"/>
                      </w:rPr>
                    </w:pPr>
                    <w:r>
                      <w:rPr>
                        <w:sz w:val="20"/>
                      </w:rPr>
                      <w:t>Elektroninių paslaugų teikimo brandos lygis (lygis)</w:t>
                    </w:r>
                  </w:p>
                </w:tc>
                <w:tc>
                  <w:tcPr>
                    <w:tcW w:w="1134" w:type="dxa"/>
                    <w:vAlign w:val="center"/>
                    <w:hideMark/>
                  </w:tcPr>
                  <w:p>
                    <w:pPr>
                      <w:jc w:val="center"/>
                      <w:rPr>
                        <w:sz w:val="20"/>
                      </w:rPr>
                    </w:pPr>
                    <w:r>
                      <w:rPr>
                        <w:sz w:val="20"/>
                      </w:rPr>
                      <w:t>ITP</w:t>
                    </w:r>
                  </w:p>
                </w:tc>
                <w:tc>
                  <w:tcPr>
                    <w:tcW w:w="1134" w:type="dxa"/>
                    <w:vAlign w:val="center"/>
                    <w:hideMark/>
                  </w:tcPr>
                  <w:p>
                    <w:pPr>
                      <w:jc w:val="center"/>
                      <w:rPr>
                        <w:sz w:val="20"/>
                      </w:rPr>
                    </w:pPr>
                    <w:r>
                      <w:rPr>
                        <w:sz w:val="20"/>
                      </w:rPr>
                      <w:t>II (2023)</w:t>
                    </w:r>
                  </w:p>
                </w:tc>
                <w:tc>
                  <w:tcPr>
                    <w:tcW w:w="1134" w:type="dxa"/>
                    <w:vAlign w:val="center"/>
                    <w:hideMark/>
                  </w:tcPr>
                  <w:p>
                    <w:pPr>
                      <w:jc w:val="center"/>
                      <w:rPr>
                        <w:sz w:val="20"/>
                      </w:rPr>
                    </w:pPr>
                    <w:r>
                      <w:rPr>
                        <w:sz w:val="20"/>
                      </w:rPr>
                      <w:t>IV (2033)</w:t>
                    </w:r>
                  </w:p>
                </w:tc>
              </w:tr>
              <w:tr>
                <w:trPr>
                  <w:trHeight w:val="408"/>
                  <w:jc w:val="center"/>
                </w:trPr>
                <w:tc>
                  <w:tcPr>
                    <w:tcW w:w="988" w:type="dxa"/>
                    <w:vMerge w:val="restart"/>
                    <w:noWrap/>
                    <w:vAlign w:val="center"/>
                    <w:hideMark/>
                  </w:tcPr>
                  <w:p>
                    <w:pPr>
                      <w:rPr>
                        <w:sz w:val="20"/>
                      </w:rPr>
                    </w:pPr>
                    <w:r>
                      <w:rPr>
                        <w:sz w:val="20"/>
                      </w:rPr>
                      <w:t>11-01-02</w:t>
                    </w:r>
                  </w:p>
                </w:tc>
                <w:tc>
                  <w:tcPr>
                    <w:tcW w:w="2126" w:type="dxa"/>
                    <w:vMerge w:val="restart"/>
                    <w:vAlign w:val="center"/>
                    <w:hideMark/>
                  </w:tcPr>
                  <w:p>
                    <w:pPr>
                      <w:rPr>
                        <w:sz w:val="20"/>
                      </w:rPr>
                    </w:pPr>
                    <w:r>
                      <w:rPr>
                        <w:sz w:val="20"/>
                      </w:rPr>
                      <w:t>Taikyti gerąsias valdymo praktikas Savivaldybėje ir jos valdomosiose įmonėse ir įstaigose</w:t>
                    </w:r>
                  </w:p>
                </w:tc>
                <w:tc>
                  <w:tcPr>
                    <w:tcW w:w="850" w:type="dxa"/>
                    <w:vMerge w:val="restart"/>
                    <w:vAlign w:val="center"/>
                    <w:hideMark/>
                  </w:tcPr>
                  <w:p>
                    <w:pPr>
                      <w:jc w:val="center"/>
                      <w:rPr>
                        <w:sz w:val="20"/>
                      </w:rPr>
                    </w:pPr>
                    <w:r>
                      <w:rPr>
                        <w:sz w:val="20"/>
                      </w:rPr>
                      <w:t>AD</w:t>
                    </w:r>
                  </w:p>
                </w:tc>
                <w:tc>
                  <w:tcPr>
                    <w:tcW w:w="709" w:type="dxa"/>
                    <w:vMerge w:val="restart"/>
                    <w:vAlign w:val="center"/>
                    <w:hideMark/>
                  </w:tcPr>
                  <w:p>
                    <w:pPr>
                      <w:jc w:val="center"/>
                      <w:rPr>
                        <w:sz w:val="20"/>
                      </w:rPr>
                    </w:pPr>
                    <w:r>
                      <w:rPr>
                        <w:sz w:val="20"/>
                      </w:rPr>
                      <w:t>2025</w:t>
                    </w:r>
                  </w:p>
                </w:tc>
                <w:tc>
                  <w:tcPr>
                    <w:tcW w:w="709" w:type="dxa"/>
                    <w:vMerge w:val="restart"/>
                    <w:vAlign w:val="center"/>
                    <w:hideMark/>
                  </w:tcPr>
                  <w:p>
                    <w:pPr>
                      <w:jc w:val="center"/>
                      <w:rPr>
                        <w:sz w:val="20"/>
                      </w:rPr>
                    </w:pPr>
                    <w:r>
                      <w:rPr>
                        <w:sz w:val="20"/>
                      </w:rPr>
                      <w:t>2033</w:t>
                    </w:r>
                  </w:p>
                </w:tc>
                <w:tc>
                  <w:tcPr>
                    <w:tcW w:w="1417" w:type="dxa"/>
                    <w:tcBorders>
                      <w:bottom w:val="single" w:sz="4" w:space="0" w:color="auto"/>
                    </w:tcBorders>
                    <w:vAlign w:val="center"/>
                    <w:hideMark/>
                  </w:tcPr>
                  <w:p>
                    <w:pPr>
                      <w:rPr>
                        <w:sz w:val="20"/>
                      </w:rPr>
                    </w:pPr>
                    <w:r>
                      <w:rPr>
                        <w:sz w:val="20"/>
                      </w:rPr>
                      <w:t>P-11-01-02-01</w:t>
                    </w:r>
                  </w:p>
                </w:tc>
                <w:tc>
                  <w:tcPr>
                    <w:tcW w:w="4111" w:type="dxa"/>
                    <w:tcBorders>
                      <w:bottom w:val="single" w:sz="4" w:space="0" w:color="auto"/>
                    </w:tcBorders>
                    <w:vAlign w:val="center"/>
                    <w:hideMark/>
                  </w:tcPr>
                  <w:p>
                    <w:pPr>
                      <w:rPr>
                        <w:sz w:val="20"/>
                      </w:rPr>
                    </w:pPr>
                    <w:r>
                      <w:rPr>
                        <w:sz w:val="20"/>
                      </w:rPr>
                      <w:t xml:space="preserve">Sukurtas pažangus Savivaldybės ir jos  įstaigų turto valdymo sprendimas (vnt.)</w:t>
                    </w:r>
                  </w:p>
                </w:tc>
                <w:tc>
                  <w:tcPr>
                    <w:tcW w:w="1134" w:type="dxa"/>
                    <w:tcBorders>
                      <w:bottom w:val="single" w:sz="4" w:space="0" w:color="auto"/>
                    </w:tcBorders>
                    <w:vAlign w:val="center"/>
                    <w:hideMark/>
                  </w:tcPr>
                  <w:p>
                    <w:pPr>
                      <w:jc w:val="center"/>
                      <w:rPr>
                        <w:sz w:val="20"/>
                      </w:rPr>
                    </w:pPr>
                    <w:r>
                      <w:rPr>
                        <w:sz w:val="20"/>
                      </w:rPr>
                      <w:t>TVS</w:t>
                    </w:r>
                  </w:p>
                </w:tc>
                <w:tc>
                  <w:tcPr>
                    <w:tcW w:w="1134" w:type="dxa"/>
                    <w:tcBorders>
                      <w:bottom w:val="single" w:sz="4" w:space="0" w:color="auto"/>
                    </w:tcBorders>
                    <w:vAlign w:val="center"/>
                    <w:hideMark/>
                  </w:tcPr>
                  <w:p>
                    <w:pPr>
                      <w:jc w:val="center"/>
                      <w:rPr>
                        <w:sz w:val="20"/>
                      </w:rPr>
                    </w:pPr>
                    <w:r>
                      <w:rPr>
                        <w:sz w:val="20"/>
                      </w:rPr>
                      <w:t>0 (2023)</w:t>
                    </w:r>
                  </w:p>
                </w:tc>
                <w:tc>
                  <w:tcPr>
                    <w:tcW w:w="1134" w:type="dxa"/>
                    <w:tcBorders>
                      <w:bottom w:val="single" w:sz="4" w:space="0" w:color="auto"/>
                    </w:tcBorders>
                    <w:vAlign w:val="center"/>
                    <w:hideMark/>
                  </w:tcPr>
                  <w:p>
                    <w:pPr>
                      <w:jc w:val="center"/>
                      <w:rPr>
                        <w:sz w:val="20"/>
                      </w:rPr>
                    </w:pPr>
                    <w:r>
                      <w:rPr>
                        <w:sz w:val="20"/>
                      </w:rPr>
                      <w:t>1 (2026)</w:t>
                    </w:r>
                  </w:p>
                </w:tc>
              </w:tr>
              <w:tr>
                <w:trPr>
                  <w:trHeight w:val="514"/>
                  <w:jc w:val="center"/>
                </w:trPr>
                <w:tc>
                  <w:tcPr>
                    <w:tcW w:w="988" w:type="dxa"/>
                    <w:vMerge/>
                    <w:vAlign w:val="center"/>
                  </w:tcPr>
                  <w:p>
                    <w:pPr>
                      <w:rPr>
                        <w:sz w:val="20"/>
                      </w:rPr>
                    </w:pPr>
                  </w:p>
                </w:tc>
                <w:tc>
                  <w:tcPr>
                    <w:tcW w:w="2126" w:type="dxa"/>
                    <w:vMerge/>
                    <w:vAlign w:val="center"/>
                  </w:tcPr>
                  <w:p>
                    <w:pPr>
                      <w:rPr>
                        <w:sz w:val="20"/>
                      </w:rPr>
                    </w:pPr>
                  </w:p>
                </w:tc>
                <w:tc>
                  <w:tcPr>
                    <w:tcW w:w="850" w:type="dxa"/>
                    <w:vMerge/>
                    <w:vAlign w:val="center"/>
                  </w:tcPr>
                  <w:p>
                    <w:pPr>
                      <w:rPr>
                        <w:sz w:val="20"/>
                      </w:rPr>
                    </w:pPr>
                  </w:p>
                </w:tc>
                <w:tc>
                  <w:tcPr>
                    <w:tcW w:w="709" w:type="dxa"/>
                    <w:vMerge/>
                    <w:vAlign w:val="center"/>
                  </w:tcPr>
                  <w:p>
                    <w:pPr>
                      <w:rPr>
                        <w:sz w:val="20"/>
                      </w:rPr>
                    </w:pPr>
                  </w:p>
                </w:tc>
                <w:tc>
                  <w:tcPr>
                    <w:tcW w:w="709" w:type="dxa"/>
                    <w:vMerge/>
                    <w:vAlign w:val="center"/>
                  </w:tcPr>
                  <w:p>
                    <w:pPr>
                      <w:rPr>
                        <w:sz w:val="20"/>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pPr>
                      <w:rPr>
                        <w:sz w:val="20"/>
                      </w:rPr>
                    </w:pPr>
                    <w:r>
                      <w:rPr>
                        <w:rFonts w:eastAsia="MS Mincho"/>
                        <w:color w:val="000000"/>
                        <w:kern w:val="2"/>
                        <w:sz w:val="20"/>
                      </w:rPr>
                      <w:t>P-11-01-02-02</w:t>
                    </w:r>
                  </w:p>
                </w:tc>
                <w:tc>
                  <w:tcPr>
                    <w:tcW w:w="4111" w:type="dxa"/>
                    <w:tcBorders>
                      <w:top w:val="single" w:sz="4" w:space="0" w:color="auto"/>
                      <w:left w:val="nil"/>
                      <w:bottom w:val="single" w:sz="4" w:space="0" w:color="auto"/>
                      <w:right w:val="single" w:sz="4" w:space="0" w:color="auto"/>
                    </w:tcBorders>
                    <w:shd w:val="clear" w:color="auto" w:fill="auto"/>
                    <w:vAlign w:val="center"/>
                  </w:tcPr>
                  <w:p>
                    <w:pPr>
                      <w:rPr>
                        <w:sz w:val="20"/>
                      </w:rPr>
                    </w:pPr>
                    <w:r>
                      <w:rPr>
                        <w:rFonts w:eastAsia="MS Mincho"/>
                        <w:color w:val="000000"/>
                        <w:kern w:val="2"/>
                        <w:sz w:val="20"/>
                      </w:rPr>
                      <w:t>Savivaldybės administracijos žaliųjų pirkimų vertės dalis, nuo visų pirkimų (proc.)</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rPr>
                    </w:pPr>
                    <w:r>
                      <w:rPr>
                        <w:rFonts w:eastAsia="MS Mincho"/>
                        <w:color w:val="000000"/>
                        <w:kern w:val="2"/>
                        <w:sz w:val="20"/>
                      </w:rPr>
                      <w:t>TS (VPP)</w:t>
                    </w:r>
                  </w:p>
                </w:tc>
                <w:tc>
                  <w:tcPr>
                    <w:tcW w:w="1134" w:type="dxa"/>
                    <w:tcBorders>
                      <w:top w:val="single" w:sz="4" w:space="0" w:color="auto"/>
                      <w:left w:val="nil"/>
                      <w:bottom w:val="single" w:sz="4" w:space="0" w:color="auto"/>
                      <w:right w:val="nil"/>
                    </w:tcBorders>
                    <w:shd w:val="clear" w:color="auto" w:fill="auto"/>
                    <w:vAlign w:val="center"/>
                  </w:tcPr>
                  <w:p>
                    <w:pPr>
                      <w:jc w:val="center"/>
                      <w:rPr>
                        <w:sz w:val="20"/>
                      </w:rPr>
                    </w:pPr>
                    <w:r>
                      <w:rPr>
                        <w:rFonts w:eastAsia="MS Mincho"/>
                        <w:kern w:val="2"/>
                        <w:sz w:val="20"/>
                      </w:rPr>
                      <w:t>96,2 (2023)</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rPr>
                    </w:pPr>
                    <w:r>
                      <w:rPr>
                        <w:rFonts w:eastAsia="MS Mincho"/>
                        <w:kern w:val="2"/>
                        <w:sz w:val="20"/>
                      </w:rPr>
                      <w:t>100 (2026)</w:t>
                    </w:r>
                  </w:p>
                </w:tc>
              </w:tr>
              <w:tr>
                <w:trPr>
                  <w:trHeight w:val="358"/>
                  <w:jc w:val="center"/>
                </w:trPr>
                <w:tc>
                  <w:tcPr>
                    <w:tcW w:w="988" w:type="dxa"/>
                    <w:vMerge/>
                    <w:vAlign w:val="center"/>
                  </w:tcPr>
                  <w:p>
                    <w:pPr>
                      <w:rPr>
                        <w:sz w:val="20"/>
                      </w:rPr>
                    </w:pPr>
                  </w:p>
                </w:tc>
                <w:tc>
                  <w:tcPr>
                    <w:tcW w:w="2126" w:type="dxa"/>
                    <w:vMerge/>
                    <w:vAlign w:val="center"/>
                  </w:tcPr>
                  <w:p>
                    <w:pPr>
                      <w:rPr>
                        <w:sz w:val="20"/>
                      </w:rPr>
                    </w:pPr>
                  </w:p>
                </w:tc>
                <w:tc>
                  <w:tcPr>
                    <w:tcW w:w="850" w:type="dxa"/>
                    <w:vMerge/>
                    <w:vAlign w:val="center"/>
                  </w:tcPr>
                  <w:p>
                    <w:pPr>
                      <w:rPr>
                        <w:sz w:val="20"/>
                      </w:rPr>
                    </w:pPr>
                  </w:p>
                </w:tc>
                <w:tc>
                  <w:tcPr>
                    <w:tcW w:w="709" w:type="dxa"/>
                    <w:vMerge/>
                    <w:vAlign w:val="center"/>
                  </w:tcPr>
                  <w:p>
                    <w:pPr>
                      <w:rPr>
                        <w:sz w:val="20"/>
                      </w:rPr>
                    </w:pPr>
                  </w:p>
                </w:tc>
                <w:tc>
                  <w:tcPr>
                    <w:tcW w:w="709" w:type="dxa"/>
                    <w:vMerge/>
                    <w:vAlign w:val="center"/>
                  </w:tcPr>
                  <w:p>
                    <w:pPr>
                      <w:rPr>
                        <w:sz w:val="20"/>
                      </w:rPr>
                    </w:pPr>
                  </w:p>
                </w:tc>
                <w:tc>
                  <w:tcPr>
                    <w:tcW w:w="1417" w:type="dxa"/>
                    <w:tcBorders>
                      <w:top w:val="single" w:sz="4" w:space="0" w:color="auto"/>
                    </w:tcBorders>
                    <w:vAlign w:val="center"/>
                  </w:tcPr>
                  <w:p>
                    <w:pPr>
                      <w:rPr>
                        <w:sz w:val="20"/>
                      </w:rPr>
                    </w:pPr>
                    <w:r>
                      <w:rPr>
                        <w:rFonts w:eastAsia="MS Mincho"/>
                        <w:color w:val="000000"/>
                        <w:kern w:val="2"/>
                        <w:sz w:val="20"/>
                      </w:rPr>
                      <w:t>P-11-01-02-03</w:t>
                    </w:r>
                  </w:p>
                </w:tc>
                <w:tc>
                  <w:tcPr>
                    <w:tcW w:w="4111" w:type="dxa"/>
                    <w:tcBorders>
                      <w:top w:val="single" w:sz="4" w:space="0" w:color="auto"/>
                      <w:left w:val="single" w:sz="4" w:space="0" w:color="auto"/>
                      <w:bottom w:val="single" w:sz="4" w:space="0" w:color="auto"/>
                      <w:right w:val="single" w:sz="4" w:space="0" w:color="auto"/>
                    </w:tcBorders>
                    <w:shd w:val="clear" w:color="auto" w:fill="auto"/>
                    <w:vAlign w:val="center"/>
                  </w:tcPr>
                  <w:p>
                    <w:pPr>
                      <w:rPr>
                        <w:sz w:val="20"/>
                      </w:rPr>
                    </w:pPr>
                    <w:r>
                      <w:rPr>
                        <w:rFonts w:eastAsia="MS Mincho"/>
                        <w:color w:val="000000"/>
                        <w:kern w:val="2"/>
                        <w:sz w:val="20"/>
                      </w:rPr>
                      <w:t xml:space="preserve">Pirkimų dalis, kuriuose pirkimų procese nustatomi socialiniai kriterijai (proc.)                                                                                                                                                                                                                                                                                                         </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rPr>
                    </w:pPr>
                    <w:r>
                      <w:rPr>
                        <w:rFonts w:eastAsia="MS Mincho"/>
                        <w:color w:val="000000"/>
                        <w:kern w:val="2"/>
                        <w:sz w:val="20"/>
                      </w:rPr>
                      <w:t>TS (VPP)</w:t>
                    </w:r>
                  </w:p>
                </w:tc>
                <w:tc>
                  <w:tcPr>
                    <w:tcW w:w="1134" w:type="dxa"/>
                    <w:tcBorders>
                      <w:top w:val="single" w:sz="4" w:space="0" w:color="auto"/>
                      <w:left w:val="nil"/>
                      <w:bottom w:val="single" w:sz="4" w:space="0" w:color="auto"/>
                      <w:right w:val="nil"/>
                    </w:tcBorders>
                    <w:shd w:val="clear" w:color="auto" w:fill="auto"/>
                    <w:vAlign w:val="center"/>
                  </w:tcPr>
                  <w:p>
                    <w:pPr>
                      <w:jc w:val="center"/>
                      <w:rPr>
                        <w:sz w:val="20"/>
                      </w:rPr>
                    </w:pPr>
                    <w:r>
                      <w:rPr>
                        <w:rFonts w:eastAsia="MS Mincho"/>
                        <w:kern w:val="2"/>
                        <w:sz w:val="20"/>
                      </w:rPr>
                      <w:t>15 (2023)</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rPr>
                    </w:pPr>
                    <w:r>
                      <w:rPr>
                        <w:rFonts w:eastAsia="MS Mincho"/>
                        <w:kern w:val="2"/>
                        <w:sz w:val="20"/>
                      </w:rPr>
                      <w:t>60 (2033)</w:t>
                    </w:r>
                  </w:p>
                </w:tc>
              </w:tr>
              <w:tr>
                <w:trPr>
                  <w:trHeight w:val="591"/>
                  <w:jc w:val="center"/>
                </w:trPr>
                <w:tc>
                  <w:tcPr>
                    <w:tcW w:w="988" w:type="dxa"/>
                    <w:vMerge/>
                    <w:vAlign w:val="center"/>
                  </w:tcPr>
                  <w:p>
                    <w:pPr>
                      <w:rPr>
                        <w:sz w:val="20"/>
                      </w:rPr>
                    </w:pPr>
                  </w:p>
                </w:tc>
                <w:tc>
                  <w:tcPr>
                    <w:tcW w:w="2126" w:type="dxa"/>
                    <w:vMerge/>
                    <w:vAlign w:val="center"/>
                  </w:tcPr>
                  <w:p>
                    <w:pPr>
                      <w:rPr>
                        <w:sz w:val="20"/>
                      </w:rPr>
                    </w:pPr>
                  </w:p>
                </w:tc>
                <w:tc>
                  <w:tcPr>
                    <w:tcW w:w="850" w:type="dxa"/>
                    <w:vMerge/>
                    <w:vAlign w:val="center"/>
                  </w:tcPr>
                  <w:p>
                    <w:pPr>
                      <w:rPr>
                        <w:sz w:val="20"/>
                      </w:rPr>
                    </w:pPr>
                  </w:p>
                </w:tc>
                <w:tc>
                  <w:tcPr>
                    <w:tcW w:w="709" w:type="dxa"/>
                    <w:vMerge/>
                    <w:vAlign w:val="center"/>
                  </w:tcPr>
                  <w:p>
                    <w:pPr>
                      <w:rPr>
                        <w:sz w:val="20"/>
                      </w:rPr>
                    </w:pPr>
                  </w:p>
                </w:tc>
                <w:tc>
                  <w:tcPr>
                    <w:tcW w:w="709" w:type="dxa"/>
                    <w:vMerge/>
                    <w:vAlign w:val="center"/>
                  </w:tcPr>
                  <w:p>
                    <w:pPr>
                      <w:rPr>
                        <w:sz w:val="20"/>
                      </w:rPr>
                    </w:pPr>
                  </w:p>
                </w:tc>
                <w:tc>
                  <w:tcPr>
                    <w:tcW w:w="1417" w:type="dxa"/>
                    <w:tcBorders>
                      <w:top w:val="single" w:sz="4" w:space="0" w:color="auto"/>
                    </w:tcBorders>
                    <w:vAlign w:val="center"/>
                  </w:tcPr>
                  <w:p>
                    <w:pPr>
                      <w:rPr>
                        <w:sz w:val="20"/>
                      </w:rPr>
                    </w:pPr>
                    <w:r>
                      <w:rPr>
                        <w:sz w:val="20"/>
                      </w:rPr>
                      <w:t>P-11-01-02-04</w:t>
                    </w:r>
                  </w:p>
                </w:tc>
                <w:tc>
                  <w:tcPr>
                    <w:tcW w:w="4111" w:type="dxa"/>
                    <w:tcBorders>
                      <w:top w:val="single" w:sz="4" w:space="0" w:color="auto"/>
                      <w:left w:val="single" w:sz="4" w:space="0" w:color="auto"/>
                      <w:bottom w:val="single" w:sz="4" w:space="0" w:color="auto"/>
                      <w:right w:val="single" w:sz="4" w:space="0" w:color="auto"/>
                    </w:tcBorders>
                    <w:shd w:val="clear" w:color="auto" w:fill="auto"/>
                    <w:vAlign w:val="center"/>
                  </w:tcPr>
                  <w:p>
                    <w:pPr>
                      <w:rPr>
                        <w:sz w:val="20"/>
                      </w:rPr>
                    </w:pPr>
                    <w:r>
                      <w:rPr>
                        <w:rFonts w:eastAsia="MS Mincho"/>
                        <w:color w:val="000000"/>
                        <w:kern w:val="2"/>
                        <w:sz w:val="20"/>
                      </w:rPr>
                      <w:t>Savivaldybės administracijos inovatyvių pirkimų dalis, nuo visų pirkimų (išskyrus supaprastintus mažos vertės pirkimus) (proc.)</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rPr>
                    </w:pPr>
                    <w:r>
                      <w:rPr>
                        <w:rFonts w:eastAsia="MS Mincho"/>
                        <w:color w:val="000000"/>
                        <w:kern w:val="2"/>
                        <w:sz w:val="20"/>
                      </w:rPr>
                      <w:t>TS (VPP)</w:t>
                    </w:r>
                  </w:p>
                </w:tc>
                <w:tc>
                  <w:tcPr>
                    <w:tcW w:w="1134" w:type="dxa"/>
                    <w:tcBorders>
                      <w:top w:val="single" w:sz="4" w:space="0" w:color="auto"/>
                      <w:left w:val="nil"/>
                      <w:bottom w:val="single" w:sz="4" w:space="0" w:color="auto"/>
                      <w:right w:val="nil"/>
                    </w:tcBorders>
                    <w:shd w:val="clear" w:color="auto" w:fill="auto"/>
                    <w:vAlign w:val="center"/>
                  </w:tcPr>
                  <w:p>
                    <w:pPr>
                      <w:jc w:val="center"/>
                      <w:rPr>
                        <w:sz w:val="20"/>
                      </w:rPr>
                    </w:pPr>
                    <w:r>
                      <w:rPr>
                        <w:rFonts w:eastAsia="MS Mincho"/>
                        <w:kern w:val="2"/>
                        <w:sz w:val="20"/>
                      </w:rPr>
                      <w:t>0,14 (2023)</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rPr>
                    </w:pPr>
                    <w:r>
                      <w:rPr>
                        <w:rFonts w:eastAsia="MS Mincho"/>
                        <w:kern w:val="2"/>
                        <w:sz w:val="20"/>
                      </w:rPr>
                      <w:t>20 (2033)</w:t>
                    </w:r>
                  </w:p>
                </w:tc>
              </w:tr>
              <w:tr>
                <w:trPr>
                  <w:trHeight w:val="884"/>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rPr>
                        <w:sz w:val="20"/>
                      </w:rPr>
                    </w:pPr>
                  </w:p>
                </w:tc>
                <w:tc>
                  <w:tcPr>
                    <w:tcW w:w="709" w:type="dxa"/>
                    <w:vMerge/>
                    <w:vAlign w:val="center"/>
                    <w:hideMark/>
                  </w:tcPr>
                  <w:p>
                    <w:pPr>
                      <w:rPr>
                        <w:sz w:val="20"/>
                      </w:rPr>
                    </w:pPr>
                  </w:p>
                </w:tc>
                <w:tc>
                  <w:tcPr>
                    <w:tcW w:w="709" w:type="dxa"/>
                    <w:vMerge/>
                    <w:vAlign w:val="center"/>
                    <w:hideMark/>
                  </w:tcPr>
                  <w:p>
                    <w:pPr>
                      <w:rPr>
                        <w:sz w:val="20"/>
                      </w:rPr>
                    </w:pPr>
                  </w:p>
                </w:tc>
                <w:tc>
                  <w:tcPr>
                    <w:tcW w:w="1417" w:type="dxa"/>
                    <w:vAlign w:val="center"/>
                    <w:hideMark/>
                  </w:tcPr>
                  <w:p>
                    <w:pPr>
                      <w:rPr>
                        <w:sz w:val="20"/>
                      </w:rPr>
                    </w:pPr>
                    <w:r>
                      <w:rPr>
                        <w:sz w:val="20"/>
                      </w:rPr>
                      <w:t>P-11-01-02-05</w:t>
                    </w:r>
                  </w:p>
                </w:tc>
                <w:tc>
                  <w:tcPr>
                    <w:tcW w:w="4111" w:type="dxa"/>
                    <w:vAlign w:val="center"/>
                    <w:hideMark/>
                  </w:tcPr>
                  <w:p>
                    <w:pPr>
                      <w:rPr>
                        <w:sz w:val="20"/>
                      </w:rPr>
                    </w:pPr>
                    <w:r>
                      <w:rPr>
                        <w:sz w:val="20"/>
                      </w:rPr>
                      <w:t>Savivaldybės biudžetinių įstaigų, organizuojančių anoniminę darbuotojų apklausą tolerancijos korupcijai indeksui nustatyti, dalis (proc.)</w:t>
                    </w:r>
                  </w:p>
                </w:tc>
                <w:tc>
                  <w:tcPr>
                    <w:tcW w:w="1134" w:type="dxa"/>
                    <w:vAlign w:val="center"/>
                    <w:hideMark/>
                  </w:tcPr>
                  <w:p>
                    <w:pPr>
                      <w:jc w:val="center"/>
                      <w:rPr>
                        <w:sz w:val="20"/>
                      </w:rPr>
                    </w:pPr>
                    <w:r>
                      <w:rPr>
                        <w:sz w:val="20"/>
                      </w:rPr>
                      <w:t>KAAK</w:t>
                    </w:r>
                  </w:p>
                </w:tc>
                <w:tc>
                  <w:tcPr>
                    <w:tcW w:w="1134" w:type="dxa"/>
                    <w:vAlign w:val="center"/>
                    <w:hideMark/>
                  </w:tcPr>
                  <w:p>
                    <w:pPr>
                      <w:jc w:val="center"/>
                      <w:rPr>
                        <w:sz w:val="20"/>
                      </w:rPr>
                    </w:pPr>
                    <w:r>
                      <w:rPr>
                        <w:sz w:val="20"/>
                      </w:rPr>
                      <w:t>n.d. (2023)</w:t>
                    </w:r>
                  </w:p>
                </w:tc>
                <w:tc>
                  <w:tcPr>
                    <w:tcW w:w="1134" w:type="dxa"/>
                    <w:vAlign w:val="center"/>
                    <w:hideMark/>
                  </w:tcPr>
                  <w:p>
                    <w:pPr>
                      <w:jc w:val="center"/>
                      <w:rPr>
                        <w:sz w:val="20"/>
                      </w:rPr>
                    </w:pPr>
                    <w:r>
                      <w:rPr>
                        <w:sz w:val="20"/>
                      </w:rPr>
                      <w:t>100 (2033)</w:t>
                    </w:r>
                  </w:p>
                </w:tc>
              </w:tr>
              <w:tr>
                <w:trPr>
                  <w:trHeight w:val="657"/>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rPr>
                        <w:sz w:val="20"/>
                      </w:rPr>
                    </w:pPr>
                  </w:p>
                </w:tc>
                <w:tc>
                  <w:tcPr>
                    <w:tcW w:w="709" w:type="dxa"/>
                    <w:vMerge/>
                    <w:vAlign w:val="center"/>
                    <w:hideMark/>
                  </w:tcPr>
                  <w:p>
                    <w:pPr>
                      <w:rPr>
                        <w:sz w:val="20"/>
                      </w:rPr>
                    </w:pPr>
                  </w:p>
                </w:tc>
                <w:tc>
                  <w:tcPr>
                    <w:tcW w:w="709" w:type="dxa"/>
                    <w:vMerge/>
                    <w:vAlign w:val="center"/>
                    <w:hideMark/>
                  </w:tcPr>
                  <w:p>
                    <w:pPr>
                      <w:rPr>
                        <w:sz w:val="20"/>
                      </w:rPr>
                    </w:pPr>
                  </w:p>
                </w:tc>
                <w:tc>
                  <w:tcPr>
                    <w:tcW w:w="1417" w:type="dxa"/>
                    <w:vAlign w:val="center"/>
                    <w:hideMark/>
                  </w:tcPr>
                  <w:p>
                    <w:pPr>
                      <w:rPr>
                        <w:sz w:val="20"/>
                      </w:rPr>
                    </w:pPr>
                    <w:r>
                      <w:rPr>
                        <w:sz w:val="20"/>
                      </w:rPr>
                      <w:t>P-11-01-02-06</w:t>
                    </w:r>
                  </w:p>
                </w:tc>
                <w:tc>
                  <w:tcPr>
                    <w:tcW w:w="4111" w:type="dxa"/>
                    <w:vAlign w:val="center"/>
                    <w:hideMark/>
                  </w:tcPr>
                  <w:p>
                    <w:pPr>
                      <w:rPr>
                        <w:sz w:val="20"/>
                      </w:rPr>
                    </w:pPr>
                    <w:r>
                      <w:rPr>
                        <w:sz w:val="20"/>
                      </w:rPr>
                      <w:t>Gautų skundų dėl lyčių lygybės ir lygių galimybių principų įgyvendinimo Savivaldybės įstaigose skaičius (vnt.)</w:t>
                    </w:r>
                  </w:p>
                </w:tc>
                <w:tc>
                  <w:tcPr>
                    <w:tcW w:w="1134" w:type="dxa"/>
                    <w:vAlign w:val="center"/>
                    <w:hideMark/>
                  </w:tcPr>
                  <w:p>
                    <w:pPr>
                      <w:jc w:val="center"/>
                      <w:rPr>
                        <w:sz w:val="20"/>
                      </w:rPr>
                    </w:pPr>
                    <w:r>
                      <w:rPr>
                        <w:sz w:val="20"/>
                      </w:rPr>
                      <w:t>AAS</w:t>
                    </w:r>
                  </w:p>
                </w:tc>
                <w:tc>
                  <w:tcPr>
                    <w:tcW w:w="1134" w:type="dxa"/>
                    <w:vAlign w:val="center"/>
                    <w:hideMark/>
                  </w:tcPr>
                  <w:p>
                    <w:pPr>
                      <w:jc w:val="center"/>
                      <w:rPr>
                        <w:sz w:val="20"/>
                      </w:rPr>
                    </w:pPr>
                    <w:r>
                      <w:rPr>
                        <w:sz w:val="20"/>
                      </w:rPr>
                      <w:t>0 (2023)</w:t>
                    </w:r>
                  </w:p>
                </w:tc>
                <w:tc>
                  <w:tcPr>
                    <w:tcW w:w="1134" w:type="dxa"/>
                    <w:vAlign w:val="center"/>
                    <w:hideMark/>
                  </w:tcPr>
                  <w:p>
                    <w:pPr>
                      <w:jc w:val="center"/>
                      <w:rPr>
                        <w:sz w:val="20"/>
                      </w:rPr>
                    </w:pPr>
                    <w:r>
                      <w:rPr>
                        <w:sz w:val="20"/>
                      </w:rPr>
                      <w:t>0 (2033)</w:t>
                    </w:r>
                  </w:p>
                </w:tc>
              </w:tr>
              <w:tr>
                <w:trPr>
                  <w:trHeight w:val="553"/>
                  <w:jc w:val="center"/>
                </w:trPr>
                <w:tc>
                  <w:tcPr>
                    <w:tcW w:w="988" w:type="dxa"/>
                    <w:vMerge w:val="restart"/>
                    <w:noWrap/>
                    <w:vAlign w:val="center"/>
                    <w:hideMark/>
                  </w:tcPr>
                  <w:p>
                    <w:pPr>
                      <w:rPr>
                        <w:sz w:val="20"/>
                      </w:rPr>
                    </w:pPr>
                    <w:r>
                      <w:rPr>
                        <w:sz w:val="20"/>
                      </w:rPr>
                      <w:t>11-01-03</w:t>
                    </w:r>
                  </w:p>
                </w:tc>
                <w:tc>
                  <w:tcPr>
                    <w:tcW w:w="2126" w:type="dxa"/>
                    <w:vMerge w:val="restart"/>
                    <w:vAlign w:val="center"/>
                    <w:hideMark/>
                  </w:tcPr>
                  <w:p>
                    <w:pPr>
                      <w:rPr>
                        <w:sz w:val="20"/>
                      </w:rPr>
                    </w:pPr>
                    <w:r>
                      <w:rPr>
                        <w:sz w:val="20"/>
                      </w:rPr>
                      <w:t>Kurti ir palaikyti Savivaldybės ir jos įstaigų viešosios informacijos sistemas</w:t>
                    </w:r>
                  </w:p>
                </w:tc>
                <w:tc>
                  <w:tcPr>
                    <w:tcW w:w="850" w:type="dxa"/>
                    <w:vMerge w:val="restart"/>
                    <w:vAlign w:val="center"/>
                    <w:hideMark/>
                  </w:tcPr>
                  <w:p>
                    <w:pPr>
                      <w:jc w:val="center"/>
                      <w:rPr>
                        <w:sz w:val="20"/>
                      </w:rPr>
                    </w:pPr>
                    <w:r>
                      <w:rPr>
                        <w:sz w:val="20"/>
                      </w:rPr>
                      <w:t>BRS</w:t>
                    </w:r>
                  </w:p>
                </w:tc>
                <w:tc>
                  <w:tcPr>
                    <w:tcW w:w="709" w:type="dxa"/>
                    <w:vMerge w:val="restart"/>
                    <w:vAlign w:val="center"/>
                    <w:hideMark/>
                  </w:tcPr>
                  <w:p>
                    <w:pPr>
                      <w:jc w:val="center"/>
                      <w:rPr>
                        <w:sz w:val="20"/>
                      </w:rPr>
                    </w:pPr>
                    <w:r>
                      <w:rPr>
                        <w:sz w:val="20"/>
                      </w:rPr>
                      <w:t>2025</w:t>
                    </w:r>
                  </w:p>
                </w:tc>
                <w:tc>
                  <w:tcPr>
                    <w:tcW w:w="709" w:type="dxa"/>
                    <w:vMerge w:val="restart"/>
                    <w:vAlign w:val="center"/>
                    <w:hideMark/>
                  </w:tcPr>
                  <w:p>
                    <w:pPr>
                      <w:jc w:val="center"/>
                      <w:rPr>
                        <w:sz w:val="20"/>
                      </w:rPr>
                    </w:pPr>
                    <w:r>
                      <w:rPr>
                        <w:sz w:val="20"/>
                      </w:rPr>
                      <w:t>2027</w:t>
                    </w:r>
                  </w:p>
                </w:tc>
                <w:tc>
                  <w:tcPr>
                    <w:tcW w:w="1417" w:type="dxa"/>
                    <w:vAlign w:val="center"/>
                    <w:hideMark/>
                  </w:tcPr>
                  <w:p>
                    <w:pPr>
                      <w:rPr>
                        <w:sz w:val="20"/>
                      </w:rPr>
                    </w:pPr>
                    <w:r>
                      <w:rPr>
                        <w:sz w:val="20"/>
                      </w:rPr>
                      <w:t>P-11-01-03-01</w:t>
                    </w:r>
                  </w:p>
                </w:tc>
                <w:tc>
                  <w:tcPr>
                    <w:tcW w:w="4111" w:type="dxa"/>
                    <w:vAlign w:val="center"/>
                    <w:hideMark/>
                  </w:tcPr>
                  <w:p>
                    <w:pPr>
                      <w:rPr>
                        <w:sz w:val="20"/>
                      </w:rPr>
                    </w:pPr>
                    <w:r>
                      <w:rPr>
                        <w:sz w:val="20"/>
                      </w:rPr>
                      <w:t>Atliktas „siauliai.lt“ ir susijusių platformų pritaikymas skirtingas negalias turintiems asmenims (vnt.)</w:t>
                    </w:r>
                  </w:p>
                </w:tc>
                <w:tc>
                  <w:tcPr>
                    <w:tcW w:w="1134" w:type="dxa"/>
                    <w:vAlign w:val="center"/>
                    <w:hideMark/>
                  </w:tcPr>
                  <w:p>
                    <w:pPr>
                      <w:jc w:val="center"/>
                      <w:rPr>
                        <w:sz w:val="20"/>
                      </w:rPr>
                    </w:pPr>
                    <w:r>
                      <w:rPr>
                        <w:sz w:val="20"/>
                      </w:rPr>
                      <w:t>ITP</w:t>
                    </w:r>
                  </w:p>
                </w:tc>
                <w:tc>
                  <w:tcPr>
                    <w:tcW w:w="1134" w:type="dxa"/>
                    <w:vAlign w:val="center"/>
                    <w:hideMark/>
                  </w:tcPr>
                  <w:p>
                    <w:pPr>
                      <w:jc w:val="center"/>
                      <w:rPr>
                        <w:sz w:val="20"/>
                      </w:rPr>
                    </w:pPr>
                    <w:r>
                      <w:rPr>
                        <w:sz w:val="20"/>
                      </w:rPr>
                      <w:t>0 (2023)</w:t>
                    </w:r>
                  </w:p>
                </w:tc>
                <w:tc>
                  <w:tcPr>
                    <w:tcW w:w="1134" w:type="dxa"/>
                    <w:vAlign w:val="center"/>
                    <w:hideMark/>
                  </w:tcPr>
                  <w:p>
                    <w:pPr>
                      <w:jc w:val="center"/>
                      <w:rPr>
                        <w:sz w:val="20"/>
                      </w:rPr>
                    </w:pPr>
                    <w:r>
                      <w:rPr>
                        <w:sz w:val="20"/>
                      </w:rPr>
                      <w:t>1 (2025)</w:t>
                    </w:r>
                  </w:p>
                </w:tc>
              </w:tr>
              <w:tr>
                <w:trPr>
                  <w:trHeight w:val="260"/>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rPr>
                        <w:sz w:val="20"/>
                      </w:rPr>
                    </w:pPr>
                  </w:p>
                </w:tc>
                <w:tc>
                  <w:tcPr>
                    <w:tcW w:w="709" w:type="dxa"/>
                    <w:vMerge/>
                    <w:vAlign w:val="center"/>
                    <w:hideMark/>
                  </w:tcPr>
                  <w:p>
                    <w:pPr>
                      <w:rPr>
                        <w:sz w:val="20"/>
                      </w:rPr>
                    </w:pPr>
                  </w:p>
                </w:tc>
                <w:tc>
                  <w:tcPr>
                    <w:tcW w:w="709" w:type="dxa"/>
                    <w:vMerge/>
                    <w:vAlign w:val="center"/>
                    <w:hideMark/>
                  </w:tcPr>
                  <w:p>
                    <w:pPr>
                      <w:rPr>
                        <w:sz w:val="20"/>
                      </w:rPr>
                    </w:pPr>
                  </w:p>
                </w:tc>
                <w:tc>
                  <w:tcPr>
                    <w:tcW w:w="1417" w:type="dxa"/>
                    <w:vAlign w:val="center"/>
                    <w:hideMark/>
                  </w:tcPr>
                  <w:p>
                    <w:pPr>
                      <w:rPr>
                        <w:sz w:val="20"/>
                      </w:rPr>
                    </w:pPr>
                    <w:r>
                      <w:rPr>
                        <w:sz w:val="20"/>
                      </w:rPr>
                      <w:t>P-11-01-03-02</w:t>
                    </w:r>
                  </w:p>
                </w:tc>
                <w:tc>
                  <w:tcPr>
                    <w:tcW w:w="4111" w:type="dxa"/>
                    <w:vAlign w:val="center"/>
                    <w:hideMark/>
                  </w:tcPr>
                  <w:p>
                    <w:pPr>
                      <w:rPr>
                        <w:sz w:val="20"/>
                      </w:rPr>
                    </w:pPr>
                    <w:r>
                      <w:rPr>
                        <w:sz w:val="20"/>
                      </w:rPr>
                      <w:t>Įdiegta kultūros ir sporto renginių platforma (vnt.)</w:t>
                    </w:r>
                    <w:r>
                      <w:rPr>
                        <w:b/>
                        <w:bCs/>
                        <w:sz w:val="20"/>
                      </w:rPr>
                      <w:t xml:space="preserve"> </w:t>
                    </w:r>
                  </w:p>
                </w:tc>
                <w:tc>
                  <w:tcPr>
                    <w:tcW w:w="1134" w:type="dxa"/>
                    <w:vAlign w:val="center"/>
                    <w:hideMark/>
                  </w:tcPr>
                  <w:p>
                    <w:pPr>
                      <w:jc w:val="center"/>
                      <w:rPr>
                        <w:sz w:val="20"/>
                      </w:rPr>
                    </w:pPr>
                    <w:r>
                      <w:rPr>
                        <w:sz w:val="20"/>
                      </w:rPr>
                      <w:t>ITP</w:t>
                    </w:r>
                  </w:p>
                </w:tc>
                <w:tc>
                  <w:tcPr>
                    <w:tcW w:w="1134" w:type="dxa"/>
                    <w:vAlign w:val="center"/>
                    <w:hideMark/>
                  </w:tcPr>
                  <w:p>
                    <w:pPr>
                      <w:jc w:val="center"/>
                      <w:rPr>
                        <w:sz w:val="20"/>
                      </w:rPr>
                    </w:pPr>
                    <w:r>
                      <w:rPr>
                        <w:sz w:val="20"/>
                      </w:rPr>
                      <w:t>0 (2023)</w:t>
                    </w:r>
                  </w:p>
                </w:tc>
                <w:tc>
                  <w:tcPr>
                    <w:tcW w:w="1134" w:type="dxa"/>
                    <w:vAlign w:val="center"/>
                    <w:hideMark/>
                  </w:tcPr>
                  <w:p>
                    <w:pPr>
                      <w:jc w:val="center"/>
                      <w:rPr>
                        <w:sz w:val="20"/>
                      </w:rPr>
                    </w:pPr>
                    <w:r>
                      <w:rPr>
                        <w:sz w:val="20"/>
                      </w:rPr>
                      <w:t>1 (2026)</w:t>
                    </w:r>
                  </w:p>
                </w:tc>
              </w:tr>
              <w:tr>
                <w:trPr>
                  <w:trHeight w:val="520"/>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rPr>
                        <w:sz w:val="20"/>
                      </w:rPr>
                    </w:pPr>
                  </w:p>
                </w:tc>
                <w:tc>
                  <w:tcPr>
                    <w:tcW w:w="709" w:type="dxa"/>
                    <w:vMerge/>
                    <w:vAlign w:val="center"/>
                    <w:hideMark/>
                  </w:tcPr>
                  <w:p>
                    <w:pPr>
                      <w:rPr>
                        <w:sz w:val="20"/>
                      </w:rPr>
                    </w:pPr>
                  </w:p>
                </w:tc>
                <w:tc>
                  <w:tcPr>
                    <w:tcW w:w="709" w:type="dxa"/>
                    <w:vMerge/>
                    <w:vAlign w:val="center"/>
                    <w:hideMark/>
                  </w:tcPr>
                  <w:p>
                    <w:pPr>
                      <w:rPr>
                        <w:sz w:val="20"/>
                      </w:rPr>
                    </w:pPr>
                  </w:p>
                </w:tc>
                <w:tc>
                  <w:tcPr>
                    <w:tcW w:w="1417" w:type="dxa"/>
                    <w:vAlign w:val="center"/>
                    <w:hideMark/>
                  </w:tcPr>
                  <w:p>
                    <w:pPr>
                      <w:rPr>
                        <w:sz w:val="20"/>
                      </w:rPr>
                    </w:pPr>
                    <w:r>
                      <w:rPr>
                        <w:sz w:val="20"/>
                      </w:rPr>
                      <w:t>P-11-01-03-03</w:t>
                    </w:r>
                  </w:p>
                </w:tc>
                <w:tc>
                  <w:tcPr>
                    <w:tcW w:w="4111" w:type="dxa"/>
                    <w:vAlign w:val="center"/>
                    <w:hideMark/>
                  </w:tcPr>
                  <w:p>
                    <w:pPr>
                      <w:rPr>
                        <w:sz w:val="20"/>
                      </w:rPr>
                    </w:pPr>
                    <w:r>
                      <w:rPr>
                        <w:sz w:val="20"/>
                      </w:rPr>
                      <w:t>Naujai atvertų duomenų rinkinių, teikiančių informaciją realiu laiku, skaičius (vnt.)</w:t>
                    </w:r>
                  </w:p>
                </w:tc>
                <w:tc>
                  <w:tcPr>
                    <w:tcW w:w="1134" w:type="dxa"/>
                    <w:vAlign w:val="center"/>
                    <w:hideMark/>
                  </w:tcPr>
                  <w:p>
                    <w:pPr>
                      <w:jc w:val="center"/>
                      <w:rPr>
                        <w:sz w:val="20"/>
                      </w:rPr>
                    </w:pPr>
                    <w:r>
                      <w:rPr>
                        <w:sz w:val="20"/>
                      </w:rPr>
                      <w:t>ITP</w:t>
                    </w:r>
                  </w:p>
                </w:tc>
                <w:tc>
                  <w:tcPr>
                    <w:tcW w:w="1134" w:type="dxa"/>
                    <w:vAlign w:val="center"/>
                    <w:hideMark/>
                  </w:tcPr>
                  <w:p>
                    <w:pPr>
                      <w:jc w:val="center"/>
                      <w:rPr>
                        <w:sz w:val="20"/>
                      </w:rPr>
                    </w:pPr>
                    <w:r>
                      <w:rPr>
                        <w:sz w:val="20"/>
                      </w:rPr>
                      <w:t>0 (2023)</w:t>
                    </w:r>
                  </w:p>
                </w:tc>
                <w:tc>
                  <w:tcPr>
                    <w:tcW w:w="1134" w:type="dxa"/>
                    <w:vAlign w:val="center"/>
                    <w:hideMark/>
                  </w:tcPr>
                  <w:p>
                    <w:pPr>
                      <w:jc w:val="center"/>
                      <w:rPr>
                        <w:sz w:val="20"/>
                      </w:rPr>
                    </w:pPr>
                    <w:r>
                      <w:rPr>
                        <w:sz w:val="20"/>
                      </w:rPr>
                      <w:t>10 (2027)</w:t>
                    </w:r>
                  </w:p>
                </w:tc>
              </w:tr>
              <w:tr>
                <w:trPr>
                  <w:trHeight w:val="677"/>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rPr>
                        <w:sz w:val="20"/>
                      </w:rPr>
                    </w:pPr>
                  </w:p>
                </w:tc>
                <w:tc>
                  <w:tcPr>
                    <w:tcW w:w="709" w:type="dxa"/>
                    <w:vMerge/>
                    <w:vAlign w:val="center"/>
                    <w:hideMark/>
                  </w:tcPr>
                  <w:p>
                    <w:pPr>
                      <w:rPr>
                        <w:sz w:val="20"/>
                      </w:rPr>
                    </w:pPr>
                  </w:p>
                </w:tc>
                <w:tc>
                  <w:tcPr>
                    <w:tcW w:w="709" w:type="dxa"/>
                    <w:vMerge/>
                    <w:vAlign w:val="center"/>
                    <w:hideMark/>
                  </w:tcPr>
                  <w:p>
                    <w:pPr>
                      <w:rPr>
                        <w:sz w:val="20"/>
                      </w:rPr>
                    </w:pPr>
                  </w:p>
                </w:tc>
                <w:tc>
                  <w:tcPr>
                    <w:tcW w:w="1417" w:type="dxa"/>
                    <w:vAlign w:val="center"/>
                    <w:hideMark/>
                  </w:tcPr>
                  <w:p>
                    <w:pPr>
                      <w:rPr>
                        <w:sz w:val="20"/>
                      </w:rPr>
                    </w:pPr>
                    <w:r>
                      <w:rPr>
                        <w:sz w:val="20"/>
                      </w:rPr>
                      <w:t>P-11-01-03-04</w:t>
                    </w:r>
                  </w:p>
                </w:tc>
                <w:tc>
                  <w:tcPr>
                    <w:tcW w:w="4111" w:type="dxa"/>
                    <w:vAlign w:val="center"/>
                    <w:hideMark/>
                  </w:tcPr>
                  <w:p>
                    <w:pPr>
                      <w:rPr>
                        <w:sz w:val="20"/>
                      </w:rPr>
                    </w:pPr>
                    <w:r>
                      <w:rPr>
                        <w:sz w:val="20"/>
                      </w:rPr>
                      <w:t>Gyventojų informavimo ir komunikacijos paslaugų skaičius, kurias teikiant pasitelkiami dirbtinio intelekto sprendimai (vnt.)</w:t>
                    </w:r>
                  </w:p>
                </w:tc>
                <w:tc>
                  <w:tcPr>
                    <w:tcW w:w="1134" w:type="dxa"/>
                    <w:vAlign w:val="center"/>
                    <w:hideMark/>
                  </w:tcPr>
                  <w:p>
                    <w:pPr>
                      <w:jc w:val="center"/>
                      <w:rPr>
                        <w:sz w:val="20"/>
                      </w:rPr>
                    </w:pPr>
                    <w:r>
                      <w:rPr>
                        <w:sz w:val="20"/>
                      </w:rPr>
                      <w:t>AAS, ITP, MKS</w:t>
                    </w:r>
                  </w:p>
                </w:tc>
                <w:tc>
                  <w:tcPr>
                    <w:tcW w:w="1134" w:type="dxa"/>
                    <w:vAlign w:val="center"/>
                    <w:hideMark/>
                  </w:tcPr>
                  <w:p>
                    <w:pPr>
                      <w:jc w:val="center"/>
                      <w:rPr>
                        <w:sz w:val="20"/>
                      </w:rPr>
                    </w:pPr>
                    <w:r>
                      <w:rPr>
                        <w:sz w:val="20"/>
                      </w:rPr>
                      <w:t>1 (2023)</w:t>
                    </w:r>
                  </w:p>
                </w:tc>
                <w:tc>
                  <w:tcPr>
                    <w:tcW w:w="1134" w:type="dxa"/>
                    <w:vAlign w:val="center"/>
                    <w:hideMark/>
                  </w:tcPr>
                  <w:p>
                    <w:pPr>
                      <w:jc w:val="center"/>
                      <w:rPr>
                        <w:sz w:val="20"/>
                      </w:rPr>
                    </w:pPr>
                    <w:r>
                      <w:rPr>
                        <w:sz w:val="20"/>
                      </w:rPr>
                      <w:t>2 (2030)</w:t>
                    </w:r>
                  </w:p>
                </w:tc>
              </w:tr>
              <w:tr>
                <w:trPr>
                  <w:trHeight w:val="660"/>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rPr>
                        <w:sz w:val="20"/>
                      </w:rPr>
                    </w:pPr>
                  </w:p>
                </w:tc>
                <w:tc>
                  <w:tcPr>
                    <w:tcW w:w="709" w:type="dxa"/>
                    <w:vMerge/>
                    <w:vAlign w:val="center"/>
                    <w:hideMark/>
                  </w:tcPr>
                  <w:p>
                    <w:pPr>
                      <w:rPr>
                        <w:sz w:val="20"/>
                      </w:rPr>
                    </w:pPr>
                  </w:p>
                </w:tc>
                <w:tc>
                  <w:tcPr>
                    <w:tcW w:w="709" w:type="dxa"/>
                    <w:vMerge/>
                    <w:vAlign w:val="center"/>
                    <w:hideMark/>
                  </w:tcPr>
                  <w:p>
                    <w:pPr>
                      <w:rPr>
                        <w:sz w:val="20"/>
                      </w:rPr>
                    </w:pPr>
                  </w:p>
                </w:tc>
                <w:tc>
                  <w:tcPr>
                    <w:tcW w:w="1417" w:type="dxa"/>
                    <w:vAlign w:val="center"/>
                    <w:hideMark/>
                  </w:tcPr>
                  <w:p>
                    <w:pPr>
                      <w:rPr>
                        <w:sz w:val="20"/>
                      </w:rPr>
                    </w:pPr>
                    <w:r>
                      <w:rPr>
                        <w:sz w:val="20"/>
                      </w:rPr>
                      <w:t>P-11-01-03-05</w:t>
                    </w:r>
                  </w:p>
                </w:tc>
                <w:tc>
                  <w:tcPr>
                    <w:tcW w:w="4111" w:type="dxa"/>
                    <w:vAlign w:val="center"/>
                    <w:hideMark/>
                  </w:tcPr>
                  <w:p>
                    <w:pPr>
                      <w:rPr>
                        <w:sz w:val="20"/>
                      </w:rPr>
                    </w:pPr>
                    <w:r>
                      <w:rPr>
                        <w:sz w:val="20"/>
                      </w:rPr>
                      <w:t>Savivaldybės įstaigų dalis, kurių internetiniai portalai pritaikyti skirtingas negalias turintiems asmenims (proc.)</w:t>
                    </w:r>
                  </w:p>
                </w:tc>
                <w:tc>
                  <w:tcPr>
                    <w:tcW w:w="1134" w:type="dxa"/>
                    <w:vAlign w:val="center"/>
                    <w:hideMark/>
                  </w:tcPr>
                  <w:p>
                    <w:pPr>
                      <w:jc w:val="center"/>
                      <w:rPr>
                        <w:sz w:val="20"/>
                      </w:rPr>
                    </w:pPr>
                    <w:r>
                      <w:rPr>
                        <w:sz w:val="20"/>
                      </w:rPr>
                      <w:t>AAS</w:t>
                    </w:r>
                  </w:p>
                </w:tc>
                <w:tc>
                  <w:tcPr>
                    <w:tcW w:w="1134" w:type="dxa"/>
                    <w:vAlign w:val="center"/>
                    <w:hideMark/>
                  </w:tcPr>
                  <w:p>
                    <w:pPr>
                      <w:jc w:val="center"/>
                      <w:rPr>
                        <w:sz w:val="20"/>
                      </w:rPr>
                    </w:pPr>
                    <w:r>
                      <w:rPr>
                        <w:sz w:val="20"/>
                      </w:rPr>
                      <w:t>23,7 (2023)</w:t>
                    </w:r>
                  </w:p>
                </w:tc>
                <w:tc>
                  <w:tcPr>
                    <w:tcW w:w="1134" w:type="dxa"/>
                    <w:vAlign w:val="center"/>
                    <w:hideMark/>
                  </w:tcPr>
                  <w:p>
                    <w:pPr>
                      <w:jc w:val="center"/>
                      <w:rPr>
                        <w:sz w:val="20"/>
                      </w:rPr>
                    </w:pPr>
                    <w:r>
                      <w:rPr>
                        <w:sz w:val="20"/>
                      </w:rPr>
                      <w:t>100 (2026)</w:t>
                    </w:r>
                  </w:p>
                </w:tc>
              </w:tr>
              <w:tr>
                <w:trPr>
                  <w:trHeight w:val="671"/>
                  <w:jc w:val="center"/>
                </w:trPr>
                <w:tc>
                  <w:tcPr>
                    <w:tcW w:w="988" w:type="dxa"/>
                    <w:vMerge w:val="restart"/>
                    <w:noWrap/>
                    <w:vAlign w:val="center"/>
                    <w:hideMark/>
                  </w:tcPr>
                  <w:p>
                    <w:pPr>
                      <w:rPr>
                        <w:sz w:val="20"/>
                      </w:rPr>
                    </w:pPr>
                    <w:r>
                      <w:rPr>
                        <w:sz w:val="20"/>
                      </w:rPr>
                      <w:t>11-01-04</w:t>
                    </w:r>
                  </w:p>
                </w:tc>
                <w:tc>
                  <w:tcPr>
                    <w:tcW w:w="2126" w:type="dxa"/>
                    <w:vMerge w:val="restart"/>
                    <w:vAlign w:val="center"/>
                    <w:hideMark/>
                  </w:tcPr>
                  <w:p>
                    <w:pPr>
                      <w:rPr>
                        <w:sz w:val="20"/>
                      </w:rPr>
                    </w:pPr>
                    <w:r>
                      <w:rPr>
                        <w:sz w:val="20"/>
                      </w:rPr>
                      <w:t>Pasirengti efektyviam ekstremaliųjų situacijų valdymui Šiaulių miesto savivaldybėje</w:t>
                    </w:r>
                  </w:p>
                </w:tc>
                <w:tc>
                  <w:tcPr>
                    <w:tcW w:w="850" w:type="dxa"/>
                    <w:vMerge w:val="restart"/>
                    <w:vAlign w:val="center"/>
                    <w:hideMark/>
                  </w:tcPr>
                  <w:p>
                    <w:pPr>
                      <w:jc w:val="center"/>
                      <w:rPr>
                        <w:sz w:val="20"/>
                      </w:rPr>
                    </w:pPr>
                    <w:r>
                      <w:rPr>
                        <w:sz w:val="20"/>
                      </w:rPr>
                      <w:t>CSTS (CSP)</w:t>
                    </w:r>
                  </w:p>
                </w:tc>
                <w:tc>
                  <w:tcPr>
                    <w:tcW w:w="709" w:type="dxa"/>
                    <w:vMerge w:val="restart"/>
                    <w:vAlign w:val="center"/>
                    <w:hideMark/>
                  </w:tcPr>
                  <w:p>
                    <w:pPr>
                      <w:jc w:val="center"/>
                      <w:rPr>
                        <w:sz w:val="20"/>
                      </w:rPr>
                    </w:pPr>
                    <w:r>
                      <w:rPr>
                        <w:sz w:val="20"/>
                      </w:rPr>
                      <w:t>2025</w:t>
                    </w:r>
                  </w:p>
                </w:tc>
                <w:tc>
                  <w:tcPr>
                    <w:tcW w:w="709" w:type="dxa"/>
                    <w:vMerge w:val="restart"/>
                    <w:vAlign w:val="center"/>
                    <w:hideMark/>
                  </w:tcPr>
                  <w:p>
                    <w:pPr>
                      <w:jc w:val="center"/>
                      <w:rPr>
                        <w:sz w:val="20"/>
                      </w:rPr>
                    </w:pPr>
                    <w:r>
                      <w:rPr>
                        <w:sz w:val="20"/>
                      </w:rPr>
                      <w:t>2030</w:t>
                    </w:r>
                  </w:p>
                </w:tc>
                <w:tc>
                  <w:tcPr>
                    <w:tcW w:w="1417" w:type="dxa"/>
                    <w:vAlign w:val="center"/>
                    <w:hideMark/>
                  </w:tcPr>
                  <w:p>
                    <w:pPr>
                      <w:rPr>
                        <w:sz w:val="20"/>
                      </w:rPr>
                    </w:pPr>
                    <w:r>
                      <w:rPr>
                        <w:sz w:val="20"/>
                      </w:rPr>
                      <w:t>P-11-01-04-01</w:t>
                    </w:r>
                  </w:p>
                </w:tc>
                <w:tc>
                  <w:tcPr>
                    <w:tcW w:w="4111" w:type="dxa"/>
                    <w:vAlign w:val="center"/>
                    <w:hideMark/>
                  </w:tcPr>
                  <w:p>
                    <w:pPr>
                      <w:rPr>
                        <w:sz w:val="20"/>
                      </w:rPr>
                    </w:pPr>
                    <w:r>
                      <w:rPr>
                        <w:sz w:val="20"/>
                      </w:rPr>
                      <w:t>Gyventojų dalis, kuriems užtikrintas kolektyvinės apsaugos statinių poreikis ekstremaliųjų situacijų metu (proc.)</w:t>
                    </w:r>
                  </w:p>
                </w:tc>
                <w:tc>
                  <w:tcPr>
                    <w:tcW w:w="1134" w:type="dxa"/>
                    <w:vAlign w:val="center"/>
                    <w:hideMark/>
                  </w:tcPr>
                  <w:p>
                    <w:pPr>
                      <w:jc w:val="center"/>
                      <w:rPr>
                        <w:sz w:val="20"/>
                      </w:rPr>
                    </w:pPr>
                    <w:r>
                      <w:rPr>
                        <w:sz w:val="20"/>
                      </w:rPr>
                      <w:t>CSP</w:t>
                    </w:r>
                  </w:p>
                </w:tc>
                <w:tc>
                  <w:tcPr>
                    <w:tcW w:w="1134" w:type="dxa"/>
                    <w:vAlign w:val="center"/>
                    <w:hideMark/>
                  </w:tcPr>
                  <w:p>
                    <w:pPr>
                      <w:jc w:val="center"/>
                      <w:rPr>
                        <w:sz w:val="20"/>
                      </w:rPr>
                    </w:pPr>
                    <w:r>
                      <w:rPr>
                        <w:sz w:val="20"/>
                      </w:rPr>
                      <w:t>32 (2024)</w:t>
                    </w:r>
                  </w:p>
                </w:tc>
                <w:tc>
                  <w:tcPr>
                    <w:tcW w:w="1134" w:type="dxa"/>
                    <w:vAlign w:val="center"/>
                    <w:hideMark/>
                  </w:tcPr>
                  <w:p>
                    <w:pPr>
                      <w:jc w:val="center"/>
                      <w:rPr>
                        <w:sz w:val="20"/>
                      </w:rPr>
                    </w:pPr>
                    <w:r>
                      <w:rPr>
                        <w:sz w:val="20"/>
                      </w:rPr>
                      <w:t>43 (2025)</w:t>
                    </w:r>
                  </w:p>
                </w:tc>
              </w:tr>
              <w:tr>
                <w:trPr>
                  <w:trHeight w:val="520"/>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rPr>
                        <w:sz w:val="20"/>
                      </w:rPr>
                    </w:pPr>
                  </w:p>
                </w:tc>
                <w:tc>
                  <w:tcPr>
                    <w:tcW w:w="709" w:type="dxa"/>
                    <w:vMerge/>
                    <w:vAlign w:val="center"/>
                    <w:hideMark/>
                  </w:tcPr>
                  <w:p>
                    <w:pPr>
                      <w:rPr>
                        <w:sz w:val="20"/>
                      </w:rPr>
                    </w:pPr>
                  </w:p>
                </w:tc>
                <w:tc>
                  <w:tcPr>
                    <w:tcW w:w="709" w:type="dxa"/>
                    <w:vMerge/>
                    <w:vAlign w:val="center"/>
                    <w:hideMark/>
                  </w:tcPr>
                  <w:p>
                    <w:pPr>
                      <w:rPr>
                        <w:sz w:val="20"/>
                      </w:rPr>
                    </w:pPr>
                  </w:p>
                </w:tc>
                <w:tc>
                  <w:tcPr>
                    <w:tcW w:w="1417" w:type="dxa"/>
                    <w:vAlign w:val="center"/>
                    <w:hideMark/>
                  </w:tcPr>
                  <w:p>
                    <w:pPr>
                      <w:rPr>
                        <w:sz w:val="20"/>
                      </w:rPr>
                    </w:pPr>
                    <w:r>
                      <w:rPr>
                        <w:sz w:val="20"/>
                      </w:rPr>
                      <w:t>P-11-01-04-02</w:t>
                    </w:r>
                  </w:p>
                </w:tc>
                <w:tc>
                  <w:tcPr>
                    <w:tcW w:w="4111" w:type="dxa"/>
                    <w:vAlign w:val="center"/>
                    <w:hideMark/>
                  </w:tcPr>
                  <w:p>
                    <w:pPr>
                      <w:rPr>
                        <w:sz w:val="20"/>
                      </w:rPr>
                    </w:pPr>
                    <w:r>
                      <w:rPr>
                        <w:sz w:val="20"/>
                      </w:rPr>
                      <w:t>Gyventojų dalis, kuriems užtikrintas priedangų poreikis ekstremaliųjų situacijų metu (proc.)</w:t>
                    </w:r>
                  </w:p>
                </w:tc>
                <w:tc>
                  <w:tcPr>
                    <w:tcW w:w="1134" w:type="dxa"/>
                    <w:vAlign w:val="center"/>
                    <w:hideMark/>
                  </w:tcPr>
                  <w:p>
                    <w:pPr>
                      <w:jc w:val="center"/>
                      <w:rPr>
                        <w:sz w:val="20"/>
                      </w:rPr>
                    </w:pPr>
                    <w:r>
                      <w:rPr>
                        <w:sz w:val="20"/>
                      </w:rPr>
                      <w:t>CSP</w:t>
                    </w:r>
                  </w:p>
                </w:tc>
                <w:tc>
                  <w:tcPr>
                    <w:tcW w:w="1134" w:type="dxa"/>
                    <w:vAlign w:val="center"/>
                    <w:hideMark/>
                  </w:tcPr>
                  <w:p>
                    <w:pPr>
                      <w:jc w:val="center"/>
                      <w:rPr>
                        <w:sz w:val="20"/>
                      </w:rPr>
                    </w:pPr>
                    <w:r>
                      <w:rPr>
                        <w:sz w:val="20"/>
                      </w:rPr>
                      <w:t>51 (2024)</w:t>
                    </w:r>
                  </w:p>
                </w:tc>
                <w:tc>
                  <w:tcPr>
                    <w:tcW w:w="1134" w:type="dxa"/>
                    <w:vAlign w:val="center"/>
                    <w:hideMark/>
                  </w:tcPr>
                  <w:p>
                    <w:pPr>
                      <w:jc w:val="center"/>
                      <w:rPr>
                        <w:sz w:val="20"/>
                      </w:rPr>
                    </w:pPr>
                    <w:r>
                      <w:rPr>
                        <w:sz w:val="20"/>
                      </w:rPr>
                      <w:t>60 (2025)</w:t>
                    </w:r>
                  </w:p>
                </w:tc>
              </w:tr>
              <w:tr>
                <w:trPr>
                  <w:trHeight w:val="260"/>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rPr>
                        <w:sz w:val="20"/>
                      </w:rPr>
                    </w:pPr>
                  </w:p>
                </w:tc>
                <w:tc>
                  <w:tcPr>
                    <w:tcW w:w="709" w:type="dxa"/>
                    <w:vMerge/>
                    <w:vAlign w:val="center"/>
                    <w:hideMark/>
                  </w:tcPr>
                  <w:p>
                    <w:pPr>
                      <w:rPr>
                        <w:sz w:val="20"/>
                      </w:rPr>
                    </w:pPr>
                  </w:p>
                </w:tc>
                <w:tc>
                  <w:tcPr>
                    <w:tcW w:w="709" w:type="dxa"/>
                    <w:vMerge/>
                    <w:vAlign w:val="center"/>
                    <w:hideMark/>
                  </w:tcPr>
                  <w:p>
                    <w:pPr>
                      <w:rPr>
                        <w:sz w:val="20"/>
                      </w:rPr>
                    </w:pPr>
                  </w:p>
                </w:tc>
                <w:tc>
                  <w:tcPr>
                    <w:tcW w:w="1417" w:type="dxa"/>
                    <w:vAlign w:val="center"/>
                    <w:hideMark/>
                  </w:tcPr>
                  <w:p>
                    <w:pPr>
                      <w:rPr>
                        <w:sz w:val="20"/>
                      </w:rPr>
                    </w:pPr>
                    <w:r>
                      <w:rPr>
                        <w:sz w:val="20"/>
                      </w:rPr>
                      <w:t>P-11-01-04-03</w:t>
                    </w:r>
                  </w:p>
                </w:tc>
                <w:tc>
                  <w:tcPr>
                    <w:tcW w:w="4111" w:type="dxa"/>
                    <w:vAlign w:val="center"/>
                    <w:hideMark/>
                  </w:tcPr>
                  <w:p>
                    <w:pPr>
                      <w:rPr>
                        <w:sz w:val="20"/>
                      </w:rPr>
                    </w:pPr>
                    <w:r>
                      <w:rPr>
                        <w:sz w:val="20"/>
                      </w:rPr>
                      <w:t>Įrengtų perspėjimo sirenų skaičius (vnt.)</w:t>
                    </w:r>
                  </w:p>
                </w:tc>
                <w:tc>
                  <w:tcPr>
                    <w:tcW w:w="1134" w:type="dxa"/>
                    <w:vAlign w:val="center"/>
                    <w:hideMark/>
                  </w:tcPr>
                  <w:p>
                    <w:pPr>
                      <w:jc w:val="center"/>
                      <w:rPr>
                        <w:sz w:val="20"/>
                      </w:rPr>
                    </w:pPr>
                    <w:r>
                      <w:rPr>
                        <w:sz w:val="20"/>
                      </w:rPr>
                      <w:t>CSP</w:t>
                    </w:r>
                  </w:p>
                </w:tc>
                <w:tc>
                  <w:tcPr>
                    <w:tcW w:w="1134" w:type="dxa"/>
                    <w:vAlign w:val="center"/>
                    <w:hideMark/>
                  </w:tcPr>
                  <w:p>
                    <w:pPr>
                      <w:jc w:val="center"/>
                      <w:rPr>
                        <w:sz w:val="20"/>
                      </w:rPr>
                    </w:pPr>
                    <w:r>
                      <w:rPr>
                        <w:sz w:val="20"/>
                      </w:rPr>
                      <w:t>24 (2024)</w:t>
                    </w:r>
                  </w:p>
                </w:tc>
                <w:tc>
                  <w:tcPr>
                    <w:tcW w:w="1134" w:type="dxa"/>
                    <w:vAlign w:val="center"/>
                    <w:hideMark/>
                  </w:tcPr>
                  <w:p>
                    <w:pPr>
                      <w:jc w:val="center"/>
                      <w:rPr>
                        <w:sz w:val="20"/>
                      </w:rPr>
                    </w:pPr>
                    <w:r>
                      <w:rPr>
                        <w:sz w:val="20"/>
                      </w:rPr>
                      <w:t>34 (2030)</w:t>
                    </w:r>
                  </w:p>
                </w:tc>
              </w:tr>
              <w:tr>
                <w:trPr>
                  <w:trHeight w:val="667"/>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rPr>
                        <w:sz w:val="20"/>
                      </w:rPr>
                    </w:pPr>
                  </w:p>
                </w:tc>
                <w:tc>
                  <w:tcPr>
                    <w:tcW w:w="709" w:type="dxa"/>
                    <w:vMerge/>
                    <w:vAlign w:val="center"/>
                    <w:hideMark/>
                  </w:tcPr>
                  <w:p>
                    <w:pPr>
                      <w:rPr>
                        <w:sz w:val="20"/>
                      </w:rPr>
                    </w:pPr>
                  </w:p>
                </w:tc>
                <w:tc>
                  <w:tcPr>
                    <w:tcW w:w="709" w:type="dxa"/>
                    <w:vMerge/>
                    <w:vAlign w:val="center"/>
                    <w:hideMark/>
                  </w:tcPr>
                  <w:p>
                    <w:pPr>
                      <w:rPr>
                        <w:sz w:val="20"/>
                      </w:rPr>
                    </w:pPr>
                  </w:p>
                </w:tc>
                <w:tc>
                  <w:tcPr>
                    <w:tcW w:w="1417" w:type="dxa"/>
                    <w:vAlign w:val="center"/>
                    <w:hideMark/>
                  </w:tcPr>
                  <w:p>
                    <w:pPr>
                      <w:rPr>
                        <w:sz w:val="20"/>
                      </w:rPr>
                    </w:pPr>
                    <w:r>
                      <w:rPr>
                        <w:sz w:val="20"/>
                      </w:rPr>
                      <w:t>P-11-01-04-04</w:t>
                    </w:r>
                  </w:p>
                </w:tc>
                <w:tc>
                  <w:tcPr>
                    <w:tcW w:w="4111" w:type="dxa"/>
                    <w:vAlign w:val="center"/>
                    <w:hideMark/>
                  </w:tcPr>
                  <w:p>
                    <w:pPr>
                      <w:rPr>
                        <w:sz w:val="20"/>
                      </w:rPr>
                    </w:pPr>
                    <w:r>
                      <w:rPr>
                        <w:sz w:val="20"/>
                      </w:rPr>
                      <w:t>Įrengta slėptuvė Šiaulių miesto savivaldybės ekstremaliųjų situacijų operacijų centro veiklai, darbui (vnt.)</w:t>
                    </w:r>
                  </w:p>
                </w:tc>
                <w:tc>
                  <w:tcPr>
                    <w:tcW w:w="1134" w:type="dxa"/>
                    <w:vAlign w:val="center"/>
                    <w:hideMark/>
                  </w:tcPr>
                  <w:p>
                    <w:pPr>
                      <w:jc w:val="center"/>
                      <w:rPr>
                        <w:sz w:val="20"/>
                      </w:rPr>
                    </w:pPr>
                    <w:r>
                      <w:rPr>
                        <w:sz w:val="20"/>
                      </w:rPr>
                      <w:t>CSP, SRS</w:t>
                    </w:r>
                  </w:p>
                </w:tc>
                <w:tc>
                  <w:tcPr>
                    <w:tcW w:w="1134" w:type="dxa"/>
                    <w:vAlign w:val="center"/>
                    <w:hideMark/>
                  </w:tcPr>
                  <w:p>
                    <w:pPr>
                      <w:jc w:val="center"/>
                      <w:rPr>
                        <w:sz w:val="20"/>
                      </w:rPr>
                    </w:pPr>
                    <w:r>
                      <w:rPr>
                        <w:sz w:val="20"/>
                      </w:rPr>
                      <w:t>0 (2024)</w:t>
                    </w:r>
                  </w:p>
                </w:tc>
                <w:tc>
                  <w:tcPr>
                    <w:tcW w:w="1134" w:type="dxa"/>
                    <w:vAlign w:val="center"/>
                    <w:hideMark/>
                  </w:tcPr>
                  <w:p>
                    <w:pPr>
                      <w:jc w:val="center"/>
                      <w:rPr>
                        <w:sz w:val="20"/>
                      </w:rPr>
                    </w:pPr>
                    <w:r>
                      <w:rPr>
                        <w:sz w:val="20"/>
                      </w:rPr>
                      <w:t>1 (2026)</w:t>
                    </w:r>
                  </w:p>
                </w:tc>
              </w:tr>
              <w:tr>
                <w:trPr>
                  <w:trHeight w:val="520"/>
                  <w:jc w:val="center"/>
                </w:trPr>
                <w:tc>
                  <w:tcPr>
                    <w:tcW w:w="988" w:type="dxa"/>
                    <w:vMerge w:val="restart"/>
                    <w:noWrap/>
                    <w:vAlign w:val="center"/>
                    <w:hideMark/>
                  </w:tcPr>
                  <w:p>
                    <w:pPr>
                      <w:rPr>
                        <w:sz w:val="20"/>
                      </w:rPr>
                    </w:pPr>
                    <w:r>
                      <w:rPr>
                        <w:sz w:val="20"/>
                      </w:rPr>
                      <w:t>11-01-05</w:t>
                    </w:r>
                  </w:p>
                </w:tc>
                <w:tc>
                  <w:tcPr>
                    <w:tcW w:w="2126" w:type="dxa"/>
                    <w:vMerge w:val="restart"/>
                    <w:vAlign w:val="center"/>
                    <w:hideMark/>
                  </w:tcPr>
                  <w:p>
                    <w:pPr>
                      <w:rPr>
                        <w:sz w:val="20"/>
                      </w:rPr>
                    </w:pPr>
                    <w:r>
                      <w:rPr>
                        <w:sz w:val="20"/>
                      </w:rPr>
                      <w:t>Įgyvendinti lyčių lygybės, lygių galimybių ir korupcijos prevencijos principus</w:t>
                    </w:r>
                  </w:p>
                </w:tc>
                <w:tc>
                  <w:tcPr>
                    <w:tcW w:w="850" w:type="dxa"/>
                    <w:vMerge w:val="restart"/>
                    <w:vAlign w:val="center"/>
                    <w:hideMark/>
                  </w:tcPr>
                  <w:p>
                    <w:pPr>
                      <w:jc w:val="center"/>
                      <w:rPr>
                        <w:sz w:val="20"/>
                      </w:rPr>
                    </w:pPr>
                    <w:r>
                      <w:rPr>
                        <w:sz w:val="20"/>
                      </w:rPr>
                      <w:t>AD</w:t>
                    </w:r>
                  </w:p>
                </w:tc>
                <w:tc>
                  <w:tcPr>
                    <w:tcW w:w="709" w:type="dxa"/>
                    <w:vMerge w:val="restart"/>
                    <w:vAlign w:val="center"/>
                    <w:hideMark/>
                  </w:tcPr>
                  <w:p>
                    <w:pPr>
                      <w:jc w:val="center"/>
                      <w:rPr>
                        <w:sz w:val="20"/>
                      </w:rPr>
                    </w:pPr>
                    <w:r>
                      <w:rPr>
                        <w:sz w:val="20"/>
                      </w:rPr>
                      <w:t>2025</w:t>
                    </w:r>
                  </w:p>
                </w:tc>
                <w:tc>
                  <w:tcPr>
                    <w:tcW w:w="709" w:type="dxa"/>
                    <w:vMerge w:val="restart"/>
                    <w:vAlign w:val="center"/>
                    <w:hideMark/>
                  </w:tcPr>
                  <w:p>
                    <w:pPr>
                      <w:jc w:val="center"/>
                      <w:rPr>
                        <w:sz w:val="20"/>
                      </w:rPr>
                    </w:pPr>
                    <w:r>
                      <w:rPr>
                        <w:sz w:val="20"/>
                      </w:rPr>
                      <w:t>2033</w:t>
                    </w:r>
                  </w:p>
                </w:tc>
                <w:tc>
                  <w:tcPr>
                    <w:tcW w:w="1417" w:type="dxa"/>
                    <w:vAlign w:val="center"/>
                    <w:hideMark/>
                  </w:tcPr>
                  <w:p>
                    <w:pPr>
                      <w:rPr>
                        <w:sz w:val="20"/>
                      </w:rPr>
                    </w:pPr>
                    <w:r>
                      <w:rPr>
                        <w:sz w:val="20"/>
                      </w:rPr>
                      <w:t>P-11-01-05-01</w:t>
                    </w:r>
                  </w:p>
                </w:tc>
                <w:tc>
                  <w:tcPr>
                    <w:tcW w:w="4111" w:type="dxa"/>
                    <w:vAlign w:val="center"/>
                    <w:hideMark/>
                  </w:tcPr>
                  <w:p>
                    <w:pPr>
                      <w:rPr>
                        <w:sz w:val="20"/>
                      </w:rPr>
                    </w:pPr>
                    <w:r>
                      <w:rPr>
                        <w:sz w:val="20"/>
                      </w:rPr>
                      <w:t>Atnaujinta nuotolinio darbo savivaldybės administracijoje tvarka (vnt.)</w:t>
                    </w:r>
                  </w:p>
                </w:tc>
                <w:tc>
                  <w:tcPr>
                    <w:tcW w:w="1134" w:type="dxa"/>
                    <w:vAlign w:val="center"/>
                    <w:hideMark/>
                  </w:tcPr>
                  <w:p>
                    <w:pPr>
                      <w:jc w:val="center"/>
                      <w:rPr>
                        <w:sz w:val="20"/>
                      </w:rPr>
                    </w:pPr>
                    <w:r>
                      <w:rPr>
                        <w:sz w:val="20"/>
                      </w:rPr>
                      <w:t>PS</w:t>
                    </w:r>
                  </w:p>
                </w:tc>
                <w:tc>
                  <w:tcPr>
                    <w:tcW w:w="1134" w:type="dxa"/>
                    <w:vAlign w:val="center"/>
                    <w:hideMark/>
                  </w:tcPr>
                  <w:p>
                    <w:pPr>
                      <w:jc w:val="center"/>
                      <w:rPr>
                        <w:sz w:val="20"/>
                      </w:rPr>
                    </w:pPr>
                    <w:r>
                      <w:rPr>
                        <w:sz w:val="20"/>
                      </w:rPr>
                      <w:t>0 (2024)</w:t>
                    </w:r>
                  </w:p>
                </w:tc>
                <w:tc>
                  <w:tcPr>
                    <w:tcW w:w="1134" w:type="dxa"/>
                    <w:vAlign w:val="center"/>
                    <w:hideMark/>
                  </w:tcPr>
                  <w:p>
                    <w:pPr>
                      <w:jc w:val="center"/>
                      <w:rPr>
                        <w:sz w:val="20"/>
                      </w:rPr>
                    </w:pPr>
                    <w:r>
                      <w:rPr>
                        <w:sz w:val="20"/>
                      </w:rPr>
                      <w:t>1 (2025)</w:t>
                    </w:r>
                  </w:p>
                </w:tc>
              </w:tr>
              <w:tr>
                <w:trPr>
                  <w:trHeight w:val="520"/>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rPr>
                        <w:sz w:val="20"/>
                      </w:rPr>
                    </w:pPr>
                  </w:p>
                </w:tc>
                <w:tc>
                  <w:tcPr>
                    <w:tcW w:w="709" w:type="dxa"/>
                    <w:vMerge/>
                    <w:vAlign w:val="center"/>
                    <w:hideMark/>
                  </w:tcPr>
                  <w:p>
                    <w:pPr>
                      <w:rPr>
                        <w:sz w:val="20"/>
                      </w:rPr>
                    </w:pPr>
                  </w:p>
                </w:tc>
                <w:tc>
                  <w:tcPr>
                    <w:tcW w:w="709" w:type="dxa"/>
                    <w:vMerge/>
                    <w:vAlign w:val="center"/>
                    <w:hideMark/>
                  </w:tcPr>
                  <w:p>
                    <w:pPr>
                      <w:rPr>
                        <w:sz w:val="20"/>
                      </w:rPr>
                    </w:pPr>
                  </w:p>
                </w:tc>
                <w:tc>
                  <w:tcPr>
                    <w:tcW w:w="1417" w:type="dxa"/>
                    <w:vAlign w:val="center"/>
                    <w:hideMark/>
                  </w:tcPr>
                  <w:p>
                    <w:pPr>
                      <w:rPr>
                        <w:sz w:val="20"/>
                      </w:rPr>
                    </w:pPr>
                    <w:r>
                      <w:rPr>
                        <w:sz w:val="20"/>
                      </w:rPr>
                      <w:t>P-11-01-05-02</w:t>
                    </w:r>
                  </w:p>
                </w:tc>
                <w:tc>
                  <w:tcPr>
                    <w:tcW w:w="4111" w:type="dxa"/>
                    <w:vAlign w:val="center"/>
                    <w:hideMark/>
                  </w:tcPr>
                  <w:p>
                    <w:pPr>
                      <w:rPr>
                        <w:sz w:val="20"/>
                      </w:rPr>
                    </w:pPr>
                    <w:r>
                      <w:rPr>
                        <w:sz w:val="20"/>
                      </w:rPr>
                      <w:t>Darbuotojų, pasinaudojusių nuotolinio darbo galimybe, dalis nuo visų darbuotojų (proc.)</w:t>
                    </w:r>
                  </w:p>
                </w:tc>
                <w:tc>
                  <w:tcPr>
                    <w:tcW w:w="1134" w:type="dxa"/>
                    <w:vAlign w:val="center"/>
                    <w:hideMark/>
                  </w:tcPr>
                  <w:p>
                    <w:pPr>
                      <w:jc w:val="center"/>
                      <w:rPr>
                        <w:sz w:val="20"/>
                      </w:rPr>
                    </w:pPr>
                    <w:r>
                      <w:rPr>
                        <w:sz w:val="20"/>
                      </w:rPr>
                      <w:t>PS</w:t>
                    </w:r>
                  </w:p>
                </w:tc>
                <w:tc>
                  <w:tcPr>
                    <w:tcW w:w="1134" w:type="dxa"/>
                    <w:vAlign w:val="center"/>
                    <w:hideMark/>
                  </w:tcPr>
                  <w:p>
                    <w:pPr>
                      <w:jc w:val="center"/>
                      <w:rPr>
                        <w:sz w:val="20"/>
                      </w:rPr>
                    </w:pPr>
                    <w:r>
                      <w:rPr>
                        <w:sz w:val="20"/>
                      </w:rPr>
                      <w:t>50 (2023)</w:t>
                    </w:r>
                  </w:p>
                </w:tc>
                <w:tc>
                  <w:tcPr>
                    <w:tcW w:w="1134" w:type="dxa"/>
                    <w:vAlign w:val="center"/>
                    <w:hideMark/>
                  </w:tcPr>
                  <w:p>
                    <w:pPr>
                      <w:jc w:val="center"/>
                      <w:rPr>
                        <w:sz w:val="20"/>
                      </w:rPr>
                    </w:pPr>
                    <w:r>
                      <w:rPr>
                        <w:sz w:val="20"/>
                      </w:rPr>
                      <w:t>80 (2033)</w:t>
                    </w:r>
                  </w:p>
                </w:tc>
              </w:tr>
              <w:tr>
                <w:trPr>
                  <w:trHeight w:val="780"/>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rPr>
                        <w:sz w:val="20"/>
                      </w:rPr>
                    </w:pPr>
                  </w:p>
                </w:tc>
                <w:tc>
                  <w:tcPr>
                    <w:tcW w:w="709" w:type="dxa"/>
                    <w:vMerge/>
                    <w:vAlign w:val="center"/>
                    <w:hideMark/>
                  </w:tcPr>
                  <w:p>
                    <w:pPr>
                      <w:rPr>
                        <w:sz w:val="20"/>
                      </w:rPr>
                    </w:pPr>
                  </w:p>
                </w:tc>
                <w:tc>
                  <w:tcPr>
                    <w:tcW w:w="709" w:type="dxa"/>
                    <w:vMerge/>
                    <w:vAlign w:val="center"/>
                    <w:hideMark/>
                  </w:tcPr>
                  <w:p>
                    <w:pPr>
                      <w:rPr>
                        <w:sz w:val="20"/>
                      </w:rPr>
                    </w:pPr>
                  </w:p>
                </w:tc>
                <w:tc>
                  <w:tcPr>
                    <w:tcW w:w="1417" w:type="dxa"/>
                    <w:vAlign w:val="center"/>
                    <w:hideMark/>
                  </w:tcPr>
                  <w:p>
                    <w:pPr>
                      <w:rPr>
                        <w:sz w:val="20"/>
                      </w:rPr>
                    </w:pPr>
                    <w:r>
                      <w:rPr>
                        <w:sz w:val="20"/>
                      </w:rPr>
                      <w:t>P-11-01-05-03</w:t>
                    </w:r>
                  </w:p>
                </w:tc>
                <w:tc>
                  <w:tcPr>
                    <w:tcW w:w="4111" w:type="dxa"/>
                    <w:vAlign w:val="center"/>
                    <w:hideMark/>
                  </w:tcPr>
                  <w:p>
                    <w:pPr>
                      <w:rPr>
                        <w:sz w:val="20"/>
                      </w:rPr>
                    </w:pPr>
                    <w:r>
                      <w:rPr>
                        <w:sz w:val="20"/>
                      </w:rPr>
                      <w:t>Įsteigta koordinatoriaus, lygių galimybių, lyčių lygybės ir apsaugos nuo smurto artimoje aplinkoje, pareigybė (vnt.)</w:t>
                    </w:r>
                  </w:p>
                </w:tc>
                <w:tc>
                  <w:tcPr>
                    <w:tcW w:w="1134" w:type="dxa"/>
                    <w:vAlign w:val="center"/>
                    <w:hideMark/>
                  </w:tcPr>
                  <w:p>
                    <w:pPr>
                      <w:jc w:val="center"/>
                      <w:rPr>
                        <w:sz w:val="20"/>
                      </w:rPr>
                    </w:pPr>
                    <w:r>
                      <w:rPr>
                        <w:sz w:val="20"/>
                      </w:rPr>
                      <w:t>AAS</w:t>
                    </w:r>
                  </w:p>
                </w:tc>
                <w:tc>
                  <w:tcPr>
                    <w:tcW w:w="1134" w:type="dxa"/>
                    <w:vAlign w:val="center"/>
                    <w:hideMark/>
                  </w:tcPr>
                  <w:p>
                    <w:pPr>
                      <w:jc w:val="center"/>
                      <w:rPr>
                        <w:sz w:val="20"/>
                      </w:rPr>
                    </w:pPr>
                    <w:r>
                      <w:rPr>
                        <w:sz w:val="20"/>
                      </w:rPr>
                      <w:t>0 (2024)</w:t>
                    </w:r>
                  </w:p>
                </w:tc>
                <w:tc>
                  <w:tcPr>
                    <w:tcW w:w="1134" w:type="dxa"/>
                    <w:vAlign w:val="center"/>
                    <w:hideMark/>
                  </w:tcPr>
                  <w:p>
                    <w:pPr>
                      <w:jc w:val="center"/>
                      <w:rPr>
                        <w:sz w:val="20"/>
                      </w:rPr>
                    </w:pPr>
                    <w:r>
                      <w:rPr>
                        <w:sz w:val="20"/>
                      </w:rPr>
                      <w:t>1 (2026)</w:t>
                    </w:r>
                  </w:p>
                </w:tc>
              </w:tr>
              <w:tr>
                <w:trPr>
                  <w:trHeight w:val="780"/>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rPr>
                        <w:sz w:val="20"/>
                      </w:rPr>
                    </w:pPr>
                  </w:p>
                </w:tc>
                <w:tc>
                  <w:tcPr>
                    <w:tcW w:w="709" w:type="dxa"/>
                    <w:vMerge/>
                    <w:vAlign w:val="center"/>
                    <w:hideMark/>
                  </w:tcPr>
                  <w:p>
                    <w:pPr>
                      <w:rPr>
                        <w:sz w:val="20"/>
                      </w:rPr>
                    </w:pPr>
                  </w:p>
                </w:tc>
                <w:tc>
                  <w:tcPr>
                    <w:tcW w:w="709" w:type="dxa"/>
                    <w:vMerge/>
                    <w:vAlign w:val="center"/>
                    <w:hideMark/>
                  </w:tcPr>
                  <w:p>
                    <w:pPr>
                      <w:rPr>
                        <w:sz w:val="20"/>
                      </w:rPr>
                    </w:pPr>
                  </w:p>
                </w:tc>
                <w:tc>
                  <w:tcPr>
                    <w:tcW w:w="1417" w:type="dxa"/>
                    <w:vAlign w:val="center"/>
                    <w:hideMark/>
                  </w:tcPr>
                  <w:p>
                    <w:pPr>
                      <w:rPr>
                        <w:sz w:val="20"/>
                      </w:rPr>
                    </w:pPr>
                    <w:r>
                      <w:rPr>
                        <w:sz w:val="20"/>
                      </w:rPr>
                      <w:t>P-11-01-05-04</w:t>
                    </w:r>
                  </w:p>
                </w:tc>
                <w:tc>
                  <w:tcPr>
                    <w:tcW w:w="4111" w:type="dxa"/>
                    <w:vAlign w:val="center"/>
                    <w:hideMark/>
                  </w:tcPr>
                  <w:p>
                    <w:pPr>
                      <w:rPr>
                        <w:sz w:val="20"/>
                      </w:rPr>
                    </w:pPr>
                    <w:r>
                      <w:rPr>
                        <w:sz w:val="20"/>
                      </w:rPr>
                      <w:t>Gautų skundų skaičius dėl lyčių lygybės ir lygių galimybių principų įgyvendinimo savivaldybės administracijoje (vnt.)</w:t>
                    </w:r>
                  </w:p>
                </w:tc>
                <w:tc>
                  <w:tcPr>
                    <w:tcW w:w="1134" w:type="dxa"/>
                    <w:vAlign w:val="center"/>
                    <w:hideMark/>
                  </w:tcPr>
                  <w:p>
                    <w:pPr>
                      <w:jc w:val="center"/>
                      <w:rPr>
                        <w:sz w:val="20"/>
                      </w:rPr>
                    </w:pPr>
                    <w:r>
                      <w:rPr>
                        <w:sz w:val="20"/>
                      </w:rPr>
                      <w:t>AAS</w:t>
                    </w:r>
                  </w:p>
                </w:tc>
                <w:tc>
                  <w:tcPr>
                    <w:tcW w:w="1134" w:type="dxa"/>
                    <w:vAlign w:val="center"/>
                    <w:hideMark/>
                  </w:tcPr>
                  <w:p>
                    <w:pPr>
                      <w:jc w:val="center"/>
                      <w:rPr>
                        <w:sz w:val="20"/>
                      </w:rPr>
                    </w:pPr>
                    <w:r>
                      <w:rPr>
                        <w:sz w:val="20"/>
                      </w:rPr>
                      <w:t>0 (2023)</w:t>
                    </w:r>
                  </w:p>
                </w:tc>
                <w:tc>
                  <w:tcPr>
                    <w:tcW w:w="1134" w:type="dxa"/>
                    <w:vAlign w:val="center"/>
                    <w:hideMark/>
                  </w:tcPr>
                  <w:p>
                    <w:pPr>
                      <w:jc w:val="center"/>
                      <w:rPr>
                        <w:sz w:val="20"/>
                      </w:rPr>
                    </w:pPr>
                    <w:r>
                      <w:rPr>
                        <w:sz w:val="20"/>
                      </w:rPr>
                      <w:t>0 (2033)</w:t>
                    </w:r>
                  </w:p>
                </w:tc>
              </w:tr>
              <w:tr>
                <w:trPr>
                  <w:trHeight w:val="780"/>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rPr>
                        <w:sz w:val="20"/>
                      </w:rPr>
                    </w:pPr>
                  </w:p>
                </w:tc>
                <w:tc>
                  <w:tcPr>
                    <w:tcW w:w="709" w:type="dxa"/>
                    <w:vMerge/>
                    <w:vAlign w:val="center"/>
                    <w:hideMark/>
                  </w:tcPr>
                  <w:p>
                    <w:pPr>
                      <w:rPr>
                        <w:sz w:val="20"/>
                      </w:rPr>
                    </w:pPr>
                  </w:p>
                </w:tc>
                <w:tc>
                  <w:tcPr>
                    <w:tcW w:w="709" w:type="dxa"/>
                    <w:vMerge/>
                    <w:vAlign w:val="center"/>
                    <w:hideMark/>
                  </w:tcPr>
                  <w:p>
                    <w:pPr>
                      <w:rPr>
                        <w:sz w:val="20"/>
                      </w:rPr>
                    </w:pPr>
                  </w:p>
                </w:tc>
                <w:tc>
                  <w:tcPr>
                    <w:tcW w:w="1417" w:type="dxa"/>
                    <w:vAlign w:val="center"/>
                    <w:hideMark/>
                  </w:tcPr>
                  <w:p>
                    <w:pPr>
                      <w:rPr>
                        <w:sz w:val="20"/>
                      </w:rPr>
                    </w:pPr>
                    <w:r>
                      <w:rPr>
                        <w:sz w:val="20"/>
                      </w:rPr>
                      <w:t>P-11-01-05-05</w:t>
                    </w:r>
                  </w:p>
                </w:tc>
                <w:tc>
                  <w:tcPr>
                    <w:tcW w:w="4111" w:type="dxa"/>
                    <w:vAlign w:val="center"/>
                    <w:hideMark/>
                  </w:tcPr>
                  <w:p>
                    <w:pPr>
                      <w:rPr>
                        <w:sz w:val="20"/>
                      </w:rPr>
                    </w:pPr>
                    <w:r>
                      <w:rPr>
                        <w:sz w:val="20"/>
                      </w:rPr>
                      <w:t>Suorganizuotų anoniminių apklausų savivaldybės administracijos darbuotojų psichologinio mikroklimato temomis skaičius (vnt.)</w:t>
                    </w:r>
                  </w:p>
                </w:tc>
                <w:tc>
                  <w:tcPr>
                    <w:tcW w:w="1134" w:type="dxa"/>
                    <w:vAlign w:val="center"/>
                    <w:hideMark/>
                  </w:tcPr>
                  <w:p>
                    <w:pPr>
                      <w:jc w:val="center"/>
                      <w:rPr>
                        <w:sz w:val="20"/>
                      </w:rPr>
                    </w:pPr>
                    <w:r>
                      <w:rPr>
                        <w:sz w:val="20"/>
                      </w:rPr>
                      <w:t>KAAK</w:t>
                    </w:r>
                  </w:p>
                </w:tc>
                <w:tc>
                  <w:tcPr>
                    <w:tcW w:w="1134" w:type="dxa"/>
                    <w:vAlign w:val="center"/>
                    <w:hideMark/>
                  </w:tcPr>
                  <w:p>
                    <w:pPr>
                      <w:jc w:val="center"/>
                      <w:rPr>
                        <w:sz w:val="20"/>
                      </w:rPr>
                    </w:pPr>
                    <w:r>
                      <w:rPr>
                        <w:sz w:val="20"/>
                      </w:rPr>
                      <w:t>1 (2023)</w:t>
                    </w:r>
                  </w:p>
                </w:tc>
                <w:tc>
                  <w:tcPr>
                    <w:tcW w:w="1134" w:type="dxa"/>
                    <w:vAlign w:val="center"/>
                    <w:hideMark/>
                  </w:tcPr>
                  <w:p>
                    <w:pPr>
                      <w:jc w:val="center"/>
                      <w:rPr>
                        <w:sz w:val="20"/>
                      </w:rPr>
                    </w:pPr>
                    <w:r>
                      <w:rPr>
                        <w:sz w:val="20"/>
                      </w:rPr>
                      <w:t>5 (2033)</w:t>
                    </w:r>
                  </w:p>
                </w:tc>
              </w:tr>
              <w:tr>
                <w:trPr>
                  <w:trHeight w:val="790"/>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rPr>
                        <w:sz w:val="20"/>
                      </w:rPr>
                    </w:pPr>
                  </w:p>
                </w:tc>
                <w:tc>
                  <w:tcPr>
                    <w:tcW w:w="709" w:type="dxa"/>
                    <w:vMerge/>
                    <w:vAlign w:val="center"/>
                    <w:hideMark/>
                  </w:tcPr>
                  <w:p>
                    <w:pPr>
                      <w:rPr>
                        <w:sz w:val="20"/>
                      </w:rPr>
                    </w:pPr>
                  </w:p>
                </w:tc>
                <w:tc>
                  <w:tcPr>
                    <w:tcW w:w="709" w:type="dxa"/>
                    <w:vMerge/>
                    <w:vAlign w:val="center"/>
                    <w:hideMark/>
                  </w:tcPr>
                  <w:p>
                    <w:pPr>
                      <w:rPr>
                        <w:sz w:val="20"/>
                      </w:rPr>
                    </w:pPr>
                  </w:p>
                </w:tc>
                <w:tc>
                  <w:tcPr>
                    <w:tcW w:w="1417" w:type="dxa"/>
                    <w:vAlign w:val="center"/>
                    <w:hideMark/>
                  </w:tcPr>
                  <w:p>
                    <w:pPr>
                      <w:rPr>
                        <w:sz w:val="20"/>
                      </w:rPr>
                    </w:pPr>
                    <w:r>
                      <w:rPr>
                        <w:sz w:val="20"/>
                      </w:rPr>
                      <w:t>P-11-01-05-06</w:t>
                    </w:r>
                  </w:p>
                </w:tc>
                <w:tc>
                  <w:tcPr>
                    <w:tcW w:w="4111" w:type="dxa"/>
                    <w:vAlign w:val="center"/>
                    <w:hideMark/>
                  </w:tcPr>
                  <w:p>
                    <w:pPr>
                      <w:rPr>
                        <w:sz w:val="20"/>
                      </w:rPr>
                    </w:pPr>
                    <w:r>
                      <w:rPr>
                        <w:sz w:val="20"/>
                      </w:rPr>
                      <w:t xml:space="preserve">Suorganizuotų anoniminių apklausų savivaldybės administracijos darbuotojų tolerancijos korupcijai indeksui nustatyti skaičius (vnt.) </w:t>
                    </w:r>
                  </w:p>
                </w:tc>
                <w:tc>
                  <w:tcPr>
                    <w:tcW w:w="1134" w:type="dxa"/>
                    <w:vAlign w:val="center"/>
                    <w:hideMark/>
                  </w:tcPr>
                  <w:p>
                    <w:pPr>
                      <w:jc w:val="center"/>
                      <w:rPr>
                        <w:sz w:val="20"/>
                      </w:rPr>
                    </w:pPr>
                    <w:r>
                      <w:rPr>
                        <w:sz w:val="20"/>
                      </w:rPr>
                      <w:t>KAAK</w:t>
                    </w:r>
                  </w:p>
                </w:tc>
                <w:tc>
                  <w:tcPr>
                    <w:tcW w:w="1134" w:type="dxa"/>
                    <w:vAlign w:val="center"/>
                    <w:hideMark/>
                  </w:tcPr>
                  <w:p>
                    <w:pPr>
                      <w:jc w:val="center"/>
                      <w:rPr>
                        <w:sz w:val="20"/>
                      </w:rPr>
                    </w:pPr>
                    <w:r>
                      <w:rPr>
                        <w:sz w:val="20"/>
                      </w:rPr>
                      <w:t>1 (2024)</w:t>
                    </w:r>
                  </w:p>
                </w:tc>
                <w:tc>
                  <w:tcPr>
                    <w:tcW w:w="1134" w:type="dxa"/>
                    <w:vAlign w:val="center"/>
                    <w:hideMark/>
                  </w:tcPr>
                  <w:p>
                    <w:pPr>
                      <w:jc w:val="center"/>
                      <w:rPr>
                        <w:sz w:val="20"/>
                      </w:rPr>
                    </w:pPr>
                    <w:r>
                      <w:rPr>
                        <w:sz w:val="20"/>
                      </w:rPr>
                      <w:t>3 (2033)</w:t>
                    </w:r>
                  </w:p>
                </w:tc>
              </w:tr>
              <w:tr>
                <w:trPr>
                  <w:trHeight w:val="1050"/>
                  <w:jc w:val="center"/>
                </w:trPr>
                <w:tc>
                  <w:tcPr>
                    <w:tcW w:w="988" w:type="dxa"/>
                    <w:shd w:val="clear" w:color="auto" w:fill="FCE4D6"/>
                    <w:noWrap/>
                    <w:vAlign w:val="center"/>
                    <w:hideMark/>
                  </w:tcPr>
                  <w:p>
                    <w:pPr>
                      <w:rPr>
                        <w:b/>
                        <w:bCs/>
                        <w:sz w:val="20"/>
                      </w:rPr>
                    </w:pPr>
                    <w:r>
                      <w:rPr>
                        <w:b/>
                        <w:bCs/>
                        <w:sz w:val="20"/>
                      </w:rPr>
                      <w:t>11-02</w:t>
                    </w:r>
                  </w:p>
                </w:tc>
                <w:tc>
                  <w:tcPr>
                    <w:tcW w:w="2126" w:type="dxa"/>
                    <w:shd w:val="clear" w:color="auto" w:fill="FCE4D6"/>
                    <w:vAlign w:val="center"/>
                    <w:hideMark/>
                  </w:tcPr>
                  <w:p>
                    <w:pPr>
                      <w:rPr>
                        <w:b/>
                        <w:bCs/>
                        <w:sz w:val="20"/>
                      </w:rPr>
                    </w:pPr>
                    <w:r>
                      <w:rPr>
                        <w:b/>
                        <w:bCs/>
                        <w:sz w:val="20"/>
                      </w:rPr>
                      <w:t>Skatinti įtraukų bendradarbiavimą su visuomene ir suinteresuotomis šalimis</w:t>
                    </w:r>
                  </w:p>
                </w:tc>
                <w:tc>
                  <w:tcPr>
                    <w:tcW w:w="850" w:type="dxa"/>
                    <w:shd w:val="clear" w:color="auto" w:fill="FCE4D6"/>
                    <w:vAlign w:val="center"/>
                    <w:hideMark/>
                  </w:tcPr>
                  <w:p>
                    <w:pPr>
                      <w:jc w:val="center"/>
                      <w:rPr>
                        <w:sz w:val="20"/>
                      </w:rPr>
                    </w:pPr>
                    <w:r>
                      <w:rPr>
                        <w:sz w:val="20"/>
                      </w:rPr>
                      <w:t>BRS</w:t>
                    </w:r>
                  </w:p>
                </w:tc>
                <w:tc>
                  <w:tcPr>
                    <w:tcW w:w="709" w:type="dxa"/>
                    <w:shd w:val="clear" w:color="auto" w:fill="FCE4D6"/>
                    <w:vAlign w:val="center"/>
                    <w:hideMark/>
                  </w:tcPr>
                  <w:p>
                    <w:pPr>
                      <w:jc w:val="center"/>
                      <w:rPr>
                        <w:sz w:val="20"/>
                      </w:rPr>
                    </w:pPr>
                    <w:r>
                      <w:rPr>
                        <w:sz w:val="20"/>
                      </w:rPr>
                      <w:t>2025</w:t>
                    </w:r>
                  </w:p>
                </w:tc>
                <w:tc>
                  <w:tcPr>
                    <w:tcW w:w="709" w:type="dxa"/>
                    <w:shd w:val="clear" w:color="auto" w:fill="FCE4D6"/>
                    <w:vAlign w:val="center"/>
                    <w:hideMark/>
                  </w:tcPr>
                  <w:p>
                    <w:pPr>
                      <w:jc w:val="center"/>
                      <w:rPr>
                        <w:sz w:val="20"/>
                      </w:rPr>
                    </w:pPr>
                    <w:r>
                      <w:rPr>
                        <w:sz w:val="20"/>
                      </w:rPr>
                      <w:t>2033</w:t>
                    </w:r>
                  </w:p>
                </w:tc>
                <w:tc>
                  <w:tcPr>
                    <w:tcW w:w="1417" w:type="dxa"/>
                    <w:shd w:val="clear" w:color="auto" w:fill="FCE4D6"/>
                    <w:vAlign w:val="center"/>
                    <w:hideMark/>
                  </w:tcPr>
                  <w:p>
                    <w:pPr>
                      <w:rPr>
                        <w:b/>
                        <w:bCs/>
                        <w:sz w:val="20"/>
                      </w:rPr>
                    </w:pPr>
                    <w:r>
                      <w:rPr>
                        <w:b/>
                        <w:bCs/>
                        <w:sz w:val="20"/>
                      </w:rPr>
                      <w:t>R-11-02-01</w:t>
                    </w:r>
                  </w:p>
                </w:tc>
                <w:tc>
                  <w:tcPr>
                    <w:tcW w:w="4111" w:type="dxa"/>
                    <w:shd w:val="clear" w:color="auto" w:fill="FCE4D6"/>
                    <w:vAlign w:val="center"/>
                    <w:hideMark/>
                  </w:tcPr>
                  <w:p>
                    <w:pPr>
                      <w:rPr>
                        <w:sz w:val="20"/>
                      </w:rPr>
                    </w:pPr>
                    <w:r>
                      <w:rPr>
                        <w:sz w:val="20"/>
                      </w:rPr>
                      <w:t>Gyventojų aktyvumas vietos savivaldos rinkimuose (proc.)</w:t>
                    </w:r>
                  </w:p>
                </w:tc>
                <w:tc>
                  <w:tcPr>
                    <w:tcW w:w="1134" w:type="dxa"/>
                    <w:shd w:val="clear" w:color="auto" w:fill="FCE4D6"/>
                    <w:vAlign w:val="center"/>
                    <w:hideMark/>
                  </w:tcPr>
                  <w:p>
                    <w:pPr>
                      <w:jc w:val="center"/>
                      <w:rPr>
                        <w:sz w:val="20"/>
                      </w:rPr>
                    </w:pPr>
                    <w:r>
                      <w:rPr>
                        <w:sz w:val="20"/>
                      </w:rPr>
                      <w:t>VRK (BRS)</w:t>
                    </w:r>
                  </w:p>
                </w:tc>
                <w:tc>
                  <w:tcPr>
                    <w:tcW w:w="1134" w:type="dxa"/>
                    <w:shd w:val="clear" w:color="auto" w:fill="FCE4D6"/>
                    <w:vAlign w:val="center"/>
                    <w:hideMark/>
                  </w:tcPr>
                  <w:p>
                    <w:pPr>
                      <w:jc w:val="center"/>
                      <w:rPr>
                        <w:sz w:val="20"/>
                      </w:rPr>
                    </w:pPr>
                    <w:r>
                      <w:rPr>
                        <w:sz w:val="20"/>
                      </w:rPr>
                      <w:t>45,8 (2023)</w:t>
                    </w:r>
                  </w:p>
                </w:tc>
                <w:tc>
                  <w:tcPr>
                    <w:tcW w:w="1134" w:type="dxa"/>
                    <w:shd w:val="clear" w:color="auto" w:fill="FCE4D6"/>
                    <w:vAlign w:val="center"/>
                    <w:hideMark/>
                  </w:tcPr>
                  <w:p>
                    <w:pPr>
                      <w:jc w:val="center"/>
                      <w:rPr>
                        <w:sz w:val="20"/>
                      </w:rPr>
                    </w:pPr>
                    <w:r>
                      <w:rPr>
                        <w:sz w:val="20"/>
                      </w:rPr>
                      <w:t>50 (2033)</w:t>
                    </w:r>
                  </w:p>
                </w:tc>
              </w:tr>
              <w:tr>
                <w:trPr>
                  <w:trHeight w:val="520"/>
                  <w:jc w:val="center"/>
                </w:trPr>
                <w:tc>
                  <w:tcPr>
                    <w:tcW w:w="988" w:type="dxa"/>
                    <w:vMerge w:val="restart"/>
                    <w:noWrap/>
                    <w:vAlign w:val="center"/>
                    <w:hideMark/>
                  </w:tcPr>
                  <w:p>
                    <w:pPr>
                      <w:rPr>
                        <w:sz w:val="20"/>
                      </w:rPr>
                    </w:pPr>
                    <w:r>
                      <w:rPr>
                        <w:sz w:val="20"/>
                      </w:rPr>
                      <w:t>11-02-01</w:t>
                    </w:r>
                  </w:p>
                </w:tc>
                <w:tc>
                  <w:tcPr>
                    <w:tcW w:w="2126" w:type="dxa"/>
                    <w:vMerge w:val="restart"/>
                    <w:vAlign w:val="center"/>
                    <w:hideMark/>
                  </w:tcPr>
                  <w:p>
                    <w:pPr>
                      <w:rPr>
                        <w:sz w:val="20"/>
                      </w:rPr>
                    </w:pPr>
                    <w:r>
                      <w:rPr>
                        <w:sz w:val="20"/>
                      </w:rPr>
                      <w:t>Skatinti gyventojų bendruomeniškumą ir įtrauktį</w:t>
                    </w:r>
                  </w:p>
                </w:tc>
                <w:tc>
                  <w:tcPr>
                    <w:tcW w:w="850" w:type="dxa"/>
                    <w:vMerge w:val="restart"/>
                    <w:vAlign w:val="center"/>
                    <w:hideMark/>
                  </w:tcPr>
                  <w:p>
                    <w:pPr>
                      <w:jc w:val="center"/>
                      <w:rPr>
                        <w:sz w:val="20"/>
                      </w:rPr>
                    </w:pPr>
                    <w:r>
                      <w:rPr>
                        <w:sz w:val="20"/>
                      </w:rPr>
                      <w:t>NOK</w:t>
                    </w:r>
                  </w:p>
                </w:tc>
                <w:tc>
                  <w:tcPr>
                    <w:tcW w:w="709" w:type="dxa"/>
                    <w:vMerge w:val="restart"/>
                    <w:vAlign w:val="center"/>
                    <w:hideMark/>
                  </w:tcPr>
                  <w:p>
                    <w:pPr>
                      <w:jc w:val="center"/>
                      <w:rPr>
                        <w:sz w:val="20"/>
                      </w:rPr>
                    </w:pPr>
                    <w:r>
                      <w:rPr>
                        <w:sz w:val="20"/>
                      </w:rPr>
                      <w:t>2025</w:t>
                    </w:r>
                  </w:p>
                </w:tc>
                <w:tc>
                  <w:tcPr>
                    <w:tcW w:w="709" w:type="dxa"/>
                    <w:vMerge w:val="restart"/>
                    <w:vAlign w:val="center"/>
                    <w:hideMark/>
                  </w:tcPr>
                  <w:p>
                    <w:pPr>
                      <w:jc w:val="center"/>
                      <w:rPr>
                        <w:sz w:val="20"/>
                      </w:rPr>
                    </w:pPr>
                    <w:r>
                      <w:rPr>
                        <w:sz w:val="20"/>
                      </w:rPr>
                      <w:t>2033</w:t>
                    </w:r>
                  </w:p>
                </w:tc>
                <w:tc>
                  <w:tcPr>
                    <w:tcW w:w="1417" w:type="dxa"/>
                    <w:vAlign w:val="center"/>
                    <w:hideMark/>
                  </w:tcPr>
                  <w:p>
                    <w:pPr>
                      <w:rPr>
                        <w:sz w:val="20"/>
                      </w:rPr>
                    </w:pPr>
                    <w:r>
                      <w:rPr>
                        <w:sz w:val="20"/>
                      </w:rPr>
                      <w:t>P-11-02-01-01</w:t>
                    </w:r>
                  </w:p>
                </w:tc>
                <w:tc>
                  <w:tcPr>
                    <w:tcW w:w="4111" w:type="dxa"/>
                    <w:vAlign w:val="center"/>
                    <w:hideMark/>
                  </w:tcPr>
                  <w:p>
                    <w:pPr>
                      <w:rPr>
                        <w:sz w:val="20"/>
                      </w:rPr>
                    </w:pPr>
                    <w:r>
                      <w:rPr>
                        <w:sz w:val="20"/>
                      </w:rPr>
                      <w:t xml:space="preserve">Patalpų, skirtų bendruomenių, NVO susirinkimų,  veiklos vykdymo poreikiams tenkinti mikrorajonuose, skaičius (vnt.)</w:t>
                    </w:r>
                  </w:p>
                </w:tc>
                <w:tc>
                  <w:tcPr>
                    <w:tcW w:w="1134" w:type="dxa"/>
                    <w:vAlign w:val="center"/>
                    <w:hideMark/>
                  </w:tcPr>
                  <w:p>
                    <w:pPr>
                      <w:jc w:val="center"/>
                      <w:rPr>
                        <w:sz w:val="20"/>
                      </w:rPr>
                    </w:pPr>
                    <w:r>
                      <w:rPr>
                        <w:sz w:val="20"/>
                      </w:rPr>
                      <w:t>KS, NOK</w:t>
                    </w:r>
                  </w:p>
                </w:tc>
                <w:tc>
                  <w:tcPr>
                    <w:tcW w:w="1134" w:type="dxa"/>
                    <w:vAlign w:val="center"/>
                    <w:hideMark/>
                  </w:tcPr>
                  <w:p>
                    <w:pPr>
                      <w:jc w:val="center"/>
                      <w:rPr>
                        <w:sz w:val="20"/>
                      </w:rPr>
                    </w:pPr>
                    <w:r>
                      <w:rPr>
                        <w:sz w:val="20"/>
                      </w:rPr>
                      <w:t>2 (2023)</w:t>
                    </w:r>
                  </w:p>
                </w:tc>
                <w:tc>
                  <w:tcPr>
                    <w:tcW w:w="1134" w:type="dxa"/>
                    <w:vAlign w:val="center"/>
                    <w:hideMark/>
                  </w:tcPr>
                  <w:p>
                    <w:pPr>
                      <w:jc w:val="center"/>
                      <w:rPr>
                        <w:sz w:val="20"/>
                      </w:rPr>
                    </w:pPr>
                    <w:r>
                      <w:rPr>
                        <w:sz w:val="20"/>
                      </w:rPr>
                      <w:t>4 (2027)</w:t>
                    </w:r>
                  </w:p>
                </w:tc>
              </w:tr>
              <w:tr>
                <w:trPr>
                  <w:trHeight w:val="879"/>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rPr>
                        <w:sz w:val="20"/>
                      </w:rPr>
                    </w:pPr>
                  </w:p>
                </w:tc>
                <w:tc>
                  <w:tcPr>
                    <w:tcW w:w="709" w:type="dxa"/>
                    <w:vMerge/>
                    <w:vAlign w:val="center"/>
                    <w:hideMark/>
                  </w:tcPr>
                  <w:p>
                    <w:pPr>
                      <w:rPr>
                        <w:sz w:val="20"/>
                      </w:rPr>
                    </w:pPr>
                  </w:p>
                </w:tc>
                <w:tc>
                  <w:tcPr>
                    <w:tcW w:w="709" w:type="dxa"/>
                    <w:vMerge/>
                    <w:vAlign w:val="center"/>
                    <w:hideMark/>
                  </w:tcPr>
                  <w:p>
                    <w:pPr>
                      <w:rPr>
                        <w:sz w:val="20"/>
                      </w:rPr>
                    </w:pPr>
                  </w:p>
                </w:tc>
                <w:tc>
                  <w:tcPr>
                    <w:tcW w:w="1417" w:type="dxa"/>
                    <w:vAlign w:val="center"/>
                    <w:hideMark/>
                  </w:tcPr>
                  <w:p>
                    <w:pPr>
                      <w:rPr>
                        <w:sz w:val="20"/>
                      </w:rPr>
                    </w:pPr>
                    <w:r>
                      <w:rPr>
                        <w:sz w:val="20"/>
                      </w:rPr>
                      <w:t>P-11-02-01-02</w:t>
                    </w:r>
                  </w:p>
                </w:tc>
                <w:tc>
                  <w:tcPr>
                    <w:tcW w:w="4111" w:type="dxa"/>
                    <w:vAlign w:val="center"/>
                    <w:hideMark/>
                  </w:tcPr>
                  <w:p>
                    <w:pPr>
                      <w:rPr>
                        <w:sz w:val="20"/>
                      </w:rPr>
                    </w:pPr>
                    <w:r>
                      <w:rPr>
                        <w:sz w:val="20"/>
                      </w:rPr>
                      <w:t>Įgyvendintų iniciatyvų skaičius, bendradarbiaujant su Savivaldybės tarybos patvirtintomis jaunimo, nevyriausybinių ir bendruomeninių organizacijų tarybomis (vnt.)</w:t>
                    </w:r>
                  </w:p>
                </w:tc>
                <w:tc>
                  <w:tcPr>
                    <w:tcW w:w="1134" w:type="dxa"/>
                    <w:vAlign w:val="center"/>
                    <w:hideMark/>
                  </w:tcPr>
                  <w:p>
                    <w:pPr>
                      <w:jc w:val="center"/>
                      <w:rPr>
                        <w:sz w:val="20"/>
                      </w:rPr>
                    </w:pPr>
                    <w:r>
                      <w:rPr>
                        <w:sz w:val="20"/>
                      </w:rPr>
                      <w:t>JRK, NOK</w:t>
                    </w:r>
                  </w:p>
                </w:tc>
                <w:tc>
                  <w:tcPr>
                    <w:tcW w:w="1134" w:type="dxa"/>
                    <w:vAlign w:val="center"/>
                    <w:hideMark/>
                  </w:tcPr>
                  <w:p>
                    <w:pPr>
                      <w:jc w:val="center"/>
                      <w:rPr>
                        <w:sz w:val="20"/>
                      </w:rPr>
                    </w:pPr>
                    <w:r>
                      <w:rPr>
                        <w:sz w:val="20"/>
                      </w:rPr>
                      <w:t>0 (2023)</w:t>
                    </w:r>
                  </w:p>
                </w:tc>
                <w:tc>
                  <w:tcPr>
                    <w:tcW w:w="1134" w:type="dxa"/>
                    <w:vAlign w:val="center"/>
                    <w:hideMark/>
                  </w:tcPr>
                  <w:p>
                    <w:pPr>
                      <w:jc w:val="center"/>
                      <w:rPr>
                        <w:sz w:val="20"/>
                      </w:rPr>
                    </w:pPr>
                    <w:r>
                      <w:rPr>
                        <w:sz w:val="20"/>
                      </w:rPr>
                      <w:t>14 (2033)</w:t>
                    </w:r>
                  </w:p>
                </w:tc>
              </w:tr>
              <w:tr>
                <w:trPr>
                  <w:trHeight w:val="807"/>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rPr>
                        <w:sz w:val="20"/>
                      </w:rPr>
                    </w:pPr>
                  </w:p>
                </w:tc>
                <w:tc>
                  <w:tcPr>
                    <w:tcW w:w="709" w:type="dxa"/>
                    <w:vMerge/>
                    <w:vAlign w:val="center"/>
                    <w:hideMark/>
                  </w:tcPr>
                  <w:p>
                    <w:pPr>
                      <w:rPr>
                        <w:sz w:val="20"/>
                      </w:rPr>
                    </w:pPr>
                  </w:p>
                </w:tc>
                <w:tc>
                  <w:tcPr>
                    <w:tcW w:w="709" w:type="dxa"/>
                    <w:vMerge/>
                    <w:vAlign w:val="center"/>
                    <w:hideMark/>
                  </w:tcPr>
                  <w:p>
                    <w:pPr>
                      <w:rPr>
                        <w:sz w:val="20"/>
                      </w:rPr>
                    </w:pPr>
                  </w:p>
                </w:tc>
                <w:tc>
                  <w:tcPr>
                    <w:tcW w:w="1417" w:type="dxa"/>
                    <w:vAlign w:val="center"/>
                    <w:hideMark/>
                  </w:tcPr>
                  <w:p>
                    <w:pPr>
                      <w:rPr>
                        <w:sz w:val="20"/>
                      </w:rPr>
                    </w:pPr>
                    <w:r>
                      <w:rPr>
                        <w:sz w:val="20"/>
                      </w:rPr>
                      <w:t>P-11-02-01-03</w:t>
                    </w:r>
                  </w:p>
                </w:tc>
                <w:tc>
                  <w:tcPr>
                    <w:tcW w:w="4111" w:type="dxa"/>
                    <w:vAlign w:val="center"/>
                    <w:hideMark/>
                  </w:tcPr>
                  <w:p>
                    <w:pPr>
                      <w:rPr>
                        <w:sz w:val="20"/>
                      </w:rPr>
                    </w:pPr>
                    <w:r>
                      <w:rPr>
                        <w:sz w:val="20"/>
                      </w:rPr>
                      <w:t>Gyventojų pranešimų dėl problemų mieste dalis, gaunama per elektroninę problemų registravimo sistemą, nuo visų pranešimų, gaunamų per platformą, skaičiaus (proc.)</w:t>
                    </w:r>
                  </w:p>
                </w:tc>
                <w:tc>
                  <w:tcPr>
                    <w:tcW w:w="1134" w:type="dxa"/>
                    <w:vAlign w:val="center"/>
                    <w:hideMark/>
                  </w:tcPr>
                  <w:p>
                    <w:pPr>
                      <w:jc w:val="center"/>
                      <w:rPr>
                        <w:sz w:val="20"/>
                      </w:rPr>
                    </w:pPr>
                    <w:r>
                      <w:rPr>
                        <w:sz w:val="20"/>
                      </w:rPr>
                      <w:t>MKS</w:t>
                    </w:r>
                  </w:p>
                </w:tc>
                <w:tc>
                  <w:tcPr>
                    <w:tcW w:w="1134" w:type="dxa"/>
                    <w:vAlign w:val="center"/>
                    <w:hideMark/>
                  </w:tcPr>
                  <w:p>
                    <w:pPr>
                      <w:jc w:val="center"/>
                      <w:rPr>
                        <w:sz w:val="20"/>
                      </w:rPr>
                    </w:pPr>
                    <w:r>
                      <w:rPr>
                        <w:sz w:val="20"/>
                      </w:rPr>
                      <w:t>n.d. (2023)</w:t>
                    </w:r>
                  </w:p>
                </w:tc>
                <w:tc>
                  <w:tcPr>
                    <w:tcW w:w="1134" w:type="dxa"/>
                    <w:vAlign w:val="center"/>
                    <w:hideMark/>
                  </w:tcPr>
                  <w:p>
                    <w:pPr>
                      <w:jc w:val="center"/>
                      <w:rPr>
                        <w:sz w:val="20"/>
                      </w:rPr>
                    </w:pPr>
                    <w:r>
                      <w:rPr>
                        <w:sz w:val="20"/>
                      </w:rPr>
                      <w:t>30 (2033)</w:t>
                    </w:r>
                  </w:p>
                </w:tc>
              </w:tr>
              <w:tr>
                <w:trPr>
                  <w:trHeight w:val="520"/>
                  <w:jc w:val="center"/>
                </w:trPr>
                <w:tc>
                  <w:tcPr>
                    <w:tcW w:w="988" w:type="dxa"/>
                    <w:vMerge w:val="restart"/>
                    <w:noWrap/>
                    <w:vAlign w:val="center"/>
                    <w:hideMark/>
                  </w:tcPr>
                  <w:p>
                    <w:pPr>
                      <w:rPr>
                        <w:sz w:val="20"/>
                      </w:rPr>
                    </w:pPr>
                    <w:r>
                      <w:rPr>
                        <w:sz w:val="20"/>
                      </w:rPr>
                      <w:t>11-02-02</w:t>
                    </w:r>
                  </w:p>
                </w:tc>
                <w:tc>
                  <w:tcPr>
                    <w:tcW w:w="2126" w:type="dxa"/>
                    <w:vMerge w:val="restart"/>
                    <w:vAlign w:val="center"/>
                    <w:hideMark/>
                  </w:tcPr>
                  <w:p>
                    <w:pPr>
                      <w:rPr>
                        <w:sz w:val="20"/>
                      </w:rPr>
                    </w:pPr>
                    <w:r>
                      <w:rPr>
                        <w:sz w:val="20"/>
                      </w:rPr>
                      <w:t>Vystyti dalyvaujamojo biudžeto modelį</w:t>
                    </w:r>
                  </w:p>
                </w:tc>
                <w:tc>
                  <w:tcPr>
                    <w:tcW w:w="850" w:type="dxa"/>
                    <w:vMerge w:val="restart"/>
                    <w:vAlign w:val="center"/>
                    <w:hideMark/>
                  </w:tcPr>
                  <w:p>
                    <w:pPr>
                      <w:jc w:val="center"/>
                      <w:rPr>
                        <w:sz w:val="20"/>
                      </w:rPr>
                    </w:pPr>
                    <w:r>
                      <w:rPr>
                        <w:sz w:val="20"/>
                      </w:rPr>
                      <w:t>NOK</w:t>
                    </w:r>
                  </w:p>
                </w:tc>
                <w:tc>
                  <w:tcPr>
                    <w:tcW w:w="709" w:type="dxa"/>
                    <w:vMerge w:val="restart"/>
                    <w:vAlign w:val="center"/>
                    <w:hideMark/>
                  </w:tcPr>
                  <w:p>
                    <w:pPr>
                      <w:jc w:val="center"/>
                      <w:rPr>
                        <w:sz w:val="20"/>
                      </w:rPr>
                    </w:pPr>
                    <w:r>
                      <w:rPr>
                        <w:sz w:val="20"/>
                      </w:rPr>
                      <w:t>2025</w:t>
                    </w:r>
                  </w:p>
                </w:tc>
                <w:tc>
                  <w:tcPr>
                    <w:tcW w:w="709" w:type="dxa"/>
                    <w:vMerge w:val="restart"/>
                    <w:vAlign w:val="center"/>
                    <w:hideMark/>
                  </w:tcPr>
                  <w:p>
                    <w:pPr>
                      <w:jc w:val="center"/>
                      <w:rPr>
                        <w:sz w:val="20"/>
                      </w:rPr>
                    </w:pPr>
                    <w:r>
                      <w:rPr>
                        <w:sz w:val="20"/>
                      </w:rPr>
                      <w:t>2033</w:t>
                    </w:r>
                  </w:p>
                </w:tc>
                <w:tc>
                  <w:tcPr>
                    <w:tcW w:w="1417" w:type="dxa"/>
                    <w:vAlign w:val="center"/>
                    <w:hideMark/>
                  </w:tcPr>
                  <w:p>
                    <w:pPr>
                      <w:rPr>
                        <w:sz w:val="20"/>
                      </w:rPr>
                    </w:pPr>
                    <w:r>
                      <w:rPr>
                        <w:sz w:val="20"/>
                      </w:rPr>
                      <w:t>P-11-02-02-01</w:t>
                    </w:r>
                  </w:p>
                </w:tc>
                <w:tc>
                  <w:tcPr>
                    <w:tcW w:w="4111" w:type="dxa"/>
                    <w:vAlign w:val="center"/>
                    <w:hideMark/>
                  </w:tcPr>
                  <w:p>
                    <w:pPr>
                      <w:rPr>
                        <w:sz w:val="20"/>
                      </w:rPr>
                    </w:pPr>
                    <w:r>
                      <w:rPr>
                        <w:sz w:val="20"/>
                      </w:rPr>
                      <w:t>Projektų, įgyvendintų pagal dalyvaujamojo biudžeto metodiką, skaičius (vnt.)</w:t>
                    </w:r>
                  </w:p>
                </w:tc>
                <w:tc>
                  <w:tcPr>
                    <w:tcW w:w="1134" w:type="dxa"/>
                    <w:vAlign w:val="center"/>
                    <w:hideMark/>
                  </w:tcPr>
                  <w:p>
                    <w:pPr>
                      <w:jc w:val="center"/>
                      <w:rPr>
                        <w:sz w:val="20"/>
                      </w:rPr>
                    </w:pPr>
                    <w:r>
                      <w:rPr>
                        <w:sz w:val="20"/>
                      </w:rPr>
                      <w:t>JK, NOK</w:t>
                    </w:r>
                  </w:p>
                </w:tc>
                <w:tc>
                  <w:tcPr>
                    <w:tcW w:w="1134" w:type="dxa"/>
                    <w:vAlign w:val="center"/>
                    <w:hideMark/>
                  </w:tcPr>
                  <w:p>
                    <w:pPr>
                      <w:jc w:val="center"/>
                      <w:rPr>
                        <w:sz w:val="20"/>
                      </w:rPr>
                    </w:pPr>
                    <w:r>
                      <w:rPr>
                        <w:sz w:val="20"/>
                      </w:rPr>
                      <w:t>2 (2023)</w:t>
                    </w:r>
                  </w:p>
                </w:tc>
                <w:tc>
                  <w:tcPr>
                    <w:tcW w:w="1134" w:type="dxa"/>
                    <w:vAlign w:val="center"/>
                    <w:hideMark/>
                  </w:tcPr>
                  <w:p>
                    <w:pPr>
                      <w:jc w:val="center"/>
                      <w:rPr>
                        <w:sz w:val="20"/>
                      </w:rPr>
                    </w:pPr>
                    <w:r>
                      <w:rPr>
                        <w:sz w:val="20"/>
                      </w:rPr>
                      <w:t>30-35 (2033)</w:t>
                    </w:r>
                  </w:p>
                </w:tc>
              </w:tr>
              <w:tr>
                <w:trPr>
                  <w:trHeight w:val="1164"/>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rPr>
                        <w:sz w:val="20"/>
                      </w:rPr>
                    </w:pPr>
                  </w:p>
                </w:tc>
                <w:tc>
                  <w:tcPr>
                    <w:tcW w:w="709" w:type="dxa"/>
                    <w:vMerge/>
                    <w:vAlign w:val="center"/>
                    <w:hideMark/>
                  </w:tcPr>
                  <w:p>
                    <w:pPr>
                      <w:rPr>
                        <w:sz w:val="20"/>
                      </w:rPr>
                    </w:pPr>
                  </w:p>
                </w:tc>
                <w:tc>
                  <w:tcPr>
                    <w:tcW w:w="709" w:type="dxa"/>
                    <w:vMerge/>
                    <w:vAlign w:val="center"/>
                    <w:hideMark/>
                  </w:tcPr>
                  <w:p>
                    <w:pPr>
                      <w:rPr>
                        <w:sz w:val="20"/>
                      </w:rPr>
                    </w:pPr>
                  </w:p>
                </w:tc>
                <w:tc>
                  <w:tcPr>
                    <w:tcW w:w="1417" w:type="dxa"/>
                    <w:vAlign w:val="center"/>
                    <w:hideMark/>
                  </w:tcPr>
                  <w:p>
                    <w:pPr>
                      <w:rPr>
                        <w:sz w:val="20"/>
                      </w:rPr>
                    </w:pPr>
                    <w:r>
                      <w:rPr>
                        <w:sz w:val="20"/>
                      </w:rPr>
                      <w:t>P-11-02-02-02</w:t>
                    </w:r>
                  </w:p>
                </w:tc>
                <w:tc>
                  <w:tcPr>
                    <w:tcW w:w="4111" w:type="dxa"/>
                    <w:vAlign w:val="center"/>
                    <w:hideMark/>
                  </w:tcPr>
                  <w:p>
                    <w:pPr>
                      <w:rPr>
                        <w:sz w:val="20"/>
                      </w:rPr>
                    </w:pPr>
                    <w:r>
                      <w:rPr>
                        <w:sz w:val="20"/>
                      </w:rPr>
                      <w:t>Lėšų dalis, skirta finansuoti projektams pagal dalyvaujamojo biudžeto modelį, palyginti su bendrąja savivaldybės biudžeto pajamų (atėmus dotacijas, ES lėšas, likutį, paskolas ir kitas lėšas) apimtimi (proc.)</w:t>
                    </w:r>
                  </w:p>
                </w:tc>
                <w:tc>
                  <w:tcPr>
                    <w:tcW w:w="1134" w:type="dxa"/>
                    <w:vAlign w:val="center"/>
                    <w:hideMark/>
                  </w:tcPr>
                  <w:p>
                    <w:pPr>
                      <w:jc w:val="center"/>
                      <w:rPr>
                        <w:sz w:val="20"/>
                      </w:rPr>
                    </w:pPr>
                    <w:r>
                      <w:rPr>
                        <w:sz w:val="20"/>
                      </w:rPr>
                      <w:t>NOK</w:t>
                    </w:r>
                  </w:p>
                </w:tc>
                <w:tc>
                  <w:tcPr>
                    <w:tcW w:w="1134" w:type="dxa"/>
                    <w:vAlign w:val="center"/>
                    <w:hideMark/>
                  </w:tcPr>
                  <w:p>
                    <w:pPr>
                      <w:jc w:val="center"/>
                      <w:rPr>
                        <w:sz w:val="20"/>
                      </w:rPr>
                    </w:pPr>
                    <w:r>
                      <w:rPr>
                        <w:sz w:val="20"/>
                      </w:rPr>
                      <w:t>0,18 (2023)</w:t>
                    </w:r>
                  </w:p>
                </w:tc>
                <w:tc>
                  <w:tcPr>
                    <w:tcW w:w="1134" w:type="dxa"/>
                    <w:vAlign w:val="center"/>
                    <w:hideMark/>
                  </w:tcPr>
                  <w:p>
                    <w:pPr>
                      <w:jc w:val="center"/>
                      <w:rPr>
                        <w:sz w:val="20"/>
                      </w:rPr>
                    </w:pPr>
                    <w:r>
                      <w:rPr>
                        <w:sz w:val="20"/>
                      </w:rPr>
                      <w:t>0,25 (2033)</w:t>
                    </w:r>
                  </w:p>
                </w:tc>
              </w:tr>
              <w:tr>
                <w:trPr>
                  <w:trHeight w:val="530"/>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rPr>
                        <w:sz w:val="20"/>
                      </w:rPr>
                    </w:pPr>
                  </w:p>
                </w:tc>
                <w:tc>
                  <w:tcPr>
                    <w:tcW w:w="709" w:type="dxa"/>
                    <w:vMerge/>
                    <w:vAlign w:val="center"/>
                    <w:hideMark/>
                  </w:tcPr>
                  <w:p>
                    <w:pPr>
                      <w:rPr>
                        <w:sz w:val="20"/>
                      </w:rPr>
                    </w:pPr>
                  </w:p>
                </w:tc>
                <w:tc>
                  <w:tcPr>
                    <w:tcW w:w="709" w:type="dxa"/>
                    <w:vMerge/>
                    <w:vAlign w:val="center"/>
                    <w:hideMark/>
                  </w:tcPr>
                  <w:p>
                    <w:pPr>
                      <w:rPr>
                        <w:sz w:val="20"/>
                      </w:rPr>
                    </w:pPr>
                  </w:p>
                </w:tc>
                <w:tc>
                  <w:tcPr>
                    <w:tcW w:w="1417" w:type="dxa"/>
                    <w:vAlign w:val="center"/>
                    <w:hideMark/>
                  </w:tcPr>
                  <w:p>
                    <w:pPr>
                      <w:rPr>
                        <w:sz w:val="20"/>
                      </w:rPr>
                    </w:pPr>
                    <w:r>
                      <w:rPr>
                        <w:sz w:val="20"/>
                      </w:rPr>
                      <w:t>P-11-02-02-03</w:t>
                    </w:r>
                  </w:p>
                </w:tc>
                <w:tc>
                  <w:tcPr>
                    <w:tcW w:w="4111" w:type="dxa"/>
                    <w:vAlign w:val="center"/>
                    <w:hideMark/>
                  </w:tcPr>
                  <w:p>
                    <w:pPr>
                      <w:rPr>
                        <w:sz w:val="20"/>
                      </w:rPr>
                    </w:pPr>
                    <w:r>
                      <w:rPr>
                        <w:sz w:val="20"/>
                      </w:rPr>
                      <w:t xml:space="preserve">Balsavusiųjų dalyvaujamojo biudžeto projektų atrankose dalis nuo visų gyventojų (proc.) </w:t>
                    </w:r>
                  </w:p>
                </w:tc>
                <w:tc>
                  <w:tcPr>
                    <w:tcW w:w="1134" w:type="dxa"/>
                    <w:vAlign w:val="center"/>
                    <w:hideMark/>
                  </w:tcPr>
                  <w:p>
                    <w:pPr>
                      <w:jc w:val="center"/>
                      <w:rPr>
                        <w:sz w:val="20"/>
                      </w:rPr>
                    </w:pPr>
                    <w:r>
                      <w:rPr>
                        <w:sz w:val="20"/>
                      </w:rPr>
                      <w:t>NOK</w:t>
                    </w:r>
                  </w:p>
                </w:tc>
                <w:tc>
                  <w:tcPr>
                    <w:tcW w:w="1134" w:type="dxa"/>
                    <w:vAlign w:val="center"/>
                    <w:hideMark/>
                  </w:tcPr>
                  <w:p>
                    <w:pPr>
                      <w:jc w:val="center"/>
                      <w:rPr>
                        <w:sz w:val="20"/>
                      </w:rPr>
                    </w:pPr>
                    <w:r>
                      <w:rPr>
                        <w:sz w:val="20"/>
                      </w:rPr>
                      <w:t>6,3 (2023)</w:t>
                    </w:r>
                  </w:p>
                </w:tc>
                <w:tc>
                  <w:tcPr>
                    <w:tcW w:w="1134" w:type="dxa"/>
                    <w:vAlign w:val="center"/>
                    <w:hideMark/>
                  </w:tcPr>
                  <w:p>
                    <w:pPr>
                      <w:jc w:val="center"/>
                      <w:rPr>
                        <w:sz w:val="20"/>
                      </w:rPr>
                    </w:pPr>
                    <w:r>
                      <w:rPr>
                        <w:sz w:val="20"/>
                      </w:rPr>
                      <w:t>13 (2023)</w:t>
                    </w:r>
                  </w:p>
                </w:tc>
              </w:tr>
              <w:tr>
                <w:trPr>
                  <w:trHeight w:val="622"/>
                  <w:jc w:val="center"/>
                </w:trPr>
                <w:tc>
                  <w:tcPr>
                    <w:tcW w:w="988" w:type="dxa"/>
                    <w:vMerge w:val="restart"/>
                    <w:noWrap/>
                    <w:vAlign w:val="center"/>
                    <w:hideMark/>
                  </w:tcPr>
                  <w:p>
                    <w:pPr>
                      <w:rPr>
                        <w:sz w:val="20"/>
                      </w:rPr>
                    </w:pPr>
                    <w:r>
                      <w:rPr>
                        <w:sz w:val="20"/>
                      </w:rPr>
                      <w:t>11-02-03</w:t>
                    </w:r>
                  </w:p>
                </w:tc>
                <w:tc>
                  <w:tcPr>
                    <w:tcW w:w="2126" w:type="dxa"/>
                    <w:vMerge w:val="restart"/>
                    <w:vAlign w:val="center"/>
                    <w:hideMark/>
                  </w:tcPr>
                  <w:p>
                    <w:pPr>
                      <w:rPr>
                        <w:sz w:val="20"/>
                      </w:rPr>
                    </w:pPr>
                    <w:r>
                      <w:rPr>
                        <w:sz w:val="20"/>
                      </w:rPr>
                      <w:t>Užtikrinti sklandžią imigrantų integraciją Šiauliuose</w:t>
                    </w:r>
                  </w:p>
                </w:tc>
                <w:tc>
                  <w:tcPr>
                    <w:tcW w:w="850" w:type="dxa"/>
                    <w:vMerge w:val="restart"/>
                    <w:vAlign w:val="center"/>
                    <w:hideMark/>
                  </w:tcPr>
                  <w:p>
                    <w:pPr>
                      <w:jc w:val="center"/>
                      <w:rPr>
                        <w:sz w:val="20"/>
                      </w:rPr>
                    </w:pPr>
                    <w:r>
                      <w:rPr>
                        <w:sz w:val="20"/>
                      </w:rPr>
                      <w:t>SPS</w:t>
                    </w:r>
                  </w:p>
                </w:tc>
                <w:tc>
                  <w:tcPr>
                    <w:tcW w:w="709" w:type="dxa"/>
                    <w:vMerge w:val="restart"/>
                    <w:vAlign w:val="center"/>
                    <w:hideMark/>
                  </w:tcPr>
                  <w:p>
                    <w:pPr>
                      <w:jc w:val="center"/>
                      <w:rPr>
                        <w:sz w:val="20"/>
                      </w:rPr>
                    </w:pPr>
                    <w:r>
                      <w:rPr>
                        <w:sz w:val="20"/>
                      </w:rPr>
                      <w:t>2025</w:t>
                    </w:r>
                  </w:p>
                </w:tc>
                <w:tc>
                  <w:tcPr>
                    <w:tcW w:w="709" w:type="dxa"/>
                    <w:vMerge w:val="restart"/>
                    <w:vAlign w:val="center"/>
                    <w:hideMark/>
                  </w:tcPr>
                  <w:p>
                    <w:pPr>
                      <w:jc w:val="center"/>
                      <w:rPr>
                        <w:sz w:val="20"/>
                      </w:rPr>
                    </w:pPr>
                    <w:r>
                      <w:rPr>
                        <w:sz w:val="20"/>
                      </w:rPr>
                      <w:t>2033</w:t>
                    </w:r>
                  </w:p>
                </w:tc>
                <w:tc>
                  <w:tcPr>
                    <w:tcW w:w="1417" w:type="dxa"/>
                    <w:vAlign w:val="center"/>
                    <w:hideMark/>
                  </w:tcPr>
                  <w:p>
                    <w:pPr>
                      <w:rPr>
                        <w:sz w:val="20"/>
                      </w:rPr>
                    </w:pPr>
                    <w:r>
                      <w:rPr>
                        <w:sz w:val="20"/>
                      </w:rPr>
                      <w:t>P-11-02-03-01</w:t>
                    </w:r>
                  </w:p>
                </w:tc>
                <w:tc>
                  <w:tcPr>
                    <w:tcW w:w="4111" w:type="dxa"/>
                    <w:vAlign w:val="center"/>
                    <w:hideMark/>
                  </w:tcPr>
                  <w:p>
                    <w:pPr>
                      <w:rPr>
                        <w:sz w:val="20"/>
                      </w:rPr>
                    </w:pPr>
                    <w:r>
                      <w:rPr>
                        <w:sz w:val="20"/>
                      </w:rPr>
                      <w:t>Užsienio šalių piliečių, gavusių paslaugas pagal integracijos teikimo plano priemones, skaičius (asm. per metus)</w:t>
                    </w:r>
                  </w:p>
                </w:tc>
                <w:tc>
                  <w:tcPr>
                    <w:tcW w:w="1134" w:type="dxa"/>
                    <w:vAlign w:val="center"/>
                    <w:hideMark/>
                  </w:tcPr>
                  <w:p>
                    <w:pPr>
                      <w:jc w:val="center"/>
                      <w:rPr>
                        <w:sz w:val="20"/>
                      </w:rPr>
                    </w:pPr>
                    <w:r>
                      <w:rPr>
                        <w:sz w:val="20"/>
                      </w:rPr>
                      <w:t>SPS</w:t>
                    </w:r>
                  </w:p>
                </w:tc>
                <w:tc>
                  <w:tcPr>
                    <w:tcW w:w="1134" w:type="dxa"/>
                    <w:vAlign w:val="center"/>
                    <w:hideMark/>
                  </w:tcPr>
                  <w:p>
                    <w:pPr>
                      <w:jc w:val="center"/>
                      <w:rPr>
                        <w:sz w:val="20"/>
                      </w:rPr>
                    </w:pPr>
                    <w:r>
                      <w:rPr>
                        <w:sz w:val="20"/>
                      </w:rPr>
                      <w:t>3700 (2023)</w:t>
                    </w:r>
                  </w:p>
                </w:tc>
                <w:tc>
                  <w:tcPr>
                    <w:tcW w:w="1134" w:type="dxa"/>
                    <w:vAlign w:val="center"/>
                    <w:hideMark/>
                  </w:tcPr>
                  <w:p>
                    <w:pPr>
                      <w:jc w:val="center"/>
                      <w:rPr>
                        <w:sz w:val="20"/>
                      </w:rPr>
                    </w:pPr>
                    <w:r>
                      <w:rPr>
                        <w:sz w:val="20"/>
                      </w:rPr>
                      <w:t>2500 (2033)</w:t>
                    </w:r>
                  </w:p>
                </w:tc>
              </w:tr>
              <w:tr>
                <w:trPr>
                  <w:trHeight w:val="790"/>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rPr>
                        <w:sz w:val="20"/>
                      </w:rPr>
                    </w:pPr>
                  </w:p>
                </w:tc>
                <w:tc>
                  <w:tcPr>
                    <w:tcW w:w="709" w:type="dxa"/>
                    <w:vMerge/>
                    <w:vAlign w:val="center"/>
                    <w:hideMark/>
                  </w:tcPr>
                  <w:p>
                    <w:pPr>
                      <w:rPr>
                        <w:sz w:val="20"/>
                      </w:rPr>
                    </w:pPr>
                  </w:p>
                </w:tc>
                <w:tc>
                  <w:tcPr>
                    <w:tcW w:w="709" w:type="dxa"/>
                    <w:vMerge/>
                    <w:vAlign w:val="center"/>
                    <w:hideMark/>
                  </w:tcPr>
                  <w:p>
                    <w:pPr>
                      <w:rPr>
                        <w:sz w:val="20"/>
                      </w:rPr>
                    </w:pPr>
                  </w:p>
                </w:tc>
                <w:tc>
                  <w:tcPr>
                    <w:tcW w:w="1417" w:type="dxa"/>
                    <w:vAlign w:val="center"/>
                    <w:hideMark/>
                  </w:tcPr>
                  <w:p>
                    <w:pPr>
                      <w:rPr>
                        <w:sz w:val="20"/>
                      </w:rPr>
                    </w:pPr>
                    <w:r>
                      <w:rPr>
                        <w:sz w:val="20"/>
                      </w:rPr>
                      <w:t>P-11-02-03-02</w:t>
                    </w:r>
                  </w:p>
                </w:tc>
                <w:tc>
                  <w:tcPr>
                    <w:tcW w:w="4111" w:type="dxa"/>
                    <w:vAlign w:val="center"/>
                    <w:hideMark/>
                  </w:tcPr>
                  <w:p>
                    <w:pPr>
                      <w:rPr>
                        <w:sz w:val="20"/>
                      </w:rPr>
                    </w:pPr>
                    <w:r>
                      <w:rPr>
                        <w:sz w:val="20"/>
                      </w:rPr>
                      <w:t>Užsienio šalių piliečių, dalyvavusių lietuvių kalbos kursuose, skaičius ir dalis nuo visų norinčiųjų (asm. / proc.)</w:t>
                    </w:r>
                  </w:p>
                </w:tc>
                <w:tc>
                  <w:tcPr>
                    <w:tcW w:w="1134" w:type="dxa"/>
                    <w:vAlign w:val="center"/>
                    <w:hideMark/>
                  </w:tcPr>
                  <w:p>
                    <w:pPr>
                      <w:jc w:val="center"/>
                      <w:rPr>
                        <w:sz w:val="20"/>
                      </w:rPr>
                    </w:pPr>
                    <w:r>
                      <w:rPr>
                        <w:sz w:val="20"/>
                      </w:rPr>
                      <w:t>ŠS</w:t>
                    </w:r>
                  </w:p>
                </w:tc>
                <w:tc>
                  <w:tcPr>
                    <w:tcW w:w="1134" w:type="dxa"/>
                    <w:vAlign w:val="center"/>
                    <w:hideMark/>
                  </w:tcPr>
                  <w:p>
                    <w:pPr>
                      <w:jc w:val="center"/>
                      <w:rPr>
                        <w:sz w:val="20"/>
                      </w:rPr>
                    </w:pPr>
                    <w:r>
                      <w:rPr>
                        <w:sz w:val="20"/>
                      </w:rPr>
                      <w:t>450 / 95 (2023)</w:t>
                    </w:r>
                  </w:p>
                </w:tc>
                <w:tc>
                  <w:tcPr>
                    <w:tcW w:w="1134" w:type="dxa"/>
                    <w:vAlign w:val="center"/>
                    <w:hideMark/>
                  </w:tcPr>
                  <w:p>
                    <w:pPr>
                      <w:jc w:val="center"/>
                      <w:rPr>
                        <w:sz w:val="20"/>
                      </w:rPr>
                    </w:pPr>
                    <w:r>
                      <w:rPr>
                        <w:sz w:val="20"/>
                      </w:rPr>
                      <w:t>900 / 98 (2033)</w:t>
                    </w:r>
                  </w:p>
                </w:tc>
              </w:tr>
              <w:tr>
                <w:trPr>
                  <w:trHeight w:val="790"/>
                  <w:jc w:val="center"/>
                </w:trPr>
                <w:tc>
                  <w:tcPr>
                    <w:tcW w:w="988" w:type="dxa"/>
                    <w:shd w:val="clear" w:color="auto" w:fill="FFD966"/>
                    <w:noWrap/>
                    <w:vAlign w:val="center"/>
                    <w:hideMark/>
                  </w:tcPr>
                  <w:p>
                    <w:pPr>
                      <w:rPr>
                        <w:b/>
                        <w:bCs/>
                        <w:sz w:val="20"/>
                      </w:rPr>
                    </w:pPr>
                    <w:r>
                      <w:rPr>
                        <w:b/>
                        <w:bCs/>
                        <w:sz w:val="20"/>
                      </w:rPr>
                      <w:t>12</w:t>
                    </w:r>
                  </w:p>
                </w:tc>
                <w:tc>
                  <w:tcPr>
                    <w:tcW w:w="2126" w:type="dxa"/>
                    <w:shd w:val="clear" w:color="auto" w:fill="FFD966"/>
                    <w:vAlign w:val="center"/>
                    <w:hideMark/>
                  </w:tcPr>
                  <w:p>
                    <w:pPr>
                      <w:rPr>
                        <w:b/>
                        <w:bCs/>
                        <w:sz w:val="20"/>
                      </w:rPr>
                    </w:pPr>
                    <w:r>
                      <w:rPr>
                        <w:b/>
                        <w:bCs/>
                        <w:sz w:val="20"/>
                      </w:rPr>
                      <w:t>Užtikrinti įtraukias, konkurencingas kultūrines paslaugas ir jų prieinamumą</w:t>
                    </w:r>
                  </w:p>
                </w:tc>
                <w:tc>
                  <w:tcPr>
                    <w:tcW w:w="850" w:type="dxa"/>
                    <w:shd w:val="clear" w:color="auto" w:fill="FFD966"/>
                    <w:vAlign w:val="center"/>
                    <w:hideMark/>
                  </w:tcPr>
                  <w:p>
                    <w:pPr>
                      <w:jc w:val="center"/>
                      <w:rPr>
                        <w:sz w:val="20"/>
                      </w:rPr>
                    </w:pPr>
                    <w:r>
                      <w:rPr>
                        <w:sz w:val="20"/>
                      </w:rPr>
                      <w:t>KS</w:t>
                    </w:r>
                  </w:p>
                </w:tc>
                <w:tc>
                  <w:tcPr>
                    <w:tcW w:w="709" w:type="dxa"/>
                    <w:shd w:val="clear" w:color="auto" w:fill="FFD966"/>
                    <w:noWrap/>
                    <w:vAlign w:val="center"/>
                    <w:hideMark/>
                  </w:tcPr>
                  <w:p>
                    <w:pPr>
                      <w:jc w:val="center"/>
                      <w:rPr>
                        <w:sz w:val="20"/>
                      </w:rPr>
                    </w:pPr>
                    <w:r>
                      <w:rPr>
                        <w:sz w:val="20"/>
                      </w:rPr>
                      <w:t>2025</w:t>
                    </w:r>
                  </w:p>
                </w:tc>
                <w:tc>
                  <w:tcPr>
                    <w:tcW w:w="709" w:type="dxa"/>
                    <w:shd w:val="clear" w:color="auto" w:fill="FFD966"/>
                    <w:noWrap/>
                    <w:vAlign w:val="center"/>
                    <w:hideMark/>
                  </w:tcPr>
                  <w:p>
                    <w:pPr>
                      <w:jc w:val="center"/>
                      <w:rPr>
                        <w:sz w:val="20"/>
                      </w:rPr>
                    </w:pPr>
                    <w:r>
                      <w:rPr>
                        <w:sz w:val="20"/>
                      </w:rPr>
                      <w:t>2033</w:t>
                    </w:r>
                  </w:p>
                </w:tc>
                <w:tc>
                  <w:tcPr>
                    <w:tcW w:w="1417" w:type="dxa"/>
                    <w:shd w:val="clear" w:color="auto" w:fill="FFD966"/>
                    <w:noWrap/>
                    <w:vAlign w:val="center"/>
                    <w:hideMark/>
                  </w:tcPr>
                  <w:p>
                    <w:pPr>
                      <w:rPr>
                        <w:sz w:val="20"/>
                      </w:rPr>
                    </w:pPr>
                    <w:r>
                      <w:rPr>
                        <w:sz w:val="20"/>
                      </w:rPr>
                      <w:t>P-12-01</w:t>
                    </w:r>
                  </w:p>
                </w:tc>
                <w:tc>
                  <w:tcPr>
                    <w:tcW w:w="4111" w:type="dxa"/>
                    <w:shd w:val="clear" w:color="auto" w:fill="FFD966"/>
                    <w:vAlign w:val="center"/>
                    <w:hideMark/>
                  </w:tcPr>
                  <w:p>
                    <w:pPr>
                      <w:rPr>
                        <w:sz w:val="20"/>
                      </w:rPr>
                    </w:pPr>
                    <w:r>
                      <w:rPr>
                        <w:sz w:val="20"/>
                      </w:rPr>
                      <w:t>Gyventojų pasitenkinimas kultūros paslaugomis (balas)</w:t>
                    </w:r>
                  </w:p>
                </w:tc>
                <w:tc>
                  <w:tcPr>
                    <w:tcW w:w="1134" w:type="dxa"/>
                    <w:shd w:val="clear" w:color="auto" w:fill="FFD966"/>
                    <w:vAlign w:val="center"/>
                    <w:hideMark/>
                  </w:tcPr>
                  <w:p>
                    <w:pPr>
                      <w:jc w:val="center"/>
                      <w:rPr>
                        <w:sz w:val="20"/>
                      </w:rPr>
                    </w:pPr>
                    <w:r>
                      <w:rPr>
                        <w:sz w:val="20"/>
                      </w:rPr>
                      <w:t>Tyrimas (KS)</w:t>
                    </w:r>
                  </w:p>
                </w:tc>
                <w:tc>
                  <w:tcPr>
                    <w:tcW w:w="1134" w:type="dxa"/>
                    <w:shd w:val="clear" w:color="auto" w:fill="FFD966"/>
                    <w:noWrap/>
                    <w:vAlign w:val="center"/>
                    <w:hideMark/>
                  </w:tcPr>
                  <w:p>
                    <w:pPr>
                      <w:jc w:val="center"/>
                      <w:rPr>
                        <w:sz w:val="20"/>
                      </w:rPr>
                    </w:pPr>
                    <w:r>
                      <w:rPr>
                        <w:sz w:val="20"/>
                      </w:rPr>
                      <w:t>8,2 (2023)</w:t>
                    </w:r>
                  </w:p>
                </w:tc>
                <w:tc>
                  <w:tcPr>
                    <w:tcW w:w="1134" w:type="dxa"/>
                    <w:shd w:val="clear" w:color="auto" w:fill="FFD966"/>
                    <w:noWrap/>
                    <w:vAlign w:val="center"/>
                    <w:hideMark/>
                  </w:tcPr>
                  <w:p>
                    <w:pPr>
                      <w:jc w:val="center"/>
                      <w:rPr>
                        <w:sz w:val="20"/>
                      </w:rPr>
                    </w:pPr>
                    <w:r>
                      <w:rPr>
                        <w:sz w:val="20"/>
                      </w:rPr>
                      <w:t>9 (2033)</w:t>
                    </w:r>
                  </w:p>
                </w:tc>
              </w:tr>
              <w:tr>
                <w:trPr>
                  <w:trHeight w:val="520"/>
                  <w:jc w:val="center"/>
                </w:trPr>
                <w:tc>
                  <w:tcPr>
                    <w:tcW w:w="988" w:type="dxa"/>
                    <w:vMerge w:val="restart"/>
                    <w:shd w:val="clear" w:color="auto" w:fill="FCE4D6"/>
                    <w:noWrap/>
                    <w:vAlign w:val="center"/>
                    <w:hideMark/>
                  </w:tcPr>
                  <w:p>
                    <w:pPr>
                      <w:rPr>
                        <w:b/>
                        <w:bCs/>
                        <w:sz w:val="20"/>
                      </w:rPr>
                    </w:pPr>
                    <w:r>
                      <w:rPr>
                        <w:b/>
                        <w:bCs/>
                        <w:sz w:val="20"/>
                      </w:rPr>
                      <w:t>12-01</w:t>
                    </w:r>
                  </w:p>
                </w:tc>
                <w:tc>
                  <w:tcPr>
                    <w:tcW w:w="2126" w:type="dxa"/>
                    <w:vMerge w:val="restart"/>
                    <w:shd w:val="clear" w:color="auto" w:fill="FCE4D6"/>
                    <w:vAlign w:val="center"/>
                    <w:hideMark/>
                  </w:tcPr>
                  <w:p>
                    <w:pPr>
                      <w:rPr>
                        <w:b/>
                        <w:bCs/>
                        <w:sz w:val="20"/>
                      </w:rPr>
                    </w:pPr>
                    <w:r>
                      <w:rPr>
                        <w:b/>
                        <w:bCs/>
                        <w:sz w:val="20"/>
                      </w:rPr>
                      <w:t>Stiprinti miesto kultūrinio gyvenimo aktyvumą</w:t>
                    </w:r>
                  </w:p>
                </w:tc>
                <w:tc>
                  <w:tcPr>
                    <w:tcW w:w="850" w:type="dxa"/>
                    <w:vMerge w:val="restart"/>
                    <w:shd w:val="clear" w:color="auto" w:fill="FCE4D6"/>
                    <w:vAlign w:val="center"/>
                    <w:hideMark/>
                  </w:tcPr>
                  <w:p>
                    <w:pPr>
                      <w:jc w:val="center"/>
                      <w:rPr>
                        <w:sz w:val="20"/>
                      </w:rPr>
                    </w:pPr>
                    <w:r>
                      <w:rPr>
                        <w:sz w:val="20"/>
                      </w:rPr>
                      <w:t>KS</w:t>
                    </w:r>
                  </w:p>
                </w:tc>
                <w:tc>
                  <w:tcPr>
                    <w:tcW w:w="709" w:type="dxa"/>
                    <w:vMerge w:val="restart"/>
                    <w:shd w:val="clear" w:color="auto" w:fill="FCE4D6"/>
                    <w:noWrap/>
                    <w:vAlign w:val="center"/>
                    <w:hideMark/>
                  </w:tcPr>
                  <w:p>
                    <w:pPr>
                      <w:jc w:val="center"/>
                      <w:rPr>
                        <w:sz w:val="20"/>
                      </w:rPr>
                    </w:pPr>
                    <w:r>
                      <w:rPr>
                        <w:sz w:val="20"/>
                      </w:rPr>
                      <w:t>2025</w:t>
                    </w:r>
                  </w:p>
                </w:tc>
                <w:tc>
                  <w:tcPr>
                    <w:tcW w:w="709" w:type="dxa"/>
                    <w:vMerge w:val="restart"/>
                    <w:shd w:val="clear" w:color="auto" w:fill="FCE4D6"/>
                    <w:noWrap/>
                    <w:vAlign w:val="center"/>
                    <w:hideMark/>
                  </w:tcPr>
                  <w:p>
                    <w:pPr>
                      <w:jc w:val="center"/>
                      <w:rPr>
                        <w:sz w:val="20"/>
                      </w:rPr>
                    </w:pPr>
                    <w:r>
                      <w:rPr>
                        <w:sz w:val="20"/>
                      </w:rPr>
                      <w:t>2033</w:t>
                    </w:r>
                  </w:p>
                </w:tc>
                <w:tc>
                  <w:tcPr>
                    <w:tcW w:w="1417" w:type="dxa"/>
                    <w:vMerge w:val="restart"/>
                    <w:shd w:val="clear" w:color="auto" w:fill="FCE4D6"/>
                    <w:noWrap/>
                    <w:vAlign w:val="center"/>
                    <w:hideMark/>
                  </w:tcPr>
                  <w:p>
                    <w:pPr>
                      <w:rPr>
                        <w:sz w:val="20"/>
                      </w:rPr>
                    </w:pPr>
                    <w:r>
                      <w:rPr>
                        <w:sz w:val="20"/>
                      </w:rPr>
                      <w:t>R-12-01-01</w:t>
                    </w:r>
                  </w:p>
                </w:tc>
                <w:tc>
                  <w:tcPr>
                    <w:tcW w:w="4111" w:type="dxa"/>
                    <w:shd w:val="clear" w:color="auto" w:fill="FCE4D6"/>
                    <w:vAlign w:val="center"/>
                    <w:hideMark/>
                  </w:tcPr>
                  <w:p>
                    <w:pPr>
                      <w:rPr>
                        <w:sz w:val="20"/>
                      </w:rPr>
                    </w:pPr>
                    <w:r>
                      <w:rPr>
                        <w:sz w:val="20"/>
                      </w:rPr>
                      <w:t>Kultūros įstaigų lankytojų skaičius (tūkst. asm. per metus):</w:t>
                    </w:r>
                  </w:p>
                </w:tc>
                <w:tc>
                  <w:tcPr>
                    <w:tcW w:w="1134" w:type="dxa"/>
                    <w:vMerge w:val="restart"/>
                    <w:shd w:val="clear" w:color="auto" w:fill="FCE4D6"/>
                    <w:noWrap/>
                    <w:vAlign w:val="center"/>
                    <w:hideMark/>
                  </w:tcPr>
                  <w:p>
                    <w:pPr>
                      <w:jc w:val="center"/>
                      <w:rPr>
                        <w:sz w:val="20"/>
                      </w:rPr>
                    </w:pPr>
                    <w:r>
                      <w:rPr>
                        <w:sz w:val="20"/>
                      </w:rPr>
                      <w:t>ŠMSA (KS)</w:t>
                    </w:r>
                  </w:p>
                </w:tc>
                <w:tc>
                  <w:tcPr>
                    <w:tcW w:w="1134" w:type="dxa"/>
                    <w:shd w:val="clear" w:color="auto" w:fill="FCE4D6"/>
                    <w:noWrap/>
                    <w:vAlign w:val="center"/>
                    <w:hideMark/>
                  </w:tcPr>
                  <w:p>
                    <w:pPr>
                      <w:jc w:val="center"/>
                      <w:rPr>
                        <w:sz w:val="20"/>
                      </w:rPr>
                    </w:pPr>
                    <w:r>
                      <w:rPr>
                        <w:sz w:val="20"/>
                      </w:rPr>
                      <w:t>983 (2022)</w:t>
                    </w:r>
                  </w:p>
                </w:tc>
                <w:tc>
                  <w:tcPr>
                    <w:tcW w:w="1134" w:type="dxa"/>
                    <w:shd w:val="clear" w:color="auto" w:fill="FCE4D6"/>
                    <w:noWrap/>
                    <w:vAlign w:val="center"/>
                    <w:hideMark/>
                  </w:tcPr>
                  <w:p>
                    <w:pPr>
                      <w:jc w:val="center"/>
                      <w:rPr>
                        <w:sz w:val="20"/>
                      </w:rPr>
                    </w:pPr>
                    <w:r>
                      <w:rPr>
                        <w:sz w:val="20"/>
                      </w:rPr>
                      <w:t>1070 (2033)</w:t>
                    </w:r>
                  </w:p>
                </w:tc>
              </w:tr>
              <w:tr>
                <w:trPr>
                  <w:trHeight w:val="520"/>
                  <w:jc w:val="center"/>
                </w:trPr>
                <w:tc>
                  <w:tcPr>
                    <w:tcW w:w="988" w:type="dxa"/>
                    <w:vMerge/>
                    <w:shd w:val="clear" w:color="auto" w:fill="FCE4D6"/>
                    <w:vAlign w:val="center"/>
                    <w:hideMark/>
                  </w:tcPr>
                  <w:p>
                    <w:pPr>
                      <w:rPr>
                        <w:b/>
                        <w:bCs/>
                        <w:sz w:val="20"/>
                      </w:rPr>
                    </w:pPr>
                  </w:p>
                </w:tc>
                <w:tc>
                  <w:tcPr>
                    <w:tcW w:w="2126" w:type="dxa"/>
                    <w:vMerge/>
                    <w:shd w:val="clear" w:color="auto" w:fill="FCE4D6"/>
                    <w:vAlign w:val="center"/>
                    <w:hideMark/>
                  </w:tcPr>
                  <w:p>
                    <w:pPr>
                      <w:rPr>
                        <w:b/>
                        <w:bCs/>
                        <w:sz w:val="20"/>
                      </w:rPr>
                    </w:pPr>
                  </w:p>
                </w:tc>
                <w:tc>
                  <w:tcPr>
                    <w:tcW w:w="850" w:type="dxa"/>
                    <w:vMerge/>
                    <w:shd w:val="clear" w:color="auto" w:fill="FCE4D6"/>
                    <w:vAlign w:val="center"/>
                    <w:hideMark/>
                  </w:tcPr>
                  <w:p>
                    <w:pPr>
                      <w:rPr>
                        <w:sz w:val="20"/>
                      </w:rPr>
                    </w:pPr>
                  </w:p>
                </w:tc>
                <w:tc>
                  <w:tcPr>
                    <w:tcW w:w="709" w:type="dxa"/>
                    <w:vMerge/>
                    <w:shd w:val="clear" w:color="auto" w:fill="FCE4D6"/>
                    <w:vAlign w:val="center"/>
                    <w:hideMark/>
                  </w:tcPr>
                  <w:p>
                    <w:pPr>
                      <w:rPr>
                        <w:sz w:val="20"/>
                      </w:rPr>
                    </w:pPr>
                  </w:p>
                </w:tc>
                <w:tc>
                  <w:tcPr>
                    <w:tcW w:w="709" w:type="dxa"/>
                    <w:vMerge/>
                    <w:shd w:val="clear" w:color="auto" w:fill="FCE4D6"/>
                    <w:vAlign w:val="center"/>
                    <w:hideMark/>
                  </w:tcPr>
                  <w:p>
                    <w:pPr>
                      <w:rPr>
                        <w:sz w:val="20"/>
                      </w:rPr>
                    </w:pPr>
                  </w:p>
                </w:tc>
                <w:tc>
                  <w:tcPr>
                    <w:tcW w:w="1417" w:type="dxa"/>
                    <w:vMerge/>
                    <w:shd w:val="clear" w:color="auto" w:fill="FCE4D6"/>
                    <w:vAlign w:val="center"/>
                    <w:hideMark/>
                  </w:tcPr>
                  <w:p>
                    <w:pPr>
                      <w:rPr>
                        <w:sz w:val="20"/>
                      </w:rPr>
                    </w:pPr>
                  </w:p>
                </w:tc>
                <w:tc>
                  <w:tcPr>
                    <w:tcW w:w="4111" w:type="dxa"/>
                    <w:shd w:val="clear" w:color="auto" w:fill="FCE4D6"/>
                    <w:vAlign w:val="center"/>
                    <w:hideMark/>
                  </w:tcPr>
                  <w:p>
                    <w:pPr>
                      <w:rPr>
                        <w:sz w:val="20"/>
                      </w:rPr>
                    </w:pPr>
                    <w:r>
                      <w:rPr>
                        <w:sz w:val="20"/>
                      </w:rPr>
                      <w:t>Bibliotekų lankytojų skaičius (tūkst. asm. per metus)</w:t>
                    </w:r>
                  </w:p>
                </w:tc>
                <w:tc>
                  <w:tcPr>
                    <w:tcW w:w="1134" w:type="dxa"/>
                    <w:vMerge/>
                    <w:shd w:val="clear" w:color="auto" w:fill="FCE4D6"/>
                    <w:vAlign w:val="center"/>
                    <w:hideMark/>
                  </w:tcPr>
                  <w:p>
                    <w:pPr>
                      <w:jc w:val="center"/>
                      <w:rPr>
                        <w:sz w:val="20"/>
                      </w:rPr>
                    </w:pPr>
                  </w:p>
                </w:tc>
                <w:tc>
                  <w:tcPr>
                    <w:tcW w:w="1134" w:type="dxa"/>
                    <w:shd w:val="clear" w:color="auto" w:fill="FCE4D6"/>
                    <w:noWrap/>
                    <w:vAlign w:val="center"/>
                    <w:hideMark/>
                  </w:tcPr>
                  <w:p>
                    <w:pPr>
                      <w:jc w:val="center"/>
                      <w:rPr>
                        <w:sz w:val="20"/>
                      </w:rPr>
                    </w:pPr>
                    <w:r>
                      <w:rPr>
                        <w:sz w:val="20"/>
                      </w:rPr>
                      <w:t>366 (2022)</w:t>
                    </w:r>
                  </w:p>
                </w:tc>
                <w:tc>
                  <w:tcPr>
                    <w:tcW w:w="1134" w:type="dxa"/>
                    <w:shd w:val="clear" w:color="auto" w:fill="FCE4D6"/>
                    <w:noWrap/>
                    <w:vAlign w:val="center"/>
                    <w:hideMark/>
                  </w:tcPr>
                  <w:p>
                    <w:pPr>
                      <w:jc w:val="center"/>
                      <w:rPr>
                        <w:sz w:val="20"/>
                      </w:rPr>
                    </w:pPr>
                    <w:r>
                      <w:rPr>
                        <w:sz w:val="20"/>
                      </w:rPr>
                      <w:t>384 (2033)</w:t>
                    </w:r>
                  </w:p>
                </w:tc>
              </w:tr>
              <w:tr>
                <w:trPr>
                  <w:trHeight w:val="440"/>
                  <w:jc w:val="center"/>
                </w:trPr>
                <w:tc>
                  <w:tcPr>
                    <w:tcW w:w="988" w:type="dxa"/>
                    <w:vMerge/>
                    <w:shd w:val="clear" w:color="auto" w:fill="FCE4D6"/>
                    <w:vAlign w:val="center"/>
                    <w:hideMark/>
                  </w:tcPr>
                  <w:p>
                    <w:pPr>
                      <w:rPr>
                        <w:b/>
                        <w:bCs/>
                        <w:sz w:val="20"/>
                      </w:rPr>
                    </w:pPr>
                  </w:p>
                </w:tc>
                <w:tc>
                  <w:tcPr>
                    <w:tcW w:w="2126" w:type="dxa"/>
                    <w:vMerge/>
                    <w:shd w:val="clear" w:color="auto" w:fill="FCE4D6"/>
                    <w:vAlign w:val="center"/>
                    <w:hideMark/>
                  </w:tcPr>
                  <w:p>
                    <w:pPr>
                      <w:rPr>
                        <w:b/>
                        <w:bCs/>
                        <w:sz w:val="20"/>
                      </w:rPr>
                    </w:pPr>
                  </w:p>
                </w:tc>
                <w:tc>
                  <w:tcPr>
                    <w:tcW w:w="850" w:type="dxa"/>
                    <w:vMerge/>
                    <w:shd w:val="clear" w:color="auto" w:fill="FCE4D6"/>
                    <w:vAlign w:val="center"/>
                    <w:hideMark/>
                  </w:tcPr>
                  <w:p>
                    <w:pPr>
                      <w:rPr>
                        <w:sz w:val="20"/>
                      </w:rPr>
                    </w:pPr>
                  </w:p>
                </w:tc>
                <w:tc>
                  <w:tcPr>
                    <w:tcW w:w="709" w:type="dxa"/>
                    <w:vMerge/>
                    <w:shd w:val="clear" w:color="auto" w:fill="FCE4D6"/>
                    <w:vAlign w:val="center"/>
                    <w:hideMark/>
                  </w:tcPr>
                  <w:p>
                    <w:pPr>
                      <w:rPr>
                        <w:sz w:val="20"/>
                      </w:rPr>
                    </w:pPr>
                  </w:p>
                </w:tc>
                <w:tc>
                  <w:tcPr>
                    <w:tcW w:w="709" w:type="dxa"/>
                    <w:vMerge/>
                    <w:shd w:val="clear" w:color="auto" w:fill="FCE4D6"/>
                    <w:vAlign w:val="center"/>
                    <w:hideMark/>
                  </w:tcPr>
                  <w:p>
                    <w:pPr>
                      <w:rPr>
                        <w:sz w:val="20"/>
                      </w:rPr>
                    </w:pPr>
                  </w:p>
                </w:tc>
                <w:tc>
                  <w:tcPr>
                    <w:tcW w:w="1417" w:type="dxa"/>
                    <w:vMerge/>
                    <w:shd w:val="clear" w:color="auto" w:fill="FCE4D6"/>
                    <w:vAlign w:val="center"/>
                    <w:hideMark/>
                  </w:tcPr>
                  <w:p>
                    <w:pPr>
                      <w:rPr>
                        <w:sz w:val="20"/>
                      </w:rPr>
                    </w:pPr>
                  </w:p>
                </w:tc>
                <w:tc>
                  <w:tcPr>
                    <w:tcW w:w="4111" w:type="dxa"/>
                    <w:shd w:val="clear" w:color="auto" w:fill="FCE4D6"/>
                    <w:vAlign w:val="center"/>
                    <w:hideMark/>
                  </w:tcPr>
                  <w:p>
                    <w:pPr>
                      <w:rPr>
                        <w:sz w:val="20"/>
                      </w:rPr>
                    </w:pPr>
                    <w:r>
                      <w:rPr>
                        <w:sz w:val="20"/>
                      </w:rPr>
                      <w:t>Muziejų lankytojų skaičius (tūkst. asm. per metus)</w:t>
                    </w:r>
                  </w:p>
                </w:tc>
                <w:tc>
                  <w:tcPr>
                    <w:tcW w:w="1134" w:type="dxa"/>
                    <w:vMerge/>
                    <w:shd w:val="clear" w:color="auto" w:fill="FCE4D6"/>
                    <w:vAlign w:val="center"/>
                    <w:hideMark/>
                  </w:tcPr>
                  <w:p>
                    <w:pPr>
                      <w:jc w:val="center"/>
                      <w:rPr>
                        <w:sz w:val="20"/>
                      </w:rPr>
                    </w:pPr>
                  </w:p>
                </w:tc>
                <w:tc>
                  <w:tcPr>
                    <w:tcW w:w="1134" w:type="dxa"/>
                    <w:shd w:val="clear" w:color="auto" w:fill="FCE4D6"/>
                    <w:noWrap/>
                    <w:vAlign w:val="center"/>
                    <w:hideMark/>
                  </w:tcPr>
                  <w:p>
                    <w:pPr>
                      <w:jc w:val="center"/>
                      <w:rPr>
                        <w:sz w:val="20"/>
                      </w:rPr>
                    </w:pPr>
                    <w:r>
                      <w:rPr>
                        <w:sz w:val="20"/>
                      </w:rPr>
                      <w:t>129 (2022)</w:t>
                    </w:r>
                  </w:p>
                </w:tc>
                <w:tc>
                  <w:tcPr>
                    <w:tcW w:w="1134" w:type="dxa"/>
                    <w:shd w:val="clear" w:color="auto" w:fill="FCE4D6"/>
                    <w:noWrap/>
                    <w:vAlign w:val="center"/>
                    <w:hideMark/>
                  </w:tcPr>
                  <w:p>
                    <w:pPr>
                      <w:jc w:val="center"/>
                      <w:rPr>
                        <w:sz w:val="20"/>
                      </w:rPr>
                    </w:pPr>
                    <w:r>
                      <w:rPr>
                        <w:sz w:val="20"/>
                      </w:rPr>
                      <w:t>140 (2033)</w:t>
                    </w:r>
                  </w:p>
                </w:tc>
              </w:tr>
              <w:tr>
                <w:trPr>
                  <w:trHeight w:val="440"/>
                  <w:jc w:val="center"/>
                </w:trPr>
                <w:tc>
                  <w:tcPr>
                    <w:tcW w:w="988" w:type="dxa"/>
                    <w:vMerge/>
                    <w:shd w:val="clear" w:color="auto" w:fill="FCE4D6"/>
                    <w:vAlign w:val="center"/>
                    <w:hideMark/>
                  </w:tcPr>
                  <w:p>
                    <w:pPr>
                      <w:rPr>
                        <w:b/>
                        <w:bCs/>
                        <w:sz w:val="20"/>
                      </w:rPr>
                    </w:pPr>
                  </w:p>
                </w:tc>
                <w:tc>
                  <w:tcPr>
                    <w:tcW w:w="2126" w:type="dxa"/>
                    <w:vMerge/>
                    <w:shd w:val="clear" w:color="auto" w:fill="FCE4D6"/>
                    <w:vAlign w:val="center"/>
                    <w:hideMark/>
                  </w:tcPr>
                  <w:p>
                    <w:pPr>
                      <w:rPr>
                        <w:b/>
                        <w:bCs/>
                        <w:sz w:val="20"/>
                      </w:rPr>
                    </w:pPr>
                  </w:p>
                </w:tc>
                <w:tc>
                  <w:tcPr>
                    <w:tcW w:w="850" w:type="dxa"/>
                    <w:vMerge/>
                    <w:shd w:val="clear" w:color="auto" w:fill="FCE4D6"/>
                    <w:vAlign w:val="center"/>
                    <w:hideMark/>
                  </w:tcPr>
                  <w:p>
                    <w:pPr>
                      <w:rPr>
                        <w:sz w:val="20"/>
                      </w:rPr>
                    </w:pPr>
                  </w:p>
                </w:tc>
                <w:tc>
                  <w:tcPr>
                    <w:tcW w:w="709" w:type="dxa"/>
                    <w:vMerge/>
                    <w:shd w:val="clear" w:color="auto" w:fill="FCE4D6"/>
                    <w:vAlign w:val="center"/>
                    <w:hideMark/>
                  </w:tcPr>
                  <w:p>
                    <w:pPr>
                      <w:rPr>
                        <w:sz w:val="20"/>
                      </w:rPr>
                    </w:pPr>
                  </w:p>
                </w:tc>
                <w:tc>
                  <w:tcPr>
                    <w:tcW w:w="709" w:type="dxa"/>
                    <w:vMerge/>
                    <w:shd w:val="clear" w:color="auto" w:fill="FCE4D6"/>
                    <w:vAlign w:val="center"/>
                    <w:hideMark/>
                  </w:tcPr>
                  <w:p>
                    <w:pPr>
                      <w:rPr>
                        <w:sz w:val="20"/>
                      </w:rPr>
                    </w:pPr>
                  </w:p>
                </w:tc>
                <w:tc>
                  <w:tcPr>
                    <w:tcW w:w="1417" w:type="dxa"/>
                    <w:vMerge/>
                    <w:shd w:val="clear" w:color="auto" w:fill="FCE4D6"/>
                    <w:vAlign w:val="center"/>
                    <w:hideMark/>
                  </w:tcPr>
                  <w:p>
                    <w:pPr>
                      <w:rPr>
                        <w:sz w:val="20"/>
                      </w:rPr>
                    </w:pPr>
                  </w:p>
                </w:tc>
                <w:tc>
                  <w:tcPr>
                    <w:tcW w:w="4111" w:type="dxa"/>
                    <w:shd w:val="clear" w:color="auto" w:fill="FCE4D6"/>
                    <w:vAlign w:val="center"/>
                    <w:hideMark/>
                  </w:tcPr>
                  <w:p>
                    <w:pPr>
                      <w:rPr>
                        <w:sz w:val="20"/>
                      </w:rPr>
                    </w:pPr>
                    <w:r>
                      <w:rPr>
                        <w:sz w:val="20"/>
                      </w:rPr>
                      <w:t>Galerijų lankytojų skaičius (tūkst. asm. per metus)</w:t>
                    </w:r>
                  </w:p>
                </w:tc>
                <w:tc>
                  <w:tcPr>
                    <w:tcW w:w="1134" w:type="dxa"/>
                    <w:vMerge/>
                    <w:shd w:val="clear" w:color="auto" w:fill="FCE4D6"/>
                    <w:vAlign w:val="center"/>
                    <w:hideMark/>
                  </w:tcPr>
                  <w:p>
                    <w:pPr>
                      <w:jc w:val="center"/>
                      <w:rPr>
                        <w:sz w:val="20"/>
                      </w:rPr>
                    </w:pPr>
                  </w:p>
                </w:tc>
                <w:tc>
                  <w:tcPr>
                    <w:tcW w:w="1134" w:type="dxa"/>
                    <w:shd w:val="clear" w:color="auto" w:fill="FCE4D6"/>
                    <w:noWrap/>
                    <w:vAlign w:val="center"/>
                    <w:hideMark/>
                  </w:tcPr>
                  <w:p>
                    <w:pPr>
                      <w:jc w:val="center"/>
                      <w:rPr>
                        <w:sz w:val="20"/>
                      </w:rPr>
                    </w:pPr>
                    <w:r>
                      <w:rPr>
                        <w:sz w:val="20"/>
                      </w:rPr>
                      <w:t>63 (2022)</w:t>
                    </w:r>
                  </w:p>
                </w:tc>
                <w:tc>
                  <w:tcPr>
                    <w:tcW w:w="1134" w:type="dxa"/>
                    <w:shd w:val="clear" w:color="auto" w:fill="FCE4D6"/>
                    <w:noWrap/>
                    <w:vAlign w:val="center"/>
                    <w:hideMark/>
                  </w:tcPr>
                  <w:p>
                    <w:pPr>
                      <w:jc w:val="center"/>
                      <w:rPr>
                        <w:sz w:val="20"/>
                      </w:rPr>
                    </w:pPr>
                    <w:r>
                      <w:rPr>
                        <w:sz w:val="20"/>
                      </w:rPr>
                      <w:t>66 (2033)</w:t>
                    </w:r>
                  </w:p>
                </w:tc>
              </w:tr>
              <w:tr>
                <w:trPr>
                  <w:trHeight w:val="290"/>
                  <w:jc w:val="center"/>
                </w:trPr>
                <w:tc>
                  <w:tcPr>
                    <w:tcW w:w="988" w:type="dxa"/>
                    <w:vMerge/>
                    <w:shd w:val="clear" w:color="auto" w:fill="FCE4D6"/>
                    <w:vAlign w:val="center"/>
                    <w:hideMark/>
                  </w:tcPr>
                  <w:p>
                    <w:pPr>
                      <w:rPr>
                        <w:b/>
                        <w:bCs/>
                        <w:sz w:val="20"/>
                      </w:rPr>
                    </w:pPr>
                  </w:p>
                </w:tc>
                <w:tc>
                  <w:tcPr>
                    <w:tcW w:w="2126" w:type="dxa"/>
                    <w:vMerge/>
                    <w:shd w:val="clear" w:color="auto" w:fill="FCE4D6"/>
                    <w:vAlign w:val="center"/>
                    <w:hideMark/>
                  </w:tcPr>
                  <w:p>
                    <w:pPr>
                      <w:rPr>
                        <w:b/>
                        <w:bCs/>
                        <w:sz w:val="20"/>
                      </w:rPr>
                    </w:pPr>
                  </w:p>
                </w:tc>
                <w:tc>
                  <w:tcPr>
                    <w:tcW w:w="850" w:type="dxa"/>
                    <w:vMerge/>
                    <w:shd w:val="clear" w:color="auto" w:fill="FCE4D6"/>
                    <w:vAlign w:val="center"/>
                    <w:hideMark/>
                  </w:tcPr>
                  <w:p>
                    <w:pPr>
                      <w:rPr>
                        <w:sz w:val="20"/>
                      </w:rPr>
                    </w:pPr>
                  </w:p>
                </w:tc>
                <w:tc>
                  <w:tcPr>
                    <w:tcW w:w="709" w:type="dxa"/>
                    <w:vMerge/>
                    <w:shd w:val="clear" w:color="auto" w:fill="FCE4D6"/>
                    <w:vAlign w:val="center"/>
                    <w:hideMark/>
                  </w:tcPr>
                  <w:p>
                    <w:pPr>
                      <w:rPr>
                        <w:sz w:val="20"/>
                      </w:rPr>
                    </w:pPr>
                  </w:p>
                </w:tc>
                <w:tc>
                  <w:tcPr>
                    <w:tcW w:w="709" w:type="dxa"/>
                    <w:vMerge/>
                    <w:shd w:val="clear" w:color="auto" w:fill="FCE4D6"/>
                    <w:vAlign w:val="center"/>
                    <w:hideMark/>
                  </w:tcPr>
                  <w:p>
                    <w:pPr>
                      <w:rPr>
                        <w:sz w:val="20"/>
                      </w:rPr>
                    </w:pPr>
                  </w:p>
                </w:tc>
                <w:tc>
                  <w:tcPr>
                    <w:tcW w:w="1417" w:type="dxa"/>
                    <w:vMerge/>
                    <w:shd w:val="clear" w:color="auto" w:fill="FCE4D6"/>
                    <w:vAlign w:val="center"/>
                    <w:hideMark/>
                  </w:tcPr>
                  <w:p>
                    <w:pPr>
                      <w:rPr>
                        <w:sz w:val="20"/>
                      </w:rPr>
                    </w:pPr>
                  </w:p>
                </w:tc>
                <w:tc>
                  <w:tcPr>
                    <w:tcW w:w="4111" w:type="dxa"/>
                    <w:shd w:val="clear" w:color="auto" w:fill="FCE4D6"/>
                    <w:vAlign w:val="center"/>
                    <w:hideMark/>
                  </w:tcPr>
                  <w:p>
                    <w:pPr>
                      <w:rPr>
                        <w:sz w:val="20"/>
                      </w:rPr>
                    </w:pPr>
                    <w:r>
                      <w:rPr>
                        <w:sz w:val="20"/>
                      </w:rPr>
                      <w:t>Teatrų lankytojų skaičius (tūkst. asm. per metus)</w:t>
                    </w:r>
                  </w:p>
                </w:tc>
                <w:tc>
                  <w:tcPr>
                    <w:tcW w:w="1134" w:type="dxa"/>
                    <w:vMerge/>
                    <w:shd w:val="clear" w:color="auto" w:fill="FCE4D6"/>
                    <w:vAlign w:val="center"/>
                    <w:hideMark/>
                  </w:tcPr>
                  <w:p>
                    <w:pPr>
                      <w:jc w:val="center"/>
                      <w:rPr>
                        <w:sz w:val="20"/>
                      </w:rPr>
                    </w:pPr>
                  </w:p>
                </w:tc>
                <w:tc>
                  <w:tcPr>
                    <w:tcW w:w="1134" w:type="dxa"/>
                    <w:shd w:val="clear" w:color="auto" w:fill="FCE4D6"/>
                    <w:noWrap/>
                    <w:vAlign w:val="center"/>
                    <w:hideMark/>
                  </w:tcPr>
                  <w:p>
                    <w:pPr>
                      <w:jc w:val="center"/>
                      <w:rPr>
                        <w:sz w:val="20"/>
                      </w:rPr>
                    </w:pPr>
                    <w:r>
                      <w:rPr>
                        <w:sz w:val="20"/>
                      </w:rPr>
                      <w:t>29 (2022)</w:t>
                    </w:r>
                  </w:p>
                </w:tc>
                <w:tc>
                  <w:tcPr>
                    <w:tcW w:w="1134" w:type="dxa"/>
                    <w:shd w:val="clear" w:color="auto" w:fill="FCE4D6"/>
                    <w:noWrap/>
                    <w:vAlign w:val="center"/>
                    <w:hideMark/>
                  </w:tcPr>
                  <w:p>
                    <w:pPr>
                      <w:jc w:val="center"/>
                      <w:rPr>
                        <w:sz w:val="20"/>
                      </w:rPr>
                    </w:pPr>
                    <w:r>
                      <w:rPr>
                        <w:sz w:val="20"/>
                      </w:rPr>
                      <w:t>40 (2033)</w:t>
                    </w:r>
                  </w:p>
                </w:tc>
              </w:tr>
              <w:tr>
                <w:trPr>
                  <w:trHeight w:val="520"/>
                  <w:jc w:val="center"/>
                </w:trPr>
                <w:tc>
                  <w:tcPr>
                    <w:tcW w:w="988" w:type="dxa"/>
                    <w:vMerge/>
                    <w:shd w:val="clear" w:color="auto" w:fill="FCE4D6"/>
                    <w:vAlign w:val="center"/>
                    <w:hideMark/>
                  </w:tcPr>
                  <w:p>
                    <w:pPr>
                      <w:rPr>
                        <w:b/>
                        <w:bCs/>
                        <w:sz w:val="20"/>
                      </w:rPr>
                    </w:pPr>
                  </w:p>
                </w:tc>
                <w:tc>
                  <w:tcPr>
                    <w:tcW w:w="2126" w:type="dxa"/>
                    <w:vMerge/>
                    <w:shd w:val="clear" w:color="auto" w:fill="FCE4D6"/>
                    <w:vAlign w:val="center"/>
                    <w:hideMark/>
                  </w:tcPr>
                  <w:p>
                    <w:pPr>
                      <w:rPr>
                        <w:b/>
                        <w:bCs/>
                        <w:sz w:val="20"/>
                      </w:rPr>
                    </w:pPr>
                  </w:p>
                </w:tc>
                <w:tc>
                  <w:tcPr>
                    <w:tcW w:w="850" w:type="dxa"/>
                    <w:vMerge/>
                    <w:shd w:val="clear" w:color="auto" w:fill="FCE4D6"/>
                    <w:vAlign w:val="center"/>
                    <w:hideMark/>
                  </w:tcPr>
                  <w:p>
                    <w:pPr>
                      <w:rPr>
                        <w:sz w:val="20"/>
                      </w:rPr>
                    </w:pPr>
                  </w:p>
                </w:tc>
                <w:tc>
                  <w:tcPr>
                    <w:tcW w:w="709" w:type="dxa"/>
                    <w:vMerge/>
                    <w:shd w:val="clear" w:color="auto" w:fill="FCE4D6"/>
                    <w:vAlign w:val="center"/>
                    <w:hideMark/>
                  </w:tcPr>
                  <w:p>
                    <w:pPr>
                      <w:rPr>
                        <w:sz w:val="20"/>
                      </w:rPr>
                    </w:pPr>
                  </w:p>
                </w:tc>
                <w:tc>
                  <w:tcPr>
                    <w:tcW w:w="709" w:type="dxa"/>
                    <w:vMerge/>
                    <w:shd w:val="clear" w:color="auto" w:fill="FCE4D6"/>
                    <w:vAlign w:val="center"/>
                    <w:hideMark/>
                  </w:tcPr>
                  <w:p>
                    <w:pPr>
                      <w:rPr>
                        <w:sz w:val="20"/>
                      </w:rPr>
                    </w:pPr>
                  </w:p>
                </w:tc>
                <w:tc>
                  <w:tcPr>
                    <w:tcW w:w="1417" w:type="dxa"/>
                    <w:vMerge/>
                    <w:shd w:val="clear" w:color="auto" w:fill="FCE4D6"/>
                    <w:vAlign w:val="center"/>
                    <w:hideMark/>
                  </w:tcPr>
                  <w:p>
                    <w:pPr>
                      <w:rPr>
                        <w:sz w:val="20"/>
                      </w:rPr>
                    </w:pPr>
                  </w:p>
                </w:tc>
                <w:tc>
                  <w:tcPr>
                    <w:tcW w:w="4111" w:type="dxa"/>
                    <w:shd w:val="clear" w:color="auto" w:fill="FCE4D6"/>
                    <w:vAlign w:val="center"/>
                    <w:hideMark/>
                  </w:tcPr>
                  <w:p>
                    <w:pPr>
                      <w:rPr>
                        <w:sz w:val="20"/>
                      </w:rPr>
                    </w:pPr>
                    <w:r>
                      <w:rPr>
                        <w:sz w:val="20"/>
                      </w:rPr>
                      <w:t>Koncertų salių lankytojų skaičius (tūkst. asm. per metus)</w:t>
                    </w:r>
                  </w:p>
                </w:tc>
                <w:tc>
                  <w:tcPr>
                    <w:tcW w:w="1134" w:type="dxa"/>
                    <w:vMerge/>
                    <w:shd w:val="clear" w:color="auto" w:fill="FCE4D6"/>
                    <w:vAlign w:val="center"/>
                    <w:hideMark/>
                  </w:tcPr>
                  <w:p>
                    <w:pPr>
                      <w:jc w:val="center"/>
                      <w:rPr>
                        <w:sz w:val="20"/>
                      </w:rPr>
                    </w:pPr>
                  </w:p>
                </w:tc>
                <w:tc>
                  <w:tcPr>
                    <w:tcW w:w="1134" w:type="dxa"/>
                    <w:shd w:val="clear" w:color="auto" w:fill="FCE4D6"/>
                    <w:noWrap/>
                    <w:vAlign w:val="center"/>
                    <w:hideMark/>
                  </w:tcPr>
                  <w:p>
                    <w:pPr>
                      <w:jc w:val="center"/>
                      <w:rPr>
                        <w:sz w:val="20"/>
                      </w:rPr>
                    </w:pPr>
                    <w:r>
                      <w:rPr>
                        <w:sz w:val="20"/>
                      </w:rPr>
                      <w:t>105 (2022)</w:t>
                    </w:r>
                  </w:p>
                </w:tc>
                <w:tc>
                  <w:tcPr>
                    <w:tcW w:w="1134" w:type="dxa"/>
                    <w:shd w:val="clear" w:color="auto" w:fill="FCE4D6"/>
                    <w:noWrap/>
                    <w:vAlign w:val="center"/>
                    <w:hideMark/>
                  </w:tcPr>
                  <w:p>
                    <w:pPr>
                      <w:jc w:val="center"/>
                      <w:rPr>
                        <w:sz w:val="20"/>
                      </w:rPr>
                    </w:pPr>
                    <w:r>
                      <w:rPr>
                        <w:sz w:val="20"/>
                      </w:rPr>
                      <w:t>130 (2033)</w:t>
                    </w:r>
                  </w:p>
                </w:tc>
              </w:tr>
              <w:tr>
                <w:trPr>
                  <w:trHeight w:val="479"/>
                  <w:jc w:val="center"/>
                </w:trPr>
                <w:tc>
                  <w:tcPr>
                    <w:tcW w:w="988" w:type="dxa"/>
                    <w:vMerge/>
                    <w:shd w:val="clear" w:color="auto" w:fill="FCE4D6"/>
                    <w:vAlign w:val="center"/>
                    <w:hideMark/>
                  </w:tcPr>
                  <w:p>
                    <w:pPr>
                      <w:rPr>
                        <w:b/>
                        <w:bCs/>
                        <w:sz w:val="20"/>
                      </w:rPr>
                    </w:pPr>
                  </w:p>
                </w:tc>
                <w:tc>
                  <w:tcPr>
                    <w:tcW w:w="2126" w:type="dxa"/>
                    <w:vMerge/>
                    <w:shd w:val="clear" w:color="auto" w:fill="FCE4D6"/>
                    <w:vAlign w:val="center"/>
                    <w:hideMark/>
                  </w:tcPr>
                  <w:p>
                    <w:pPr>
                      <w:rPr>
                        <w:b/>
                        <w:bCs/>
                        <w:sz w:val="20"/>
                      </w:rPr>
                    </w:pPr>
                  </w:p>
                </w:tc>
                <w:tc>
                  <w:tcPr>
                    <w:tcW w:w="850" w:type="dxa"/>
                    <w:vMerge/>
                    <w:shd w:val="clear" w:color="auto" w:fill="FCE4D6"/>
                    <w:vAlign w:val="center"/>
                    <w:hideMark/>
                  </w:tcPr>
                  <w:p>
                    <w:pPr>
                      <w:rPr>
                        <w:sz w:val="20"/>
                      </w:rPr>
                    </w:pPr>
                  </w:p>
                </w:tc>
                <w:tc>
                  <w:tcPr>
                    <w:tcW w:w="709" w:type="dxa"/>
                    <w:vMerge/>
                    <w:shd w:val="clear" w:color="auto" w:fill="FCE4D6"/>
                    <w:vAlign w:val="center"/>
                    <w:hideMark/>
                  </w:tcPr>
                  <w:p>
                    <w:pPr>
                      <w:rPr>
                        <w:sz w:val="20"/>
                      </w:rPr>
                    </w:pPr>
                  </w:p>
                </w:tc>
                <w:tc>
                  <w:tcPr>
                    <w:tcW w:w="709" w:type="dxa"/>
                    <w:vMerge/>
                    <w:shd w:val="clear" w:color="auto" w:fill="FCE4D6"/>
                    <w:vAlign w:val="center"/>
                    <w:hideMark/>
                  </w:tcPr>
                  <w:p>
                    <w:pPr>
                      <w:rPr>
                        <w:sz w:val="20"/>
                      </w:rPr>
                    </w:pPr>
                  </w:p>
                </w:tc>
                <w:tc>
                  <w:tcPr>
                    <w:tcW w:w="1417" w:type="dxa"/>
                    <w:vMerge/>
                    <w:shd w:val="clear" w:color="auto" w:fill="FCE4D6"/>
                    <w:vAlign w:val="center"/>
                    <w:hideMark/>
                  </w:tcPr>
                  <w:p>
                    <w:pPr>
                      <w:rPr>
                        <w:sz w:val="20"/>
                      </w:rPr>
                    </w:pPr>
                  </w:p>
                </w:tc>
                <w:tc>
                  <w:tcPr>
                    <w:tcW w:w="4111" w:type="dxa"/>
                    <w:shd w:val="clear" w:color="auto" w:fill="FCE4D6"/>
                    <w:vAlign w:val="center"/>
                    <w:hideMark/>
                  </w:tcPr>
                  <w:p>
                    <w:pPr>
                      <w:rPr>
                        <w:sz w:val="20"/>
                      </w:rPr>
                    </w:pPr>
                    <w:r>
                      <w:rPr>
                        <w:sz w:val="20"/>
                      </w:rPr>
                      <w:t>Kultūros centrų lankytojų skaičius (tūkst. asm. per metus)</w:t>
                    </w:r>
                  </w:p>
                </w:tc>
                <w:tc>
                  <w:tcPr>
                    <w:tcW w:w="1134" w:type="dxa"/>
                    <w:vMerge/>
                    <w:shd w:val="clear" w:color="auto" w:fill="FCE4D6"/>
                    <w:vAlign w:val="center"/>
                    <w:hideMark/>
                  </w:tcPr>
                  <w:p>
                    <w:pPr>
                      <w:jc w:val="center"/>
                      <w:rPr>
                        <w:sz w:val="20"/>
                      </w:rPr>
                    </w:pPr>
                  </w:p>
                </w:tc>
                <w:tc>
                  <w:tcPr>
                    <w:tcW w:w="1134" w:type="dxa"/>
                    <w:shd w:val="clear" w:color="auto" w:fill="FCE4D6"/>
                    <w:noWrap/>
                    <w:vAlign w:val="center"/>
                    <w:hideMark/>
                  </w:tcPr>
                  <w:p>
                    <w:pPr>
                      <w:jc w:val="center"/>
                      <w:rPr>
                        <w:sz w:val="20"/>
                      </w:rPr>
                    </w:pPr>
                    <w:r>
                      <w:rPr>
                        <w:sz w:val="20"/>
                      </w:rPr>
                      <w:t>291 (2022)</w:t>
                    </w:r>
                  </w:p>
                </w:tc>
                <w:tc>
                  <w:tcPr>
                    <w:tcW w:w="1134" w:type="dxa"/>
                    <w:shd w:val="clear" w:color="auto" w:fill="FCE4D6"/>
                    <w:noWrap/>
                    <w:vAlign w:val="center"/>
                    <w:hideMark/>
                  </w:tcPr>
                  <w:p>
                    <w:pPr>
                      <w:jc w:val="center"/>
                      <w:rPr>
                        <w:sz w:val="20"/>
                      </w:rPr>
                    </w:pPr>
                    <w:r>
                      <w:rPr>
                        <w:sz w:val="20"/>
                      </w:rPr>
                      <w:t>310 (2033)</w:t>
                    </w:r>
                  </w:p>
                </w:tc>
              </w:tr>
              <w:tr>
                <w:trPr>
                  <w:trHeight w:val="790"/>
                  <w:jc w:val="center"/>
                </w:trPr>
                <w:tc>
                  <w:tcPr>
                    <w:tcW w:w="988" w:type="dxa"/>
                    <w:vMerge/>
                    <w:shd w:val="clear" w:color="auto" w:fill="FCE4D6"/>
                    <w:vAlign w:val="center"/>
                    <w:hideMark/>
                  </w:tcPr>
                  <w:p>
                    <w:pPr>
                      <w:rPr>
                        <w:b/>
                        <w:bCs/>
                        <w:sz w:val="20"/>
                      </w:rPr>
                    </w:pPr>
                  </w:p>
                </w:tc>
                <w:tc>
                  <w:tcPr>
                    <w:tcW w:w="2126" w:type="dxa"/>
                    <w:vMerge/>
                    <w:shd w:val="clear" w:color="auto" w:fill="FCE4D6"/>
                    <w:vAlign w:val="center"/>
                    <w:hideMark/>
                  </w:tcPr>
                  <w:p>
                    <w:pPr>
                      <w:rPr>
                        <w:b/>
                        <w:bCs/>
                        <w:sz w:val="20"/>
                      </w:rPr>
                    </w:pPr>
                  </w:p>
                </w:tc>
                <w:tc>
                  <w:tcPr>
                    <w:tcW w:w="850" w:type="dxa"/>
                    <w:vMerge/>
                    <w:shd w:val="clear" w:color="auto" w:fill="FCE4D6"/>
                    <w:vAlign w:val="center"/>
                    <w:hideMark/>
                  </w:tcPr>
                  <w:p>
                    <w:pPr>
                      <w:rPr>
                        <w:sz w:val="20"/>
                      </w:rPr>
                    </w:pPr>
                  </w:p>
                </w:tc>
                <w:tc>
                  <w:tcPr>
                    <w:tcW w:w="709" w:type="dxa"/>
                    <w:vMerge/>
                    <w:shd w:val="clear" w:color="auto" w:fill="FCE4D6"/>
                    <w:vAlign w:val="center"/>
                    <w:hideMark/>
                  </w:tcPr>
                  <w:p>
                    <w:pPr>
                      <w:rPr>
                        <w:sz w:val="20"/>
                      </w:rPr>
                    </w:pPr>
                  </w:p>
                </w:tc>
                <w:tc>
                  <w:tcPr>
                    <w:tcW w:w="709" w:type="dxa"/>
                    <w:vMerge/>
                    <w:shd w:val="clear" w:color="auto" w:fill="FCE4D6"/>
                    <w:vAlign w:val="center"/>
                    <w:hideMark/>
                  </w:tcPr>
                  <w:p>
                    <w:pPr>
                      <w:rPr>
                        <w:sz w:val="20"/>
                      </w:rPr>
                    </w:pPr>
                  </w:p>
                </w:tc>
                <w:tc>
                  <w:tcPr>
                    <w:tcW w:w="1417" w:type="dxa"/>
                    <w:shd w:val="clear" w:color="auto" w:fill="FCE4D6"/>
                    <w:noWrap/>
                    <w:vAlign w:val="center"/>
                    <w:hideMark/>
                  </w:tcPr>
                  <w:p>
                    <w:pPr>
                      <w:rPr>
                        <w:sz w:val="20"/>
                      </w:rPr>
                    </w:pPr>
                    <w:r>
                      <w:rPr>
                        <w:sz w:val="20"/>
                      </w:rPr>
                      <w:t>R-12-01-02</w:t>
                    </w:r>
                  </w:p>
                </w:tc>
                <w:tc>
                  <w:tcPr>
                    <w:tcW w:w="4111" w:type="dxa"/>
                    <w:shd w:val="clear" w:color="auto" w:fill="FCE4D6"/>
                    <w:vAlign w:val="center"/>
                    <w:hideMark/>
                  </w:tcPr>
                  <w:p>
                    <w:pPr>
                      <w:rPr>
                        <w:sz w:val="20"/>
                      </w:rPr>
                    </w:pPr>
                    <w:r>
                      <w:rPr>
                        <w:sz w:val="20"/>
                      </w:rPr>
                      <w:t xml:space="preserve">Naujų užsienio miestų (ir šalių), įtrauktų į ilgalaikę kultūros partnerystę (trunkančią ilgiau kaip 1 m.), skaičius (vnt.) </w:t>
                    </w:r>
                  </w:p>
                </w:tc>
                <w:tc>
                  <w:tcPr>
                    <w:tcW w:w="1134" w:type="dxa"/>
                    <w:shd w:val="clear" w:color="auto" w:fill="FCE4D6"/>
                    <w:noWrap/>
                    <w:vAlign w:val="center"/>
                    <w:hideMark/>
                  </w:tcPr>
                  <w:p>
                    <w:pPr>
                      <w:jc w:val="center"/>
                      <w:rPr>
                        <w:sz w:val="20"/>
                      </w:rPr>
                    </w:pPr>
                    <w:r>
                      <w:rPr>
                        <w:sz w:val="20"/>
                      </w:rPr>
                      <w:t>ŠMSA (KS)</w:t>
                    </w:r>
                  </w:p>
                </w:tc>
                <w:tc>
                  <w:tcPr>
                    <w:tcW w:w="1134" w:type="dxa"/>
                    <w:shd w:val="clear" w:color="auto" w:fill="FCE4D6"/>
                    <w:noWrap/>
                    <w:vAlign w:val="center"/>
                    <w:hideMark/>
                  </w:tcPr>
                  <w:p>
                    <w:pPr>
                      <w:jc w:val="center"/>
                      <w:rPr>
                        <w:sz w:val="20"/>
                      </w:rPr>
                    </w:pPr>
                    <w:r>
                      <w:rPr>
                        <w:sz w:val="20"/>
                      </w:rPr>
                      <w:t>4 (2023)</w:t>
                    </w:r>
                  </w:p>
                </w:tc>
                <w:tc>
                  <w:tcPr>
                    <w:tcW w:w="1134" w:type="dxa"/>
                    <w:shd w:val="clear" w:color="auto" w:fill="FCE4D6"/>
                    <w:noWrap/>
                    <w:vAlign w:val="center"/>
                    <w:hideMark/>
                  </w:tcPr>
                  <w:p>
                    <w:pPr>
                      <w:jc w:val="center"/>
                      <w:rPr>
                        <w:sz w:val="20"/>
                      </w:rPr>
                    </w:pPr>
                    <w:r>
                      <w:rPr>
                        <w:sz w:val="20"/>
                      </w:rPr>
                      <w:t>5 (2033)</w:t>
                    </w:r>
                  </w:p>
                </w:tc>
              </w:tr>
              <w:tr>
                <w:trPr>
                  <w:trHeight w:val="483"/>
                  <w:jc w:val="center"/>
                </w:trPr>
                <w:tc>
                  <w:tcPr>
                    <w:tcW w:w="988" w:type="dxa"/>
                    <w:vMerge w:val="restart"/>
                    <w:noWrap/>
                    <w:vAlign w:val="center"/>
                    <w:hideMark/>
                  </w:tcPr>
                  <w:p>
                    <w:pPr>
                      <w:rPr>
                        <w:sz w:val="20"/>
                      </w:rPr>
                    </w:pPr>
                    <w:r>
                      <w:rPr>
                        <w:sz w:val="20"/>
                      </w:rPr>
                      <w:t>12-01-01</w:t>
                    </w:r>
                  </w:p>
                </w:tc>
                <w:tc>
                  <w:tcPr>
                    <w:tcW w:w="2126" w:type="dxa"/>
                    <w:vMerge w:val="restart"/>
                    <w:vAlign w:val="center"/>
                    <w:hideMark/>
                  </w:tcPr>
                  <w:p>
                    <w:pPr>
                      <w:rPr>
                        <w:sz w:val="20"/>
                      </w:rPr>
                    </w:pPr>
                    <w:r>
                      <w:rPr>
                        <w:sz w:val="20"/>
                      </w:rPr>
                      <w:t>Didinti inovatyvių kultūros paslaugų ir produktų įvairovę</w:t>
                    </w:r>
                  </w:p>
                </w:tc>
                <w:tc>
                  <w:tcPr>
                    <w:tcW w:w="850" w:type="dxa"/>
                    <w:vMerge w:val="restart"/>
                    <w:noWrap/>
                    <w:vAlign w:val="center"/>
                    <w:hideMark/>
                  </w:tcPr>
                  <w:p>
                    <w:pPr>
                      <w:jc w:val="center"/>
                      <w:rPr>
                        <w:sz w:val="20"/>
                      </w:rPr>
                    </w:pPr>
                    <w:r>
                      <w:rPr>
                        <w:sz w:val="20"/>
                      </w:rPr>
                      <w:t>KS</w:t>
                    </w:r>
                  </w:p>
                </w:tc>
                <w:tc>
                  <w:tcPr>
                    <w:tcW w:w="709" w:type="dxa"/>
                    <w:vMerge w:val="restart"/>
                    <w:noWrap/>
                    <w:vAlign w:val="center"/>
                    <w:hideMark/>
                  </w:tcPr>
                  <w:p>
                    <w:pPr>
                      <w:jc w:val="center"/>
                      <w:rPr>
                        <w:sz w:val="20"/>
                      </w:rPr>
                    </w:pPr>
                    <w:r>
                      <w:rPr>
                        <w:sz w:val="20"/>
                      </w:rPr>
                      <w:t>2025</w:t>
                    </w:r>
                  </w:p>
                </w:tc>
                <w:tc>
                  <w:tcPr>
                    <w:tcW w:w="709" w:type="dxa"/>
                    <w:vMerge w:val="restart"/>
                    <w:noWrap/>
                    <w:vAlign w:val="center"/>
                    <w:hideMark/>
                  </w:tcPr>
                  <w:p>
                    <w:pPr>
                      <w:jc w:val="center"/>
                      <w:rPr>
                        <w:sz w:val="20"/>
                      </w:rPr>
                    </w:pPr>
                    <w:r>
                      <w:rPr>
                        <w:sz w:val="20"/>
                      </w:rPr>
                      <w:t>2033</w:t>
                    </w:r>
                  </w:p>
                </w:tc>
                <w:tc>
                  <w:tcPr>
                    <w:tcW w:w="1417" w:type="dxa"/>
                    <w:noWrap/>
                    <w:vAlign w:val="center"/>
                    <w:hideMark/>
                  </w:tcPr>
                  <w:p>
                    <w:pPr>
                      <w:rPr>
                        <w:sz w:val="20"/>
                      </w:rPr>
                    </w:pPr>
                    <w:r>
                      <w:rPr>
                        <w:sz w:val="20"/>
                      </w:rPr>
                      <w:t>P-12-01-01-01</w:t>
                    </w:r>
                  </w:p>
                </w:tc>
                <w:tc>
                  <w:tcPr>
                    <w:tcW w:w="4111" w:type="dxa"/>
                    <w:vAlign w:val="center"/>
                    <w:hideMark/>
                  </w:tcPr>
                  <w:p>
                    <w:pPr>
                      <w:rPr>
                        <w:sz w:val="20"/>
                      </w:rPr>
                    </w:pPr>
                    <w:r>
                      <w:rPr>
                        <w:sz w:val="20"/>
                      </w:rPr>
                      <w:t>Įgyvendintų naujų kultūros srities iniciatyvų skaičius (vnt.)</w:t>
                    </w:r>
                  </w:p>
                </w:tc>
                <w:tc>
                  <w:tcPr>
                    <w:tcW w:w="1134" w:type="dxa"/>
                    <w:noWrap/>
                    <w:vAlign w:val="center"/>
                    <w:hideMark/>
                  </w:tcPr>
                  <w:p>
                    <w:pPr>
                      <w:jc w:val="center"/>
                      <w:rPr>
                        <w:sz w:val="20"/>
                      </w:rPr>
                    </w:pPr>
                    <w:r>
                      <w:rPr>
                        <w:sz w:val="20"/>
                      </w:rPr>
                      <w:t>KĮ, KS</w:t>
                    </w:r>
                  </w:p>
                </w:tc>
                <w:tc>
                  <w:tcPr>
                    <w:tcW w:w="1134" w:type="dxa"/>
                    <w:noWrap/>
                    <w:vAlign w:val="center"/>
                    <w:hideMark/>
                  </w:tcPr>
                  <w:p>
                    <w:pPr>
                      <w:jc w:val="center"/>
                      <w:rPr>
                        <w:sz w:val="20"/>
                      </w:rPr>
                    </w:pPr>
                    <w:r>
                      <w:rPr>
                        <w:sz w:val="20"/>
                      </w:rPr>
                      <w:t>0 (2023)</w:t>
                    </w:r>
                  </w:p>
                </w:tc>
                <w:tc>
                  <w:tcPr>
                    <w:tcW w:w="1134" w:type="dxa"/>
                    <w:noWrap/>
                    <w:vAlign w:val="center"/>
                    <w:hideMark/>
                  </w:tcPr>
                  <w:p>
                    <w:pPr>
                      <w:jc w:val="center"/>
                      <w:rPr>
                        <w:sz w:val="20"/>
                      </w:rPr>
                    </w:pPr>
                    <w:r>
                      <w:rPr>
                        <w:sz w:val="20"/>
                      </w:rPr>
                      <w:t>18 (2033)</w:t>
                    </w:r>
                  </w:p>
                </w:tc>
              </w:tr>
              <w:tr>
                <w:trPr>
                  <w:trHeight w:val="561"/>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rPr>
                        <w:sz w:val="20"/>
                      </w:rPr>
                    </w:pPr>
                  </w:p>
                </w:tc>
                <w:tc>
                  <w:tcPr>
                    <w:tcW w:w="709" w:type="dxa"/>
                    <w:vMerge/>
                    <w:vAlign w:val="center"/>
                    <w:hideMark/>
                  </w:tcPr>
                  <w:p>
                    <w:pPr>
                      <w:rPr>
                        <w:sz w:val="20"/>
                      </w:rPr>
                    </w:pPr>
                  </w:p>
                </w:tc>
                <w:tc>
                  <w:tcPr>
                    <w:tcW w:w="709" w:type="dxa"/>
                    <w:vMerge/>
                    <w:vAlign w:val="center"/>
                    <w:hideMark/>
                  </w:tcPr>
                  <w:p>
                    <w:pPr>
                      <w:rPr>
                        <w:sz w:val="20"/>
                      </w:rPr>
                    </w:pPr>
                  </w:p>
                </w:tc>
                <w:tc>
                  <w:tcPr>
                    <w:tcW w:w="1417" w:type="dxa"/>
                    <w:noWrap/>
                    <w:vAlign w:val="center"/>
                    <w:hideMark/>
                  </w:tcPr>
                  <w:p>
                    <w:pPr>
                      <w:rPr>
                        <w:sz w:val="20"/>
                      </w:rPr>
                    </w:pPr>
                    <w:r>
                      <w:rPr>
                        <w:sz w:val="20"/>
                      </w:rPr>
                      <w:t>P-12-01-01-02</w:t>
                    </w:r>
                  </w:p>
                </w:tc>
                <w:tc>
                  <w:tcPr>
                    <w:tcW w:w="4111" w:type="dxa"/>
                    <w:vAlign w:val="center"/>
                    <w:hideMark/>
                  </w:tcPr>
                  <w:p>
                    <w:pPr>
                      <w:rPr>
                        <w:sz w:val="20"/>
                      </w:rPr>
                    </w:pPr>
                    <w:r>
                      <w:rPr>
                        <w:sz w:val="20"/>
                      </w:rPr>
                      <w:t>Įgyvendintas menininkų ir kultūros kūrėjų rezidencijų projektas (vnt.)</w:t>
                    </w:r>
                  </w:p>
                </w:tc>
                <w:tc>
                  <w:tcPr>
                    <w:tcW w:w="1134" w:type="dxa"/>
                    <w:noWrap/>
                    <w:vAlign w:val="center"/>
                    <w:hideMark/>
                  </w:tcPr>
                  <w:p>
                    <w:pPr>
                      <w:jc w:val="center"/>
                      <w:rPr>
                        <w:sz w:val="20"/>
                      </w:rPr>
                    </w:pPr>
                    <w:r>
                      <w:rPr>
                        <w:sz w:val="20"/>
                      </w:rPr>
                      <w:t>KS</w:t>
                    </w:r>
                  </w:p>
                </w:tc>
                <w:tc>
                  <w:tcPr>
                    <w:tcW w:w="1134" w:type="dxa"/>
                    <w:noWrap/>
                    <w:vAlign w:val="center"/>
                    <w:hideMark/>
                  </w:tcPr>
                  <w:p>
                    <w:pPr>
                      <w:jc w:val="center"/>
                      <w:rPr>
                        <w:sz w:val="20"/>
                      </w:rPr>
                    </w:pPr>
                    <w:r>
                      <w:rPr>
                        <w:sz w:val="20"/>
                      </w:rPr>
                      <w:t>0 (2024)</w:t>
                    </w:r>
                  </w:p>
                </w:tc>
                <w:tc>
                  <w:tcPr>
                    <w:tcW w:w="1134" w:type="dxa"/>
                    <w:noWrap/>
                    <w:vAlign w:val="center"/>
                    <w:hideMark/>
                  </w:tcPr>
                  <w:p>
                    <w:pPr>
                      <w:jc w:val="center"/>
                      <w:rPr>
                        <w:sz w:val="20"/>
                      </w:rPr>
                    </w:pPr>
                    <w:r>
                      <w:rPr>
                        <w:sz w:val="20"/>
                      </w:rPr>
                      <w:t>1 (2033)</w:t>
                    </w:r>
                  </w:p>
                </w:tc>
              </w:tr>
              <w:tr>
                <w:trPr>
                  <w:trHeight w:val="854"/>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rPr>
                        <w:sz w:val="20"/>
                      </w:rPr>
                    </w:pPr>
                  </w:p>
                </w:tc>
                <w:tc>
                  <w:tcPr>
                    <w:tcW w:w="709" w:type="dxa"/>
                    <w:vMerge/>
                    <w:vAlign w:val="center"/>
                    <w:hideMark/>
                  </w:tcPr>
                  <w:p>
                    <w:pPr>
                      <w:rPr>
                        <w:sz w:val="20"/>
                      </w:rPr>
                    </w:pPr>
                  </w:p>
                </w:tc>
                <w:tc>
                  <w:tcPr>
                    <w:tcW w:w="709" w:type="dxa"/>
                    <w:vMerge/>
                    <w:vAlign w:val="center"/>
                    <w:hideMark/>
                  </w:tcPr>
                  <w:p>
                    <w:pPr>
                      <w:rPr>
                        <w:sz w:val="20"/>
                      </w:rPr>
                    </w:pPr>
                  </w:p>
                </w:tc>
                <w:tc>
                  <w:tcPr>
                    <w:tcW w:w="1417" w:type="dxa"/>
                    <w:noWrap/>
                    <w:vAlign w:val="center"/>
                    <w:hideMark/>
                  </w:tcPr>
                  <w:p>
                    <w:pPr>
                      <w:rPr>
                        <w:sz w:val="20"/>
                      </w:rPr>
                    </w:pPr>
                    <w:r>
                      <w:rPr>
                        <w:sz w:val="20"/>
                      </w:rPr>
                      <w:t>P-12-01-01-03</w:t>
                    </w:r>
                  </w:p>
                </w:tc>
                <w:tc>
                  <w:tcPr>
                    <w:tcW w:w="4111" w:type="dxa"/>
                    <w:vAlign w:val="center"/>
                    <w:hideMark/>
                  </w:tcPr>
                  <w:p>
                    <w:pPr>
                      <w:rPr>
                        <w:sz w:val="20"/>
                      </w:rPr>
                    </w:pPr>
                    <w:r>
                      <w:rPr>
                        <w:sz w:val="20"/>
                      </w:rPr>
                      <w:t>Pagal parengtą naują Kultūros ir meno kūrėjų stipendijų programą, sukurtų naujų kultūros produktų /stipendijas gavusių asmenų skaičius (vnt. / asm.)</w:t>
                    </w:r>
                  </w:p>
                </w:tc>
                <w:tc>
                  <w:tcPr>
                    <w:tcW w:w="1134" w:type="dxa"/>
                    <w:noWrap/>
                    <w:vAlign w:val="center"/>
                    <w:hideMark/>
                  </w:tcPr>
                  <w:p>
                    <w:pPr>
                      <w:jc w:val="center"/>
                      <w:rPr>
                        <w:sz w:val="20"/>
                      </w:rPr>
                    </w:pPr>
                    <w:r>
                      <w:rPr>
                        <w:sz w:val="20"/>
                      </w:rPr>
                      <w:t>KS</w:t>
                    </w:r>
                  </w:p>
                </w:tc>
                <w:tc>
                  <w:tcPr>
                    <w:tcW w:w="1134" w:type="dxa"/>
                    <w:noWrap/>
                    <w:vAlign w:val="center"/>
                    <w:hideMark/>
                  </w:tcPr>
                  <w:p>
                    <w:pPr>
                      <w:jc w:val="center"/>
                      <w:rPr>
                        <w:sz w:val="20"/>
                      </w:rPr>
                    </w:pPr>
                    <w:r>
                      <w:rPr>
                        <w:sz w:val="20"/>
                      </w:rPr>
                      <w:t>0/0 (2023)</w:t>
                    </w:r>
                  </w:p>
                </w:tc>
                <w:tc>
                  <w:tcPr>
                    <w:tcW w:w="1134" w:type="dxa"/>
                    <w:noWrap/>
                    <w:vAlign w:val="center"/>
                    <w:hideMark/>
                  </w:tcPr>
                  <w:p>
                    <w:pPr>
                      <w:jc w:val="center"/>
                      <w:rPr>
                        <w:sz w:val="20"/>
                      </w:rPr>
                    </w:pPr>
                    <w:r>
                      <w:rPr>
                        <w:sz w:val="20"/>
                      </w:rPr>
                      <w:t>3/24 (2033)</w:t>
                    </w:r>
                  </w:p>
                </w:tc>
              </w:tr>
              <w:tr>
                <w:trPr>
                  <w:trHeight w:val="642"/>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rPr>
                        <w:sz w:val="20"/>
                      </w:rPr>
                    </w:pPr>
                  </w:p>
                </w:tc>
                <w:tc>
                  <w:tcPr>
                    <w:tcW w:w="709" w:type="dxa"/>
                    <w:vMerge/>
                    <w:vAlign w:val="center"/>
                    <w:hideMark/>
                  </w:tcPr>
                  <w:p>
                    <w:pPr>
                      <w:rPr>
                        <w:sz w:val="20"/>
                      </w:rPr>
                    </w:pPr>
                  </w:p>
                </w:tc>
                <w:tc>
                  <w:tcPr>
                    <w:tcW w:w="709" w:type="dxa"/>
                    <w:vMerge/>
                    <w:vAlign w:val="center"/>
                    <w:hideMark/>
                  </w:tcPr>
                  <w:p>
                    <w:pPr>
                      <w:rPr>
                        <w:sz w:val="20"/>
                      </w:rPr>
                    </w:pPr>
                  </w:p>
                </w:tc>
                <w:tc>
                  <w:tcPr>
                    <w:tcW w:w="1417" w:type="dxa"/>
                    <w:noWrap/>
                    <w:vAlign w:val="center"/>
                    <w:hideMark/>
                  </w:tcPr>
                  <w:p>
                    <w:pPr>
                      <w:rPr>
                        <w:sz w:val="20"/>
                      </w:rPr>
                    </w:pPr>
                    <w:r>
                      <w:rPr>
                        <w:sz w:val="20"/>
                      </w:rPr>
                      <w:t>P-12-01-01-04</w:t>
                    </w:r>
                  </w:p>
                </w:tc>
                <w:tc>
                  <w:tcPr>
                    <w:tcW w:w="4111" w:type="dxa"/>
                    <w:vAlign w:val="center"/>
                    <w:hideMark/>
                  </w:tcPr>
                  <w:p>
                    <w:pPr>
                      <w:rPr>
                        <w:sz w:val="20"/>
                      </w:rPr>
                    </w:pPr>
                    <w:r>
                      <w:rPr>
                        <w:sz w:val="20"/>
                      </w:rPr>
                      <w:t>Pagal parengtą naują Meno (viešose erdvėse) rėmimo programą, sukurtų naujų kultūros produktų / programos dalyvių skaičius (vnt. / asm.)</w:t>
                    </w:r>
                  </w:p>
                </w:tc>
                <w:tc>
                  <w:tcPr>
                    <w:tcW w:w="1134" w:type="dxa"/>
                    <w:noWrap/>
                    <w:vAlign w:val="center"/>
                    <w:hideMark/>
                  </w:tcPr>
                  <w:p>
                    <w:pPr>
                      <w:jc w:val="center"/>
                      <w:rPr>
                        <w:sz w:val="20"/>
                      </w:rPr>
                    </w:pPr>
                    <w:r>
                      <w:rPr>
                        <w:sz w:val="20"/>
                      </w:rPr>
                      <w:t>KS</w:t>
                    </w:r>
                  </w:p>
                </w:tc>
                <w:tc>
                  <w:tcPr>
                    <w:tcW w:w="1134" w:type="dxa"/>
                    <w:noWrap/>
                    <w:vAlign w:val="center"/>
                    <w:hideMark/>
                  </w:tcPr>
                  <w:p>
                    <w:pPr>
                      <w:jc w:val="center"/>
                      <w:rPr>
                        <w:sz w:val="20"/>
                      </w:rPr>
                    </w:pPr>
                    <w:r>
                      <w:rPr>
                        <w:sz w:val="20"/>
                      </w:rPr>
                      <w:t>0/0 (2023)</w:t>
                    </w:r>
                  </w:p>
                </w:tc>
                <w:tc>
                  <w:tcPr>
                    <w:tcW w:w="1134" w:type="dxa"/>
                    <w:noWrap/>
                    <w:vAlign w:val="center"/>
                    <w:hideMark/>
                  </w:tcPr>
                  <w:p>
                    <w:pPr>
                      <w:jc w:val="center"/>
                      <w:rPr>
                        <w:sz w:val="20"/>
                      </w:rPr>
                    </w:pPr>
                    <w:r>
                      <w:rPr>
                        <w:sz w:val="20"/>
                      </w:rPr>
                      <w:t>16/16 (2033)</w:t>
                    </w:r>
                  </w:p>
                </w:tc>
              </w:tr>
              <w:tr>
                <w:trPr>
                  <w:trHeight w:val="271"/>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rPr>
                        <w:sz w:val="20"/>
                      </w:rPr>
                    </w:pPr>
                  </w:p>
                </w:tc>
                <w:tc>
                  <w:tcPr>
                    <w:tcW w:w="709" w:type="dxa"/>
                    <w:vMerge/>
                    <w:vAlign w:val="center"/>
                    <w:hideMark/>
                  </w:tcPr>
                  <w:p>
                    <w:pPr>
                      <w:rPr>
                        <w:sz w:val="20"/>
                      </w:rPr>
                    </w:pPr>
                  </w:p>
                </w:tc>
                <w:tc>
                  <w:tcPr>
                    <w:tcW w:w="709" w:type="dxa"/>
                    <w:vMerge/>
                    <w:vAlign w:val="center"/>
                    <w:hideMark/>
                  </w:tcPr>
                  <w:p>
                    <w:pPr>
                      <w:rPr>
                        <w:sz w:val="20"/>
                      </w:rPr>
                    </w:pPr>
                  </w:p>
                </w:tc>
                <w:tc>
                  <w:tcPr>
                    <w:tcW w:w="1417" w:type="dxa"/>
                    <w:noWrap/>
                    <w:vAlign w:val="center"/>
                    <w:hideMark/>
                  </w:tcPr>
                  <w:p>
                    <w:pPr>
                      <w:rPr>
                        <w:sz w:val="20"/>
                      </w:rPr>
                    </w:pPr>
                    <w:r>
                      <w:rPr>
                        <w:sz w:val="20"/>
                      </w:rPr>
                      <w:t>P-12-01-01-05</w:t>
                    </w:r>
                  </w:p>
                </w:tc>
                <w:tc>
                  <w:tcPr>
                    <w:tcW w:w="4111" w:type="dxa"/>
                    <w:vAlign w:val="center"/>
                    <w:hideMark/>
                  </w:tcPr>
                  <w:p>
                    <w:pPr>
                      <w:rPr>
                        <w:sz w:val="20"/>
                      </w:rPr>
                    </w:pPr>
                    <w:r>
                      <w:rPr>
                        <w:sz w:val="20"/>
                      </w:rPr>
                      <w:t>Naujų skaitmenizuotų kultūros paslaugų skaičius kultūros įstaigose (vnt.)</w:t>
                    </w:r>
                  </w:p>
                </w:tc>
                <w:tc>
                  <w:tcPr>
                    <w:tcW w:w="1134" w:type="dxa"/>
                    <w:noWrap/>
                    <w:vAlign w:val="center"/>
                    <w:hideMark/>
                  </w:tcPr>
                  <w:p>
                    <w:pPr>
                      <w:jc w:val="center"/>
                      <w:rPr>
                        <w:sz w:val="20"/>
                      </w:rPr>
                    </w:pPr>
                    <w:r>
                      <w:rPr>
                        <w:sz w:val="20"/>
                      </w:rPr>
                      <w:t>KS</w:t>
                    </w:r>
                  </w:p>
                </w:tc>
                <w:tc>
                  <w:tcPr>
                    <w:tcW w:w="1134" w:type="dxa"/>
                    <w:noWrap/>
                    <w:vAlign w:val="center"/>
                    <w:hideMark/>
                  </w:tcPr>
                  <w:p>
                    <w:pPr>
                      <w:jc w:val="center"/>
                      <w:rPr>
                        <w:sz w:val="20"/>
                      </w:rPr>
                    </w:pPr>
                    <w:r>
                      <w:rPr>
                        <w:sz w:val="20"/>
                      </w:rPr>
                      <w:t>0 (2023)</w:t>
                    </w:r>
                  </w:p>
                </w:tc>
                <w:tc>
                  <w:tcPr>
                    <w:tcW w:w="1134" w:type="dxa"/>
                    <w:noWrap/>
                    <w:vAlign w:val="center"/>
                    <w:hideMark/>
                  </w:tcPr>
                  <w:p>
                    <w:pPr>
                      <w:jc w:val="center"/>
                      <w:rPr>
                        <w:sz w:val="20"/>
                      </w:rPr>
                    </w:pPr>
                    <w:r>
                      <w:rPr>
                        <w:sz w:val="20"/>
                      </w:rPr>
                      <w:t>18 (2033)</w:t>
                    </w:r>
                  </w:p>
                </w:tc>
              </w:tr>
              <w:tr>
                <w:trPr>
                  <w:trHeight w:val="236"/>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rPr>
                        <w:sz w:val="20"/>
                      </w:rPr>
                    </w:pPr>
                  </w:p>
                </w:tc>
                <w:tc>
                  <w:tcPr>
                    <w:tcW w:w="709" w:type="dxa"/>
                    <w:vMerge/>
                    <w:vAlign w:val="center"/>
                    <w:hideMark/>
                  </w:tcPr>
                  <w:p>
                    <w:pPr>
                      <w:rPr>
                        <w:sz w:val="20"/>
                      </w:rPr>
                    </w:pPr>
                  </w:p>
                </w:tc>
                <w:tc>
                  <w:tcPr>
                    <w:tcW w:w="709" w:type="dxa"/>
                    <w:vMerge/>
                    <w:vAlign w:val="center"/>
                    <w:hideMark/>
                  </w:tcPr>
                  <w:p>
                    <w:pPr>
                      <w:rPr>
                        <w:sz w:val="20"/>
                      </w:rPr>
                    </w:pPr>
                  </w:p>
                </w:tc>
                <w:tc>
                  <w:tcPr>
                    <w:tcW w:w="1417" w:type="dxa"/>
                    <w:noWrap/>
                    <w:vAlign w:val="center"/>
                    <w:hideMark/>
                  </w:tcPr>
                  <w:p>
                    <w:pPr>
                      <w:rPr>
                        <w:sz w:val="20"/>
                      </w:rPr>
                    </w:pPr>
                    <w:r>
                      <w:rPr>
                        <w:sz w:val="20"/>
                      </w:rPr>
                      <w:t>P-12-01-01-06</w:t>
                    </w:r>
                  </w:p>
                </w:tc>
                <w:tc>
                  <w:tcPr>
                    <w:tcW w:w="4111" w:type="dxa"/>
                    <w:vAlign w:val="center"/>
                    <w:hideMark/>
                  </w:tcPr>
                  <w:p>
                    <w:pPr>
                      <w:rPr>
                        <w:sz w:val="20"/>
                      </w:rPr>
                    </w:pPr>
                    <w:r>
                      <w:rPr>
                        <w:sz w:val="20"/>
                      </w:rPr>
                      <w:t>Įkurtas meno ir kūrybiškumo centras (vnt.)</w:t>
                    </w:r>
                  </w:p>
                </w:tc>
                <w:tc>
                  <w:tcPr>
                    <w:tcW w:w="1134" w:type="dxa"/>
                    <w:noWrap/>
                    <w:vAlign w:val="center"/>
                    <w:hideMark/>
                  </w:tcPr>
                  <w:p>
                    <w:pPr>
                      <w:jc w:val="center"/>
                      <w:rPr>
                        <w:sz w:val="20"/>
                      </w:rPr>
                    </w:pPr>
                    <w:r>
                      <w:rPr>
                        <w:sz w:val="20"/>
                      </w:rPr>
                      <w:t>KS</w:t>
                    </w:r>
                  </w:p>
                </w:tc>
                <w:tc>
                  <w:tcPr>
                    <w:tcW w:w="1134" w:type="dxa"/>
                    <w:noWrap/>
                    <w:vAlign w:val="center"/>
                    <w:hideMark/>
                  </w:tcPr>
                  <w:p>
                    <w:pPr>
                      <w:jc w:val="center"/>
                      <w:rPr>
                        <w:sz w:val="20"/>
                      </w:rPr>
                    </w:pPr>
                    <w:r>
                      <w:rPr>
                        <w:sz w:val="20"/>
                      </w:rPr>
                      <w:t>0 (2024)</w:t>
                    </w:r>
                  </w:p>
                </w:tc>
                <w:tc>
                  <w:tcPr>
                    <w:tcW w:w="1134" w:type="dxa"/>
                    <w:noWrap/>
                    <w:vAlign w:val="center"/>
                    <w:hideMark/>
                  </w:tcPr>
                  <w:p>
                    <w:pPr>
                      <w:jc w:val="center"/>
                      <w:rPr>
                        <w:sz w:val="20"/>
                      </w:rPr>
                    </w:pPr>
                    <w:r>
                      <w:rPr>
                        <w:sz w:val="20"/>
                      </w:rPr>
                      <w:t>1 (2033)</w:t>
                    </w:r>
                  </w:p>
                </w:tc>
              </w:tr>
              <w:tr>
                <w:trPr>
                  <w:trHeight w:val="941"/>
                  <w:jc w:val="center"/>
                </w:trPr>
                <w:tc>
                  <w:tcPr>
                    <w:tcW w:w="988" w:type="dxa"/>
                    <w:vMerge w:val="restart"/>
                    <w:noWrap/>
                    <w:vAlign w:val="center"/>
                    <w:hideMark/>
                  </w:tcPr>
                  <w:p>
                    <w:pPr>
                      <w:rPr>
                        <w:sz w:val="20"/>
                      </w:rPr>
                    </w:pPr>
                    <w:r>
                      <w:rPr>
                        <w:sz w:val="20"/>
                      </w:rPr>
                      <w:t>12-01-02</w:t>
                    </w:r>
                  </w:p>
                </w:tc>
                <w:tc>
                  <w:tcPr>
                    <w:tcW w:w="2126" w:type="dxa"/>
                    <w:vMerge w:val="restart"/>
                    <w:vAlign w:val="center"/>
                    <w:hideMark/>
                  </w:tcPr>
                  <w:p>
                    <w:pPr>
                      <w:rPr>
                        <w:sz w:val="20"/>
                      </w:rPr>
                    </w:pPr>
                    <w:r>
                      <w:rPr>
                        <w:sz w:val="20"/>
                      </w:rPr>
                      <w:t>Skatinti kultūros ir kitose srityse veikiančių organizacijų bendradarbiavimą miesto, šalies ir tarptautiniu mastu</w:t>
                    </w:r>
                  </w:p>
                </w:tc>
                <w:tc>
                  <w:tcPr>
                    <w:tcW w:w="850" w:type="dxa"/>
                    <w:vMerge w:val="restart"/>
                    <w:noWrap/>
                    <w:vAlign w:val="center"/>
                    <w:hideMark/>
                  </w:tcPr>
                  <w:p>
                    <w:pPr>
                      <w:jc w:val="center"/>
                      <w:rPr>
                        <w:sz w:val="20"/>
                      </w:rPr>
                    </w:pPr>
                    <w:r>
                      <w:rPr>
                        <w:sz w:val="20"/>
                      </w:rPr>
                      <w:t>KS</w:t>
                    </w:r>
                  </w:p>
                </w:tc>
                <w:tc>
                  <w:tcPr>
                    <w:tcW w:w="709" w:type="dxa"/>
                    <w:vMerge w:val="restart"/>
                    <w:noWrap/>
                    <w:vAlign w:val="center"/>
                    <w:hideMark/>
                  </w:tcPr>
                  <w:p>
                    <w:pPr>
                      <w:jc w:val="center"/>
                      <w:rPr>
                        <w:sz w:val="20"/>
                      </w:rPr>
                    </w:pPr>
                    <w:r>
                      <w:rPr>
                        <w:sz w:val="20"/>
                      </w:rPr>
                      <w:t>2025</w:t>
                    </w:r>
                  </w:p>
                </w:tc>
                <w:tc>
                  <w:tcPr>
                    <w:tcW w:w="709" w:type="dxa"/>
                    <w:vMerge w:val="restart"/>
                    <w:noWrap/>
                    <w:vAlign w:val="center"/>
                    <w:hideMark/>
                  </w:tcPr>
                  <w:p>
                    <w:pPr>
                      <w:jc w:val="center"/>
                      <w:rPr>
                        <w:sz w:val="20"/>
                      </w:rPr>
                    </w:pPr>
                    <w:r>
                      <w:rPr>
                        <w:sz w:val="20"/>
                      </w:rPr>
                      <w:t>2033</w:t>
                    </w:r>
                  </w:p>
                </w:tc>
                <w:tc>
                  <w:tcPr>
                    <w:tcW w:w="1417" w:type="dxa"/>
                    <w:noWrap/>
                    <w:vAlign w:val="center"/>
                    <w:hideMark/>
                  </w:tcPr>
                  <w:p>
                    <w:pPr>
                      <w:rPr>
                        <w:sz w:val="20"/>
                      </w:rPr>
                    </w:pPr>
                    <w:r>
                      <w:rPr>
                        <w:sz w:val="20"/>
                      </w:rPr>
                      <w:t>P-12-01-02-01</w:t>
                    </w:r>
                  </w:p>
                </w:tc>
                <w:tc>
                  <w:tcPr>
                    <w:tcW w:w="4111" w:type="dxa"/>
                    <w:vAlign w:val="center"/>
                    <w:hideMark/>
                  </w:tcPr>
                  <w:p>
                    <w:pPr>
                      <w:rPr>
                        <w:sz w:val="20"/>
                      </w:rPr>
                    </w:pPr>
                    <w:r>
                      <w:rPr>
                        <w:sz w:val="20"/>
                      </w:rPr>
                      <w:t>Kultūros partnerysčių, vykdytų bendradarbiaujant su kitų sričių organizacijomis, skaičius / jų projektų skaičius (vnt. /vnt.)</w:t>
                    </w:r>
                  </w:p>
                </w:tc>
                <w:tc>
                  <w:tcPr>
                    <w:tcW w:w="1134" w:type="dxa"/>
                    <w:vAlign w:val="center"/>
                    <w:hideMark/>
                  </w:tcPr>
                  <w:p>
                    <w:pPr>
                      <w:jc w:val="center"/>
                      <w:rPr>
                        <w:sz w:val="20"/>
                      </w:rPr>
                    </w:pPr>
                    <w:r>
                      <w:rPr>
                        <w:sz w:val="20"/>
                      </w:rPr>
                      <w:t>KS, KĮ</w:t>
                    </w:r>
                  </w:p>
                </w:tc>
                <w:tc>
                  <w:tcPr>
                    <w:tcW w:w="1134" w:type="dxa"/>
                    <w:noWrap/>
                    <w:vAlign w:val="center"/>
                    <w:hideMark/>
                  </w:tcPr>
                  <w:p>
                    <w:pPr>
                      <w:jc w:val="center"/>
                      <w:rPr>
                        <w:sz w:val="20"/>
                      </w:rPr>
                    </w:pPr>
                    <w:r>
                      <w:rPr>
                        <w:sz w:val="20"/>
                      </w:rPr>
                      <w:t>0/0 (2023)</w:t>
                    </w:r>
                  </w:p>
                </w:tc>
                <w:tc>
                  <w:tcPr>
                    <w:tcW w:w="1134" w:type="dxa"/>
                    <w:noWrap/>
                    <w:vAlign w:val="center"/>
                    <w:hideMark/>
                  </w:tcPr>
                  <w:p>
                    <w:pPr>
                      <w:jc w:val="center"/>
                      <w:rPr>
                        <w:sz w:val="20"/>
                      </w:rPr>
                    </w:pPr>
                    <w:r>
                      <w:rPr>
                        <w:sz w:val="20"/>
                      </w:rPr>
                      <w:t>24/24 (2033)</w:t>
                    </w:r>
                  </w:p>
                </w:tc>
              </w:tr>
              <w:tr>
                <w:trPr>
                  <w:trHeight w:val="996"/>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rPr>
                        <w:sz w:val="20"/>
                      </w:rPr>
                    </w:pPr>
                  </w:p>
                </w:tc>
                <w:tc>
                  <w:tcPr>
                    <w:tcW w:w="709" w:type="dxa"/>
                    <w:vMerge/>
                    <w:vAlign w:val="center"/>
                    <w:hideMark/>
                  </w:tcPr>
                  <w:p>
                    <w:pPr>
                      <w:rPr>
                        <w:sz w:val="20"/>
                      </w:rPr>
                    </w:pPr>
                  </w:p>
                </w:tc>
                <w:tc>
                  <w:tcPr>
                    <w:tcW w:w="709" w:type="dxa"/>
                    <w:vMerge/>
                    <w:vAlign w:val="center"/>
                    <w:hideMark/>
                  </w:tcPr>
                  <w:p>
                    <w:pPr>
                      <w:rPr>
                        <w:sz w:val="20"/>
                      </w:rPr>
                    </w:pPr>
                  </w:p>
                </w:tc>
                <w:tc>
                  <w:tcPr>
                    <w:tcW w:w="1417" w:type="dxa"/>
                    <w:noWrap/>
                    <w:vAlign w:val="center"/>
                    <w:hideMark/>
                  </w:tcPr>
                  <w:p>
                    <w:pPr>
                      <w:rPr>
                        <w:sz w:val="20"/>
                      </w:rPr>
                    </w:pPr>
                    <w:r>
                      <w:rPr>
                        <w:sz w:val="20"/>
                      </w:rPr>
                      <w:t>P-12-01-02-02</w:t>
                    </w:r>
                  </w:p>
                </w:tc>
                <w:tc>
                  <w:tcPr>
                    <w:tcW w:w="4111" w:type="dxa"/>
                    <w:vAlign w:val="center"/>
                    <w:hideMark/>
                  </w:tcPr>
                  <w:p>
                    <w:pPr>
                      <w:rPr>
                        <w:sz w:val="20"/>
                      </w:rPr>
                    </w:pPr>
                    <w:r>
                      <w:rPr>
                        <w:sz w:val="20"/>
                      </w:rPr>
                      <w:t>Projekto „Šiauliai – Lietuvos kultūros sostinė“ kultūros partnerysčių, vykdytų bendradarbiaujant su įvairių sričių įstaigomis, organizacijomis skaičius (vnt.)</w:t>
                    </w:r>
                  </w:p>
                </w:tc>
                <w:tc>
                  <w:tcPr>
                    <w:tcW w:w="1134" w:type="dxa"/>
                    <w:noWrap/>
                    <w:vAlign w:val="center"/>
                    <w:hideMark/>
                  </w:tcPr>
                  <w:p>
                    <w:pPr>
                      <w:jc w:val="center"/>
                      <w:rPr>
                        <w:sz w:val="20"/>
                      </w:rPr>
                    </w:pPr>
                    <w:r>
                      <w:rPr>
                        <w:sz w:val="20"/>
                      </w:rPr>
                      <w:t>KC, KS</w:t>
                    </w:r>
                  </w:p>
                </w:tc>
                <w:tc>
                  <w:tcPr>
                    <w:tcW w:w="1134" w:type="dxa"/>
                    <w:noWrap/>
                    <w:vAlign w:val="center"/>
                    <w:hideMark/>
                  </w:tcPr>
                  <w:p>
                    <w:pPr>
                      <w:jc w:val="center"/>
                      <w:rPr>
                        <w:sz w:val="20"/>
                      </w:rPr>
                    </w:pPr>
                    <w:r>
                      <w:rPr>
                        <w:sz w:val="20"/>
                      </w:rPr>
                      <w:t>0 (2024)</w:t>
                    </w:r>
                  </w:p>
                </w:tc>
                <w:tc>
                  <w:tcPr>
                    <w:tcW w:w="1134" w:type="dxa"/>
                    <w:noWrap/>
                    <w:vAlign w:val="center"/>
                    <w:hideMark/>
                  </w:tcPr>
                  <w:p>
                    <w:pPr>
                      <w:jc w:val="center"/>
                      <w:rPr>
                        <w:sz w:val="20"/>
                      </w:rPr>
                    </w:pPr>
                    <w:r>
                      <w:rPr>
                        <w:sz w:val="20"/>
                      </w:rPr>
                      <w:t>10 (2026)</w:t>
                    </w:r>
                  </w:p>
                </w:tc>
              </w:tr>
              <w:tr>
                <w:trPr>
                  <w:trHeight w:val="520"/>
                  <w:jc w:val="center"/>
                </w:trPr>
                <w:tc>
                  <w:tcPr>
                    <w:tcW w:w="988" w:type="dxa"/>
                    <w:vMerge w:val="restart"/>
                    <w:noWrap/>
                    <w:vAlign w:val="center"/>
                    <w:hideMark/>
                  </w:tcPr>
                  <w:p>
                    <w:pPr>
                      <w:rPr>
                        <w:sz w:val="20"/>
                      </w:rPr>
                    </w:pPr>
                    <w:r>
                      <w:rPr>
                        <w:sz w:val="20"/>
                      </w:rPr>
                      <w:t>12-01-03</w:t>
                    </w:r>
                  </w:p>
                </w:tc>
                <w:tc>
                  <w:tcPr>
                    <w:tcW w:w="2126" w:type="dxa"/>
                    <w:vMerge w:val="restart"/>
                    <w:vAlign w:val="center"/>
                    <w:hideMark/>
                  </w:tcPr>
                  <w:p>
                    <w:pPr>
                      <w:rPr>
                        <w:sz w:val="20"/>
                      </w:rPr>
                    </w:pPr>
                    <w:r>
                      <w:rPr>
                        <w:sz w:val="20"/>
                      </w:rPr>
                      <w:t>Skatinti gyventojų kultūrinį dalyvavimą</w:t>
                    </w:r>
                  </w:p>
                </w:tc>
                <w:tc>
                  <w:tcPr>
                    <w:tcW w:w="850" w:type="dxa"/>
                    <w:vMerge w:val="restart"/>
                    <w:noWrap/>
                    <w:vAlign w:val="center"/>
                    <w:hideMark/>
                  </w:tcPr>
                  <w:p>
                    <w:pPr>
                      <w:jc w:val="center"/>
                      <w:rPr>
                        <w:sz w:val="20"/>
                      </w:rPr>
                    </w:pPr>
                    <w:r>
                      <w:rPr>
                        <w:sz w:val="20"/>
                      </w:rPr>
                      <w:t>KS</w:t>
                    </w:r>
                  </w:p>
                </w:tc>
                <w:tc>
                  <w:tcPr>
                    <w:tcW w:w="709" w:type="dxa"/>
                    <w:vMerge w:val="restart"/>
                    <w:noWrap/>
                    <w:vAlign w:val="center"/>
                    <w:hideMark/>
                  </w:tcPr>
                  <w:p>
                    <w:pPr>
                      <w:jc w:val="center"/>
                      <w:rPr>
                        <w:sz w:val="20"/>
                      </w:rPr>
                    </w:pPr>
                    <w:r>
                      <w:rPr>
                        <w:sz w:val="20"/>
                      </w:rPr>
                      <w:t>2025</w:t>
                    </w:r>
                  </w:p>
                </w:tc>
                <w:tc>
                  <w:tcPr>
                    <w:tcW w:w="709" w:type="dxa"/>
                    <w:vMerge w:val="restart"/>
                    <w:noWrap/>
                    <w:vAlign w:val="center"/>
                    <w:hideMark/>
                  </w:tcPr>
                  <w:p>
                    <w:pPr>
                      <w:jc w:val="center"/>
                      <w:rPr>
                        <w:sz w:val="20"/>
                      </w:rPr>
                    </w:pPr>
                    <w:r>
                      <w:rPr>
                        <w:sz w:val="20"/>
                      </w:rPr>
                      <w:t>2033</w:t>
                    </w:r>
                  </w:p>
                </w:tc>
                <w:tc>
                  <w:tcPr>
                    <w:tcW w:w="1417" w:type="dxa"/>
                    <w:noWrap/>
                    <w:vAlign w:val="center"/>
                    <w:hideMark/>
                  </w:tcPr>
                  <w:p>
                    <w:pPr>
                      <w:rPr>
                        <w:sz w:val="20"/>
                      </w:rPr>
                    </w:pPr>
                    <w:r>
                      <w:rPr>
                        <w:sz w:val="20"/>
                      </w:rPr>
                      <w:t>P-12-01-03-01</w:t>
                    </w:r>
                  </w:p>
                </w:tc>
                <w:tc>
                  <w:tcPr>
                    <w:tcW w:w="4111" w:type="dxa"/>
                    <w:vAlign w:val="center"/>
                    <w:hideMark/>
                  </w:tcPr>
                  <w:p>
                    <w:pPr>
                      <w:rPr>
                        <w:sz w:val="20"/>
                      </w:rPr>
                    </w:pPr>
                    <w:r>
                      <w:rPr>
                        <w:sz w:val="20"/>
                      </w:rPr>
                      <w:t>Kultūros įstaigų renginių, suorganizuotų kartu su jaunaisiais meno kūrėjais, skaičius (vnt.)</w:t>
                    </w:r>
                  </w:p>
                </w:tc>
                <w:tc>
                  <w:tcPr>
                    <w:tcW w:w="1134" w:type="dxa"/>
                    <w:noWrap/>
                    <w:vAlign w:val="center"/>
                    <w:hideMark/>
                  </w:tcPr>
                  <w:p>
                    <w:pPr>
                      <w:jc w:val="center"/>
                      <w:rPr>
                        <w:sz w:val="20"/>
                      </w:rPr>
                    </w:pPr>
                    <w:r>
                      <w:rPr>
                        <w:sz w:val="20"/>
                      </w:rPr>
                      <w:t>ŠS</w:t>
                    </w:r>
                  </w:p>
                </w:tc>
                <w:tc>
                  <w:tcPr>
                    <w:tcW w:w="1134" w:type="dxa"/>
                    <w:noWrap/>
                    <w:vAlign w:val="center"/>
                    <w:hideMark/>
                  </w:tcPr>
                  <w:p>
                    <w:pPr>
                      <w:jc w:val="center"/>
                      <w:rPr>
                        <w:sz w:val="20"/>
                      </w:rPr>
                    </w:pPr>
                    <w:r>
                      <w:rPr>
                        <w:sz w:val="20"/>
                      </w:rPr>
                      <w:t>0 (2023)</w:t>
                    </w:r>
                  </w:p>
                </w:tc>
                <w:tc>
                  <w:tcPr>
                    <w:tcW w:w="1134" w:type="dxa"/>
                    <w:noWrap/>
                    <w:vAlign w:val="center"/>
                    <w:hideMark/>
                  </w:tcPr>
                  <w:p>
                    <w:pPr>
                      <w:jc w:val="center"/>
                      <w:rPr>
                        <w:sz w:val="20"/>
                      </w:rPr>
                    </w:pPr>
                    <w:r>
                      <w:rPr>
                        <w:sz w:val="20"/>
                      </w:rPr>
                      <w:t>36 (2033)</w:t>
                    </w:r>
                  </w:p>
                </w:tc>
              </w:tr>
              <w:tr>
                <w:trPr>
                  <w:trHeight w:val="735"/>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rPr>
                        <w:sz w:val="20"/>
                      </w:rPr>
                    </w:pPr>
                  </w:p>
                </w:tc>
                <w:tc>
                  <w:tcPr>
                    <w:tcW w:w="709" w:type="dxa"/>
                    <w:vMerge/>
                    <w:vAlign w:val="center"/>
                    <w:hideMark/>
                  </w:tcPr>
                  <w:p>
                    <w:pPr>
                      <w:rPr>
                        <w:sz w:val="20"/>
                      </w:rPr>
                    </w:pPr>
                  </w:p>
                </w:tc>
                <w:tc>
                  <w:tcPr>
                    <w:tcW w:w="709" w:type="dxa"/>
                    <w:vMerge/>
                    <w:vAlign w:val="center"/>
                    <w:hideMark/>
                  </w:tcPr>
                  <w:p>
                    <w:pPr>
                      <w:rPr>
                        <w:sz w:val="20"/>
                      </w:rPr>
                    </w:pPr>
                  </w:p>
                </w:tc>
                <w:tc>
                  <w:tcPr>
                    <w:tcW w:w="1417" w:type="dxa"/>
                    <w:noWrap/>
                    <w:vAlign w:val="center"/>
                    <w:hideMark/>
                  </w:tcPr>
                  <w:p>
                    <w:pPr>
                      <w:rPr>
                        <w:sz w:val="20"/>
                      </w:rPr>
                    </w:pPr>
                    <w:r>
                      <w:rPr>
                        <w:sz w:val="20"/>
                      </w:rPr>
                      <w:t>P-12-01-03-02</w:t>
                    </w:r>
                  </w:p>
                </w:tc>
                <w:tc>
                  <w:tcPr>
                    <w:tcW w:w="4111" w:type="dxa"/>
                    <w:vAlign w:val="center"/>
                    <w:hideMark/>
                  </w:tcPr>
                  <w:p>
                    <w:pPr>
                      <w:rPr>
                        <w:sz w:val="20"/>
                      </w:rPr>
                    </w:pPr>
                    <w:r>
                      <w:rPr>
                        <w:sz w:val="20"/>
                      </w:rPr>
                      <w:t>Atnaujintų ir / ar naujų kultūros paslaugų skaičius tautinėms mažumoms pavaldžiose kultūros įstaigose (vnt.)</w:t>
                    </w:r>
                  </w:p>
                </w:tc>
                <w:tc>
                  <w:tcPr>
                    <w:tcW w:w="1134" w:type="dxa"/>
                    <w:noWrap/>
                    <w:vAlign w:val="center"/>
                    <w:hideMark/>
                  </w:tcPr>
                  <w:p>
                    <w:pPr>
                      <w:jc w:val="center"/>
                      <w:rPr>
                        <w:sz w:val="20"/>
                      </w:rPr>
                    </w:pPr>
                    <w:r>
                      <w:rPr>
                        <w:sz w:val="20"/>
                      </w:rPr>
                      <w:t>KS</w:t>
                    </w:r>
                  </w:p>
                </w:tc>
                <w:tc>
                  <w:tcPr>
                    <w:tcW w:w="1134" w:type="dxa"/>
                    <w:noWrap/>
                    <w:vAlign w:val="center"/>
                    <w:hideMark/>
                  </w:tcPr>
                  <w:p>
                    <w:pPr>
                      <w:jc w:val="center"/>
                      <w:rPr>
                        <w:sz w:val="20"/>
                      </w:rPr>
                    </w:pPr>
                    <w:r>
                      <w:rPr>
                        <w:sz w:val="20"/>
                      </w:rPr>
                      <w:t>0 (2023)</w:t>
                    </w:r>
                  </w:p>
                </w:tc>
                <w:tc>
                  <w:tcPr>
                    <w:tcW w:w="1134" w:type="dxa"/>
                    <w:noWrap/>
                    <w:vAlign w:val="center"/>
                    <w:hideMark/>
                  </w:tcPr>
                  <w:p>
                    <w:pPr>
                      <w:jc w:val="center"/>
                      <w:rPr>
                        <w:sz w:val="20"/>
                      </w:rPr>
                    </w:pPr>
                    <w:r>
                      <w:rPr>
                        <w:sz w:val="20"/>
                      </w:rPr>
                      <w:t>5 (2033)</w:t>
                    </w:r>
                  </w:p>
                </w:tc>
              </w:tr>
              <w:tr>
                <w:trPr>
                  <w:trHeight w:val="688"/>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rPr>
                        <w:sz w:val="20"/>
                      </w:rPr>
                    </w:pPr>
                  </w:p>
                </w:tc>
                <w:tc>
                  <w:tcPr>
                    <w:tcW w:w="709" w:type="dxa"/>
                    <w:vMerge/>
                    <w:vAlign w:val="center"/>
                    <w:hideMark/>
                  </w:tcPr>
                  <w:p>
                    <w:pPr>
                      <w:rPr>
                        <w:sz w:val="20"/>
                      </w:rPr>
                    </w:pPr>
                  </w:p>
                </w:tc>
                <w:tc>
                  <w:tcPr>
                    <w:tcW w:w="709" w:type="dxa"/>
                    <w:vMerge/>
                    <w:vAlign w:val="center"/>
                    <w:hideMark/>
                  </w:tcPr>
                  <w:p>
                    <w:pPr>
                      <w:rPr>
                        <w:sz w:val="20"/>
                      </w:rPr>
                    </w:pPr>
                  </w:p>
                </w:tc>
                <w:tc>
                  <w:tcPr>
                    <w:tcW w:w="1417" w:type="dxa"/>
                    <w:noWrap/>
                    <w:vAlign w:val="center"/>
                    <w:hideMark/>
                  </w:tcPr>
                  <w:p>
                    <w:pPr>
                      <w:rPr>
                        <w:sz w:val="20"/>
                      </w:rPr>
                    </w:pPr>
                    <w:r>
                      <w:rPr>
                        <w:sz w:val="20"/>
                      </w:rPr>
                      <w:t>P-12-01-03-03</w:t>
                    </w:r>
                  </w:p>
                </w:tc>
                <w:tc>
                  <w:tcPr>
                    <w:tcW w:w="4111" w:type="dxa"/>
                    <w:vAlign w:val="center"/>
                    <w:hideMark/>
                  </w:tcPr>
                  <w:p>
                    <w:pPr>
                      <w:rPr>
                        <w:sz w:val="20"/>
                      </w:rPr>
                    </w:pPr>
                    <w:r>
                      <w:rPr>
                        <w:sz w:val="20"/>
                      </w:rPr>
                      <w:t>Įgyvendintų kultūros įstaigų projektų, skirtų socialinę ir kultūrinę atskirtį patiriantiems gyventojams, skaičius (vnt.)</w:t>
                    </w:r>
                  </w:p>
                </w:tc>
                <w:tc>
                  <w:tcPr>
                    <w:tcW w:w="1134" w:type="dxa"/>
                    <w:noWrap/>
                    <w:vAlign w:val="center"/>
                    <w:hideMark/>
                  </w:tcPr>
                  <w:p>
                    <w:pPr>
                      <w:jc w:val="center"/>
                      <w:rPr>
                        <w:sz w:val="20"/>
                      </w:rPr>
                    </w:pPr>
                    <w:r>
                      <w:rPr>
                        <w:sz w:val="20"/>
                      </w:rPr>
                      <w:t>KS</w:t>
                    </w:r>
                  </w:p>
                </w:tc>
                <w:tc>
                  <w:tcPr>
                    <w:tcW w:w="1134" w:type="dxa"/>
                    <w:noWrap/>
                    <w:vAlign w:val="center"/>
                    <w:hideMark/>
                  </w:tcPr>
                  <w:p>
                    <w:pPr>
                      <w:jc w:val="center"/>
                      <w:rPr>
                        <w:sz w:val="20"/>
                      </w:rPr>
                    </w:pPr>
                    <w:r>
                      <w:rPr>
                        <w:sz w:val="20"/>
                      </w:rPr>
                      <w:t>0 (2023)</w:t>
                    </w:r>
                  </w:p>
                </w:tc>
                <w:tc>
                  <w:tcPr>
                    <w:tcW w:w="1134" w:type="dxa"/>
                    <w:noWrap/>
                    <w:vAlign w:val="center"/>
                    <w:hideMark/>
                  </w:tcPr>
                  <w:p>
                    <w:pPr>
                      <w:jc w:val="center"/>
                      <w:rPr>
                        <w:sz w:val="20"/>
                      </w:rPr>
                    </w:pPr>
                    <w:r>
                      <w:rPr>
                        <w:sz w:val="20"/>
                      </w:rPr>
                      <w:t>27 (2033)</w:t>
                    </w:r>
                  </w:p>
                </w:tc>
              </w:tr>
              <w:tr>
                <w:trPr>
                  <w:trHeight w:val="743"/>
                  <w:jc w:val="center"/>
                </w:trPr>
                <w:tc>
                  <w:tcPr>
                    <w:tcW w:w="988" w:type="dxa"/>
                    <w:shd w:val="clear" w:color="auto" w:fill="FCE4D6"/>
                    <w:noWrap/>
                    <w:vAlign w:val="center"/>
                    <w:hideMark/>
                  </w:tcPr>
                  <w:p>
                    <w:pPr>
                      <w:rPr>
                        <w:b/>
                        <w:bCs/>
                        <w:sz w:val="20"/>
                      </w:rPr>
                    </w:pPr>
                    <w:r>
                      <w:rPr>
                        <w:b/>
                        <w:bCs/>
                        <w:sz w:val="20"/>
                      </w:rPr>
                      <w:t>12-02</w:t>
                    </w:r>
                  </w:p>
                </w:tc>
                <w:tc>
                  <w:tcPr>
                    <w:tcW w:w="2126" w:type="dxa"/>
                    <w:shd w:val="clear" w:color="auto" w:fill="FCE4D6"/>
                    <w:vAlign w:val="center"/>
                    <w:hideMark/>
                  </w:tcPr>
                  <w:p>
                    <w:pPr>
                      <w:rPr>
                        <w:b/>
                        <w:bCs/>
                        <w:sz w:val="20"/>
                      </w:rPr>
                    </w:pPr>
                    <w:r>
                      <w:rPr>
                        <w:b/>
                        <w:bCs/>
                        <w:sz w:val="20"/>
                      </w:rPr>
                      <w:t>Išvystyti gyventojų poreikius atitinkančią kultūros įstaigų infrastruktūrą</w:t>
                    </w:r>
                  </w:p>
                </w:tc>
                <w:tc>
                  <w:tcPr>
                    <w:tcW w:w="850" w:type="dxa"/>
                    <w:shd w:val="clear" w:color="auto" w:fill="FCE4D6"/>
                    <w:vAlign w:val="center"/>
                    <w:hideMark/>
                  </w:tcPr>
                  <w:p>
                    <w:pPr>
                      <w:jc w:val="center"/>
                      <w:rPr>
                        <w:sz w:val="20"/>
                      </w:rPr>
                    </w:pPr>
                    <w:r>
                      <w:rPr>
                        <w:sz w:val="20"/>
                      </w:rPr>
                      <w:t>KS</w:t>
                    </w:r>
                  </w:p>
                </w:tc>
                <w:tc>
                  <w:tcPr>
                    <w:tcW w:w="709" w:type="dxa"/>
                    <w:shd w:val="clear" w:color="auto" w:fill="FCE4D6"/>
                    <w:noWrap/>
                    <w:vAlign w:val="center"/>
                    <w:hideMark/>
                  </w:tcPr>
                  <w:p>
                    <w:pPr>
                      <w:jc w:val="center"/>
                      <w:rPr>
                        <w:sz w:val="20"/>
                      </w:rPr>
                    </w:pPr>
                    <w:r>
                      <w:rPr>
                        <w:sz w:val="20"/>
                      </w:rPr>
                      <w:t>2025</w:t>
                    </w:r>
                  </w:p>
                </w:tc>
                <w:tc>
                  <w:tcPr>
                    <w:tcW w:w="709" w:type="dxa"/>
                    <w:shd w:val="clear" w:color="auto" w:fill="FCE4D6"/>
                    <w:noWrap/>
                    <w:vAlign w:val="center"/>
                    <w:hideMark/>
                  </w:tcPr>
                  <w:p>
                    <w:pPr>
                      <w:jc w:val="center"/>
                      <w:rPr>
                        <w:sz w:val="20"/>
                      </w:rPr>
                    </w:pPr>
                    <w:r>
                      <w:rPr>
                        <w:sz w:val="20"/>
                      </w:rPr>
                      <w:t>2033</w:t>
                    </w:r>
                  </w:p>
                </w:tc>
                <w:tc>
                  <w:tcPr>
                    <w:tcW w:w="1417" w:type="dxa"/>
                    <w:shd w:val="clear" w:color="auto" w:fill="FCE4D6"/>
                    <w:noWrap/>
                    <w:vAlign w:val="center"/>
                    <w:hideMark/>
                  </w:tcPr>
                  <w:p>
                    <w:pPr>
                      <w:rPr>
                        <w:sz w:val="20"/>
                      </w:rPr>
                    </w:pPr>
                    <w:r>
                      <w:rPr>
                        <w:sz w:val="20"/>
                      </w:rPr>
                      <w:t>R-12-02-01</w:t>
                    </w:r>
                  </w:p>
                </w:tc>
                <w:tc>
                  <w:tcPr>
                    <w:tcW w:w="4111" w:type="dxa"/>
                    <w:shd w:val="clear" w:color="auto" w:fill="FCE4D6"/>
                    <w:vAlign w:val="center"/>
                    <w:hideMark/>
                  </w:tcPr>
                  <w:p>
                    <w:pPr>
                      <w:rPr>
                        <w:sz w:val="20"/>
                      </w:rPr>
                    </w:pPr>
                    <w:r>
                      <w:rPr>
                        <w:sz w:val="20"/>
                      </w:rPr>
                      <w:t>Kultūros įstaigų pastatų, kurie yra geros būklės, skaičius nuo visų kultūros įstaigų pastatų (vnt. / vnt.)</w:t>
                    </w:r>
                  </w:p>
                </w:tc>
                <w:tc>
                  <w:tcPr>
                    <w:tcW w:w="1134" w:type="dxa"/>
                    <w:shd w:val="clear" w:color="auto" w:fill="FCE4D6"/>
                    <w:noWrap/>
                    <w:vAlign w:val="center"/>
                    <w:hideMark/>
                  </w:tcPr>
                  <w:p>
                    <w:pPr>
                      <w:jc w:val="center"/>
                      <w:rPr>
                        <w:sz w:val="20"/>
                      </w:rPr>
                    </w:pPr>
                    <w:r>
                      <w:rPr>
                        <w:sz w:val="20"/>
                      </w:rPr>
                      <w:t>ŠMSA (KS)</w:t>
                    </w:r>
                  </w:p>
                </w:tc>
                <w:tc>
                  <w:tcPr>
                    <w:tcW w:w="1134" w:type="dxa"/>
                    <w:shd w:val="clear" w:color="auto" w:fill="FCE4D6"/>
                    <w:noWrap/>
                    <w:vAlign w:val="center"/>
                    <w:hideMark/>
                  </w:tcPr>
                  <w:p>
                    <w:pPr>
                      <w:jc w:val="center"/>
                      <w:rPr>
                        <w:sz w:val="20"/>
                      </w:rPr>
                    </w:pPr>
                    <w:r>
                      <w:rPr>
                        <w:sz w:val="20"/>
                      </w:rPr>
                      <w:t>7/10 (2023)</w:t>
                    </w:r>
                  </w:p>
                </w:tc>
                <w:tc>
                  <w:tcPr>
                    <w:tcW w:w="1134" w:type="dxa"/>
                    <w:shd w:val="clear" w:color="auto" w:fill="FCE4D6"/>
                    <w:noWrap/>
                    <w:vAlign w:val="center"/>
                    <w:hideMark/>
                  </w:tcPr>
                  <w:p>
                    <w:pPr>
                      <w:jc w:val="center"/>
                      <w:rPr>
                        <w:sz w:val="20"/>
                      </w:rPr>
                    </w:pPr>
                    <w:r>
                      <w:rPr>
                        <w:sz w:val="20"/>
                      </w:rPr>
                      <w:t>11/11 (2033)</w:t>
                    </w:r>
                  </w:p>
                </w:tc>
              </w:tr>
              <w:tr>
                <w:trPr>
                  <w:trHeight w:val="365"/>
                  <w:jc w:val="center"/>
                </w:trPr>
                <w:tc>
                  <w:tcPr>
                    <w:tcW w:w="988" w:type="dxa"/>
                    <w:vMerge w:val="restart"/>
                    <w:noWrap/>
                    <w:vAlign w:val="center"/>
                    <w:hideMark/>
                  </w:tcPr>
                  <w:p>
                    <w:pPr>
                      <w:rPr>
                        <w:sz w:val="20"/>
                      </w:rPr>
                    </w:pPr>
                    <w:r>
                      <w:rPr>
                        <w:sz w:val="20"/>
                      </w:rPr>
                      <w:t>12-02-01</w:t>
                    </w:r>
                  </w:p>
                </w:tc>
                <w:tc>
                  <w:tcPr>
                    <w:tcW w:w="2126" w:type="dxa"/>
                    <w:vMerge w:val="restart"/>
                    <w:vAlign w:val="center"/>
                    <w:hideMark/>
                  </w:tcPr>
                  <w:p>
                    <w:pPr>
                      <w:rPr>
                        <w:sz w:val="20"/>
                      </w:rPr>
                    </w:pPr>
                    <w:r>
                      <w:rPr>
                        <w:sz w:val="20"/>
                      </w:rPr>
                      <w:t>Modernizuoti ar atnaujinti kultūros įstaigų infrastruktūrą</w:t>
                    </w:r>
                  </w:p>
                </w:tc>
                <w:tc>
                  <w:tcPr>
                    <w:tcW w:w="850" w:type="dxa"/>
                    <w:vMerge w:val="restart"/>
                    <w:noWrap/>
                    <w:vAlign w:val="center"/>
                    <w:hideMark/>
                  </w:tcPr>
                  <w:p>
                    <w:pPr>
                      <w:jc w:val="center"/>
                      <w:rPr>
                        <w:sz w:val="20"/>
                      </w:rPr>
                    </w:pPr>
                    <w:r>
                      <w:rPr>
                        <w:sz w:val="20"/>
                      </w:rPr>
                      <w:t>KS</w:t>
                    </w:r>
                  </w:p>
                </w:tc>
                <w:tc>
                  <w:tcPr>
                    <w:tcW w:w="709" w:type="dxa"/>
                    <w:vMerge w:val="restart"/>
                    <w:noWrap/>
                    <w:vAlign w:val="center"/>
                    <w:hideMark/>
                  </w:tcPr>
                  <w:p>
                    <w:pPr>
                      <w:jc w:val="center"/>
                      <w:rPr>
                        <w:sz w:val="20"/>
                      </w:rPr>
                    </w:pPr>
                    <w:r>
                      <w:rPr>
                        <w:sz w:val="20"/>
                      </w:rPr>
                      <w:t>2025</w:t>
                    </w:r>
                  </w:p>
                </w:tc>
                <w:tc>
                  <w:tcPr>
                    <w:tcW w:w="709" w:type="dxa"/>
                    <w:vMerge w:val="restart"/>
                    <w:noWrap/>
                    <w:vAlign w:val="center"/>
                    <w:hideMark/>
                  </w:tcPr>
                  <w:p>
                    <w:pPr>
                      <w:jc w:val="center"/>
                      <w:rPr>
                        <w:sz w:val="20"/>
                      </w:rPr>
                    </w:pPr>
                    <w:r>
                      <w:rPr>
                        <w:sz w:val="20"/>
                      </w:rPr>
                      <w:t>2033</w:t>
                    </w:r>
                  </w:p>
                </w:tc>
                <w:tc>
                  <w:tcPr>
                    <w:tcW w:w="1417" w:type="dxa"/>
                    <w:noWrap/>
                    <w:vAlign w:val="center"/>
                    <w:hideMark/>
                  </w:tcPr>
                  <w:p>
                    <w:pPr>
                      <w:rPr>
                        <w:sz w:val="20"/>
                      </w:rPr>
                    </w:pPr>
                    <w:r>
                      <w:rPr>
                        <w:sz w:val="20"/>
                      </w:rPr>
                      <w:t>P-12-02-01-01</w:t>
                    </w:r>
                  </w:p>
                </w:tc>
                <w:tc>
                  <w:tcPr>
                    <w:tcW w:w="4111" w:type="dxa"/>
                    <w:vAlign w:val="center"/>
                    <w:hideMark/>
                  </w:tcPr>
                  <w:p>
                    <w:pPr>
                      <w:rPr>
                        <w:sz w:val="20"/>
                      </w:rPr>
                    </w:pPr>
                    <w:r>
                      <w:rPr>
                        <w:sz w:val="20"/>
                      </w:rPr>
                      <w:t xml:space="preserve">Atnaujinta / modernizuota Šiaulių dailės galerija (vnt.) </w:t>
                    </w:r>
                  </w:p>
                </w:tc>
                <w:tc>
                  <w:tcPr>
                    <w:tcW w:w="1134" w:type="dxa"/>
                    <w:vAlign w:val="center"/>
                    <w:hideMark/>
                  </w:tcPr>
                  <w:p>
                    <w:pPr>
                      <w:jc w:val="center"/>
                      <w:rPr>
                        <w:sz w:val="20"/>
                      </w:rPr>
                    </w:pPr>
                    <w:r>
                      <w:rPr>
                        <w:sz w:val="20"/>
                      </w:rPr>
                      <w:t>KS</w:t>
                    </w:r>
                  </w:p>
                </w:tc>
                <w:tc>
                  <w:tcPr>
                    <w:tcW w:w="1134" w:type="dxa"/>
                    <w:noWrap/>
                    <w:vAlign w:val="center"/>
                    <w:hideMark/>
                  </w:tcPr>
                  <w:p>
                    <w:pPr>
                      <w:jc w:val="center"/>
                      <w:rPr>
                        <w:sz w:val="20"/>
                      </w:rPr>
                    </w:pPr>
                    <w:r>
                      <w:rPr>
                        <w:sz w:val="20"/>
                      </w:rPr>
                      <w:t>0 (2024)</w:t>
                    </w:r>
                  </w:p>
                </w:tc>
                <w:tc>
                  <w:tcPr>
                    <w:tcW w:w="1134" w:type="dxa"/>
                    <w:noWrap/>
                    <w:vAlign w:val="center"/>
                    <w:hideMark/>
                  </w:tcPr>
                  <w:p>
                    <w:pPr>
                      <w:jc w:val="center"/>
                      <w:rPr>
                        <w:sz w:val="20"/>
                      </w:rPr>
                    </w:pPr>
                    <w:r>
                      <w:rPr>
                        <w:sz w:val="20"/>
                      </w:rPr>
                      <w:t>1 (2033)</w:t>
                    </w:r>
                  </w:p>
                </w:tc>
              </w:tr>
              <w:tr>
                <w:trPr>
                  <w:trHeight w:val="560"/>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jc w:val="center"/>
                      <w:rPr>
                        <w:sz w:val="20"/>
                      </w:rPr>
                    </w:pPr>
                  </w:p>
                </w:tc>
                <w:tc>
                  <w:tcPr>
                    <w:tcW w:w="709" w:type="dxa"/>
                    <w:vMerge/>
                    <w:vAlign w:val="center"/>
                    <w:hideMark/>
                  </w:tcPr>
                  <w:p>
                    <w:pPr>
                      <w:jc w:val="center"/>
                      <w:rPr>
                        <w:sz w:val="20"/>
                      </w:rPr>
                    </w:pPr>
                  </w:p>
                </w:tc>
                <w:tc>
                  <w:tcPr>
                    <w:tcW w:w="709" w:type="dxa"/>
                    <w:vMerge/>
                    <w:vAlign w:val="center"/>
                    <w:hideMark/>
                  </w:tcPr>
                  <w:p>
                    <w:pPr>
                      <w:jc w:val="center"/>
                      <w:rPr>
                        <w:sz w:val="20"/>
                      </w:rPr>
                    </w:pPr>
                  </w:p>
                </w:tc>
                <w:tc>
                  <w:tcPr>
                    <w:tcW w:w="1417" w:type="dxa"/>
                    <w:noWrap/>
                    <w:vAlign w:val="center"/>
                    <w:hideMark/>
                  </w:tcPr>
                  <w:p>
                    <w:pPr>
                      <w:rPr>
                        <w:sz w:val="20"/>
                      </w:rPr>
                    </w:pPr>
                    <w:r>
                      <w:rPr>
                        <w:sz w:val="20"/>
                      </w:rPr>
                      <w:t>P-12-02-01-02</w:t>
                    </w:r>
                  </w:p>
                </w:tc>
                <w:tc>
                  <w:tcPr>
                    <w:tcW w:w="4111" w:type="dxa"/>
                    <w:vAlign w:val="center"/>
                    <w:hideMark/>
                  </w:tcPr>
                  <w:p>
                    <w:pPr>
                      <w:rPr>
                        <w:sz w:val="20"/>
                      </w:rPr>
                    </w:pPr>
                    <w:r>
                      <w:rPr>
                        <w:sz w:val="20"/>
                      </w:rPr>
                      <w:t>Savivaldybės kultūros įstaigų, kurių patalpos pritaikytos fizinę negalią turintiems asmenims, dalis (proc.)</w:t>
                    </w:r>
                  </w:p>
                </w:tc>
                <w:tc>
                  <w:tcPr>
                    <w:tcW w:w="1134" w:type="dxa"/>
                    <w:vAlign w:val="center"/>
                    <w:hideMark/>
                  </w:tcPr>
                  <w:p>
                    <w:pPr>
                      <w:jc w:val="center"/>
                      <w:rPr>
                        <w:sz w:val="20"/>
                      </w:rPr>
                    </w:pPr>
                    <w:r>
                      <w:rPr>
                        <w:sz w:val="20"/>
                      </w:rPr>
                      <w:t>KS</w:t>
                    </w:r>
                  </w:p>
                </w:tc>
                <w:tc>
                  <w:tcPr>
                    <w:tcW w:w="1134" w:type="dxa"/>
                    <w:noWrap/>
                    <w:vAlign w:val="center"/>
                    <w:hideMark/>
                  </w:tcPr>
                  <w:p>
                    <w:pPr>
                      <w:jc w:val="center"/>
                      <w:rPr>
                        <w:sz w:val="20"/>
                      </w:rPr>
                    </w:pPr>
                    <w:r>
                      <w:rPr>
                        <w:sz w:val="20"/>
                      </w:rPr>
                      <w:t>85 (2023)</w:t>
                    </w:r>
                  </w:p>
                </w:tc>
                <w:tc>
                  <w:tcPr>
                    <w:tcW w:w="1134" w:type="dxa"/>
                    <w:noWrap/>
                    <w:vAlign w:val="center"/>
                    <w:hideMark/>
                  </w:tcPr>
                  <w:p>
                    <w:pPr>
                      <w:jc w:val="center"/>
                      <w:rPr>
                        <w:sz w:val="20"/>
                      </w:rPr>
                    </w:pPr>
                    <w:r>
                      <w:rPr>
                        <w:sz w:val="20"/>
                      </w:rPr>
                      <w:t>90 (2033)</w:t>
                    </w:r>
                  </w:p>
                </w:tc>
              </w:tr>
              <w:tr>
                <w:trPr>
                  <w:trHeight w:val="467"/>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jc w:val="center"/>
                      <w:rPr>
                        <w:sz w:val="20"/>
                      </w:rPr>
                    </w:pPr>
                  </w:p>
                </w:tc>
                <w:tc>
                  <w:tcPr>
                    <w:tcW w:w="709" w:type="dxa"/>
                    <w:vMerge/>
                    <w:vAlign w:val="center"/>
                    <w:hideMark/>
                  </w:tcPr>
                  <w:p>
                    <w:pPr>
                      <w:jc w:val="center"/>
                      <w:rPr>
                        <w:sz w:val="20"/>
                      </w:rPr>
                    </w:pPr>
                  </w:p>
                </w:tc>
                <w:tc>
                  <w:tcPr>
                    <w:tcW w:w="709" w:type="dxa"/>
                    <w:vMerge/>
                    <w:vAlign w:val="center"/>
                    <w:hideMark/>
                  </w:tcPr>
                  <w:p>
                    <w:pPr>
                      <w:jc w:val="center"/>
                      <w:rPr>
                        <w:sz w:val="20"/>
                      </w:rPr>
                    </w:pPr>
                  </w:p>
                </w:tc>
                <w:tc>
                  <w:tcPr>
                    <w:tcW w:w="1417" w:type="dxa"/>
                    <w:noWrap/>
                    <w:vAlign w:val="center"/>
                    <w:hideMark/>
                  </w:tcPr>
                  <w:p>
                    <w:pPr>
                      <w:rPr>
                        <w:sz w:val="20"/>
                      </w:rPr>
                    </w:pPr>
                    <w:r>
                      <w:rPr>
                        <w:sz w:val="20"/>
                      </w:rPr>
                      <w:t>P-12-02-01-03</w:t>
                    </w:r>
                  </w:p>
                </w:tc>
                <w:tc>
                  <w:tcPr>
                    <w:tcW w:w="4111" w:type="dxa"/>
                    <w:vAlign w:val="center"/>
                    <w:hideMark/>
                  </w:tcPr>
                  <w:p>
                    <w:pPr>
                      <w:rPr>
                        <w:sz w:val="20"/>
                      </w:rPr>
                    </w:pPr>
                    <w:r>
                      <w:rPr>
                        <w:sz w:val="20"/>
                      </w:rPr>
                      <w:t>Įgyvendintų akustinių sprendinių skaičius kultūros įstaigose (vnt.)</w:t>
                    </w:r>
                  </w:p>
                </w:tc>
                <w:tc>
                  <w:tcPr>
                    <w:tcW w:w="1134" w:type="dxa"/>
                    <w:vAlign w:val="center"/>
                    <w:hideMark/>
                  </w:tcPr>
                  <w:p>
                    <w:pPr>
                      <w:jc w:val="center"/>
                      <w:rPr>
                        <w:sz w:val="20"/>
                      </w:rPr>
                    </w:pPr>
                    <w:r>
                      <w:rPr>
                        <w:sz w:val="20"/>
                      </w:rPr>
                      <w:t>KS</w:t>
                    </w:r>
                  </w:p>
                </w:tc>
                <w:tc>
                  <w:tcPr>
                    <w:tcW w:w="1134" w:type="dxa"/>
                    <w:noWrap/>
                    <w:vAlign w:val="center"/>
                    <w:hideMark/>
                  </w:tcPr>
                  <w:p>
                    <w:pPr>
                      <w:jc w:val="center"/>
                      <w:rPr>
                        <w:sz w:val="20"/>
                      </w:rPr>
                    </w:pPr>
                    <w:r>
                      <w:rPr>
                        <w:sz w:val="20"/>
                      </w:rPr>
                      <w:t>0 (2024)</w:t>
                    </w:r>
                  </w:p>
                </w:tc>
                <w:tc>
                  <w:tcPr>
                    <w:tcW w:w="1134" w:type="dxa"/>
                    <w:noWrap/>
                    <w:vAlign w:val="center"/>
                    <w:hideMark/>
                  </w:tcPr>
                  <w:p>
                    <w:pPr>
                      <w:jc w:val="center"/>
                      <w:rPr>
                        <w:sz w:val="20"/>
                      </w:rPr>
                    </w:pPr>
                    <w:r>
                      <w:rPr>
                        <w:sz w:val="20"/>
                      </w:rPr>
                      <w:t>1 (2033)</w:t>
                    </w:r>
                  </w:p>
                </w:tc>
              </w:tr>
              <w:tr>
                <w:trPr>
                  <w:trHeight w:val="317"/>
                  <w:jc w:val="center"/>
                </w:trPr>
                <w:tc>
                  <w:tcPr>
                    <w:tcW w:w="988" w:type="dxa"/>
                    <w:vMerge w:val="restart"/>
                    <w:noWrap/>
                    <w:vAlign w:val="center"/>
                    <w:hideMark/>
                  </w:tcPr>
                  <w:p>
                    <w:pPr>
                      <w:rPr>
                        <w:sz w:val="20"/>
                      </w:rPr>
                    </w:pPr>
                    <w:r>
                      <w:rPr>
                        <w:sz w:val="20"/>
                      </w:rPr>
                      <w:t>12-02-02</w:t>
                    </w:r>
                  </w:p>
                </w:tc>
                <w:tc>
                  <w:tcPr>
                    <w:tcW w:w="2126" w:type="dxa"/>
                    <w:vMerge w:val="restart"/>
                    <w:vAlign w:val="center"/>
                    <w:hideMark/>
                  </w:tcPr>
                  <w:p>
                    <w:pPr>
                      <w:rPr>
                        <w:sz w:val="20"/>
                      </w:rPr>
                    </w:pPr>
                    <w:r>
                      <w:rPr>
                        <w:sz w:val="20"/>
                      </w:rPr>
                      <w:t>Skatinti naujų kultūros įstaigų atsiradimą</w:t>
                    </w:r>
                  </w:p>
                </w:tc>
                <w:tc>
                  <w:tcPr>
                    <w:tcW w:w="850" w:type="dxa"/>
                    <w:vMerge w:val="restart"/>
                    <w:noWrap/>
                    <w:vAlign w:val="center"/>
                    <w:hideMark/>
                  </w:tcPr>
                  <w:p>
                    <w:pPr>
                      <w:jc w:val="center"/>
                      <w:rPr>
                        <w:sz w:val="20"/>
                      </w:rPr>
                    </w:pPr>
                    <w:r>
                      <w:rPr>
                        <w:sz w:val="20"/>
                      </w:rPr>
                      <w:t>KS</w:t>
                    </w:r>
                  </w:p>
                </w:tc>
                <w:tc>
                  <w:tcPr>
                    <w:tcW w:w="709" w:type="dxa"/>
                    <w:vMerge w:val="restart"/>
                    <w:noWrap/>
                    <w:vAlign w:val="center"/>
                    <w:hideMark/>
                  </w:tcPr>
                  <w:p>
                    <w:pPr>
                      <w:jc w:val="center"/>
                      <w:rPr>
                        <w:sz w:val="20"/>
                      </w:rPr>
                    </w:pPr>
                    <w:r>
                      <w:rPr>
                        <w:sz w:val="20"/>
                      </w:rPr>
                      <w:t>2028</w:t>
                    </w:r>
                  </w:p>
                </w:tc>
                <w:tc>
                  <w:tcPr>
                    <w:tcW w:w="709" w:type="dxa"/>
                    <w:vMerge w:val="restart"/>
                    <w:noWrap/>
                    <w:vAlign w:val="center"/>
                    <w:hideMark/>
                  </w:tcPr>
                  <w:p>
                    <w:pPr>
                      <w:jc w:val="center"/>
                      <w:rPr>
                        <w:sz w:val="20"/>
                      </w:rPr>
                    </w:pPr>
                    <w:r>
                      <w:rPr>
                        <w:sz w:val="20"/>
                      </w:rPr>
                      <w:t>2033</w:t>
                    </w:r>
                  </w:p>
                </w:tc>
                <w:tc>
                  <w:tcPr>
                    <w:tcW w:w="1417" w:type="dxa"/>
                    <w:noWrap/>
                    <w:vAlign w:val="center"/>
                    <w:hideMark/>
                  </w:tcPr>
                  <w:p>
                    <w:pPr>
                      <w:rPr>
                        <w:sz w:val="20"/>
                      </w:rPr>
                    </w:pPr>
                    <w:r>
                      <w:rPr>
                        <w:sz w:val="20"/>
                      </w:rPr>
                      <w:t>P-12-02-02-01</w:t>
                    </w:r>
                  </w:p>
                </w:tc>
                <w:tc>
                  <w:tcPr>
                    <w:tcW w:w="4111" w:type="dxa"/>
                    <w:vAlign w:val="center"/>
                    <w:hideMark/>
                  </w:tcPr>
                  <w:p>
                    <w:pPr>
                      <w:rPr>
                        <w:sz w:val="20"/>
                      </w:rPr>
                    </w:pPr>
                    <w:r>
                      <w:rPr>
                        <w:sz w:val="20"/>
                      </w:rPr>
                      <w:t>Pastatyta šiuolaikinė koncertų salė (vnt.)</w:t>
                    </w:r>
                  </w:p>
                </w:tc>
                <w:tc>
                  <w:tcPr>
                    <w:tcW w:w="1134" w:type="dxa"/>
                    <w:vAlign w:val="center"/>
                    <w:hideMark/>
                  </w:tcPr>
                  <w:p>
                    <w:pPr>
                      <w:jc w:val="center"/>
                      <w:rPr>
                        <w:sz w:val="20"/>
                      </w:rPr>
                    </w:pPr>
                    <w:r>
                      <w:rPr>
                        <w:sz w:val="20"/>
                      </w:rPr>
                      <w:t>KS</w:t>
                    </w:r>
                  </w:p>
                </w:tc>
                <w:tc>
                  <w:tcPr>
                    <w:tcW w:w="1134" w:type="dxa"/>
                    <w:noWrap/>
                    <w:vAlign w:val="center"/>
                    <w:hideMark/>
                  </w:tcPr>
                  <w:p>
                    <w:pPr>
                      <w:jc w:val="center"/>
                      <w:rPr>
                        <w:sz w:val="20"/>
                      </w:rPr>
                    </w:pPr>
                    <w:r>
                      <w:rPr>
                        <w:sz w:val="20"/>
                      </w:rPr>
                      <w:t>0 (2024)</w:t>
                    </w:r>
                  </w:p>
                </w:tc>
                <w:tc>
                  <w:tcPr>
                    <w:tcW w:w="1134" w:type="dxa"/>
                    <w:noWrap/>
                    <w:vAlign w:val="center"/>
                    <w:hideMark/>
                  </w:tcPr>
                  <w:p>
                    <w:pPr>
                      <w:jc w:val="center"/>
                      <w:rPr>
                        <w:sz w:val="20"/>
                      </w:rPr>
                    </w:pPr>
                    <w:r>
                      <w:rPr>
                        <w:sz w:val="20"/>
                      </w:rPr>
                      <w:t>1 (2033)</w:t>
                    </w:r>
                  </w:p>
                </w:tc>
              </w:tr>
              <w:tr>
                <w:trPr>
                  <w:trHeight w:val="323"/>
                  <w:jc w:val="center"/>
                </w:trPr>
                <w:tc>
                  <w:tcPr>
                    <w:tcW w:w="988" w:type="dxa"/>
                    <w:vMerge/>
                    <w:noWrap/>
                    <w:vAlign w:val="center"/>
                  </w:tcPr>
                  <w:p>
                    <w:pPr>
                      <w:rPr>
                        <w:sz w:val="20"/>
                      </w:rPr>
                    </w:pPr>
                  </w:p>
                </w:tc>
                <w:tc>
                  <w:tcPr>
                    <w:tcW w:w="2126" w:type="dxa"/>
                    <w:vMerge/>
                    <w:vAlign w:val="center"/>
                  </w:tcPr>
                  <w:p>
                    <w:pPr>
                      <w:rPr>
                        <w:sz w:val="20"/>
                      </w:rPr>
                    </w:pPr>
                  </w:p>
                </w:tc>
                <w:tc>
                  <w:tcPr>
                    <w:tcW w:w="850" w:type="dxa"/>
                    <w:vMerge/>
                    <w:noWrap/>
                    <w:vAlign w:val="center"/>
                  </w:tcPr>
                  <w:p>
                    <w:pPr>
                      <w:jc w:val="center"/>
                      <w:rPr>
                        <w:sz w:val="20"/>
                      </w:rPr>
                    </w:pPr>
                  </w:p>
                </w:tc>
                <w:tc>
                  <w:tcPr>
                    <w:tcW w:w="709" w:type="dxa"/>
                    <w:vMerge/>
                    <w:noWrap/>
                    <w:vAlign w:val="center"/>
                  </w:tcPr>
                  <w:p>
                    <w:pPr>
                      <w:jc w:val="center"/>
                      <w:rPr>
                        <w:sz w:val="20"/>
                      </w:rPr>
                    </w:pPr>
                  </w:p>
                </w:tc>
                <w:tc>
                  <w:tcPr>
                    <w:tcW w:w="709" w:type="dxa"/>
                    <w:vMerge/>
                    <w:noWrap/>
                    <w:vAlign w:val="center"/>
                  </w:tcPr>
                  <w:p>
                    <w:pPr>
                      <w:jc w:val="center"/>
                      <w:rPr>
                        <w:sz w:val="20"/>
                      </w:rPr>
                    </w:pPr>
                  </w:p>
                </w:tc>
                <w:tc>
                  <w:tcPr>
                    <w:tcW w:w="1417" w:type="dxa"/>
                    <w:noWrap/>
                    <w:vAlign w:val="center"/>
                  </w:tcPr>
                  <w:p>
                    <w:pPr>
                      <w:rPr>
                        <w:sz w:val="20"/>
                      </w:rPr>
                    </w:pPr>
                    <w:r>
                      <w:rPr>
                        <w:sz w:val="20"/>
                      </w:rPr>
                      <w:t>P-12-02-02-02</w:t>
                    </w:r>
                  </w:p>
                </w:tc>
                <w:tc>
                  <w:tcPr>
                    <w:tcW w:w="4111" w:type="dxa"/>
                    <w:vAlign w:val="center"/>
                  </w:tcPr>
                  <w:p>
                    <w:pPr>
                      <w:rPr>
                        <w:sz w:val="20"/>
                      </w:rPr>
                    </w:pPr>
                    <w:r>
                      <w:rPr>
                        <w:sz w:val="20"/>
                      </w:rPr>
                      <w:t>Įkurtas meno ir kūrybiškumo centras (vnt.)</w:t>
                    </w:r>
                  </w:p>
                </w:tc>
                <w:tc>
                  <w:tcPr>
                    <w:tcW w:w="1134" w:type="dxa"/>
                    <w:vAlign w:val="center"/>
                  </w:tcPr>
                  <w:p>
                    <w:pPr>
                      <w:jc w:val="center"/>
                      <w:rPr>
                        <w:sz w:val="20"/>
                      </w:rPr>
                    </w:pPr>
                    <w:r>
                      <w:rPr>
                        <w:sz w:val="20"/>
                      </w:rPr>
                      <w:t>KS</w:t>
                    </w:r>
                  </w:p>
                </w:tc>
                <w:tc>
                  <w:tcPr>
                    <w:tcW w:w="1134" w:type="dxa"/>
                    <w:noWrap/>
                    <w:vAlign w:val="center"/>
                  </w:tcPr>
                  <w:p>
                    <w:pPr>
                      <w:jc w:val="center"/>
                      <w:rPr>
                        <w:sz w:val="20"/>
                      </w:rPr>
                    </w:pPr>
                    <w:r>
                      <w:rPr>
                        <w:sz w:val="20"/>
                      </w:rPr>
                      <w:t>0 (2024)</w:t>
                    </w:r>
                  </w:p>
                </w:tc>
                <w:tc>
                  <w:tcPr>
                    <w:tcW w:w="1134" w:type="dxa"/>
                    <w:noWrap/>
                    <w:vAlign w:val="center"/>
                  </w:tcPr>
                  <w:p>
                    <w:pPr>
                      <w:jc w:val="center"/>
                      <w:rPr>
                        <w:sz w:val="20"/>
                      </w:rPr>
                    </w:pPr>
                    <w:r>
                      <w:rPr>
                        <w:sz w:val="20"/>
                      </w:rPr>
                      <w:t>1 (2033)</w:t>
                    </w:r>
                  </w:p>
                </w:tc>
              </w:tr>
              <w:tr>
                <w:trPr>
                  <w:trHeight w:val="530"/>
                  <w:jc w:val="center"/>
                </w:trPr>
                <w:tc>
                  <w:tcPr>
                    <w:tcW w:w="988" w:type="dxa"/>
                    <w:vMerge w:val="restart"/>
                    <w:noWrap/>
                    <w:vAlign w:val="center"/>
                    <w:hideMark/>
                  </w:tcPr>
                  <w:p>
                    <w:pPr>
                      <w:rPr>
                        <w:sz w:val="20"/>
                      </w:rPr>
                    </w:pPr>
                    <w:r>
                      <w:rPr>
                        <w:sz w:val="20"/>
                      </w:rPr>
                      <w:t>12-02-03</w:t>
                    </w:r>
                  </w:p>
                </w:tc>
                <w:tc>
                  <w:tcPr>
                    <w:tcW w:w="2126" w:type="dxa"/>
                    <w:vMerge w:val="restart"/>
                    <w:vAlign w:val="center"/>
                    <w:hideMark/>
                  </w:tcPr>
                  <w:p>
                    <w:pPr>
                      <w:rPr>
                        <w:sz w:val="20"/>
                      </w:rPr>
                    </w:pPr>
                    <w:r>
                      <w:rPr>
                        <w:sz w:val="20"/>
                      </w:rPr>
                      <w:t>Sudaryti sąlygas saugoti, įveiklinti miesto nekilnojamąjį kultūros paveldą</w:t>
                    </w:r>
                  </w:p>
                </w:tc>
                <w:tc>
                  <w:tcPr>
                    <w:tcW w:w="850" w:type="dxa"/>
                    <w:vMerge w:val="restart"/>
                    <w:noWrap/>
                    <w:vAlign w:val="center"/>
                    <w:hideMark/>
                  </w:tcPr>
                  <w:p>
                    <w:pPr>
                      <w:jc w:val="center"/>
                      <w:rPr>
                        <w:sz w:val="20"/>
                      </w:rPr>
                    </w:pPr>
                    <w:r>
                      <w:rPr>
                        <w:sz w:val="20"/>
                      </w:rPr>
                      <w:t>MPPS</w:t>
                    </w:r>
                  </w:p>
                </w:tc>
                <w:tc>
                  <w:tcPr>
                    <w:tcW w:w="709" w:type="dxa"/>
                    <w:vMerge w:val="restart"/>
                    <w:noWrap/>
                    <w:vAlign w:val="center"/>
                    <w:hideMark/>
                  </w:tcPr>
                  <w:p>
                    <w:pPr>
                      <w:jc w:val="center"/>
                      <w:rPr>
                        <w:sz w:val="20"/>
                      </w:rPr>
                    </w:pPr>
                    <w:r>
                      <w:rPr>
                        <w:sz w:val="20"/>
                      </w:rPr>
                      <w:t>2028</w:t>
                    </w:r>
                  </w:p>
                </w:tc>
                <w:tc>
                  <w:tcPr>
                    <w:tcW w:w="709" w:type="dxa"/>
                    <w:vMerge w:val="restart"/>
                    <w:noWrap/>
                    <w:vAlign w:val="center"/>
                    <w:hideMark/>
                  </w:tcPr>
                  <w:p>
                    <w:pPr>
                      <w:jc w:val="center"/>
                      <w:rPr>
                        <w:sz w:val="20"/>
                      </w:rPr>
                    </w:pPr>
                    <w:r>
                      <w:rPr>
                        <w:sz w:val="20"/>
                      </w:rPr>
                      <w:t>2033</w:t>
                    </w:r>
                  </w:p>
                </w:tc>
                <w:tc>
                  <w:tcPr>
                    <w:tcW w:w="1417" w:type="dxa"/>
                    <w:noWrap/>
                    <w:vAlign w:val="center"/>
                    <w:hideMark/>
                  </w:tcPr>
                  <w:p>
                    <w:pPr>
                      <w:rPr>
                        <w:sz w:val="20"/>
                      </w:rPr>
                    </w:pPr>
                    <w:r>
                      <w:rPr>
                        <w:sz w:val="20"/>
                      </w:rPr>
                      <w:t>P-12-02-03-01</w:t>
                    </w:r>
                  </w:p>
                </w:tc>
                <w:tc>
                  <w:tcPr>
                    <w:tcW w:w="4111" w:type="dxa"/>
                    <w:vAlign w:val="center"/>
                    <w:hideMark/>
                  </w:tcPr>
                  <w:p>
                    <w:pPr>
                      <w:rPr>
                        <w:sz w:val="20"/>
                      </w:rPr>
                    </w:pPr>
                    <w:r>
                      <w:rPr>
                        <w:sz w:val="20"/>
                      </w:rPr>
                      <w:t>Perimti, sutvarkyti ir įveiklinti Šiaulių dvaro sodybos, vad. Didždvario, rūmai (Zubovų rūmai) (vnt.)</w:t>
                    </w:r>
                  </w:p>
                </w:tc>
                <w:tc>
                  <w:tcPr>
                    <w:tcW w:w="1134" w:type="dxa"/>
                    <w:vAlign w:val="center"/>
                    <w:hideMark/>
                  </w:tcPr>
                  <w:p>
                    <w:pPr>
                      <w:jc w:val="center"/>
                      <w:rPr>
                        <w:sz w:val="20"/>
                      </w:rPr>
                    </w:pPr>
                    <w:r>
                      <w:rPr>
                        <w:sz w:val="20"/>
                      </w:rPr>
                      <w:t>KS, MPPS, SRS, TVS</w:t>
                    </w:r>
                  </w:p>
                </w:tc>
                <w:tc>
                  <w:tcPr>
                    <w:tcW w:w="1134" w:type="dxa"/>
                    <w:vAlign w:val="center"/>
                    <w:hideMark/>
                  </w:tcPr>
                  <w:p>
                    <w:pPr>
                      <w:jc w:val="center"/>
                      <w:rPr>
                        <w:sz w:val="20"/>
                      </w:rPr>
                    </w:pPr>
                    <w:r>
                      <w:rPr>
                        <w:sz w:val="20"/>
                      </w:rPr>
                      <w:t>0 (2024)</w:t>
                    </w:r>
                  </w:p>
                </w:tc>
                <w:tc>
                  <w:tcPr>
                    <w:tcW w:w="1134" w:type="dxa"/>
                    <w:vAlign w:val="center"/>
                    <w:hideMark/>
                  </w:tcPr>
                  <w:p>
                    <w:pPr>
                      <w:jc w:val="center"/>
                      <w:rPr>
                        <w:sz w:val="20"/>
                      </w:rPr>
                    </w:pPr>
                    <w:r>
                      <w:rPr>
                        <w:sz w:val="20"/>
                      </w:rPr>
                      <w:t>1 (2030)</w:t>
                    </w:r>
                  </w:p>
                </w:tc>
              </w:tr>
              <w:tr>
                <w:trPr>
                  <w:trHeight w:val="530"/>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rPr>
                        <w:sz w:val="20"/>
                      </w:rPr>
                    </w:pPr>
                  </w:p>
                </w:tc>
                <w:tc>
                  <w:tcPr>
                    <w:tcW w:w="709" w:type="dxa"/>
                    <w:vMerge/>
                    <w:vAlign w:val="center"/>
                    <w:hideMark/>
                  </w:tcPr>
                  <w:p>
                    <w:pPr>
                      <w:rPr>
                        <w:sz w:val="20"/>
                      </w:rPr>
                    </w:pPr>
                  </w:p>
                </w:tc>
                <w:tc>
                  <w:tcPr>
                    <w:tcW w:w="709" w:type="dxa"/>
                    <w:vMerge/>
                    <w:vAlign w:val="center"/>
                    <w:hideMark/>
                  </w:tcPr>
                  <w:p>
                    <w:pPr>
                      <w:rPr>
                        <w:sz w:val="20"/>
                      </w:rPr>
                    </w:pPr>
                  </w:p>
                </w:tc>
                <w:tc>
                  <w:tcPr>
                    <w:tcW w:w="1417" w:type="dxa"/>
                    <w:noWrap/>
                    <w:vAlign w:val="center"/>
                    <w:hideMark/>
                  </w:tcPr>
                  <w:p>
                    <w:pPr>
                      <w:rPr>
                        <w:sz w:val="20"/>
                      </w:rPr>
                    </w:pPr>
                    <w:r>
                      <w:rPr>
                        <w:sz w:val="20"/>
                      </w:rPr>
                      <w:t>P-12-02-03-02</w:t>
                    </w:r>
                  </w:p>
                </w:tc>
                <w:tc>
                  <w:tcPr>
                    <w:tcW w:w="4111" w:type="dxa"/>
                    <w:vAlign w:val="center"/>
                    <w:hideMark/>
                  </w:tcPr>
                  <w:p>
                    <w:pPr>
                      <w:rPr>
                        <w:sz w:val="20"/>
                      </w:rPr>
                    </w:pPr>
                    <w:r>
                      <w:rPr>
                        <w:sz w:val="20"/>
                      </w:rPr>
                      <w:t>Atnaujintų, valstybės saugomų kultūros paveldo objektų mieste, skaičius (vnt.)</w:t>
                    </w:r>
                  </w:p>
                </w:tc>
                <w:tc>
                  <w:tcPr>
                    <w:tcW w:w="1134" w:type="dxa"/>
                    <w:vAlign w:val="center"/>
                    <w:hideMark/>
                  </w:tcPr>
                  <w:p>
                    <w:pPr>
                      <w:jc w:val="center"/>
                      <w:rPr>
                        <w:sz w:val="20"/>
                      </w:rPr>
                    </w:pPr>
                    <w:r>
                      <w:rPr>
                        <w:sz w:val="20"/>
                      </w:rPr>
                      <w:t>MPPS</w:t>
                    </w:r>
                  </w:p>
                </w:tc>
                <w:tc>
                  <w:tcPr>
                    <w:tcW w:w="1134" w:type="dxa"/>
                    <w:vAlign w:val="center"/>
                    <w:hideMark/>
                  </w:tcPr>
                  <w:p>
                    <w:pPr>
                      <w:jc w:val="center"/>
                      <w:rPr>
                        <w:sz w:val="20"/>
                      </w:rPr>
                    </w:pPr>
                    <w:r>
                      <w:rPr>
                        <w:sz w:val="20"/>
                      </w:rPr>
                      <w:t>1 (2023)</w:t>
                    </w:r>
                  </w:p>
                </w:tc>
                <w:tc>
                  <w:tcPr>
                    <w:tcW w:w="1134" w:type="dxa"/>
                    <w:vAlign w:val="center"/>
                    <w:hideMark/>
                  </w:tcPr>
                  <w:p>
                    <w:pPr>
                      <w:jc w:val="center"/>
                      <w:rPr>
                        <w:sz w:val="20"/>
                      </w:rPr>
                    </w:pPr>
                    <w:r>
                      <w:rPr>
                        <w:sz w:val="20"/>
                      </w:rPr>
                      <w:t>2 (2033)</w:t>
                    </w:r>
                  </w:p>
                </w:tc>
              </w:tr>
              <w:tr>
                <w:trPr>
                  <w:trHeight w:val="996"/>
                  <w:jc w:val="center"/>
                </w:trPr>
                <w:tc>
                  <w:tcPr>
                    <w:tcW w:w="988" w:type="dxa"/>
                    <w:shd w:val="clear" w:color="auto" w:fill="FFD966"/>
                    <w:noWrap/>
                    <w:vAlign w:val="center"/>
                    <w:hideMark/>
                  </w:tcPr>
                  <w:p>
                    <w:pPr>
                      <w:rPr>
                        <w:b/>
                        <w:bCs/>
                        <w:sz w:val="20"/>
                      </w:rPr>
                    </w:pPr>
                    <w:r>
                      <w:rPr>
                        <w:b/>
                        <w:bCs/>
                        <w:sz w:val="20"/>
                      </w:rPr>
                      <w:t>13</w:t>
                    </w:r>
                  </w:p>
                </w:tc>
                <w:tc>
                  <w:tcPr>
                    <w:tcW w:w="2126" w:type="dxa"/>
                    <w:shd w:val="clear" w:color="auto" w:fill="FFD966"/>
                    <w:vAlign w:val="center"/>
                    <w:hideMark/>
                  </w:tcPr>
                  <w:p>
                    <w:pPr>
                      <w:rPr>
                        <w:b/>
                        <w:bCs/>
                        <w:sz w:val="20"/>
                      </w:rPr>
                    </w:pPr>
                    <w:r>
                      <w:rPr>
                        <w:b/>
                        <w:bCs/>
                        <w:sz w:val="20"/>
                      </w:rPr>
                      <w:t>Pagerinti aplinkos kokybę mieste, užtikrinant poveikio klimatui neutralumą</w:t>
                    </w:r>
                  </w:p>
                </w:tc>
                <w:tc>
                  <w:tcPr>
                    <w:tcW w:w="850" w:type="dxa"/>
                    <w:shd w:val="clear" w:color="auto" w:fill="FFD966"/>
                    <w:vAlign w:val="center"/>
                    <w:hideMark/>
                  </w:tcPr>
                  <w:p>
                    <w:pPr>
                      <w:jc w:val="center"/>
                      <w:rPr>
                        <w:sz w:val="20"/>
                      </w:rPr>
                    </w:pPr>
                    <w:r>
                      <w:rPr>
                        <w:sz w:val="20"/>
                      </w:rPr>
                      <w:t>MŪAS</w:t>
                    </w:r>
                  </w:p>
                </w:tc>
                <w:tc>
                  <w:tcPr>
                    <w:tcW w:w="709" w:type="dxa"/>
                    <w:shd w:val="clear" w:color="auto" w:fill="FFD966"/>
                    <w:noWrap/>
                    <w:vAlign w:val="center"/>
                    <w:hideMark/>
                  </w:tcPr>
                  <w:p>
                    <w:pPr>
                      <w:jc w:val="center"/>
                      <w:rPr>
                        <w:sz w:val="20"/>
                      </w:rPr>
                    </w:pPr>
                    <w:r>
                      <w:rPr>
                        <w:sz w:val="20"/>
                      </w:rPr>
                      <w:t>2025</w:t>
                    </w:r>
                  </w:p>
                </w:tc>
                <w:tc>
                  <w:tcPr>
                    <w:tcW w:w="709" w:type="dxa"/>
                    <w:shd w:val="clear" w:color="auto" w:fill="FFD966"/>
                    <w:noWrap/>
                    <w:vAlign w:val="center"/>
                    <w:hideMark/>
                  </w:tcPr>
                  <w:p>
                    <w:pPr>
                      <w:jc w:val="center"/>
                      <w:rPr>
                        <w:sz w:val="20"/>
                      </w:rPr>
                    </w:pPr>
                    <w:r>
                      <w:rPr>
                        <w:sz w:val="20"/>
                      </w:rPr>
                      <w:t>2033</w:t>
                    </w:r>
                  </w:p>
                </w:tc>
                <w:tc>
                  <w:tcPr>
                    <w:tcW w:w="1417" w:type="dxa"/>
                    <w:shd w:val="clear" w:color="auto" w:fill="FFD966"/>
                    <w:noWrap/>
                    <w:vAlign w:val="center"/>
                    <w:hideMark/>
                  </w:tcPr>
                  <w:p>
                    <w:pPr>
                      <w:rPr>
                        <w:sz w:val="20"/>
                      </w:rPr>
                    </w:pPr>
                    <w:r>
                      <w:rPr>
                        <w:sz w:val="20"/>
                      </w:rPr>
                      <w:t>P-13-01</w:t>
                    </w:r>
                  </w:p>
                </w:tc>
                <w:tc>
                  <w:tcPr>
                    <w:tcW w:w="4111" w:type="dxa"/>
                    <w:shd w:val="clear" w:color="auto" w:fill="FFD966"/>
                    <w:vAlign w:val="center"/>
                    <w:hideMark/>
                  </w:tcPr>
                  <w:p>
                    <w:pPr>
                      <w:rPr>
                        <w:sz w:val="20"/>
                      </w:rPr>
                    </w:pPr>
                    <w:r>
                      <w:rPr>
                        <w:sz w:val="20"/>
                      </w:rPr>
                      <w:t>Savivaldybės darnios energetikos plėtros indeksas (balas)</w:t>
                    </w:r>
                  </w:p>
                </w:tc>
                <w:tc>
                  <w:tcPr>
                    <w:tcW w:w="1134" w:type="dxa"/>
                    <w:shd w:val="clear" w:color="auto" w:fill="FFD966"/>
                    <w:vAlign w:val="center"/>
                    <w:hideMark/>
                  </w:tcPr>
                  <w:p>
                    <w:pPr>
                      <w:jc w:val="center"/>
                      <w:rPr>
                        <w:sz w:val="20"/>
                      </w:rPr>
                    </w:pPr>
                    <w:r>
                      <w:rPr>
                        <w:sz w:val="20"/>
                      </w:rPr>
                      <w:t>ŠMSA (MŪAS)</w:t>
                    </w:r>
                  </w:p>
                </w:tc>
                <w:tc>
                  <w:tcPr>
                    <w:tcW w:w="1134" w:type="dxa"/>
                    <w:shd w:val="clear" w:color="auto" w:fill="FFD966"/>
                    <w:noWrap/>
                    <w:vAlign w:val="center"/>
                    <w:hideMark/>
                  </w:tcPr>
                  <w:p>
                    <w:pPr>
                      <w:jc w:val="center"/>
                      <w:rPr>
                        <w:sz w:val="20"/>
                      </w:rPr>
                    </w:pPr>
                    <w:r>
                      <w:rPr>
                        <w:sz w:val="20"/>
                      </w:rPr>
                      <w:t>26,5 (2022)</w:t>
                    </w:r>
                  </w:p>
                </w:tc>
                <w:tc>
                  <w:tcPr>
                    <w:tcW w:w="1134" w:type="dxa"/>
                    <w:shd w:val="clear" w:color="auto" w:fill="FFD966"/>
                    <w:noWrap/>
                    <w:vAlign w:val="center"/>
                    <w:hideMark/>
                  </w:tcPr>
                  <w:p>
                    <w:pPr>
                      <w:jc w:val="center"/>
                      <w:rPr>
                        <w:sz w:val="20"/>
                      </w:rPr>
                    </w:pPr>
                    <w:r>
                      <w:rPr>
                        <w:sz w:val="20"/>
                      </w:rPr>
                      <w:t>46 (2033)</w:t>
                    </w:r>
                  </w:p>
                </w:tc>
              </w:tr>
              <w:tr>
                <w:trPr>
                  <w:trHeight w:val="548"/>
                  <w:jc w:val="center"/>
                </w:trPr>
                <w:tc>
                  <w:tcPr>
                    <w:tcW w:w="988" w:type="dxa"/>
                    <w:vMerge w:val="restart"/>
                    <w:shd w:val="clear" w:color="auto" w:fill="FCE4D6"/>
                    <w:noWrap/>
                    <w:vAlign w:val="center"/>
                    <w:hideMark/>
                  </w:tcPr>
                  <w:p>
                    <w:pPr>
                      <w:rPr>
                        <w:b/>
                        <w:bCs/>
                        <w:sz w:val="20"/>
                      </w:rPr>
                    </w:pPr>
                    <w:r>
                      <w:rPr>
                        <w:b/>
                        <w:bCs/>
                        <w:sz w:val="20"/>
                      </w:rPr>
                      <w:t>13-01</w:t>
                    </w:r>
                  </w:p>
                </w:tc>
                <w:tc>
                  <w:tcPr>
                    <w:tcW w:w="2126" w:type="dxa"/>
                    <w:vMerge w:val="restart"/>
                    <w:shd w:val="clear" w:color="auto" w:fill="FCE4D6"/>
                    <w:vAlign w:val="center"/>
                    <w:hideMark/>
                  </w:tcPr>
                  <w:p>
                    <w:pPr>
                      <w:rPr>
                        <w:b/>
                        <w:bCs/>
                        <w:sz w:val="20"/>
                      </w:rPr>
                    </w:pPr>
                    <w:r>
                      <w:rPr>
                        <w:b/>
                        <w:bCs/>
                        <w:sz w:val="20"/>
                      </w:rPr>
                      <w:t>Mažinti aplinkos taršą ir kurti miesto ekosistemą, siekiant didinti atsparumą klimato kaitos padariniams</w:t>
                    </w:r>
                  </w:p>
                </w:tc>
                <w:tc>
                  <w:tcPr>
                    <w:tcW w:w="850" w:type="dxa"/>
                    <w:vMerge w:val="restart"/>
                    <w:shd w:val="clear" w:color="auto" w:fill="FCE4D6"/>
                    <w:vAlign w:val="center"/>
                    <w:hideMark/>
                  </w:tcPr>
                  <w:p>
                    <w:pPr>
                      <w:jc w:val="center"/>
                      <w:rPr>
                        <w:sz w:val="20"/>
                      </w:rPr>
                    </w:pPr>
                    <w:r>
                      <w:rPr>
                        <w:sz w:val="20"/>
                      </w:rPr>
                      <w:t>MŪAS</w:t>
                    </w:r>
                  </w:p>
                </w:tc>
                <w:tc>
                  <w:tcPr>
                    <w:tcW w:w="709" w:type="dxa"/>
                    <w:vMerge w:val="restart"/>
                    <w:shd w:val="clear" w:color="auto" w:fill="FCE4D6"/>
                    <w:noWrap/>
                    <w:vAlign w:val="center"/>
                    <w:hideMark/>
                  </w:tcPr>
                  <w:p>
                    <w:pPr>
                      <w:jc w:val="center"/>
                      <w:rPr>
                        <w:sz w:val="20"/>
                      </w:rPr>
                    </w:pPr>
                    <w:r>
                      <w:rPr>
                        <w:sz w:val="20"/>
                      </w:rPr>
                      <w:t>2025</w:t>
                    </w:r>
                  </w:p>
                </w:tc>
                <w:tc>
                  <w:tcPr>
                    <w:tcW w:w="709" w:type="dxa"/>
                    <w:vMerge w:val="restart"/>
                    <w:shd w:val="clear" w:color="auto" w:fill="FCE4D6"/>
                    <w:noWrap/>
                    <w:vAlign w:val="center"/>
                    <w:hideMark/>
                  </w:tcPr>
                  <w:p>
                    <w:pPr>
                      <w:jc w:val="center"/>
                      <w:rPr>
                        <w:sz w:val="20"/>
                      </w:rPr>
                    </w:pPr>
                    <w:r>
                      <w:rPr>
                        <w:sz w:val="20"/>
                      </w:rPr>
                      <w:t>2033</w:t>
                    </w:r>
                  </w:p>
                </w:tc>
                <w:tc>
                  <w:tcPr>
                    <w:tcW w:w="1417" w:type="dxa"/>
                    <w:shd w:val="clear" w:color="auto" w:fill="FCE4D6"/>
                    <w:noWrap/>
                    <w:vAlign w:val="center"/>
                    <w:hideMark/>
                  </w:tcPr>
                  <w:p>
                    <w:pPr>
                      <w:rPr>
                        <w:sz w:val="20"/>
                      </w:rPr>
                    </w:pPr>
                    <w:r>
                      <w:rPr>
                        <w:sz w:val="20"/>
                      </w:rPr>
                      <w:t>R-13-01-01</w:t>
                    </w:r>
                  </w:p>
                </w:tc>
                <w:tc>
                  <w:tcPr>
                    <w:tcW w:w="4111" w:type="dxa"/>
                    <w:shd w:val="clear" w:color="auto" w:fill="FCE4D6"/>
                    <w:vAlign w:val="center"/>
                    <w:hideMark/>
                  </w:tcPr>
                  <w:p>
                    <w:pPr>
                      <w:rPr>
                        <w:sz w:val="20"/>
                      </w:rPr>
                    </w:pPr>
                    <w:r>
                      <w:rPr>
                        <w:sz w:val="20"/>
                      </w:rPr>
                      <w:t>Atsinaujinančių išteklių dalis pagal savivaldybės energijos balansą (proc.)</w:t>
                    </w:r>
                  </w:p>
                </w:tc>
                <w:tc>
                  <w:tcPr>
                    <w:tcW w:w="1134" w:type="dxa"/>
                    <w:shd w:val="clear" w:color="auto" w:fill="FCE4D6"/>
                    <w:noWrap/>
                    <w:vAlign w:val="center"/>
                    <w:hideMark/>
                  </w:tcPr>
                  <w:p>
                    <w:pPr>
                      <w:jc w:val="center"/>
                      <w:rPr>
                        <w:sz w:val="20"/>
                      </w:rPr>
                    </w:pPr>
                    <w:r>
                      <w:rPr>
                        <w:sz w:val="20"/>
                      </w:rPr>
                      <w:t>ŠMSA (MŪAS)</w:t>
                    </w:r>
                  </w:p>
                </w:tc>
                <w:tc>
                  <w:tcPr>
                    <w:tcW w:w="1134" w:type="dxa"/>
                    <w:shd w:val="clear" w:color="auto" w:fill="FCE4D6"/>
                    <w:noWrap/>
                    <w:vAlign w:val="center"/>
                    <w:hideMark/>
                  </w:tcPr>
                  <w:p>
                    <w:pPr>
                      <w:jc w:val="center"/>
                      <w:rPr>
                        <w:sz w:val="20"/>
                      </w:rPr>
                    </w:pPr>
                    <w:r>
                      <w:rPr>
                        <w:sz w:val="20"/>
                      </w:rPr>
                      <w:t>31,89 (2021)</w:t>
                    </w:r>
                  </w:p>
                </w:tc>
                <w:tc>
                  <w:tcPr>
                    <w:tcW w:w="1134" w:type="dxa"/>
                    <w:shd w:val="clear" w:color="auto" w:fill="FCE4D6"/>
                    <w:noWrap/>
                    <w:vAlign w:val="center"/>
                    <w:hideMark/>
                  </w:tcPr>
                  <w:p>
                    <w:pPr>
                      <w:jc w:val="center"/>
                      <w:rPr>
                        <w:sz w:val="20"/>
                      </w:rPr>
                    </w:pPr>
                    <w:r>
                      <w:rPr>
                        <w:sz w:val="20"/>
                      </w:rPr>
                      <w:t>35,78 (2033)</w:t>
                    </w:r>
                  </w:p>
                </w:tc>
              </w:tr>
              <w:tr>
                <w:trPr>
                  <w:trHeight w:val="520"/>
                  <w:jc w:val="center"/>
                </w:trPr>
                <w:tc>
                  <w:tcPr>
                    <w:tcW w:w="988" w:type="dxa"/>
                    <w:vMerge/>
                    <w:shd w:val="clear" w:color="auto" w:fill="FCE4D6"/>
                    <w:vAlign w:val="center"/>
                    <w:hideMark/>
                  </w:tcPr>
                  <w:p>
                    <w:pPr>
                      <w:rPr>
                        <w:b/>
                        <w:bCs/>
                        <w:sz w:val="20"/>
                      </w:rPr>
                    </w:pPr>
                  </w:p>
                </w:tc>
                <w:tc>
                  <w:tcPr>
                    <w:tcW w:w="2126" w:type="dxa"/>
                    <w:vMerge/>
                    <w:shd w:val="clear" w:color="auto" w:fill="FCE4D6"/>
                    <w:vAlign w:val="center"/>
                    <w:hideMark/>
                  </w:tcPr>
                  <w:p>
                    <w:pPr>
                      <w:rPr>
                        <w:b/>
                        <w:bCs/>
                        <w:sz w:val="20"/>
                      </w:rPr>
                    </w:pPr>
                  </w:p>
                </w:tc>
                <w:tc>
                  <w:tcPr>
                    <w:tcW w:w="850" w:type="dxa"/>
                    <w:vMerge/>
                    <w:shd w:val="clear" w:color="auto" w:fill="FCE4D6"/>
                    <w:vAlign w:val="center"/>
                    <w:hideMark/>
                  </w:tcPr>
                  <w:p>
                    <w:pPr>
                      <w:rPr>
                        <w:sz w:val="20"/>
                      </w:rPr>
                    </w:pPr>
                  </w:p>
                </w:tc>
                <w:tc>
                  <w:tcPr>
                    <w:tcW w:w="709" w:type="dxa"/>
                    <w:vMerge/>
                    <w:shd w:val="clear" w:color="auto" w:fill="FCE4D6"/>
                    <w:vAlign w:val="center"/>
                    <w:hideMark/>
                  </w:tcPr>
                  <w:p>
                    <w:pPr>
                      <w:rPr>
                        <w:sz w:val="20"/>
                      </w:rPr>
                    </w:pPr>
                  </w:p>
                </w:tc>
                <w:tc>
                  <w:tcPr>
                    <w:tcW w:w="709" w:type="dxa"/>
                    <w:vMerge/>
                    <w:shd w:val="clear" w:color="auto" w:fill="FCE4D6"/>
                    <w:vAlign w:val="center"/>
                    <w:hideMark/>
                  </w:tcPr>
                  <w:p>
                    <w:pPr>
                      <w:rPr>
                        <w:sz w:val="20"/>
                      </w:rPr>
                    </w:pPr>
                  </w:p>
                </w:tc>
                <w:tc>
                  <w:tcPr>
                    <w:tcW w:w="1417" w:type="dxa"/>
                    <w:shd w:val="clear" w:color="auto" w:fill="FCE4D6"/>
                    <w:noWrap/>
                    <w:vAlign w:val="center"/>
                    <w:hideMark/>
                  </w:tcPr>
                  <w:p>
                    <w:pPr>
                      <w:rPr>
                        <w:sz w:val="20"/>
                      </w:rPr>
                    </w:pPr>
                    <w:r>
                      <w:rPr>
                        <w:sz w:val="20"/>
                      </w:rPr>
                      <w:t>R-13-01-02</w:t>
                    </w:r>
                  </w:p>
                </w:tc>
                <w:tc>
                  <w:tcPr>
                    <w:tcW w:w="4111" w:type="dxa"/>
                    <w:shd w:val="clear" w:color="auto" w:fill="FCE4D6"/>
                    <w:vAlign w:val="center"/>
                    <w:hideMark/>
                  </w:tcPr>
                  <w:p>
                    <w:pPr>
                      <w:rPr>
                        <w:sz w:val="20"/>
                      </w:rPr>
                    </w:pPr>
                    <w:r>
                      <w:rPr>
                        <w:sz w:val="20"/>
                      </w:rPr>
                      <w:t>Gyventojų dalis, kurių būstai veikiami padidinto triukšmo lygio, nuo visų gyventojų skaičiaus (proc.)</w:t>
                    </w:r>
                  </w:p>
                </w:tc>
                <w:tc>
                  <w:tcPr>
                    <w:tcW w:w="1134" w:type="dxa"/>
                    <w:shd w:val="clear" w:color="auto" w:fill="FCE4D6"/>
                    <w:noWrap/>
                    <w:vAlign w:val="center"/>
                    <w:hideMark/>
                  </w:tcPr>
                  <w:p>
                    <w:pPr>
                      <w:jc w:val="center"/>
                      <w:rPr>
                        <w:sz w:val="20"/>
                      </w:rPr>
                    </w:pPr>
                    <w:r>
                      <w:rPr>
                        <w:sz w:val="20"/>
                      </w:rPr>
                      <w:t>ŠMSA (MŪAS)</w:t>
                    </w:r>
                  </w:p>
                </w:tc>
                <w:tc>
                  <w:tcPr>
                    <w:tcW w:w="1134" w:type="dxa"/>
                    <w:shd w:val="clear" w:color="auto" w:fill="FCE4D6"/>
                    <w:noWrap/>
                    <w:vAlign w:val="center"/>
                    <w:hideMark/>
                  </w:tcPr>
                  <w:p>
                    <w:pPr>
                      <w:jc w:val="center"/>
                      <w:rPr>
                        <w:sz w:val="20"/>
                      </w:rPr>
                    </w:pPr>
                    <w:r>
                      <w:rPr>
                        <w:sz w:val="20"/>
                      </w:rPr>
                      <w:t>20,89 (2021)</w:t>
                    </w:r>
                  </w:p>
                </w:tc>
                <w:tc>
                  <w:tcPr>
                    <w:tcW w:w="1134" w:type="dxa"/>
                    <w:shd w:val="clear" w:color="auto" w:fill="FCE4D6"/>
                    <w:noWrap/>
                    <w:vAlign w:val="center"/>
                    <w:hideMark/>
                  </w:tcPr>
                  <w:p>
                    <w:pPr>
                      <w:jc w:val="center"/>
                      <w:rPr>
                        <w:sz w:val="20"/>
                      </w:rPr>
                    </w:pPr>
                    <w:r>
                      <w:rPr>
                        <w:sz w:val="20"/>
                      </w:rPr>
                      <w:t>15 (2033)</w:t>
                    </w:r>
                  </w:p>
                </w:tc>
              </w:tr>
              <w:tr>
                <w:trPr>
                  <w:trHeight w:val="260"/>
                  <w:jc w:val="center"/>
                </w:trPr>
                <w:tc>
                  <w:tcPr>
                    <w:tcW w:w="988" w:type="dxa"/>
                    <w:vMerge/>
                    <w:shd w:val="clear" w:color="auto" w:fill="FCE4D6"/>
                    <w:vAlign w:val="center"/>
                    <w:hideMark/>
                  </w:tcPr>
                  <w:p>
                    <w:pPr>
                      <w:rPr>
                        <w:b/>
                        <w:bCs/>
                        <w:sz w:val="20"/>
                      </w:rPr>
                    </w:pPr>
                  </w:p>
                </w:tc>
                <w:tc>
                  <w:tcPr>
                    <w:tcW w:w="2126" w:type="dxa"/>
                    <w:vMerge/>
                    <w:shd w:val="clear" w:color="auto" w:fill="FCE4D6"/>
                    <w:vAlign w:val="center"/>
                    <w:hideMark/>
                  </w:tcPr>
                  <w:p>
                    <w:pPr>
                      <w:rPr>
                        <w:b/>
                        <w:bCs/>
                        <w:sz w:val="20"/>
                      </w:rPr>
                    </w:pPr>
                  </w:p>
                </w:tc>
                <w:tc>
                  <w:tcPr>
                    <w:tcW w:w="850" w:type="dxa"/>
                    <w:vMerge/>
                    <w:shd w:val="clear" w:color="auto" w:fill="FCE4D6"/>
                    <w:vAlign w:val="center"/>
                    <w:hideMark/>
                  </w:tcPr>
                  <w:p>
                    <w:pPr>
                      <w:rPr>
                        <w:sz w:val="20"/>
                      </w:rPr>
                    </w:pPr>
                  </w:p>
                </w:tc>
                <w:tc>
                  <w:tcPr>
                    <w:tcW w:w="709" w:type="dxa"/>
                    <w:vMerge/>
                    <w:shd w:val="clear" w:color="auto" w:fill="FCE4D6"/>
                    <w:vAlign w:val="center"/>
                    <w:hideMark/>
                  </w:tcPr>
                  <w:p>
                    <w:pPr>
                      <w:rPr>
                        <w:sz w:val="20"/>
                      </w:rPr>
                    </w:pPr>
                  </w:p>
                </w:tc>
                <w:tc>
                  <w:tcPr>
                    <w:tcW w:w="709" w:type="dxa"/>
                    <w:vMerge/>
                    <w:shd w:val="clear" w:color="auto" w:fill="FCE4D6"/>
                    <w:vAlign w:val="center"/>
                    <w:hideMark/>
                  </w:tcPr>
                  <w:p>
                    <w:pPr>
                      <w:rPr>
                        <w:sz w:val="20"/>
                      </w:rPr>
                    </w:pPr>
                  </w:p>
                </w:tc>
                <w:tc>
                  <w:tcPr>
                    <w:tcW w:w="1417" w:type="dxa"/>
                    <w:shd w:val="clear" w:color="auto" w:fill="FCE4D6"/>
                    <w:noWrap/>
                    <w:vAlign w:val="center"/>
                    <w:hideMark/>
                  </w:tcPr>
                  <w:p>
                    <w:pPr>
                      <w:rPr>
                        <w:sz w:val="20"/>
                      </w:rPr>
                    </w:pPr>
                    <w:r>
                      <w:rPr>
                        <w:sz w:val="20"/>
                      </w:rPr>
                      <w:t>R-13-01-03</w:t>
                    </w:r>
                  </w:p>
                </w:tc>
                <w:tc>
                  <w:tcPr>
                    <w:tcW w:w="4111" w:type="dxa"/>
                    <w:shd w:val="clear" w:color="auto" w:fill="FCE4D6"/>
                    <w:vAlign w:val="center"/>
                    <w:hideMark/>
                  </w:tcPr>
                  <w:p>
                    <w:pPr>
                      <w:rPr>
                        <w:sz w:val="20"/>
                      </w:rPr>
                    </w:pPr>
                    <w:r>
                      <w:rPr>
                        <w:sz w:val="20"/>
                      </w:rPr>
                      <w:t>Kietųjų dalelių skaičius (μg/m³)</w:t>
                    </w:r>
                  </w:p>
                </w:tc>
                <w:tc>
                  <w:tcPr>
                    <w:tcW w:w="1134" w:type="dxa"/>
                    <w:shd w:val="clear" w:color="auto" w:fill="FCE4D6"/>
                    <w:noWrap/>
                    <w:vAlign w:val="center"/>
                    <w:hideMark/>
                  </w:tcPr>
                  <w:p>
                    <w:pPr>
                      <w:jc w:val="center"/>
                      <w:rPr>
                        <w:sz w:val="20"/>
                      </w:rPr>
                    </w:pPr>
                    <w:r>
                      <w:rPr>
                        <w:sz w:val="20"/>
                      </w:rPr>
                      <w:t>AAA (MŪAS)</w:t>
                    </w:r>
                  </w:p>
                </w:tc>
                <w:tc>
                  <w:tcPr>
                    <w:tcW w:w="1134" w:type="dxa"/>
                    <w:shd w:val="clear" w:color="auto" w:fill="FCE4D6"/>
                    <w:noWrap/>
                    <w:vAlign w:val="center"/>
                    <w:hideMark/>
                  </w:tcPr>
                  <w:p>
                    <w:pPr>
                      <w:jc w:val="center"/>
                      <w:rPr>
                        <w:sz w:val="20"/>
                      </w:rPr>
                    </w:pPr>
                    <w:r>
                      <w:rPr>
                        <w:sz w:val="20"/>
                      </w:rPr>
                      <w:t>21 (2023)</w:t>
                    </w:r>
                  </w:p>
                </w:tc>
                <w:tc>
                  <w:tcPr>
                    <w:tcW w:w="1134" w:type="dxa"/>
                    <w:shd w:val="clear" w:color="auto" w:fill="FCE4D6"/>
                    <w:noWrap/>
                    <w:vAlign w:val="center"/>
                    <w:hideMark/>
                  </w:tcPr>
                  <w:p>
                    <w:pPr>
                      <w:jc w:val="center"/>
                      <w:rPr>
                        <w:sz w:val="20"/>
                      </w:rPr>
                    </w:pPr>
                    <w:r>
                      <w:rPr>
                        <w:sz w:val="20"/>
                      </w:rPr>
                      <w:t>18 (2033)</w:t>
                    </w:r>
                  </w:p>
                </w:tc>
              </w:tr>
              <w:tr>
                <w:trPr>
                  <w:trHeight w:val="530"/>
                  <w:jc w:val="center"/>
                </w:trPr>
                <w:tc>
                  <w:tcPr>
                    <w:tcW w:w="988" w:type="dxa"/>
                    <w:vMerge/>
                    <w:shd w:val="clear" w:color="auto" w:fill="FCE4D6"/>
                    <w:vAlign w:val="center"/>
                    <w:hideMark/>
                  </w:tcPr>
                  <w:p>
                    <w:pPr>
                      <w:rPr>
                        <w:b/>
                        <w:bCs/>
                        <w:sz w:val="20"/>
                      </w:rPr>
                    </w:pPr>
                  </w:p>
                </w:tc>
                <w:tc>
                  <w:tcPr>
                    <w:tcW w:w="2126" w:type="dxa"/>
                    <w:vMerge/>
                    <w:shd w:val="clear" w:color="auto" w:fill="FCE4D6"/>
                    <w:vAlign w:val="center"/>
                    <w:hideMark/>
                  </w:tcPr>
                  <w:p>
                    <w:pPr>
                      <w:rPr>
                        <w:b/>
                        <w:bCs/>
                        <w:sz w:val="20"/>
                      </w:rPr>
                    </w:pPr>
                  </w:p>
                </w:tc>
                <w:tc>
                  <w:tcPr>
                    <w:tcW w:w="850" w:type="dxa"/>
                    <w:vMerge/>
                    <w:shd w:val="clear" w:color="auto" w:fill="FCE4D6"/>
                    <w:vAlign w:val="center"/>
                    <w:hideMark/>
                  </w:tcPr>
                  <w:p>
                    <w:pPr>
                      <w:rPr>
                        <w:sz w:val="20"/>
                      </w:rPr>
                    </w:pPr>
                  </w:p>
                </w:tc>
                <w:tc>
                  <w:tcPr>
                    <w:tcW w:w="709" w:type="dxa"/>
                    <w:vMerge/>
                    <w:shd w:val="clear" w:color="auto" w:fill="FCE4D6"/>
                    <w:vAlign w:val="center"/>
                    <w:hideMark/>
                  </w:tcPr>
                  <w:p>
                    <w:pPr>
                      <w:rPr>
                        <w:sz w:val="20"/>
                      </w:rPr>
                    </w:pPr>
                  </w:p>
                </w:tc>
                <w:tc>
                  <w:tcPr>
                    <w:tcW w:w="709" w:type="dxa"/>
                    <w:vMerge/>
                    <w:shd w:val="clear" w:color="auto" w:fill="FCE4D6"/>
                    <w:vAlign w:val="center"/>
                    <w:hideMark/>
                  </w:tcPr>
                  <w:p>
                    <w:pPr>
                      <w:rPr>
                        <w:sz w:val="20"/>
                      </w:rPr>
                    </w:pPr>
                  </w:p>
                </w:tc>
                <w:tc>
                  <w:tcPr>
                    <w:tcW w:w="1417" w:type="dxa"/>
                    <w:shd w:val="clear" w:color="auto" w:fill="FCE4D6"/>
                    <w:noWrap/>
                    <w:vAlign w:val="center"/>
                    <w:hideMark/>
                  </w:tcPr>
                  <w:p>
                    <w:pPr>
                      <w:rPr>
                        <w:sz w:val="20"/>
                      </w:rPr>
                    </w:pPr>
                    <w:r>
                      <w:rPr>
                        <w:sz w:val="20"/>
                      </w:rPr>
                      <w:t>R-11-01-04</w:t>
                    </w:r>
                  </w:p>
                </w:tc>
                <w:tc>
                  <w:tcPr>
                    <w:tcW w:w="4111" w:type="dxa"/>
                    <w:shd w:val="clear" w:color="auto" w:fill="FCE4D6"/>
                    <w:vAlign w:val="center"/>
                    <w:hideMark/>
                  </w:tcPr>
                  <w:p>
                    <w:pPr>
                      <w:rPr>
                        <w:sz w:val="20"/>
                      </w:rPr>
                    </w:pPr>
                    <w:r>
                      <w:rPr>
                        <w:sz w:val="20"/>
                      </w:rPr>
                      <w:t>Bendras viešųjų atskirųjų želdynų plotas, tenkantis vienam miesto gyventojui (m²)</w:t>
                    </w:r>
                  </w:p>
                </w:tc>
                <w:tc>
                  <w:tcPr>
                    <w:tcW w:w="1134" w:type="dxa"/>
                    <w:shd w:val="clear" w:color="auto" w:fill="FCE4D6"/>
                    <w:noWrap/>
                    <w:vAlign w:val="center"/>
                    <w:hideMark/>
                  </w:tcPr>
                  <w:p>
                    <w:pPr>
                      <w:jc w:val="center"/>
                      <w:rPr>
                        <w:sz w:val="20"/>
                      </w:rPr>
                    </w:pPr>
                    <w:r>
                      <w:rPr>
                        <w:sz w:val="20"/>
                      </w:rPr>
                      <w:t>ŠMSA (MPPS)</w:t>
                    </w:r>
                  </w:p>
                </w:tc>
                <w:tc>
                  <w:tcPr>
                    <w:tcW w:w="1134" w:type="dxa"/>
                    <w:shd w:val="clear" w:color="auto" w:fill="FCE4D6"/>
                    <w:noWrap/>
                    <w:vAlign w:val="center"/>
                    <w:hideMark/>
                  </w:tcPr>
                  <w:p>
                    <w:pPr>
                      <w:jc w:val="center"/>
                      <w:rPr>
                        <w:sz w:val="20"/>
                      </w:rPr>
                    </w:pPr>
                    <w:r>
                      <w:rPr>
                        <w:sz w:val="20"/>
                      </w:rPr>
                      <w:t>48,3 (2023)</w:t>
                    </w:r>
                  </w:p>
                </w:tc>
                <w:tc>
                  <w:tcPr>
                    <w:tcW w:w="1134" w:type="dxa"/>
                    <w:shd w:val="clear" w:color="auto" w:fill="FCE4D6"/>
                    <w:vAlign w:val="center"/>
                    <w:hideMark/>
                  </w:tcPr>
                  <w:p>
                    <w:pPr>
                      <w:jc w:val="center"/>
                      <w:rPr>
                        <w:sz w:val="20"/>
                      </w:rPr>
                    </w:pPr>
                    <w:r>
                      <w:rPr>
                        <w:sz w:val="20"/>
                      </w:rPr>
                      <w:t>44,9 (2033)</w:t>
                    </w:r>
                  </w:p>
                </w:tc>
              </w:tr>
              <w:tr>
                <w:trPr>
                  <w:trHeight w:val="521"/>
                  <w:jc w:val="center"/>
                </w:trPr>
                <w:tc>
                  <w:tcPr>
                    <w:tcW w:w="988" w:type="dxa"/>
                    <w:vMerge w:val="restart"/>
                    <w:noWrap/>
                    <w:vAlign w:val="center"/>
                    <w:hideMark/>
                  </w:tcPr>
                  <w:p>
                    <w:pPr>
                      <w:rPr>
                        <w:sz w:val="20"/>
                      </w:rPr>
                    </w:pPr>
                    <w:r>
                      <w:rPr>
                        <w:sz w:val="20"/>
                      </w:rPr>
                      <w:t>13-01-01</w:t>
                    </w:r>
                  </w:p>
                </w:tc>
                <w:tc>
                  <w:tcPr>
                    <w:tcW w:w="2126" w:type="dxa"/>
                    <w:vMerge w:val="restart"/>
                    <w:vAlign w:val="center"/>
                    <w:hideMark/>
                  </w:tcPr>
                  <w:p>
                    <w:pPr>
                      <w:rPr>
                        <w:sz w:val="20"/>
                      </w:rPr>
                    </w:pPr>
                    <w:r>
                      <w:rPr>
                        <w:sz w:val="20"/>
                      </w:rPr>
                      <w:t>Išsaugoti biologinę įvairovę</w:t>
                    </w:r>
                  </w:p>
                </w:tc>
                <w:tc>
                  <w:tcPr>
                    <w:tcW w:w="850" w:type="dxa"/>
                    <w:vMerge w:val="restart"/>
                    <w:vAlign w:val="center"/>
                    <w:hideMark/>
                  </w:tcPr>
                  <w:p>
                    <w:pPr>
                      <w:jc w:val="center"/>
                      <w:rPr>
                        <w:sz w:val="20"/>
                      </w:rPr>
                    </w:pPr>
                    <w:r>
                      <w:rPr>
                        <w:sz w:val="20"/>
                      </w:rPr>
                      <w:t>MŪAS</w:t>
                    </w:r>
                  </w:p>
                </w:tc>
                <w:tc>
                  <w:tcPr>
                    <w:tcW w:w="709" w:type="dxa"/>
                    <w:vMerge w:val="restart"/>
                    <w:noWrap/>
                    <w:vAlign w:val="center"/>
                    <w:hideMark/>
                  </w:tcPr>
                  <w:p>
                    <w:pPr>
                      <w:jc w:val="center"/>
                      <w:rPr>
                        <w:sz w:val="20"/>
                      </w:rPr>
                    </w:pPr>
                    <w:r>
                      <w:rPr>
                        <w:sz w:val="20"/>
                      </w:rPr>
                      <w:t>2025</w:t>
                    </w:r>
                  </w:p>
                </w:tc>
                <w:tc>
                  <w:tcPr>
                    <w:tcW w:w="709" w:type="dxa"/>
                    <w:vMerge w:val="restart"/>
                    <w:noWrap/>
                    <w:vAlign w:val="center"/>
                    <w:hideMark/>
                  </w:tcPr>
                  <w:p>
                    <w:pPr>
                      <w:jc w:val="center"/>
                      <w:rPr>
                        <w:sz w:val="20"/>
                      </w:rPr>
                    </w:pPr>
                    <w:r>
                      <w:rPr>
                        <w:sz w:val="20"/>
                      </w:rPr>
                      <w:t>2033</w:t>
                    </w:r>
                  </w:p>
                </w:tc>
                <w:tc>
                  <w:tcPr>
                    <w:tcW w:w="1417" w:type="dxa"/>
                    <w:noWrap/>
                    <w:vAlign w:val="center"/>
                    <w:hideMark/>
                  </w:tcPr>
                  <w:p>
                    <w:pPr>
                      <w:rPr>
                        <w:sz w:val="20"/>
                      </w:rPr>
                    </w:pPr>
                    <w:r>
                      <w:rPr>
                        <w:sz w:val="20"/>
                      </w:rPr>
                      <w:t>P-13-01-01-01</w:t>
                    </w:r>
                  </w:p>
                </w:tc>
                <w:tc>
                  <w:tcPr>
                    <w:tcW w:w="4111" w:type="dxa"/>
                    <w:vAlign w:val="center"/>
                    <w:hideMark/>
                  </w:tcPr>
                  <w:p>
                    <w:pPr>
                      <w:rPr>
                        <w:sz w:val="20"/>
                      </w:rPr>
                    </w:pPr>
                    <w:r>
                      <w:rPr>
                        <w:sz w:val="20"/>
                      </w:rPr>
                      <w:t>Įdiegtų natūralių ir pusiau natūralių pievų želdynuose plotas (ha)</w:t>
                    </w:r>
                  </w:p>
                </w:tc>
                <w:tc>
                  <w:tcPr>
                    <w:tcW w:w="1134" w:type="dxa"/>
                    <w:noWrap/>
                    <w:vAlign w:val="center"/>
                    <w:hideMark/>
                  </w:tcPr>
                  <w:p>
                    <w:pPr>
                      <w:jc w:val="center"/>
                      <w:rPr>
                        <w:sz w:val="20"/>
                      </w:rPr>
                    </w:pPr>
                    <w:r>
                      <w:rPr>
                        <w:sz w:val="20"/>
                      </w:rPr>
                      <w:t>MŪAS</w:t>
                    </w:r>
                  </w:p>
                </w:tc>
                <w:tc>
                  <w:tcPr>
                    <w:tcW w:w="1134" w:type="dxa"/>
                    <w:noWrap/>
                    <w:vAlign w:val="center"/>
                    <w:hideMark/>
                  </w:tcPr>
                  <w:p>
                    <w:pPr>
                      <w:jc w:val="center"/>
                      <w:rPr>
                        <w:sz w:val="20"/>
                      </w:rPr>
                    </w:pPr>
                    <w:r>
                      <w:rPr>
                        <w:sz w:val="20"/>
                      </w:rPr>
                      <w:t>n.d. (2023)</w:t>
                    </w:r>
                  </w:p>
                </w:tc>
                <w:tc>
                  <w:tcPr>
                    <w:tcW w:w="1134" w:type="dxa"/>
                    <w:noWrap/>
                    <w:vAlign w:val="center"/>
                    <w:hideMark/>
                  </w:tcPr>
                  <w:p>
                    <w:pPr>
                      <w:jc w:val="center"/>
                      <w:rPr>
                        <w:sz w:val="20"/>
                      </w:rPr>
                    </w:pPr>
                    <w:r>
                      <w:rPr>
                        <w:sz w:val="20"/>
                      </w:rPr>
                      <w:t>10 (2033)</w:t>
                    </w:r>
                  </w:p>
                </w:tc>
              </w:tr>
              <w:tr>
                <w:trPr>
                  <w:trHeight w:val="558"/>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rPr>
                        <w:sz w:val="20"/>
                      </w:rPr>
                    </w:pPr>
                  </w:p>
                </w:tc>
                <w:tc>
                  <w:tcPr>
                    <w:tcW w:w="709" w:type="dxa"/>
                    <w:vMerge/>
                    <w:vAlign w:val="center"/>
                    <w:hideMark/>
                  </w:tcPr>
                  <w:p>
                    <w:pPr>
                      <w:rPr>
                        <w:sz w:val="20"/>
                      </w:rPr>
                    </w:pPr>
                  </w:p>
                </w:tc>
                <w:tc>
                  <w:tcPr>
                    <w:tcW w:w="709" w:type="dxa"/>
                    <w:vMerge/>
                    <w:vAlign w:val="center"/>
                    <w:hideMark/>
                  </w:tcPr>
                  <w:p>
                    <w:pPr>
                      <w:rPr>
                        <w:sz w:val="20"/>
                      </w:rPr>
                    </w:pPr>
                  </w:p>
                </w:tc>
                <w:tc>
                  <w:tcPr>
                    <w:tcW w:w="1417" w:type="dxa"/>
                    <w:noWrap/>
                    <w:vAlign w:val="center"/>
                    <w:hideMark/>
                  </w:tcPr>
                  <w:p>
                    <w:pPr>
                      <w:rPr>
                        <w:sz w:val="20"/>
                      </w:rPr>
                    </w:pPr>
                    <w:r>
                      <w:rPr>
                        <w:sz w:val="20"/>
                      </w:rPr>
                      <w:t>P-13-01-01-02</w:t>
                    </w:r>
                  </w:p>
                </w:tc>
                <w:tc>
                  <w:tcPr>
                    <w:tcW w:w="4111" w:type="dxa"/>
                    <w:vAlign w:val="center"/>
                    <w:hideMark/>
                  </w:tcPr>
                  <w:p>
                    <w:pPr>
                      <w:rPr>
                        <w:sz w:val="20"/>
                      </w:rPr>
                    </w:pPr>
                    <w:r>
                      <w:rPr>
                        <w:sz w:val="20"/>
                      </w:rPr>
                      <w:t>Įrengtų želdinių juostų šalia gatvių, pėsčiųjų ir dviračių takų ilgis (m)</w:t>
                    </w:r>
                  </w:p>
                </w:tc>
                <w:tc>
                  <w:tcPr>
                    <w:tcW w:w="1134" w:type="dxa"/>
                    <w:noWrap/>
                    <w:vAlign w:val="center"/>
                    <w:hideMark/>
                  </w:tcPr>
                  <w:p>
                    <w:pPr>
                      <w:jc w:val="center"/>
                      <w:rPr>
                        <w:sz w:val="20"/>
                      </w:rPr>
                    </w:pPr>
                    <w:r>
                      <w:rPr>
                        <w:sz w:val="20"/>
                      </w:rPr>
                      <w:t>MŪAS</w:t>
                    </w:r>
                  </w:p>
                </w:tc>
                <w:tc>
                  <w:tcPr>
                    <w:tcW w:w="1134" w:type="dxa"/>
                    <w:noWrap/>
                    <w:vAlign w:val="center"/>
                    <w:hideMark/>
                  </w:tcPr>
                  <w:p>
                    <w:pPr>
                      <w:jc w:val="center"/>
                      <w:rPr>
                        <w:sz w:val="20"/>
                      </w:rPr>
                    </w:pPr>
                    <w:r>
                      <w:rPr>
                        <w:sz w:val="20"/>
                      </w:rPr>
                      <w:t>n.d. (2023)</w:t>
                    </w:r>
                  </w:p>
                </w:tc>
                <w:tc>
                  <w:tcPr>
                    <w:tcW w:w="1134" w:type="dxa"/>
                    <w:vAlign w:val="center"/>
                    <w:hideMark/>
                  </w:tcPr>
                  <w:p>
                    <w:pPr>
                      <w:jc w:val="center"/>
                      <w:rPr>
                        <w:sz w:val="20"/>
                      </w:rPr>
                    </w:pPr>
                    <w:r>
                      <w:rPr>
                        <w:sz w:val="20"/>
                      </w:rPr>
                      <w:t>5000 (2033)</w:t>
                    </w:r>
                  </w:p>
                </w:tc>
              </w:tr>
              <w:tr>
                <w:trPr>
                  <w:trHeight w:val="410"/>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rPr>
                        <w:sz w:val="20"/>
                      </w:rPr>
                    </w:pPr>
                  </w:p>
                </w:tc>
                <w:tc>
                  <w:tcPr>
                    <w:tcW w:w="709" w:type="dxa"/>
                    <w:vMerge/>
                    <w:vAlign w:val="center"/>
                    <w:hideMark/>
                  </w:tcPr>
                  <w:p>
                    <w:pPr>
                      <w:rPr>
                        <w:sz w:val="20"/>
                      </w:rPr>
                    </w:pPr>
                  </w:p>
                </w:tc>
                <w:tc>
                  <w:tcPr>
                    <w:tcW w:w="709" w:type="dxa"/>
                    <w:vMerge/>
                    <w:vAlign w:val="center"/>
                    <w:hideMark/>
                  </w:tcPr>
                  <w:p>
                    <w:pPr>
                      <w:rPr>
                        <w:sz w:val="20"/>
                      </w:rPr>
                    </w:pPr>
                  </w:p>
                </w:tc>
                <w:tc>
                  <w:tcPr>
                    <w:tcW w:w="1417" w:type="dxa"/>
                    <w:noWrap/>
                    <w:vAlign w:val="center"/>
                    <w:hideMark/>
                  </w:tcPr>
                  <w:p>
                    <w:pPr>
                      <w:rPr>
                        <w:sz w:val="20"/>
                      </w:rPr>
                    </w:pPr>
                    <w:r>
                      <w:rPr>
                        <w:sz w:val="20"/>
                      </w:rPr>
                      <w:t>P-13-01-01-03</w:t>
                    </w:r>
                  </w:p>
                </w:tc>
                <w:tc>
                  <w:tcPr>
                    <w:tcW w:w="4111" w:type="dxa"/>
                    <w:vAlign w:val="center"/>
                    <w:hideMark/>
                  </w:tcPr>
                  <w:p>
                    <w:pPr>
                      <w:rPr>
                        <w:sz w:val="20"/>
                      </w:rPr>
                    </w:pPr>
                    <w:r>
                      <w:rPr>
                        <w:sz w:val="20"/>
                      </w:rPr>
                      <w:t>Robotizuotai prižiūrimų želdynų ploto dalis nuo viso želdynų ploto (proc.)</w:t>
                    </w:r>
                  </w:p>
                </w:tc>
                <w:tc>
                  <w:tcPr>
                    <w:tcW w:w="1134" w:type="dxa"/>
                    <w:noWrap/>
                    <w:vAlign w:val="center"/>
                    <w:hideMark/>
                  </w:tcPr>
                  <w:p>
                    <w:pPr>
                      <w:jc w:val="center"/>
                      <w:rPr>
                        <w:sz w:val="20"/>
                      </w:rPr>
                    </w:pPr>
                    <w:r>
                      <w:rPr>
                        <w:sz w:val="20"/>
                      </w:rPr>
                      <w:t>MŪAS</w:t>
                    </w:r>
                  </w:p>
                </w:tc>
                <w:tc>
                  <w:tcPr>
                    <w:tcW w:w="1134" w:type="dxa"/>
                    <w:noWrap/>
                    <w:vAlign w:val="center"/>
                    <w:hideMark/>
                  </w:tcPr>
                  <w:p>
                    <w:pPr>
                      <w:jc w:val="center"/>
                      <w:rPr>
                        <w:sz w:val="20"/>
                      </w:rPr>
                    </w:pPr>
                    <w:r>
                      <w:rPr>
                        <w:sz w:val="20"/>
                      </w:rPr>
                      <w:t>0 (2023)</w:t>
                    </w:r>
                  </w:p>
                </w:tc>
                <w:tc>
                  <w:tcPr>
                    <w:tcW w:w="1134" w:type="dxa"/>
                    <w:noWrap/>
                    <w:vAlign w:val="center"/>
                    <w:hideMark/>
                  </w:tcPr>
                  <w:p>
                    <w:pPr>
                      <w:jc w:val="center"/>
                      <w:rPr>
                        <w:sz w:val="20"/>
                      </w:rPr>
                    </w:pPr>
                    <w:r>
                      <w:rPr>
                        <w:sz w:val="20"/>
                      </w:rPr>
                      <w:t>10 (2033)</w:t>
                    </w:r>
                  </w:p>
                </w:tc>
              </w:tr>
              <w:tr>
                <w:trPr>
                  <w:trHeight w:val="217"/>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rPr>
                        <w:sz w:val="20"/>
                      </w:rPr>
                    </w:pPr>
                  </w:p>
                </w:tc>
                <w:tc>
                  <w:tcPr>
                    <w:tcW w:w="709" w:type="dxa"/>
                    <w:vMerge/>
                    <w:vAlign w:val="center"/>
                    <w:hideMark/>
                  </w:tcPr>
                  <w:p>
                    <w:pPr>
                      <w:rPr>
                        <w:sz w:val="20"/>
                      </w:rPr>
                    </w:pPr>
                  </w:p>
                </w:tc>
                <w:tc>
                  <w:tcPr>
                    <w:tcW w:w="709" w:type="dxa"/>
                    <w:vMerge/>
                    <w:vAlign w:val="center"/>
                    <w:hideMark/>
                  </w:tcPr>
                  <w:p>
                    <w:pPr>
                      <w:rPr>
                        <w:sz w:val="20"/>
                      </w:rPr>
                    </w:pPr>
                  </w:p>
                </w:tc>
                <w:tc>
                  <w:tcPr>
                    <w:tcW w:w="1417" w:type="dxa"/>
                    <w:noWrap/>
                    <w:vAlign w:val="center"/>
                    <w:hideMark/>
                  </w:tcPr>
                  <w:p>
                    <w:pPr>
                      <w:rPr>
                        <w:sz w:val="20"/>
                      </w:rPr>
                    </w:pPr>
                    <w:r>
                      <w:rPr>
                        <w:sz w:val="20"/>
                      </w:rPr>
                      <w:t>P-13-01-01-04</w:t>
                    </w:r>
                  </w:p>
                </w:tc>
                <w:tc>
                  <w:tcPr>
                    <w:tcW w:w="4111" w:type="dxa"/>
                    <w:vAlign w:val="center"/>
                    <w:hideMark/>
                  </w:tcPr>
                  <w:p>
                    <w:pPr>
                      <w:rPr>
                        <w:sz w:val="20"/>
                      </w:rPr>
                    </w:pPr>
                    <w:r>
                      <w:rPr>
                        <w:sz w:val="20"/>
                      </w:rPr>
                      <w:t>Įregistruotų atskirųjų želdynų sklypų plotas (ha)</w:t>
                    </w:r>
                  </w:p>
                </w:tc>
                <w:tc>
                  <w:tcPr>
                    <w:tcW w:w="1134" w:type="dxa"/>
                    <w:noWrap/>
                    <w:vAlign w:val="center"/>
                    <w:hideMark/>
                  </w:tcPr>
                  <w:p>
                    <w:pPr>
                      <w:jc w:val="center"/>
                      <w:rPr>
                        <w:sz w:val="20"/>
                      </w:rPr>
                    </w:pPr>
                    <w:r>
                      <w:rPr>
                        <w:sz w:val="20"/>
                      </w:rPr>
                      <w:t>MŪAS</w:t>
                    </w:r>
                  </w:p>
                </w:tc>
                <w:tc>
                  <w:tcPr>
                    <w:tcW w:w="1134" w:type="dxa"/>
                    <w:noWrap/>
                    <w:vAlign w:val="center"/>
                    <w:hideMark/>
                  </w:tcPr>
                  <w:p>
                    <w:pPr>
                      <w:jc w:val="center"/>
                      <w:rPr>
                        <w:sz w:val="20"/>
                      </w:rPr>
                    </w:pPr>
                    <w:r>
                      <w:rPr>
                        <w:sz w:val="20"/>
                      </w:rPr>
                      <w:t>120 (2024)</w:t>
                    </w:r>
                  </w:p>
                </w:tc>
                <w:tc>
                  <w:tcPr>
                    <w:tcW w:w="1134" w:type="dxa"/>
                    <w:noWrap/>
                    <w:vAlign w:val="center"/>
                    <w:hideMark/>
                  </w:tcPr>
                  <w:p>
                    <w:pPr>
                      <w:jc w:val="center"/>
                      <w:rPr>
                        <w:sz w:val="20"/>
                      </w:rPr>
                    </w:pPr>
                    <w:r>
                      <w:rPr>
                        <w:sz w:val="20"/>
                      </w:rPr>
                      <w:t>130 (2033)</w:t>
                    </w:r>
                  </w:p>
                </w:tc>
              </w:tr>
              <w:tr>
                <w:trPr>
                  <w:trHeight w:val="406"/>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rPr>
                        <w:sz w:val="20"/>
                      </w:rPr>
                    </w:pPr>
                  </w:p>
                </w:tc>
                <w:tc>
                  <w:tcPr>
                    <w:tcW w:w="709" w:type="dxa"/>
                    <w:vMerge/>
                    <w:vAlign w:val="center"/>
                    <w:hideMark/>
                  </w:tcPr>
                  <w:p>
                    <w:pPr>
                      <w:rPr>
                        <w:sz w:val="20"/>
                      </w:rPr>
                    </w:pPr>
                  </w:p>
                </w:tc>
                <w:tc>
                  <w:tcPr>
                    <w:tcW w:w="709" w:type="dxa"/>
                    <w:vMerge/>
                    <w:vAlign w:val="center"/>
                    <w:hideMark/>
                  </w:tcPr>
                  <w:p>
                    <w:pPr>
                      <w:rPr>
                        <w:sz w:val="20"/>
                      </w:rPr>
                    </w:pPr>
                  </w:p>
                </w:tc>
                <w:tc>
                  <w:tcPr>
                    <w:tcW w:w="1417" w:type="dxa"/>
                    <w:noWrap/>
                    <w:vAlign w:val="center"/>
                    <w:hideMark/>
                  </w:tcPr>
                  <w:p>
                    <w:pPr>
                      <w:rPr>
                        <w:sz w:val="20"/>
                      </w:rPr>
                    </w:pPr>
                    <w:r>
                      <w:rPr>
                        <w:sz w:val="20"/>
                      </w:rPr>
                      <w:t>P-13-01-01-05</w:t>
                    </w:r>
                  </w:p>
                </w:tc>
                <w:tc>
                  <w:tcPr>
                    <w:tcW w:w="4111" w:type="dxa"/>
                    <w:vAlign w:val="center"/>
                    <w:hideMark/>
                  </w:tcPr>
                  <w:p>
                    <w:pPr>
                      <w:rPr>
                        <w:sz w:val="20"/>
                      </w:rPr>
                    </w:pPr>
                    <w:r>
                      <w:rPr>
                        <w:sz w:val="20"/>
                      </w:rPr>
                      <w:t>Naujai įrengtų atskirųjų želdynų, pritaikytų naudoti visais metų laikais, skaičius (vnt.)</w:t>
                    </w:r>
                  </w:p>
                </w:tc>
                <w:tc>
                  <w:tcPr>
                    <w:tcW w:w="1134" w:type="dxa"/>
                    <w:noWrap/>
                    <w:vAlign w:val="center"/>
                    <w:hideMark/>
                  </w:tcPr>
                  <w:p>
                    <w:pPr>
                      <w:jc w:val="center"/>
                      <w:rPr>
                        <w:sz w:val="20"/>
                      </w:rPr>
                    </w:pPr>
                    <w:r>
                      <w:rPr>
                        <w:sz w:val="20"/>
                      </w:rPr>
                      <w:t>MPPS</w:t>
                    </w:r>
                  </w:p>
                </w:tc>
                <w:tc>
                  <w:tcPr>
                    <w:tcW w:w="1134" w:type="dxa"/>
                    <w:noWrap/>
                    <w:vAlign w:val="center"/>
                    <w:hideMark/>
                  </w:tcPr>
                  <w:p>
                    <w:pPr>
                      <w:jc w:val="center"/>
                      <w:rPr>
                        <w:sz w:val="20"/>
                      </w:rPr>
                    </w:pPr>
                    <w:r>
                      <w:rPr>
                        <w:sz w:val="20"/>
                      </w:rPr>
                      <w:t>0 (2024)</w:t>
                    </w:r>
                  </w:p>
                </w:tc>
                <w:tc>
                  <w:tcPr>
                    <w:tcW w:w="1134" w:type="dxa"/>
                    <w:noWrap/>
                    <w:vAlign w:val="center"/>
                    <w:hideMark/>
                  </w:tcPr>
                  <w:p>
                    <w:pPr>
                      <w:jc w:val="center"/>
                      <w:rPr>
                        <w:sz w:val="20"/>
                      </w:rPr>
                    </w:pPr>
                    <w:r>
                      <w:rPr>
                        <w:sz w:val="20"/>
                      </w:rPr>
                      <w:t>3 (2033)</w:t>
                    </w:r>
                  </w:p>
                </w:tc>
              </w:tr>
              <w:tr>
                <w:trPr>
                  <w:trHeight w:val="415"/>
                  <w:jc w:val="center"/>
                </w:trPr>
                <w:tc>
                  <w:tcPr>
                    <w:tcW w:w="988" w:type="dxa"/>
                    <w:vMerge w:val="restart"/>
                    <w:noWrap/>
                    <w:vAlign w:val="center"/>
                    <w:hideMark/>
                  </w:tcPr>
                  <w:p>
                    <w:pPr>
                      <w:rPr>
                        <w:sz w:val="20"/>
                      </w:rPr>
                    </w:pPr>
                    <w:r>
                      <w:rPr>
                        <w:sz w:val="20"/>
                      </w:rPr>
                      <w:t>13-01-02</w:t>
                    </w:r>
                  </w:p>
                </w:tc>
                <w:tc>
                  <w:tcPr>
                    <w:tcW w:w="2126" w:type="dxa"/>
                    <w:vMerge w:val="restart"/>
                    <w:vAlign w:val="center"/>
                    <w:hideMark/>
                  </w:tcPr>
                  <w:p>
                    <w:pPr>
                      <w:rPr>
                        <w:sz w:val="20"/>
                      </w:rPr>
                    </w:pPr>
                    <w:r>
                      <w:rPr>
                        <w:sz w:val="20"/>
                      </w:rPr>
                      <w:t>Gerinti vandens telkinių vandens kokybę</w:t>
                    </w:r>
                  </w:p>
                </w:tc>
                <w:tc>
                  <w:tcPr>
                    <w:tcW w:w="850" w:type="dxa"/>
                    <w:vMerge w:val="restart"/>
                    <w:vAlign w:val="center"/>
                    <w:hideMark/>
                  </w:tcPr>
                  <w:p>
                    <w:pPr>
                      <w:jc w:val="center"/>
                      <w:rPr>
                        <w:sz w:val="20"/>
                      </w:rPr>
                    </w:pPr>
                    <w:r>
                      <w:rPr>
                        <w:sz w:val="20"/>
                      </w:rPr>
                      <w:t>MŪAS</w:t>
                    </w:r>
                  </w:p>
                </w:tc>
                <w:tc>
                  <w:tcPr>
                    <w:tcW w:w="709" w:type="dxa"/>
                    <w:vMerge w:val="restart"/>
                    <w:noWrap/>
                    <w:vAlign w:val="center"/>
                    <w:hideMark/>
                  </w:tcPr>
                  <w:p>
                    <w:pPr>
                      <w:jc w:val="center"/>
                      <w:rPr>
                        <w:sz w:val="20"/>
                      </w:rPr>
                    </w:pPr>
                    <w:r>
                      <w:rPr>
                        <w:sz w:val="20"/>
                      </w:rPr>
                      <w:t>2025</w:t>
                    </w:r>
                  </w:p>
                </w:tc>
                <w:tc>
                  <w:tcPr>
                    <w:tcW w:w="709" w:type="dxa"/>
                    <w:vMerge w:val="restart"/>
                    <w:noWrap/>
                    <w:vAlign w:val="center"/>
                    <w:hideMark/>
                  </w:tcPr>
                  <w:p>
                    <w:pPr>
                      <w:jc w:val="center"/>
                      <w:rPr>
                        <w:sz w:val="20"/>
                      </w:rPr>
                    </w:pPr>
                    <w:r>
                      <w:rPr>
                        <w:sz w:val="20"/>
                      </w:rPr>
                      <w:t>2033</w:t>
                    </w:r>
                  </w:p>
                </w:tc>
                <w:tc>
                  <w:tcPr>
                    <w:tcW w:w="1417" w:type="dxa"/>
                    <w:noWrap/>
                    <w:vAlign w:val="center"/>
                    <w:hideMark/>
                  </w:tcPr>
                  <w:p>
                    <w:pPr>
                      <w:rPr>
                        <w:sz w:val="20"/>
                      </w:rPr>
                    </w:pPr>
                    <w:r>
                      <w:rPr>
                        <w:sz w:val="20"/>
                      </w:rPr>
                      <w:t>P-13-01-02-01</w:t>
                    </w:r>
                  </w:p>
                </w:tc>
                <w:tc>
                  <w:tcPr>
                    <w:tcW w:w="4111" w:type="dxa"/>
                    <w:vAlign w:val="center"/>
                    <w:hideMark/>
                  </w:tcPr>
                  <w:p>
                    <w:pPr>
                      <w:rPr>
                        <w:sz w:val="20"/>
                      </w:rPr>
                    </w:pPr>
                    <w:r>
                      <w:rPr>
                        <w:sz w:val="20"/>
                      </w:rPr>
                      <w:t>Takų, kuriuos prižiūrint nenaudojama druska, plotas (m²)</w:t>
                    </w:r>
                  </w:p>
                </w:tc>
                <w:tc>
                  <w:tcPr>
                    <w:tcW w:w="1134" w:type="dxa"/>
                    <w:noWrap/>
                    <w:vAlign w:val="center"/>
                    <w:hideMark/>
                  </w:tcPr>
                  <w:p>
                    <w:pPr>
                      <w:jc w:val="center"/>
                      <w:rPr>
                        <w:sz w:val="20"/>
                      </w:rPr>
                    </w:pPr>
                    <w:r>
                      <w:rPr>
                        <w:sz w:val="20"/>
                      </w:rPr>
                      <w:t>MŪAS</w:t>
                    </w:r>
                  </w:p>
                </w:tc>
                <w:tc>
                  <w:tcPr>
                    <w:tcW w:w="1134" w:type="dxa"/>
                    <w:noWrap/>
                    <w:vAlign w:val="center"/>
                    <w:hideMark/>
                  </w:tcPr>
                  <w:p>
                    <w:pPr>
                      <w:jc w:val="center"/>
                      <w:rPr>
                        <w:sz w:val="20"/>
                      </w:rPr>
                    </w:pPr>
                    <w:r>
                      <w:rPr>
                        <w:sz w:val="20"/>
                      </w:rPr>
                      <w:t>784 (2023)</w:t>
                    </w:r>
                  </w:p>
                </w:tc>
                <w:tc>
                  <w:tcPr>
                    <w:tcW w:w="1134" w:type="dxa"/>
                    <w:noWrap/>
                    <w:vAlign w:val="center"/>
                    <w:hideMark/>
                  </w:tcPr>
                  <w:p>
                    <w:pPr>
                      <w:jc w:val="center"/>
                      <w:rPr>
                        <w:sz w:val="20"/>
                      </w:rPr>
                    </w:pPr>
                    <w:r>
                      <w:rPr>
                        <w:sz w:val="20"/>
                      </w:rPr>
                      <w:t>5000 (2033)</w:t>
                    </w:r>
                  </w:p>
                </w:tc>
              </w:tr>
              <w:tr>
                <w:trPr>
                  <w:trHeight w:val="521"/>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rPr>
                        <w:sz w:val="20"/>
                      </w:rPr>
                    </w:pPr>
                  </w:p>
                </w:tc>
                <w:tc>
                  <w:tcPr>
                    <w:tcW w:w="709" w:type="dxa"/>
                    <w:vMerge/>
                    <w:vAlign w:val="center"/>
                    <w:hideMark/>
                  </w:tcPr>
                  <w:p>
                    <w:pPr>
                      <w:rPr>
                        <w:sz w:val="20"/>
                      </w:rPr>
                    </w:pPr>
                  </w:p>
                </w:tc>
                <w:tc>
                  <w:tcPr>
                    <w:tcW w:w="709" w:type="dxa"/>
                    <w:vMerge/>
                    <w:vAlign w:val="center"/>
                    <w:hideMark/>
                  </w:tcPr>
                  <w:p>
                    <w:pPr>
                      <w:rPr>
                        <w:sz w:val="20"/>
                      </w:rPr>
                    </w:pPr>
                  </w:p>
                </w:tc>
                <w:tc>
                  <w:tcPr>
                    <w:tcW w:w="1417" w:type="dxa"/>
                    <w:noWrap/>
                    <w:vAlign w:val="center"/>
                    <w:hideMark/>
                  </w:tcPr>
                  <w:p>
                    <w:pPr>
                      <w:rPr>
                        <w:sz w:val="20"/>
                      </w:rPr>
                    </w:pPr>
                    <w:r>
                      <w:rPr>
                        <w:sz w:val="20"/>
                      </w:rPr>
                      <w:t>P-13-01-02-02</w:t>
                    </w:r>
                  </w:p>
                </w:tc>
                <w:tc>
                  <w:tcPr>
                    <w:tcW w:w="4111" w:type="dxa"/>
                    <w:vAlign w:val="center"/>
                    <w:hideMark/>
                  </w:tcPr>
                  <w:p>
                    <w:pPr>
                      <w:rPr>
                        <w:sz w:val="20"/>
                      </w:rPr>
                    </w:pPr>
                    <w:r>
                      <w:rPr>
                        <w:sz w:val="20"/>
                      </w:rPr>
                      <w:t xml:space="preserve">Naujai įrengtų, rekonstruotų ir suremontuotų paviršinių nuotekų tinklų ilgis (km) </w:t>
                    </w:r>
                  </w:p>
                </w:tc>
                <w:tc>
                  <w:tcPr>
                    <w:tcW w:w="1134" w:type="dxa"/>
                    <w:noWrap/>
                    <w:vAlign w:val="center"/>
                    <w:hideMark/>
                  </w:tcPr>
                  <w:p>
                    <w:pPr>
                      <w:jc w:val="center"/>
                      <w:rPr>
                        <w:sz w:val="20"/>
                      </w:rPr>
                    </w:pPr>
                    <w:r>
                      <w:rPr>
                        <w:sz w:val="20"/>
                      </w:rPr>
                      <w:t>ŠV</w:t>
                    </w:r>
                  </w:p>
                </w:tc>
                <w:tc>
                  <w:tcPr>
                    <w:tcW w:w="1134" w:type="dxa"/>
                    <w:noWrap/>
                    <w:vAlign w:val="center"/>
                    <w:hideMark/>
                  </w:tcPr>
                  <w:p>
                    <w:pPr>
                      <w:jc w:val="center"/>
                      <w:rPr>
                        <w:sz w:val="20"/>
                      </w:rPr>
                    </w:pPr>
                    <w:r>
                      <w:rPr>
                        <w:sz w:val="20"/>
                      </w:rPr>
                      <w:t>0 (2023)</w:t>
                    </w:r>
                  </w:p>
                </w:tc>
                <w:tc>
                  <w:tcPr>
                    <w:tcW w:w="1134" w:type="dxa"/>
                    <w:noWrap/>
                    <w:vAlign w:val="center"/>
                    <w:hideMark/>
                  </w:tcPr>
                  <w:p>
                    <w:pPr>
                      <w:jc w:val="center"/>
                      <w:rPr>
                        <w:sz w:val="20"/>
                      </w:rPr>
                    </w:pPr>
                    <w:r>
                      <w:rPr>
                        <w:sz w:val="20"/>
                      </w:rPr>
                      <w:t>15 (2033)</w:t>
                    </w:r>
                  </w:p>
                </w:tc>
              </w:tr>
              <w:tr>
                <w:trPr>
                  <w:trHeight w:val="415"/>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rPr>
                        <w:sz w:val="20"/>
                      </w:rPr>
                    </w:pPr>
                  </w:p>
                </w:tc>
                <w:tc>
                  <w:tcPr>
                    <w:tcW w:w="709" w:type="dxa"/>
                    <w:vMerge/>
                    <w:vAlign w:val="center"/>
                    <w:hideMark/>
                  </w:tcPr>
                  <w:p>
                    <w:pPr>
                      <w:rPr>
                        <w:sz w:val="20"/>
                      </w:rPr>
                    </w:pPr>
                  </w:p>
                </w:tc>
                <w:tc>
                  <w:tcPr>
                    <w:tcW w:w="709" w:type="dxa"/>
                    <w:vMerge/>
                    <w:vAlign w:val="center"/>
                    <w:hideMark/>
                  </w:tcPr>
                  <w:p>
                    <w:pPr>
                      <w:rPr>
                        <w:sz w:val="20"/>
                      </w:rPr>
                    </w:pPr>
                  </w:p>
                </w:tc>
                <w:tc>
                  <w:tcPr>
                    <w:tcW w:w="1417" w:type="dxa"/>
                    <w:noWrap/>
                    <w:vAlign w:val="center"/>
                    <w:hideMark/>
                  </w:tcPr>
                  <w:p>
                    <w:pPr>
                      <w:rPr>
                        <w:sz w:val="20"/>
                      </w:rPr>
                    </w:pPr>
                    <w:r>
                      <w:rPr>
                        <w:sz w:val="20"/>
                      </w:rPr>
                      <w:t>P-13-01-02-03</w:t>
                    </w:r>
                  </w:p>
                </w:tc>
                <w:tc>
                  <w:tcPr>
                    <w:tcW w:w="4111" w:type="dxa"/>
                    <w:vAlign w:val="center"/>
                    <w:hideMark/>
                  </w:tcPr>
                  <w:p>
                    <w:pPr>
                      <w:rPr>
                        <w:sz w:val="20"/>
                      </w:rPr>
                    </w:pPr>
                    <w:r>
                      <w:rPr>
                        <w:sz w:val="20"/>
                      </w:rPr>
                      <w:t xml:space="preserve">Naujai įrengtų paviršinių nuotekų kaupyklų ir valymo įrenginių skaičius (vnt.) </w:t>
                    </w:r>
                  </w:p>
                </w:tc>
                <w:tc>
                  <w:tcPr>
                    <w:tcW w:w="1134" w:type="dxa"/>
                    <w:noWrap/>
                    <w:vAlign w:val="center"/>
                    <w:hideMark/>
                  </w:tcPr>
                  <w:p>
                    <w:pPr>
                      <w:jc w:val="center"/>
                      <w:rPr>
                        <w:sz w:val="20"/>
                      </w:rPr>
                    </w:pPr>
                    <w:r>
                      <w:rPr>
                        <w:sz w:val="20"/>
                      </w:rPr>
                      <w:t>ŠV</w:t>
                    </w:r>
                  </w:p>
                </w:tc>
                <w:tc>
                  <w:tcPr>
                    <w:tcW w:w="1134" w:type="dxa"/>
                    <w:noWrap/>
                    <w:vAlign w:val="center"/>
                    <w:hideMark/>
                  </w:tcPr>
                  <w:p>
                    <w:pPr>
                      <w:jc w:val="center"/>
                      <w:rPr>
                        <w:sz w:val="20"/>
                      </w:rPr>
                    </w:pPr>
                    <w:r>
                      <w:rPr>
                        <w:sz w:val="20"/>
                      </w:rPr>
                      <w:t>0 (2023)</w:t>
                    </w:r>
                  </w:p>
                </w:tc>
                <w:tc>
                  <w:tcPr>
                    <w:tcW w:w="1134" w:type="dxa"/>
                    <w:noWrap/>
                    <w:vAlign w:val="center"/>
                    <w:hideMark/>
                  </w:tcPr>
                  <w:p>
                    <w:pPr>
                      <w:jc w:val="center"/>
                      <w:rPr>
                        <w:sz w:val="20"/>
                      </w:rPr>
                    </w:pPr>
                    <w:r>
                      <w:rPr>
                        <w:sz w:val="20"/>
                      </w:rPr>
                      <w:t>7 (2033)</w:t>
                    </w:r>
                  </w:p>
                </w:tc>
              </w:tr>
              <w:tr>
                <w:trPr>
                  <w:trHeight w:val="216"/>
                  <w:jc w:val="center"/>
                </w:trPr>
                <w:tc>
                  <w:tcPr>
                    <w:tcW w:w="988" w:type="dxa"/>
                    <w:vMerge w:val="restart"/>
                    <w:noWrap/>
                    <w:vAlign w:val="center"/>
                    <w:hideMark/>
                  </w:tcPr>
                  <w:p>
                    <w:pPr>
                      <w:rPr>
                        <w:sz w:val="20"/>
                      </w:rPr>
                    </w:pPr>
                    <w:r>
                      <w:rPr>
                        <w:sz w:val="20"/>
                      </w:rPr>
                      <w:t>13-01-03</w:t>
                    </w:r>
                  </w:p>
                </w:tc>
                <w:tc>
                  <w:tcPr>
                    <w:tcW w:w="2126" w:type="dxa"/>
                    <w:vMerge w:val="restart"/>
                    <w:vAlign w:val="center"/>
                    <w:hideMark/>
                  </w:tcPr>
                  <w:p>
                    <w:pPr>
                      <w:rPr>
                        <w:sz w:val="20"/>
                      </w:rPr>
                    </w:pPr>
                    <w:r>
                      <w:rPr>
                        <w:sz w:val="20"/>
                      </w:rPr>
                      <w:t>Įdiegti taršos matavimo, mažinimo ir prevencijos priemones</w:t>
                    </w:r>
                  </w:p>
                </w:tc>
                <w:tc>
                  <w:tcPr>
                    <w:tcW w:w="850" w:type="dxa"/>
                    <w:vMerge w:val="restart"/>
                    <w:vAlign w:val="center"/>
                    <w:hideMark/>
                  </w:tcPr>
                  <w:p>
                    <w:pPr>
                      <w:jc w:val="center"/>
                      <w:rPr>
                        <w:sz w:val="20"/>
                      </w:rPr>
                    </w:pPr>
                    <w:r>
                      <w:rPr>
                        <w:sz w:val="20"/>
                      </w:rPr>
                      <w:t>MŪAS</w:t>
                    </w:r>
                  </w:p>
                </w:tc>
                <w:tc>
                  <w:tcPr>
                    <w:tcW w:w="709" w:type="dxa"/>
                    <w:vMerge w:val="restart"/>
                    <w:noWrap/>
                    <w:vAlign w:val="center"/>
                    <w:hideMark/>
                  </w:tcPr>
                  <w:p>
                    <w:pPr>
                      <w:jc w:val="center"/>
                      <w:rPr>
                        <w:sz w:val="20"/>
                      </w:rPr>
                    </w:pPr>
                    <w:r>
                      <w:rPr>
                        <w:sz w:val="20"/>
                      </w:rPr>
                      <w:t>2025</w:t>
                    </w:r>
                  </w:p>
                </w:tc>
                <w:tc>
                  <w:tcPr>
                    <w:tcW w:w="709" w:type="dxa"/>
                    <w:vMerge w:val="restart"/>
                    <w:noWrap/>
                    <w:vAlign w:val="center"/>
                    <w:hideMark/>
                  </w:tcPr>
                  <w:p>
                    <w:pPr>
                      <w:jc w:val="center"/>
                      <w:rPr>
                        <w:sz w:val="20"/>
                      </w:rPr>
                    </w:pPr>
                    <w:r>
                      <w:rPr>
                        <w:sz w:val="20"/>
                      </w:rPr>
                      <w:t>2033</w:t>
                    </w:r>
                  </w:p>
                </w:tc>
                <w:tc>
                  <w:tcPr>
                    <w:tcW w:w="1417" w:type="dxa"/>
                    <w:noWrap/>
                    <w:vAlign w:val="center"/>
                    <w:hideMark/>
                  </w:tcPr>
                  <w:p>
                    <w:pPr>
                      <w:rPr>
                        <w:sz w:val="20"/>
                      </w:rPr>
                    </w:pPr>
                    <w:r>
                      <w:rPr>
                        <w:sz w:val="20"/>
                      </w:rPr>
                      <w:t>P-13-01-03-01</w:t>
                    </w:r>
                  </w:p>
                </w:tc>
                <w:tc>
                  <w:tcPr>
                    <w:tcW w:w="4111" w:type="dxa"/>
                    <w:vAlign w:val="center"/>
                    <w:hideMark/>
                  </w:tcPr>
                  <w:p>
                    <w:pPr>
                      <w:rPr>
                        <w:sz w:val="20"/>
                      </w:rPr>
                    </w:pPr>
                    <w:r>
                      <w:rPr>
                        <w:sz w:val="20"/>
                      </w:rPr>
                      <w:t>Įdiegta mažos taršos zona (vnt.)</w:t>
                    </w:r>
                  </w:p>
                </w:tc>
                <w:tc>
                  <w:tcPr>
                    <w:tcW w:w="1134" w:type="dxa"/>
                    <w:vAlign w:val="center"/>
                    <w:hideMark/>
                  </w:tcPr>
                  <w:p>
                    <w:pPr>
                      <w:jc w:val="center"/>
                      <w:rPr>
                        <w:sz w:val="20"/>
                      </w:rPr>
                    </w:pPr>
                    <w:r>
                      <w:rPr>
                        <w:sz w:val="20"/>
                      </w:rPr>
                      <w:t>MŪAS</w:t>
                    </w:r>
                  </w:p>
                </w:tc>
                <w:tc>
                  <w:tcPr>
                    <w:tcW w:w="1134" w:type="dxa"/>
                    <w:noWrap/>
                    <w:vAlign w:val="center"/>
                    <w:hideMark/>
                  </w:tcPr>
                  <w:p>
                    <w:pPr>
                      <w:jc w:val="center"/>
                      <w:rPr>
                        <w:sz w:val="20"/>
                      </w:rPr>
                    </w:pPr>
                    <w:r>
                      <w:rPr>
                        <w:sz w:val="20"/>
                      </w:rPr>
                      <w:t>0 (2023)</w:t>
                    </w:r>
                  </w:p>
                </w:tc>
                <w:tc>
                  <w:tcPr>
                    <w:tcW w:w="1134" w:type="dxa"/>
                    <w:noWrap/>
                    <w:vAlign w:val="center"/>
                    <w:hideMark/>
                  </w:tcPr>
                  <w:p>
                    <w:pPr>
                      <w:jc w:val="center"/>
                      <w:rPr>
                        <w:sz w:val="20"/>
                      </w:rPr>
                    </w:pPr>
                    <w:r>
                      <w:rPr>
                        <w:sz w:val="20"/>
                      </w:rPr>
                      <w:t>1 (2026)</w:t>
                    </w:r>
                  </w:p>
                </w:tc>
              </w:tr>
              <w:tr>
                <w:trPr>
                  <w:trHeight w:val="293"/>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rPr>
                        <w:sz w:val="20"/>
                      </w:rPr>
                    </w:pPr>
                  </w:p>
                </w:tc>
                <w:tc>
                  <w:tcPr>
                    <w:tcW w:w="709" w:type="dxa"/>
                    <w:vMerge/>
                    <w:vAlign w:val="center"/>
                    <w:hideMark/>
                  </w:tcPr>
                  <w:p>
                    <w:pPr>
                      <w:rPr>
                        <w:sz w:val="20"/>
                      </w:rPr>
                    </w:pPr>
                  </w:p>
                </w:tc>
                <w:tc>
                  <w:tcPr>
                    <w:tcW w:w="709" w:type="dxa"/>
                    <w:vMerge/>
                    <w:vAlign w:val="center"/>
                    <w:hideMark/>
                  </w:tcPr>
                  <w:p>
                    <w:pPr>
                      <w:rPr>
                        <w:sz w:val="20"/>
                      </w:rPr>
                    </w:pPr>
                  </w:p>
                </w:tc>
                <w:tc>
                  <w:tcPr>
                    <w:tcW w:w="1417" w:type="dxa"/>
                    <w:noWrap/>
                    <w:vAlign w:val="center"/>
                    <w:hideMark/>
                  </w:tcPr>
                  <w:p>
                    <w:pPr>
                      <w:rPr>
                        <w:sz w:val="20"/>
                      </w:rPr>
                    </w:pPr>
                    <w:r>
                      <w:rPr>
                        <w:sz w:val="20"/>
                      </w:rPr>
                      <w:t>P-13-01-03-02</w:t>
                    </w:r>
                  </w:p>
                </w:tc>
                <w:tc>
                  <w:tcPr>
                    <w:tcW w:w="4111" w:type="dxa"/>
                    <w:vAlign w:val="center"/>
                    <w:hideMark/>
                  </w:tcPr>
                  <w:p>
                    <w:pPr>
                      <w:rPr>
                        <w:sz w:val="20"/>
                      </w:rPr>
                    </w:pPr>
                    <w:r>
                      <w:rPr>
                        <w:sz w:val="20"/>
                      </w:rPr>
                      <w:t>Patobulinta aplinkos monitoringo sistema (vnt.)</w:t>
                    </w:r>
                  </w:p>
                </w:tc>
                <w:tc>
                  <w:tcPr>
                    <w:tcW w:w="1134" w:type="dxa"/>
                    <w:vAlign w:val="center"/>
                    <w:hideMark/>
                  </w:tcPr>
                  <w:p>
                    <w:pPr>
                      <w:jc w:val="center"/>
                      <w:rPr>
                        <w:sz w:val="20"/>
                      </w:rPr>
                    </w:pPr>
                    <w:r>
                      <w:rPr>
                        <w:sz w:val="20"/>
                      </w:rPr>
                      <w:t>MŪAS</w:t>
                    </w:r>
                  </w:p>
                </w:tc>
                <w:tc>
                  <w:tcPr>
                    <w:tcW w:w="1134" w:type="dxa"/>
                    <w:noWrap/>
                    <w:vAlign w:val="center"/>
                    <w:hideMark/>
                  </w:tcPr>
                  <w:p>
                    <w:pPr>
                      <w:jc w:val="center"/>
                      <w:rPr>
                        <w:sz w:val="20"/>
                      </w:rPr>
                    </w:pPr>
                    <w:r>
                      <w:rPr>
                        <w:sz w:val="20"/>
                      </w:rPr>
                      <w:t>0 (2023)</w:t>
                    </w:r>
                  </w:p>
                </w:tc>
                <w:tc>
                  <w:tcPr>
                    <w:tcW w:w="1134" w:type="dxa"/>
                    <w:noWrap/>
                    <w:vAlign w:val="center"/>
                    <w:hideMark/>
                  </w:tcPr>
                  <w:p>
                    <w:pPr>
                      <w:jc w:val="center"/>
                      <w:rPr>
                        <w:sz w:val="20"/>
                      </w:rPr>
                    </w:pPr>
                    <w:r>
                      <w:rPr>
                        <w:sz w:val="20"/>
                      </w:rPr>
                      <w:t>1 (2028)</w:t>
                    </w:r>
                  </w:p>
                </w:tc>
              </w:tr>
              <w:tr>
                <w:trPr>
                  <w:trHeight w:val="941"/>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rPr>
                        <w:sz w:val="20"/>
                      </w:rPr>
                    </w:pPr>
                  </w:p>
                </w:tc>
                <w:tc>
                  <w:tcPr>
                    <w:tcW w:w="709" w:type="dxa"/>
                    <w:vMerge/>
                    <w:vAlign w:val="center"/>
                    <w:hideMark/>
                  </w:tcPr>
                  <w:p>
                    <w:pPr>
                      <w:rPr>
                        <w:sz w:val="20"/>
                      </w:rPr>
                    </w:pPr>
                  </w:p>
                </w:tc>
                <w:tc>
                  <w:tcPr>
                    <w:tcW w:w="709" w:type="dxa"/>
                    <w:vMerge/>
                    <w:vAlign w:val="center"/>
                    <w:hideMark/>
                  </w:tcPr>
                  <w:p>
                    <w:pPr>
                      <w:rPr>
                        <w:sz w:val="20"/>
                      </w:rPr>
                    </w:pPr>
                  </w:p>
                </w:tc>
                <w:tc>
                  <w:tcPr>
                    <w:tcW w:w="1417" w:type="dxa"/>
                    <w:noWrap/>
                    <w:vAlign w:val="center"/>
                    <w:hideMark/>
                  </w:tcPr>
                  <w:p>
                    <w:pPr>
                      <w:rPr>
                        <w:sz w:val="20"/>
                      </w:rPr>
                    </w:pPr>
                    <w:r>
                      <w:rPr>
                        <w:sz w:val="20"/>
                      </w:rPr>
                      <w:t>P-13-01-03-03</w:t>
                    </w:r>
                  </w:p>
                </w:tc>
                <w:tc>
                  <w:tcPr>
                    <w:tcW w:w="4111" w:type="dxa"/>
                    <w:vAlign w:val="center"/>
                    <w:hideMark/>
                  </w:tcPr>
                  <w:p>
                    <w:pPr>
                      <w:rPr>
                        <w:sz w:val="20"/>
                      </w:rPr>
                    </w:pPr>
                    <w:r>
                      <w:rPr>
                        <w:sz w:val="20"/>
                      </w:rPr>
                      <w:t>Gatvių, kuriose naudojama MaCh arba kitos alternatyvios medžiagos dulkėtumui vasarą mažinti, dalis, palyginti su visomis žvyruotomis gatvėmis (proc.)</w:t>
                    </w:r>
                  </w:p>
                </w:tc>
                <w:tc>
                  <w:tcPr>
                    <w:tcW w:w="1134" w:type="dxa"/>
                    <w:vAlign w:val="center"/>
                    <w:hideMark/>
                  </w:tcPr>
                  <w:p>
                    <w:pPr>
                      <w:jc w:val="center"/>
                      <w:rPr>
                        <w:sz w:val="20"/>
                      </w:rPr>
                    </w:pPr>
                    <w:r>
                      <w:rPr>
                        <w:sz w:val="20"/>
                      </w:rPr>
                      <w:t>MŪAS</w:t>
                    </w:r>
                  </w:p>
                </w:tc>
                <w:tc>
                  <w:tcPr>
                    <w:tcW w:w="1134" w:type="dxa"/>
                    <w:noWrap/>
                    <w:vAlign w:val="center"/>
                    <w:hideMark/>
                  </w:tcPr>
                  <w:p>
                    <w:pPr>
                      <w:jc w:val="center"/>
                      <w:rPr>
                        <w:sz w:val="20"/>
                      </w:rPr>
                    </w:pPr>
                    <w:r>
                      <w:rPr>
                        <w:sz w:val="20"/>
                      </w:rPr>
                      <w:t>5 (2023)</w:t>
                    </w:r>
                  </w:p>
                </w:tc>
                <w:tc>
                  <w:tcPr>
                    <w:tcW w:w="1134" w:type="dxa"/>
                    <w:vAlign w:val="center"/>
                    <w:hideMark/>
                  </w:tcPr>
                  <w:p>
                    <w:pPr>
                      <w:jc w:val="center"/>
                      <w:rPr>
                        <w:sz w:val="20"/>
                      </w:rPr>
                    </w:pPr>
                    <w:r>
                      <w:rPr>
                        <w:sz w:val="20"/>
                      </w:rPr>
                      <w:t>30 (2033)</w:t>
                    </w:r>
                  </w:p>
                </w:tc>
              </w:tr>
              <w:tr>
                <w:trPr>
                  <w:trHeight w:val="651"/>
                  <w:jc w:val="center"/>
                </w:trPr>
                <w:tc>
                  <w:tcPr>
                    <w:tcW w:w="988" w:type="dxa"/>
                    <w:vMerge w:val="restart"/>
                    <w:noWrap/>
                    <w:vAlign w:val="center"/>
                    <w:hideMark/>
                  </w:tcPr>
                  <w:p>
                    <w:pPr>
                      <w:rPr>
                        <w:sz w:val="20"/>
                      </w:rPr>
                    </w:pPr>
                    <w:r>
                      <w:rPr>
                        <w:sz w:val="20"/>
                      </w:rPr>
                      <w:t>13-01-04</w:t>
                    </w:r>
                  </w:p>
                </w:tc>
                <w:tc>
                  <w:tcPr>
                    <w:tcW w:w="2126" w:type="dxa"/>
                    <w:vMerge w:val="restart"/>
                    <w:vAlign w:val="center"/>
                    <w:hideMark/>
                  </w:tcPr>
                  <w:p>
                    <w:pPr>
                      <w:rPr>
                        <w:sz w:val="20"/>
                      </w:rPr>
                    </w:pPr>
                    <w:r>
                      <w:rPr>
                        <w:sz w:val="20"/>
                      </w:rPr>
                      <w:t>Skatinti atsinaujinančių išteklių naudojimą Šiaulių mieste</w:t>
                    </w:r>
                  </w:p>
                </w:tc>
                <w:tc>
                  <w:tcPr>
                    <w:tcW w:w="850" w:type="dxa"/>
                    <w:vMerge w:val="restart"/>
                    <w:vAlign w:val="center"/>
                    <w:hideMark/>
                  </w:tcPr>
                  <w:p>
                    <w:pPr>
                      <w:jc w:val="center"/>
                      <w:rPr>
                        <w:sz w:val="20"/>
                      </w:rPr>
                    </w:pPr>
                    <w:r>
                      <w:rPr>
                        <w:sz w:val="20"/>
                      </w:rPr>
                      <w:t>MŪAS</w:t>
                    </w:r>
                  </w:p>
                </w:tc>
                <w:tc>
                  <w:tcPr>
                    <w:tcW w:w="709" w:type="dxa"/>
                    <w:vMerge w:val="restart"/>
                    <w:noWrap/>
                    <w:vAlign w:val="center"/>
                    <w:hideMark/>
                  </w:tcPr>
                  <w:p>
                    <w:pPr>
                      <w:jc w:val="center"/>
                      <w:rPr>
                        <w:sz w:val="20"/>
                      </w:rPr>
                    </w:pPr>
                    <w:r>
                      <w:rPr>
                        <w:sz w:val="20"/>
                      </w:rPr>
                      <w:t>2025</w:t>
                    </w:r>
                  </w:p>
                </w:tc>
                <w:tc>
                  <w:tcPr>
                    <w:tcW w:w="709" w:type="dxa"/>
                    <w:vMerge w:val="restart"/>
                    <w:noWrap/>
                    <w:vAlign w:val="center"/>
                    <w:hideMark/>
                  </w:tcPr>
                  <w:p>
                    <w:pPr>
                      <w:jc w:val="center"/>
                      <w:rPr>
                        <w:sz w:val="20"/>
                      </w:rPr>
                    </w:pPr>
                    <w:r>
                      <w:rPr>
                        <w:sz w:val="20"/>
                      </w:rPr>
                      <w:t>2033</w:t>
                    </w:r>
                  </w:p>
                </w:tc>
                <w:tc>
                  <w:tcPr>
                    <w:tcW w:w="1417" w:type="dxa"/>
                    <w:noWrap/>
                    <w:vAlign w:val="center"/>
                    <w:hideMark/>
                  </w:tcPr>
                  <w:p>
                    <w:pPr>
                      <w:rPr>
                        <w:sz w:val="20"/>
                      </w:rPr>
                    </w:pPr>
                    <w:r>
                      <w:rPr>
                        <w:sz w:val="20"/>
                      </w:rPr>
                      <w:t>P-13-01-04-01</w:t>
                    </w:r>
                  </w:p>
                </w:tc>
                <w:tc>
                  <w:tcPr>
                    <w:tcW w:w="4111" w:type="dxa"/>
                    <w:vAlign w:val="center"/>
                    <w:hideMark/>
                  </w:tcPr>
                  <w:p>
                    <w:pPr>
                      <w:rPr>
                        <w:sz w:val="20"/>
                      </w:rPr>
                    </w:pPr>
                    <w:r>
                      <w:rPr>
                        <w:sz w:val="20"/>
                      </w:rPr>
                      <w:t xml:space="preserve">Santykinės šilumos, tiekiamos Šiaulių m. CŠT, sąnaudos </w:t>
                    </w:r>
                    <w:r>
                      <w:rPr>
                        <w:sz w:val="20"/>
                        <w:lang w:val="en-GB"/>
                      </w:rPr>
                      <w:t>1 m²</w:t>
                    </w:r>
                    <w:r>
                      <w:rPr>
                        <w:sz w:val="20"/>
                      </w:rPr>
                      <w:t xml:space="preserve"> gyvenamojo pastato naudingojo ploto šildyti vienam dienolaipsniui (kW)</w:t>
                    </w:r>
                  </w:p>
                </w:tc>
                <w:tc>
                  <w:tcPr>
                    <w:tcW w:w="1134" w:type="dxa"/>
                    <w:vAlign w:val="center"/>
                    <w:hideMark/>
                  </w:tcPr>
                  <w:p>
                    <w:pPr>
                      <w:jc w:val="center"/>
                      <w:rPr>
                        <w:sz w:val="20"/>
                      </w:rPr>
                    </w:pPr>
                    <w:r>
                      <w:rPr>
                        <w:sz w:val="20"/>
                      </w:rPr>
                      <w:t>ŠE</w:t>
                    </w:r>
                  </w:p>
                </w:tc>
                <w:tc>
                  <w:tcPr>
                    <w:tcW w:w="1134" w:type="dxa"/>
                    <w:noWrap/>
                    <w:vAlign w:val="center"/>
                    <w:hideMark/>
                  </w:tcPr>
                  <w:p>
                    <w:pPr>
                      <w:jc w:val="center"/>
                      <w:rPr>
                        <w:sz w:val="20"/>
                      </w:rPr>
                    </w:pPr>
                    <w:r>
                      <w:rPr>
                        <w:sz w:val="20"/>
                      </w:rPr>
                      <w:t>0,0295 (2023)</w:t>
                    </w:r>
                  </w:p>
                </w:tc>
                <w:tc>
                  <w:tcPr>
                    <w:tcW w:w="1134" w:type="dxa"/>
                    <w:noWrap/>
                    <w:vAlign w:val="center"/>
                    <w:hideMark/>
                  </w:tcPr>
                  <w:p>
                    <w:pPr>
                      <w:jc w:val="center"/>
                      <w:rPr>
                        <w:sz w:val="20"/>
                      </w:rPr>
                    </w:pPr>
                    <w:r>
                      <w:rPr>
                        <w:sz w:val="20"/>
                      </w:rPr>
                      <w:t>0,0289 (2033)</w:t>
                    </w:r>
                  </w:p>
                </w:tc>
              </w:tr>
              <w:tr>
                <w:trPr>
                  <w:trHeight w:val="910"/>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rPr>
                        <w:sz w:val="20"/>
                      </w:rPr>
                    </w:pPr>
                  </w:p>
                </w:tc>
                <w:tc>
                  <w:tcPr>
                    <w:tcW w:w="709" w:type="dxa"/>
                    <w:vMerge/>
                    <w:vAlign w:val="center"/>
                    <w:hideMark/>
                  </w:tcPr>
                  <w:p>
                    <w:pPr>
                      <w:rPr>
                        <w:sz w:val="20"/>
                      </w:rPr>
                    </w:pPr>
                  </w:p>
                </w:tc>
                <w:tc>
                  <w:tcPr>
                    <w:tcW w:w="709" w:type="dxa"/>
                    <w:vMerge/>
                    <w:vAlign w:val="center"/>
                    <w:hideMark/>
                  </w:tcPr>
                  <w:p>
                    <w:pPr>
                      <w:rPr>
                        <w:sz w:val="20"/>
                      </w:rPr>
                    </w:pPr>
                  </w:p>
                </w:tc>
                <w:tc>
                  <w:tcPr>
                    <w:tcW w:w="1417" w:type="dxa"/>
                    <w:noWrap/>
                    <w:vAlign w:val="center"/>
                    <w:hideMark/>
                  </w:tcPr>
                  <w:p>
                    <w:pPr>
                      <w:rPr>
                        <w:sz w:val="20"/>
                      </w:rPr>
                    </w:pPr>
                    <w:r>
                      <w:rPr>
                        <w:sz w:val="20"/>
                      </w:rPr>
                      <w:t>P-13-01-04-02</w:t>
                    </w:r>
                  </w:p>
                </w:tc>
                <w:tc>
                  <w:tcPr>
                    <w:tcW w:w="4111" w:type="dxa"/>
                    <w:vAlign w:val="center"/>
                    <w:hideMark/>
                  </w:tcPr>
                  <w:p>
                    <w:pPr>
                      <w:rPr>
                        <w:sz w:val="20"/>
                      </w:rPr>
                    </w:pPr>
                    <w:r>
                      <w:rPr>
                        <w:sz w:val="20"/>
                      </w:rPr>
                      <w:t>Centralizuotai tiekiamos šilumos energijos, pagamintos iš atsinaujinančių energijos išteklių, dalis pagal šilumos energijos balansą Pietinės katilinės centralizuoto šilumos tiekimo sistemoje (proc.)</w:t>
                    </w:r>
                  </w:p>
                </w:tc>
                <w:tc>
                  <w:tcPr>
                    <w:tcW w:w="1134" w:type="dxa"/>
                    <w:vAlign w:val="center"/>
                    <w:hideMark/>
                  </w:tcPr>
                  <w:p>
                    <w:pPr>
                      <w:jc w:val="center"/>
                      <w:rPr>
                        <w:sz w:val="20"/>
                      </w:rPr>
                    </w:pPr>
                    <w:r>
                      <w:rPr>
                        <w:sz w:val="20"/>
                      </w:rPr>
                      <w:t>ŠE</w:t>
                    </w:r>
                  </w:p>
                </w:tc>
                <w:tc>
                  <w:tcPr>
                    <w:tcW w:w="1134" w:type="dxa"/>
                    <w:noWrap/>
                    <w:vAlign w:val="center"/>
                    <w:hideMark/>
                  </w:tcPr>
                  <w:p>
                    <w:pPr>
                      <w:jc w:val="center"/>
                      <w:rPr>
                        <w:sz w:val="20"/>
                      </w:rPr>
                    </w:pPr>
                    <w:r>
                      <w:rPr>
                        <w:sz w:val="20"/>
                      </w:rPr>
                      <w:t>80 (2023)</w:t>
                    </w:r>
                  </w:p>
                </w:tc>
                <w:tc>
                  <w:tcPr>
                    <w:tcW w:w="1134" w:type="dxa"/>
                    <w:noWrap/>
                    <w:vAlign w:val="center"/>
                    <w:hideMark/>
                  </w:tcPr>
                  <w:p>
                    <w:pPr>
                      <w:jc w:val="center"/>
                      <w:rPr>
                        <w:sz w:val="20"/>
                      </w:rPr>
                    </w:pPr>
                    <w:r>
                      <w:rPr>
                        <w:sz w:val="20"/>
                      </w:rPr>
                      <w:t>90 (2033)</w:t>
                    </w:r>
                  </w:p>
                </w:tc>
              </w:tr>
              <w:tr>
                <w:trPr>
                  <w:trHeight w:val="683"/>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rPr>
                        <w:sz w:val="20"/>
                      </w:rPr>
                    </w:pPr>
                  </w:p>
                </w:tc>
                <w:tc>
                  <w:tcPr>
                    <w:tcW w:w="709" w:type="dxa"/>
                    <w:vMerge/>
                    <w:vAlign w:val="center"/>
                    <w:hideMark/>
                  </w:tcPr>
                  <w:p>
                    <w:pPr>
                      <w:rPr>
                        <w:sz w:val="20"/>
                      </w:rPr>
                    </w:pPr>
                  </w:p>
                </w:tc>
                <w:tc>
                  <w:tcPr>
                    <w:tcW w:w="709" w:type="dxa"/>
                    <w:vMerge/>
                    <w:vAlign w:val="center"/>
                    <w:hideMark/>
                  </w:tcPr>
                  <w:p>
                    <w:pPr>
                      <w:rPr>
                        <w:sz w:val="20"/>
                      </w:rPr>
                    </w:pPr>
                  </w:p>
                </w:tc>
                <w:tc>
                  <w:tcPr>
                    <w:tcW w:w="1417" w:type="dxa"/>
                    <w:noWrap/>
                    <w:vAlign w:val="center"/>
                    <w:hideMark/>
                  </w:tcPr>
                  <w:p>
                    <w:pPr>
                      <w:rPr>
                        <w:sz w:val="20"/>
                      </w:rPr>
                    </w:pPr>
                    <w:r>
                      <w:rPr>
                        <w:sz w:val="20"/>
                      </w:rPr>
                      <w:t>P-13-01-04-03</w:t>
                    </w:r>
                  </w:p>
                </w:tc>
                <w:tc>
                  <w:tcPr>
                    <w:tcW w:w="4111" w:type="dxa"/>
                    <w:vAlign w:val="center"/>
                    <w:hideMark/>
                  </w:tcPr>
                  <w:p>
                    <w:pPr>
                      <w:rPr>
                        <w:sz w:val="20"/>
                      </w:rPr>
                    </w:pPr>
                    <w:r>
                      <w:rPr>
                        <w:sz w:val="20"/>
                      </w:rPr>
                      <w:t>Savivaldybės įstaigų ir įmonių, įdiegusių atsinaujinančių ir alternatyvių energijos išteklių priemones savo pastatuose, dalis (proc.)</w:t>
                    </w:r>
                  </w:p>
                </w:tc>
                <w:tc>
                  <w:tcPr>
                    <w:tcW w:w="1134" w:type="dxa"/>
                    <w:vAlign w:val="center"/>
                    <w:hideMark/>
                  </w:tcPr>
                  <w:p>
                    <w:pPr>
                      <w:jc w:val="center"/>
                      <w:rPr>
                        <w:sz w:val="20"/>
                      </w:rPr>
                    </w:pPr>
                    <w:r>
                      <w:rPr>
                        <w:sz w:val="20"/>
                      </w:rPr>
                      <w:t>MŪAS</w:t>
                    </w:r>
                  </w:p>
                </w:tc>
                <w:tc>
                  <w:tcPr>
                    <w:tcW w:w="1134" w:type="dxa"/>
                    <w:noWrap/>
                    <w:vAlign w:val="center"/>
                    <w:hideMark/>
                  </w:tcPr>
                  <w:p>
                    <w:pPr>
                      <w:jc w:val="center"/>
                      <w:rPr>
                        <w:sz w:val="20"/>
                      </w:rPr>
                    </w:pPr>
                    <w:r>
                      <w:rPr>
                        <w:sz w:val="20"/>
                      </w:rPr>
                      <w:t>13 (2023)</w:t>
                    </w:r>
                  </w:p>
                </w:tc>
                <w:tc>
                  <w:tcPr>
                    <w:tcW w:w="1134" w:type="dxa"/>
                    <w:noWrap/>
                    <w:vAlign w:val="center"/>
                    <w:hideMark/>
                  </w:tcPr>
                  <w:p>
                    <w:pPr>
                      <w:jc w:val="center"/>
                      <w:rPr>
                        <w:sz w:val="20"/>
                      </w:rPr>
                    </w:pPr>
                    <w:r>
                      <w:rPr>
                        <w:sz w:val="20"/>
                      </w:rPr>
                      <w:t>80 (2033)</w:t>
                    </w:r>
                  </w:p>
                </w:tc>
              </w:tr>
              <w:tr>
                <w:trPr>
                  <w:trHeight w:val="693"/>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rPr>
                        <w:sz w:val="20"/>
                      </w:rPr>
                    </w:pPr>
                  </w:p>
                </w:tc>
                <w:tc>
                  <w:tcPr>
                    <w:tcW w:w="709" w:type="dxa"/>
                    <w:vMerge/>
                    <w:vAlign w:val="center"/>
                    <w:hideMark/>
                  </w:tcPr>
                  <w:p>
                    <w:pPr>
                      <w:rPr>
                        <w:sz w:val="20"/>
                      </w:rPr>
                    </w:pPr>
                  </w:p>
                </w:tc>
                <w:tc>
                  <w:tcPr>
                    <w:tcW w:w="709" w:type="dxa"/>
                    <w:vMerge/>
                    <w:vAlign w:val="center"/>
                    <w:hideMark/>
                  </w:tcPr>
                  <w:p>
                    <w:pPr>
                      <w:rPr>
                        <w:sz w:val="20"/>
                      </w:rPr>
                    </w:pPr>
                  </w:p>
                </w:tc>
                <w:tc>
                  <w:tcPr>
                    <w:tcW w:w="1417" w:type="dxa"/>
                    <w:noWrap/>
                    <w:vAlign w:val="center"/>
                    <w:hideMark/>
                  </w:tcPr>
                  <w:p>
                    <w:pPr>
                      <w:rPr>
                        <w:sz w:val="20"/>
                      </w:rPr>
                    </w:pPr>
                    <w:r>
                      <w:rPr>
                        <w:sz w:val="20"/>
                      </w:rPr>
                      <w:t>P-13-01-04-04</w:t>
                    </w:r>
                  </w:p>
                </w:tc>
                <w:tc>
                  <w:tcPr>
                    <w:tcW w:w="4111" w:type="dxa"/>
                    <w:vAlign w:val="center"/>
                    <w:hideMark/>
                  </w:tcPr>
                  <w:p>
                    <w:pPr>
                      <w:rPr>
                        <w:sz w:val="20"/>
                      </w:rPr>
                    </w:pPr>
                    <w:r>
                      <w:rPr>
                        <w:sz w:val="20"/>
                      </w:rPr>
                      <w:t>Savivaldybės administracijos suvartojamos elektros energijos dalis iš atsinaujinančių išteklių energijos šaltinių (proc.)</w:t>
                    </w:r>
                  </w:p>
                </w:tc>
                <w:tc>
                  <w:tcPr>
                    <w:tcW w:w="1134" w:type="dxa"/>
                    <w:vAlign w:val="center"/>
                    <w:hideMark/>
                  </w:tcPr>
                  <w:p>
                    <w:pPr>
                      <w:jc w:val="center"/>
                      <w:rPr>
                        <w:sz w:val="20"/>
                      </w:rPr>
                    </w:pPr>
                    <w:r>
                      <w:rPr>
                        <w:sz w:val="20"/>
                      </w:rPr>
                      <w:t>MŪAS</w:t>
                    </w:r>
                  </w:p>
                </w:tc>
                <w:tc>
                  <w:tcPr>
                    <w:tcW w:w="1134" w:type="dxa"/>
                    <w:noWrap/>
                    <w:vAlign w:val="center"/>
                    <w:hideMark/>
                  </w:tcPr>
                  <w:p>
                    <w:pPr>
                      <w:jc w:val="center"/>
                      <w:rPr>
                        <w:sz w:val="20"/>
                      </w:rPr>
                    </w:pPr>
                    <w:r>
                      <w:rPr>
                        <w:sz w:val="20"/>
                      </w:rPr>
                      <w:t>0 (2023)</w:t>
                    </w:r>
                  </w:p>
                </w:tc>
                <w:tc>
                  <w:tcPr>
                    <w:tcW w:w="1134" w:type="dxa"/>
                    <w:noWrap/>
                    <w:vAlign w:val="center"/>
                    <w:hideMark/>
                  </w:tcPr>
                  <w:p>
                    <w:pPr>
                      <w:jc w:val="center"/>
                      <w:rPr>
                        <w:sz w:val="20"/>
                      </w:rPr>
                    </w:pPr>
                    <w:r>
                      <w:rPr>
                        <w:sz w:val="20"/>
                      </w:rPr>
                      <w:t>100 (2033)</w:t>
                    </w:r>
                  </w:p>
                </w:tc>
              </w:tr>
              <w:tr>
                <w:trPr>
                  <w:trHeight w:val="670"/>
                  <w:jc w:val="center"/>
                </w:trPr>
                <w:tc>
                  <w:tcPr>
                    <w:tcW w:w="988" w:type="dxa"/>
                    <w:vMerge w:val="restart"/>
                    <w:shd w:val="clear" w:color="auto" w:fill="FCE4D6"/>
                    <w:noWrap/>
                    <w:vAlign w:val="center"/>
                    <w:hideMark/>
                  </w:tcPr>
                  <w:p>
                    <w:pPr>
                      <w:rPr>
                        <w:b/>
                        <w:bCs/>
                        <w:sz w:val="20"/>
                      </w:rPr>
                    </w:pPr>
                    <w:r>
                      <w:rPr>
                        <w:b/>
                        <w:bCs/>
                        <w:sz w:val="20"/>
                      </w:rPr>
                      <w:t>13-02</w:t>
                    </w:r>
                  </w:p>
                </w:tc>
                <w:tc>
                  <w:tcPr>
                    <w:tcW w:w="2126" w:type="dxa"/>
                    <w:vMerge w:val="restart"/>
                    <w:shd w:val="clear" w:color="auto" w:fill="FCE4D6"/>
                    <w:vAlign w:val="center"/>
                    <w:hideMark/>
                  </w:tcPr>
                  <w:p>
                    <w:pPr>
                      <w:rPr>
                        <w:b/>
                        <w:bCs/>
                        <w:sz w:val="20"/>
                      </w:rPr>
                    </w:pPr>
                    <w:r>
                      <w:rPr>
                        <w:b/>
                        <w:bCs/>
                        <w:sz w:val="20"/>
                      </w:rPr>
                      <w:t>Taikyti žiedinės ekonomikos principus komunalinių atliekų tvarkyme</w:t>
                    </w:r>
                  </w:p>
                </w:tc>
                <w:tc>
                  <w:tcPr>
                    <w:tcW w:w="850" w:type="dxa"/>
                    <w:vMerge w:val="restart"/>
                    <w:shd w:val="clear" w:color="auto" w:fill="FCE4D6"/>
                    <w:vAlign w:val="center"/>
                    <w:hideMark/>
                  </w:tcPr>
                  <w:p>
                    <w:pPr>
                      <w:jc w:val="center"/>
                      <w:rPr>
                        <w:sz w:val="20"/>
                      </w:rPr>
                    </w:pPr>
                    <w:r>
                      <w:rPr>
                        <w:sz w:val="20"/>
                      </w:rPr>
                      <w:t>MŪAS</w:t>
                    </w:r>
                  </w:p>
                </w:tc>
                <w:tc>
                  <w:tcPr>
                    <w:tcW w:w="709" w:type="dxa"/>
                    <w:vMerge w:val="restart"/>
                    <w:shd w:val="clear" w:color="auto" w:fill="FCE4D6"/>
                    <w:noWrap/>
                    <w:vAlign w:val="center"/>
                    <w:hideMark/>
                  </w:tcPr>
                  <w:p>
                    <w:pPr>
                      <w:jc w:val="center"/>
                      <w:rPr>
                        <w:sz w:val="20"/>
                      </w:rPr>
                    </w:pPr>
                    <w:r>
                      <w:rPr>
                        <w:sz w:val="20"/>
                      </w:rPr>
                      <w:t>2025</w:t>
                    </w:r>
                  </w:p>
                </w:tc>
                <w:tc>
                  <w:tcPr>
                    <w:tcW w:w="709" w:type="dxa"/>
                    <w:vMerge w:val="restart"/>
                    <w:shd w:val="clear" w:color="auto" w:fill="FCE4D6"/>
                    <w:noWrap/>
                    <w:vAlign w:val="center"/>
                    <w:hideMark/>
                  </w:tcPr>
                  <w:p>
                    <w:pPr>
                      <w:jc w:val="center"/>
                      <w:rPr>
                        <w:sz w:val="20"/>
                      </w:rPr>
                    </w:pPr>
                    <w:r>
                      <w:rPr>
                        <w:sz w:val="20"/>
                      </w:rPr>
                      <w:t>2030</w:t>
                    </w:r>
                  </w:p>
                </w:tc>
                <w:tc>
                  <w:tcPr>
                    <w:tcW w:w="1417" w:type="dxa"/>
                    <w:shd w:val="clear" w:color="auto" w:fill="FCE4D6"/>
                    <w:noWrap/>
                    <w:vAlign w:val="center"/>
                    <w:hideMark/>
                  </w:tcPr>
                  <w:p>
                    <w:pPr>
                      <w:rPr>
                        <w:sz w:val="20"/>
                      </w:rPr>
                    </w:pPr>
                    <w:r>
                      <w:rPr>
                        <w:sz w:val="20"/>
                      </w:rPr>
                      <w:t>R-13-02-01</w:t>
                    </w:r>
                  </w:p>
                </w:tc>
                <w:tc>
                  <w:tcPr>
                    <w:tcW w:w="4111" w:type="dxa"/>
                    <w:shd w:val="clear" w:color="auto" w:fill="FCE4D6"/>
                    <w:vAlign w:val="center"/>
                    <w:hideMark/>
                  </w:tcPr>
                  <w:p>
                    <w:pPr>
                      <w:rPr>
                        <w:sz w:val="20"/>
                      </w:rPr>
                    </w:pPr>
                    <w:r>
                      <w:rPr>
                        <w:sz w:val="20"/>
                      </w:rPr>
                      <w:t>Sąvartynuose šalinamų komunalinių atliekų dalis nuo visų susidariusių komunalinių atliekų (proc.)</w:t>
                    </w:r>
                  </w:p>
                </w:tc>
                <w:tc>
                  <w:tcPr>
                    <w:tcW w:w="1134" w:type="dxa"/>
                    <w:shd w:val="clear" w:color="auto" w:fill="FCE4D6"/>
                    <w:vAlign w:val="center"/>
                    <w:hideMark/>
                  </w:tcPr>
                  <w:p>
                    <w:pPr>
                      <w:jc w:val="center"/>
                      <w:rPr>
                        <w:sz w:val="20"/>
                      </w:rPr>
                    </w:pPr>
                    <w:r>
                      <w:rPr>
                        <w:sz w:val="20"/>
                      </w:rPr>
                      <w:t>ŠMSA (ŠRATC)</w:t>
                    </w:r>
                  </w:p>
                </w:tc>
                <w:tc>
                  <w:tcPr>
                    <w:tcW w:w="1134" w:type="dxa"/>
                    <w:shd w:val="clear" w:color="auto" w:fill="FCE4D6"/>
                    <w:noWrap/>
                    <w:vAlign w:val="center"/>
                    <w:hideMark/>
                  </w:tcPr>
                  <w:p>
                    <w:pPr>
                      <w:jc w:val="center"/>
                      <w:rPr>
                        <w:sz w:val="20"/>
                      </w:rPr>
                    </w:pPr>
                    <w:r>
                      <w:rPr>
                        <w:sz w:val="20"/>
                      </w:rPr>
                      <w:t>13,25 (2023)</w:t>
                    </w:r>
                  </w:p>
                </w:tc>
                <w:tc>
                  <w:tcPr>
                    <w:tcW w:w="1134" w:type="dxa"/>
                    <w:shd w:val="clear" w:color="auto" w:fill="FCE4D6"/>
                    <w:noWrap/>
                    <w:vAlign w:val="center"/>
                    <w:hideMark/>
                  </w:tcPr>
                  <w:p>
                    <w:pPr>
                      <w:jc w:val="center"/>
                      <w:rPr>
                        <w:sz w:val="20"/>
                      </w:rPr>
                    </w:pPr>
                    <w:r>
                      <w:rPr>
                        <w:sz w:val="20"/>
                      </w:rPr>
                      <w:t>5 (2033)</w:t>
                    </w:r>
                  </w:p>
                </w:tc>
              </w:tr>
              <w:tr>
                <w:trPr>
                  <w:trHeight w:val="429"/>
                  <w:jc w:val="center"/>
                </w:trPr>
                <w:tc>
                  <w:tcPr>
                    <w:tcW w:w="988" w:type="dxa"/>
                    <w:vMerge/>
                    <w:shd w:val="clear" w:color="auto" w:fill="FCE4D6"/>
                    <w:vAlign w:val="center"/>
                    <w:hideMark/>
                  </w:tcPr>
                  <w:p>
                    <w:pPr>
                      <w:rPr>
                        <w:b/>
                        <w:bCs/>
                        <w:sz w:val="20"/>
                      </w:rPr>
                    </w:pPr>
                  </w:p>
                </w:tc>
                <w:tc>
                  <w:tcPr>
                    <w:tcW w:w="2126" w:type="dxa"/>
                    <w:vMerge/>
                    <w:shd w:val="clear" w:color="auto" w:fill="FCE4D6"/>
                    <w:vAlign w:val="center"/>
                    <w:hideMark/>
                  </w:tcPr>
                  <w:p>
                    <w:pPr>
                      <w:rPr>
                        <w:b/>
                        <w:bCs/>
                        <w:sz w:val="20"/>
                      </w:rPr>
                    </w:pPr>
                  </w:p>
                </w:tc>
                <w:tc>
                  <w:tcPr>
                    <w:tcW w:w="850" w:type="dxa"/>
                    <w:vMerge/>
                    <w:shd w:val="clear" w:color="auto" w:fill="FCE4D6"/>
                    <w:vAlign w:val="center"/>
                    <w:hideMark/>
                  </w:tcPr>
                  <w:p>
                    <w:pPr>
                      <w:rPr>
                        <w:sz w:val="20"/>
                      </w:rPr>
                    </w:pPr>
                  </w:p>
                </w:tc>
                <w:tc>
                  <w:tcPr>
                    <w:tcW w:w="709" w:type="dxa"/>
                    <w:vMerge/>
                    <w:shd w:val="clear" w:color="auto" w:fill="FCE4D6"/>
                    <w:vAlign w:val="center"/>
                    <w:hideMark/>
                  </w:tcPr>
                  <w:p>
                    <w:pPr>
                      <w:rPr>
                        <w:sz w:val="20"/>
                      </w:rPr>
                    </w:pPr>
                  </w:p>
                </w:tc>
                <w:tc>
                  <w:tcPr>
                    <w:tcW w:w="709" w:type="dxa"/>
                    <w:vMerge/>
                    <w:shd w:val="clear" w:color="auto" w:fill="FCE4D6"/>
                    <w:vAlign w:val="center"/>
                    <w:hideMark/>
                  </w:tcPr>
                  <w:p>
                    <w:pPr>
                      <w:rPr>
                        <w:sz w:val="20"/>
                      </w:rPr>
                    </w:pPr>
                  </w:p>
                </w:tc>
                <w:tc>
                  <w:tcPr>
                    <w:tcW w:w="1417" w:type="dxa"/>
                    <w:shd w:val="clear" w:color="auto" w:fill="FCE4D6"/>
                    <w:noWrap/>
                    <w:vAlign w:val="center"/>
                    <w:hideMark/>
                  </w:tcPr>
                  <w:p>
                    <w:pPr>
                      <w:rPr>
                        <w:sz w:val="20"/>
                      </w:rPr>
                    </w:pPr>
                    <w:r>
                      <w:rPr>
                        <w:sz w:val="20"/>
                      </w:rPr>
                      <w:t>R-13-02-02</w:t>
                    </w:r>
                  </w:p>
                </w:tc>
                <w:tc>
                  <w:tcPr>
                    <w:tcW w:w="4111" w:type="dxa"/>
                    <w:shd w:val="clear" w:color="auto" w:fill="FCE4D6"/>
                    <w:vAlign w:val="center"/>
                    <w:hideMark/>
                  </w:tcPr>
                  <w:p>
                    <w:pPr>
                      <w:rPr>
                        <w:sz w:val="20"/>
                      </w:rPr>
                    </w:pPr>
                    <w:r>
                      <w:rPr>
                        <w:sz w:val="20"/>
                      </w:rPr>
                      <w:t>Atliekų, tenkančių vienam gyventojui, kiekis (kg/1 gyv.)</w:t>
                    </w:r>
                  </w:p>
                </w:tc>
                <w:tc>
                  <w:tcPr>
                    <w:tcW w:w="1134" w:type="dxa"/>
                    <w:shd w:val="clear" w:color="auto" w:fill="FCE4D6"/>
                    <w:vAlign w:val="center"/>
                    <w:hideMark/>
                  </w:tcPr>
                  <w:p>
                    <w:pPr>
                      <w:jc w:val="center"/>
                      <w:rPr>
                        <w:sz w:val="20"/>
                      </w:rPr>
                    </w:pPr>
                    <w:r>
                      <w:rPr>
                        <w:sz w:val="20"/>
                      </w:rPr>
                      <w:t>ŠMSA (ŠRATC)</w:t>
                    </w:r>
                  </w:p>
                </w:tc>
                <w:tc>
                  <w:tcPr>
                    <w:tcW w:w="1134" w:type="dxa"/>
                    <w:shd w:val="clear" w:color="auto" w:fill="FCE4D6"/>
                    <w:noWrap/>
                    <w:vAlign w:val="center"/>
                    <w:hideMark/>
                  </w:tcPr>
                  <w:p>
                    <w:pPr>
                      <w:jc w:val="center"/>
                      <w:rPr>
                        <w:sz w:val="20"/>
                      </w:rPr>
                    </w:pPr>
                    <w:r>
                      <w:rPr>
                        <w:sz w:val="20"/>
                      </w:rPr>
                      <w:t>357 (2023)</w:t>
                    </w:r>
                  </w:p>
                </w:tc>
                <w:tc>
                  <w:tcPr>
                    <w:tcW w:w="1134" w:type="dxa"/>
                    <w:shd w:val="clear" w:color="auto" w:fill="FCE4D6"/>
                    <w:noWrap/>
                    <w:vAlign w:val="center"/>
                    <w:hideMark/>
                  </w:tcPr>
                  <w:p>
                    <w:pPr>
                      <w:jc w:val="center"/>
                      <w:rPr>
                        <w:sz w:val="20"/>
                      </w:rPr>
                    </w:pPr>
                    <w:r>
                      <w:rPr>
                        <w:sz w:val="20"/>
                      </w:rPr>
                      <w:t>358 (2033)</w:t>
                    </w:r>
                  </w:p>
                </w:tc>
              </w:tr>
              <w:tr>
                <w:trPr>
                  <w:trHeight w:val="520"/>
                  <w:jc w:val="center"/>
                </w:trPr>
                <w:tc>
                  <w:tcPr>
                    <w:tcW w:w="988" w:type="dxa"/>
                    <w:vMerge w:val="restart"/>
                    <w:noWrap/>
                    <w:vAlign w:val="center"/>
                    <w:hideMark/>
                  </w:tcPr>
                  <w:p>
                    <w:pPr>
                      <w:rPr>
                        <w:sz w:val="20"/>
                      </w:rPr>
                    </w:pPr>
                    <w:r>
                      <w:rPr>
                        <w:sz w:val="20"/>
                      </w:rPr>
                      <w:t>13-02-01</w:t>
                    </w:r>
                  </w:p>
                </w:tc>
                <w:tc>
                  <w:tcPr>
                    <w:tcW w:w="2126" w:type="dxa"/>
                    <w:vMerge w:val="restart"/>
                    <w:vAlign w:val="center"/>
                    <w:hideMark/>
                  </w:tcPr>
                  <w:p>
                    <w:pPr>
                      <w:rPr>
                        <w:sz w:val="20"/>
                      </w:rPr>
                    </w:pPr>
                    <w:r>
                      <w:rPr>
                        <w:sz w:val="20"/>
                      </w:rPr>
                      <w:t>Skatinti komunalinių atliekų rūšiuojamąjį surinkimą</w:t>
                    </w:r>
                  </w:p>
                </w:tc>
                <w:tc>
                  <w:tcPr>
                    <w:tcW w:w="850" w:type="dxa"/>
                    <w:vMerge w:val="restart"/>
                    <w:vAlign w:val="center"/>
                    <w:hideMark/>
                  </w:tcPr>
                  <w:p>
                    <w:pPr>
                      <w:jc w:val="center"/>
                      <w:rPr>
                        <w:sz w:val="20"/>
                      </w:rPr>
                    </w:pPr>
                    <w:r>
                      <w:rPr>
                        <w:sz w:val="20"/>
                      </w:rPr>
                      <w:t>MŪAS</w:t>
                    </w:r>
                  </w:p>
                </w:tc>
                <w:tc>
                  <w:tcPr>
                    <w:tcW w:w="709" w:type="dxa"/>
                    <w:vMerge w:val="restart"/>
                    <w:noWrap/>
                    <w:vAlign w:val="center"/>
                    <w:hideMark/>
                  </w:tcPr>
                  <w:p>
                    <w:pPr>
                      <w:jc w:val="center"/>
                      <w:rPr>
                        <w:sz w:val="20"/>
                      </w:rPr>
                    </w:pPr>
                    <w:r>
                      <w:rPr>
                        <w:sz w:val="20"/>
                      </w:rPr>
                      <w:t>2025</w:t>
                    </w:r>
                  </w:p>
                </w:tc>
                <w:tc>
                  <w:tcPr>
                    <w:tcW w:w="709" w:type="dxa"/>
                    <w:vMerge w:val="restart"/>
                    <w:noWrap/>
                    <w:vAlign w:val="center"/>
                    <w:hideMark/>
                  </w:tcPr>
                  <w:p>
                    <w:pPr>
                      <w:jc w:val="center"/>
                      <w:rPr>
                        <w:sz w:val="20"/>
                      </w:rPr>
                    </w:pPr>
                    <w:r>
                      <w:rPr>
                        <w:sz w:val="20"/>
                      </w:rPr>
                      <w:t>2033</w:t>
                    </w:r>
                  </w:p>
                </w:tc>
                <w:tc>
                  <w:tcPr>
                    <w:tcW w:w="1417" w:type="dxa"/>
                    <w:noWrap/>
                    <w:vAlign w:val="center"/>
                    <w:hideMark/>
                  </w:tcPr>
                  <w:p>
                    <w:pPr>
                      <w:rPr>
                        <w:sz w:val="20"/>
                      </w:rPr>
                    </w:pPr>
                    <w:r>
                      <w:rPr>
                        <w:sz w:val="20"/>
                      </w:rPr>
                      <w:t>P-13-02-01-01</w:t>
                    </w:r>
                  </w:p>
                </w:tc>
                <w:tc>
                  <w:tcPr>
                    <w:tcW w:w="4111" w:type="dxa"/>
                    <w:vAlign w:val="center"/>
                    <w:hideMark/>
                  </w:tcPr>
                  <w:p>
                    <w:pPr>
                      <w:rPr>
                        <w:sz w:val="20"/>
                      </w:rPr>
                    </w:pPr>
                    <w:r>
                      <w:rPr>
                        <w:sz w:val="20"/>
                      </w:rPr>
                      <w:t>Komunalinių biologiškai skaidžių atliekų dalis mišrių komunalinių atliekų sudėtyje (proc.)</w:t>
                    </w:r>
                  </w:p>
                </w:tc>
                <w:tc>
                  <w:tcPr>
                    <w:tcW w:w="1134" w:type="dxa"/>
                    <w:vAlign w:val="center"/>
                    <w:hideMark/>
                  </w:tcPr>
                  <w:p>
                    <w:pPr>
                      <w:jc w:val="center"/>
                      <w:rPr>
                        <w:sz w:val="20"/>
                      </w:rPr>
                    </w:pPr>
                    <w:r>
                      <w:rPr>
                        <w:sz w:val="20"/>
                      </w:rPr>
                      <w:t>ŠRATC</w:t>
                    </w:r>
                  </w:p>
                </w:tc>
                <w:tc>
                  <w:tcPr>
                    <w:tcW w:w="1134" w:type="dxa"/>
                    <w:noWrap/>
                    <w:vAlign w:val="center"/>
                    <w:hideMark/>
                  </w:tcPr>
                  <w:p>
                    <w:pPr>
                      <w:jc w:val="center"/>
                      <w:rPr>
                        <w:sz w:val="20"/>
                      </w:rPr>
                    </w:pPr>
                    <w:r>
                      <w:rPr>
                        <w:sz w:val="20"/>
                      </w:rPr>
                      <w:t>43,11 (2023)</w:t>
                    </w:r>
                  </w:p>
                </w:tc>
                <w:tc>
                  <w:tcPr>
                    <w:tcW w:w="1134" w:type="dxa"/>
                    <w:noWrap/>
                    <w:vAlign w:val="center"/>
                    <w:hideMark/>
                  </w:tcPr>
                  <w:p>
                    <w:pPr>
                      <w:jc w:val="center"/>
                      <w:rPr>
                        <w:sz w:val="20"/>
                      </w:rPr>
                    </w:pPr>
                    <w:r>
                      <w:rPr>
                        <w:sz w:val="20"/>
                      </w:rPr>
                      <w:t>25 (2033)</w:t>
                    </w:r>
                  </w:p>
                </w:tc>
              </w:tr>
              <w:tr>
                <w:trPr>
                  <w:trHeight w:val="393"/>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rPr>
                        <w:sz w:val="20"/>
                      </w:rPr>
                    </w:pPr>
                  </w:p>
                </w:tc>
                <w:tc>
                  <w:tcPr>
                    <w:tcW w:w="709" w:type="dxa"/>
                    <w:vMerge/>
                    <w:vAlign w:val="center"/>
                    <w:hideMark/>
                  </w:tcPr>
                  <w:p>
                    <w:pPr>
                      <w:rPr>
                        <w:sz w:val="20"/>
                      </w:rPr>
                    </w:pPr>
                  </w:p>
                </w:tc>
                <w:tc>
                  <w:tcPr>
                    <w:tcW w:w="709" w:type="dxa"/>
                    <w:vMerge/>
                    <w:vAlign w:val="center"/>
                    <w:hideMark/>
                  </w:tcPr>
                  <w:p>
                    <w:pPr>
                      <w:rPr>
                        <w:sz w:val="20"/>
                      </w:rPr>
                    </w:pPr>
                  </w:p>
                </w:tc>
                <w:tc>
                  <w:tcPr>
                    <w:tcW w:w="1417" w:type="dxa"/>
                    <w:noWrap/>
                    <w:vAlign w:val="center"/>
                    <w:hideMark/>
                  </w:tcPr>
                  <w:p>
                    <w:pPr>
                      <w:rPr>
                        <w:sz w:val="20"/>
                      </w:rPr>
                    </w:pPr>
                    <w:r>
                      <w:rPr>
                        <w:sz w:val="20"/>
                      </w:rPr>
                      <w:t>P-13-02-01-02</w:t>
                    </w:r>
                  </w:p>
                </w:tc>
                <w:tc>
                  <w:tcPr>
                    <w:tcW w:w="4111" w:type="dxa"/>
                    <w:vAlign w:val="center"/>
                    <w:hideMark/>
                  </w:tcPr>
                  <w:p>
                    <w:pPr>
                      <w:rPr>
                        <w:sz w:val="20"/>
                      </w:rPr>
                    </w:pPr>
                    <w:r>
                      <w:rPr>
                        <w:sz w:val="20"/>
                      </w:rPr>
                      <w:t>Antrinių žaliavų (taip pat pakuočių) dalis mišrių komunalinių atliekų sudėtyje (proc.)</w:t>
                    </w:r>
                  </w:p>
                </w:tc>
                <w:tc>
                  <w:tcPr>
                    <w:tcW w:w="1134" w:type="dxa"/>
                    <w:vAlign w:val="center"/>
                    <w:hideMark/>
                  </w:tcPr>
                  <w:p>
                    <w:pPr>
                      <w:jc w:val="center"/>
                      <w:rPr>
                        <w:sz w:val="20"/>
                      </w:rPr>
                    </w:pPr>
                    <w:r>
                      <w:rPr>
                        <w:sz w:val="20"/>
                      </w:rPr>
                      <w:t>ŠRATC</w:t>
                    </w:r>
                  </w:p>
                </w:tc>
                <w:tc>
                  <w:tcPr>
                    <w:tcW w:w="1134" w:type="dxa"/>
                    <w:noWrap/>
                    <w:vAlign w:val="center"/>
                    <w:hideMark/>
                  </w:tcPr>
                  <w:p>
                    <w:pPr>
                      <w:jc w:val="center"/>
                      <w:rPr>
                        <w:sz w:val="20"/>
                      </w:rPr>
                    </w:pPr>
                    <w:r>
                      <w:rPr>
                        <w:sz w:val="20"/>
                      </w:rPr>
                      <w:t>31,98 (2023)</w:t>
                    </w:r>
                  </w:p>
                </w:tc>
                <w:tc>
                  <w:tcPr>
                    <w:tcW w:w="1134" w:type="dxa"/>
                    <w:noWrap/>
                    <w:vAlign w:val="center"/>
                    <w:hideMark/>
                  </w:tcPr>
                  <w:p>
                    <w:pPr>
                      <w:jc w:val="center"/>
                      <w:rPr>
                        <w:sz w:val="20"/>
                      </w:rPr>
                    </w:pPr>
                    <w:r>
                      <w:rPr>
                        <w:sz w:val="20"/>
                      </w:rPr>
                      <w:t>20 (2033)</w:t>
                    </w:r>
                  </w:p>
                </w:tc>
              </w:tr>
              <w:tr>
                <w:trPr>
                  <w:trHeight w:val="520"/>
                  <w:jc w:val="center"/>
                </w:trPr>
                <w:tc>
                  <w:tcPr>
                    <w:tcW w:w="988" w:type="dxa"/>
                    <w:vMerge w:val="restart"/>
                    <w:noWrap/>
                    <w:vAlign w:val="center"/>
                    <w:hideMark/>
                  </w:tcPr>
                  <w:p>
                    <w:pPr>
                      <w:rPr>
                        <w:sz w:val="20"/>
                      </w:rPr>
                    </w:pPr>
                    <w:r>
                      <w:rPr>
                        <w:sz w:val="20"/>
                      </w:rPr>
                      <w:t>13-02-02</w:t>
                    </w:r>
                  </w:p>
                </w:tc>
                <w:tc>
                  <w:tcPr>
                    <w:tcW w:w="2126" w:type="dxa"/>
                    <w:vMerge w:val="restart"/>
                    <w:vAlign w:val="center"/>
                    <w:hideMark/>
                  </w:tcPr>
                  <w:p>
                    <w:pPr>
                      <w:rPr>
                        <w:sz w:val="20"/>
                      </w:rPr>
                    </w:pPr>
                    <w:r>
                      <w:rPr>
                        <w:sz w:val="20"/>
                      </w:rPr>
                      <w:t>Plėtoti kitų, paruoštų naudoti pakartotinai ir perdirbti tinkamų, atliekų rūšiuojamojo surinkimo infrastruktūrą ir paslaugas</w:t>
                    </w:r>
                  </w:p>
                </w:tc>
                <w:tc>
                  <w:tcPr>
                    <w:tcW w:w="850" w:type="dxa"/>
                    <w:vMerge w:val="restart"/>
                    <w:vAlign w:val="center"/>
                    <w:hideMark/>
                  </w:tcPr>
                  <w:p>
                    <w:pPr>
                      <w:jc w:val="center"/>
                      <w:rPr>
                        <w:sz w:val="20"/>
                      </w:rPr>
                    </w:pPr>
                    <w:r>
                      <w:rPr>
                        <w:sz w:val="20"/>
                      </w:rPr>
                      <w:t>MŪAS</w:t>
                    </w:r>
                  </w:p>
                </w:tc>
                <w:tc>
                  <w:tcPr>
                    <w:tcW w:w="709" w:type="dxa"/>
                    <w:vMerge w:val="restart"/>
                    <w:noWrap/>
                    <w:vAlign w:val="center"/>
                    <w:hideMark/>
                  </w:tcPr>
                  <w:p>
                    <w:pPr>
                      <w:jc w:val="center"/>
                      <w:rPr>
                        <w:sz w:val="20"/>
                      </w:rPr>
                    </w:pPr>
                    <w:r>
                      <w:rPr>
                        <w:sz w:val="20"/>
                      </w:rPr>
                      <w:t>2025</w:t>
                    </w:r>
                  </w:p>
                </w:tc>
                <w:tc>
                  <w:tcPr>
                    <w:tcW w:w="709" w:type="dxa"/>
                    <w:vMerge w:val="restart"/>
                    <w:noWrap/>
                    <w:vAlign w:val="center"/>
                    <w:hideMark/>
                  </w:tcPr>
                  <w:p>
                    <w:pPr>
                      <w:jc w:val="center"/>
                      <w:rPr>
                        <w:sz w:val="20"/>
                      </w:rPr>
                    </w:pPr>
                    <w:r>
                      <w:rPr>
                        <w:sz w:val="20"/>
                      </w:rPr>
                      <w:t>2027</w:t>
                    </w:r>
                  </w:p>
                </w:tc>
                <w:tc>
                  <w:tcPr>
                    <w:tcW w:w="1417" w:type="dxa"/>
                    <w:noWrap/>
                    <w:vAlign w:val="center"/>
                    <w:hideMark/>
                  </w:tcPr>
                  <w:p>
                    <w:pPr>
                      <w:rPr>
                        <w:sz w:val="20"/>
                      </w:rPr>
                    </w:pPr>
                    <w:r>
                      <w:rPr>
                        <w:sz w:val="20"/>
                      </w:rPr>
                      <w:t>P-13-02-02-01</w:t>
                    </w:r>
                  </w:p>
                </w:tc>
                <w:tc>
                  <w:tcPr>
                    <w:tcW w:w="4111" w:type="dxa"/>
                    <w:vAlign w:val="center"/>
                    <w:hideMark/>
                  </w:tcPr>
                  <w:p>
                    <w:pPr>
                      <w:rPr>
                        <w:sz w:val="20"/>
                      </w:rPr>
                    </w:pPr>
                    <w:r>
                      <w:rPr>
                        <w:sz w:val="20"/>
                      </w:rPr>
                      <w:t>Modernizuotų regioninių MBA įrenginių skaičius (vnt.)</w:t>
                    </w:r>
                  </w:p>
                </w:tc>
                <w:tc>
                  <w:tcPr>
                    <w:tcW w:w="1134" w:type="dxa"/>
                    <w:vAlign w:val="center"/>
                    <w:hideMark/>
                  </w:tcPr>
                  <w:p>
                    <w:pPr>
                      <w:jc w:val="center"/>
                      <w:rPr>
                        <w:sz w:val="20"/>
                      </w:rPr>
                    </w:pPr>
                    <w:r>
                      <w:rPr>
                        <w:sz w:val="20"/>
                      </w:rPr>
                      <w:t>ŠRATC</w:t>
                    </w:r>
                  </w:p>
                </w:tc>
                <w:tc>
                  <w:tcPr>
                    <w:tcW w:w="1134" w:type="dxa"/>
                    <w:noWrap/>
                    <w:vAlign w:val="center"/>
                    <w:hideMark/>
                  </w:tcPr>
                  <w:p>
                    <w:pPr>
                      <w:jc w:val="center"/>
                      <w:rPr>
                        <w:sz w:val="20"/>
                      </w:rPr>
                    </w:pPr>
                    <w:r>
                      <w:rPr>
                        <w:sz w:val="20"/>
                      </w:rPr>
                      <w:t>0 (2023)</w:t>
                    </w:r>
                  </w:p>
                </w:tc>
                <w:tc>
                  <w:tcPr>
                    <w:tcW w:w="1134" w:type="dxa"/>
                    <w:noWrap/>
                    <w:vAlign w:val="center"/>
                    <w:hideMark/>
                  </w:tcPr>
                  <w:p>
                    <w:pPr>
                      <w:jc w:val="center"/>
                      <w:rPr>
                        <w:sz w:val="20"/>
                      </w:rPr>
                    </w:pPr>
                    <w:r>
                      <w:rPr>
                        <w:sz w:val="20"/>
                      </w:rPr>
                      <w:t>1 (2030)</w:t>
                    </w:r>
                  </w:p>
                </w:tc>
              </w:tr>
              <w:tr>
                <w:trPr>
                  <w:trHeight w:val="520"/>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jc w:val="center"/>
                      <w:rPr>
                        <w:sz w:val="20"/>
                      </w:rPr>
                    </w:pPr>
                  </w:p>
                </w:tc>
                <w:tc>
                  <w:tcPr>
                    <w:tcW w:w="709" w:type="dxa"/>
                    <w:vMerge/>
                    <w:vAlign w:val="center"/>
                    <w:hideMark/>
                  </w:tcPr>
                  <w:p>
                    <w:pPr>
                      <w:jc w:val="center"/>
                      <w:rPr>
                        <w:sz w:val="20"/>
                      </w:rPr>
                    </w:pPr>
                  </w:p>
                </w:tc>
                <w:tc>
                  <w:tcPr>
                    <w:tcW w:w="709" w:type="dxa"/>
                    <w:vMerge/>
                    <w:vAlign w:val="center"/>
                    <w:hideMark/>
                  </w:tcPr>
                  <w:p>
                    <w:pPr>
                      <w:jc w:val="center"/>
                      <w:rPr>
                        <w:sz w:val="20"/>
                      </w:rPr>
                    </w:pPr>
                  </w:p>
                </w:tc>
                <w:tc>
                  <w:tcPr>
                    <w:tcW w:w="1417" w:type="dxa"/>
                    <w:noWrap/>
                    <w:vAlign w:val="center"/>
                    <w:hideMark/>
                  </w:tcPr>
                  <w:p>
                    <w:pPr>
                      <w:rPr>
                        <w:sz w:val="20"/>
                      </w:rPr>
                    </w:pPr>
                    <w:r>
                      <w:rPr>
                        <w:sz w:val="20"/>
                      </w:rPr>
                      <w:t>P-13-02-02-02</w:t>
                    </w:r>
                  </w:p>
                </w:tc>
                <w:tc>
                  <w:tcPr>
                    <w:tcW w:w="4111" w:type="dxa"/>
                    <w:vAlign w:val="center"/>
                    <w:hideMark/>
                  </w:tcPr>
                  <w:p>
                    <w:pPr>
                      <w:rPr>
                        <w:sz w:val="20"/>
                      </w:rPr>
                    </w:pPr>
                    <w:r>
                      <w:rPr>
                        <w:sz w:val="20"/>
                      </w:rPr>
                      <w:t>Daiktais dalijimosi stotelių „Daiktų kiemas“ skaičius (vnt.)</w:t>
                    </w:r>
                  </w:p>
                </w:tc>
                <w:tc>
                  <w:tcPr>
                    <w:tcW w:w="1134" w:type="dxa"/>
                    <w:vAlign w:val="center"/>
                    <w:hideMark/>
                  </w:tcPr>
                  <w:p>
                    <w:pPr>
                      <w:jc w:val="center"/>
                      <w:rPr>
                        <w:sz w:val="20"/>
                      </w:rPr>
                    </w:pPr>
                    <w:r>
                      <w:rPr>
                        <w:sz w:val="20"/>
                      </w:rPr>
                      <w:t>ŠRATC</w:t>
                    </w:r>
                  </w:p>
                </w:tc>
                <w:tc>
                  <w:tcPr>
                    <w:tcW w:w="1134" w:type="dxa"/>
                    <w:noWrap/>
                    <w:vAlign w:val="center"/>
                    <w:hideMark/>
                  </w:tcPr>
                  <w:p>
                    <w:pPr>
                      <w:jc w:val="center"/>
                      <w:rPr>
                        <w:sz w:val="20"/>
                      </w:rPr>
                    </w:pPr>
                    <w:r>
                      <w:rPr>
                        <w:sz w:val="20"/>
                      </w:rPr>
                      <w:t>3 (2023)</w:t>
                    </w:r>
                  </w:p>
                </w:tc>
                <w:tc>
                  <w:tcPr>
                    <w:tcW w:w="1134" w:type="dxa"/>
                    <w:noWrap/>
                    <w:vAlign w:val="center"/>
                    <w:hideMark/>
                  </w:tcPr>
                  <w:p>
                    <w:pPr>
                      <w:jc w:val="center"/>
                      <w:rPr>
                        <w:sz w:val="20"/>
                      </w:rPr>
                    </w:pPr>
                    <w:r>
                      <w:rPr>
                        <w:sz w:val="20"/>
                      </w:rPr>
                      <w:t>5 (2030)</w:t>
                    </w:r>
                  </w:p>
                </w:tc>
              </w:tr>
              <w:tr>
                <w:trPr>
                  <w:trHeight w:val="270"/>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jc w:val="center"/>
                      <w:rPr>
                        <w:sz w:val="20"/>
                      </w:rPr>
                    </w:pPr>
                  </w:p>
                </w:tc>
                <w:tc>
                  <w:tcPr>
                    <w:tcW w:w="709" w:type="dxa"/>
                    <w:vMerge/>
                    <w:vAlign w:val="center"/>
                    <w:hideMark/>
                  </w:tcPr>
                  <w:p>
                    <w:pPr>
                      <w:jc w:val="center"/>
                      <w:rPr>
                        <w:sz w:val="20"/>
                      </w:rPr>
                    </w:pPr>
                  </w:p>
                </w:tc>
                <w:tc>
                  <w:tcPr>
                    <w:tcW w:w="709" w:type="dxa"/>
                    <w:vMerge/>
                    <w:vAlign w:val="center"/>
                    <w:hideMark/>
                  </w:tcPr>
                  <w:p>
                    <w:pPr>
                      <w:jc w:val="center"/>
                      <w:rPr>
                        <w:sz w:val="20"/>
                      </w:rPr>
                    </w:pPr>
                  </w:p>
                </w:tc>
                <w:tc>
                  <w:tcPr>
                    <w:tcW w:w="1417" w:type="dxa"/>
                    <w:noWrap/>
                    <w:vAlign w:val="center"/>
                    <w:hideMark/>
                  </w:tcPr>
                  <w:p>
                    <w:pPr>
                      <w:rPr>
                        <w:sz w:val="20"/>
                      </w:rPr>
                    </w:pPr>
                    <w:r>
                      <w:rPr>
                        <w:sz w:val="20"/>
                      </w:rPr>
                      <w:t>P-13-02-02-03</w:t>
                    </w:r>
                  </w:p>
                </w:tc>
                <w:tc>
                  <w:tcPr>
                    <w:tcW w:w="4111" w:type="dxa"/>
                    <w:vAlign w:val="center"/>
                    <w:hideMark/>
                  </w:tcPr>
                  <w:p>
                    <w:pPr>
                      <w:rPr>
                        <w:sz w:val="20"/>
                      </w:rPr>
                    </w:pPr>
                    <w:r>
                      <w:rPr>
                        <w:sz w:val="20"/>
                      </w:rPr>
                      <w:t>DGASA aikštelių skaičius (vnt.)</w:t>
                    </w:r>
                  </w:p>
                </w:tc>
                <w:tc>
                  <w:tcPr>
                    <w:tcW w:w="1134" w:type="dxa"/>
                    <w:vAlign w:val="center"/>
                    <w:hideMark/>
                  </w:tcPr>
                  <w:p>
                    <w:pPr>
                      <w:jc w:val="center"/>
                      <w:rPr>
                        <w:sz w:val="20"/>
                      </w:rPr>
                    </w:pPr>
                    <w:r>
                      <w:rPr>
                        <w:sz w:val="20"/>
                      </w:rPr>
                      <w:t>ŠRATC</w:t>
                    </w:r>
                  </w:p>
                </w:tc>
                <w:tc>
                  <w:tcPr>
                    <w:tcW w:w="1134" w:type="dxa"/>
                    <w:noWrap/>
                    <w:vAlign w:val="center"/>
                    <w:hideMark/>
                  </w:tcPr>
                  <w:p>
                    <w:pPr>
                      <w:jc w:val="center"/>
                      <w:rPr>
                        <w:sz w:val="20"/>
                      </w:rPr>
                    </w:pPr>
                    <w:r>
                      <w:rPr>
                        <w:sz w:val="20"/>
                      </w:rPr>
                      <w:t>4 (2024)</w:t>
                    </w:r>
                  </w:p>
                </w:tc>
                <w:tc>
                  <w:tcPr>
                    <w:tcW w:w="1134" w:type="dxa"/>
                    <w:noWrap/>
                    <w:vAlign w:val="center"/>
                    <w:hideMark/>
                  </w:tcPr>
                  <w:p>
                    <w:pPr>
                      <w:jc w:val="center"/>
                      <w:rPr>
                        <w:sz w:val="20"/>
                      </w:rPr>
                    </w:pPr>
                    <w:r>
                      <w:rPr>
                        <w:sz w:val="20"/>
                      </w:rPr>
                      <w:t>5 (2030)</w:t>
                    </w:r>
                  </w:p>
                </w:tc>
              </w:tr>
              <w:tr>
                <w:trPr>
                  <w:trHeight w:val="641"/>
                  <w:jc w:val="center"/>
                </w:trPr>
                <w:tc>
                  <w:tcPr>
                    <w:tcW w:w="988" w:type="dxa"/>
                    <w:vMerge w:val="restart"/>
                    <w:noWrap/>
                    <w:vAlign w:val="center"/>
                    <w:hideMark/>
                  </w:tcPr>
                  <w:p>
                    <w:pPr>
                      <w:rPr>
                        <w:sz w:val="20"/>
                      </w:rPr>
                    </w:pPr>
                    <w:r>
                      <w:rPr>
                        <w:sz w:val="20"/>
                      </w:rPr>
                      <w:t>13-02-03</w:t>
                    </w:r>
                  </w:p>
                </w:tc>
                <w:tc>
                  <w:tcPr>
                    <w:tcW w:w="2126" w:type="dxa"/>
                    <w:vMerge w:val="restart"/>
                    <w:vAlign w:val="center"/>
                    <w:hideMark/>
                  </w:tcPr>
                  <w:p>
                    <w:pPr>
                      <w:rPr>
                        <w:sz w:val="20"/>
                      </w:rPr>
                    </w:pPr>
                    <w:r>
                      <w:rPr>
                        <w:sz w:val="20"/>
                      </w:rPr>
                      <w:t>Didinti gyventojų ir verslo organizacijų supratimą apie žiedinę ekonomiką ir skatinti sąmoningumą, siekiant gyventi tvariau</w:t>
                    </w:r>
                  </w:p>
                </w:tc>
                <w:tc>
                  <w:tcPr>
                    <w:tcW w:w="850" w:type="dxa"/>
                    <w:vMerge w:val="restart"/>
                    <w:vAlign w:val="center"/>
                    <w:hideMark/>
                  </w:tcPr>
                  <w:p>
                    <w:pPr>
                      <w:jc w:val="center"/>
                      <w:rPr>
                        <w:sz w:val="20"/>
                      </w:rPr>
                    </w:pPr>
                    <w:r>
                      <w:rPr>
                        <w:sz w:val="20"/>
                      </w:rPr>
                      <w:t>MŪAS</w:t>
                    </w:r>
                  </w:p>
                </w:tc>
                <w:tc>
                  <w:tcPr>
                    <w:tcW w:w="709" w:type="dxa"/>
                    <w:vMerge w:val="restart"/>
                    <w:noWrap/>
                    <w:vAlign w:val="center"/>
                    <w:hideMark/>
                  </w:tcPr>
                  <w:p>
                    <w:pPr>
                      <w:jc w:val="center"/>
                      <w:rPr>
                        <w:sz w:val="20"/>
                      </w:rPr>
                    </w:pPr>
                    <w:r>
                      <w:rPr>
                        <w:sz w:val="20"/>
                      </w:rPr>
                      <w:t>2025</w:t>
                    </w:r>
                  </w:p>
                </w:tc>
                <w:tc>
                  <w:tcPr>
                    <w:tcW w:w="709" w:type="dxa"/>
                    <w:vMerge w:val="restart"/>
                    <w:noWrap/>
                    <w:vAlign w:val="center"/>
                    <w:hideMark/>
                  </w:tcPr>
                  <w:p>
                    <w:pPr>
                      <w:jc w:val="center"/>
                      <w:rPr>
                        <w:sz w:val="20"/>
                      </w:rPr>
                    </w:pPr>
                    <w:r>
                      <w:rPr>
                        <w:sz w:val="20"/>
                      </w:rPr>
                      <w:t>2027</w:t>
                    </w:r>
                  </w:p>
                </w:tc>
                <w:tc>
                  <w:tcPr>
                    <w:tcW w:w="1417" w:type="dxa"/>
                    <w:noWrap/>
                    <w:vAlign w:val="center"/>
                    <w:hideMark/>
                  </w:tcPr>
                  <w:p>
                    <w:pPr>
                      <w:rPr>
                        <w:sz w:val="20"/>
                      </w:rPr>
                    </w:pPr>
                    <w:r>
                      <w:rPr>
                        <w:sz w:val="20"/>
                      </w:rPr>
                      <w:t>P-13-02-03-01</w:t>
                    </w:r>
                  </w:p>
                </w:tc>
                <w:tc>
                  <w:tcPr>
                    <w:tcW w:w="4111" w:type="dxa"/>
                    <w:vAlign w:val="center"/>
                    <w:hideMark/>
                  </w:tcPr>
                  <w:p>
                    <w:pPr>
                      <w:rPr>
                        <w:sz w:val="20"/>
                      </w:rPr>
                    </w:pPr>
                    <w:r>
                      <w:rPr>
                        <w:sz w:val="20"/>
                      </w:rPr>
                      <w:t>Įgyvendintų viešinimo kampanijų, skatinančių taupų apsipirkimą, atliekų rūšiuojamąjį surinkimą ir tinkamą tvarkymą, skaičius (vnt.)</w:t>
                    </w:r>
                  </w:p>
                </w:tc>
                <w:tc>
                  <w:tcPr>
                    <w:tcW w:w="1134" w:type="dxa"/>
                    <w:vAlign w:val="center"/>
                    <w:hideMark/>
                  </w:tcPr>
                  <w:p>
                    <w:pPr>
                      <w:jc w:val="center"/>
                      <w:rPr>
                        <w:sz w:val="20"/>
                      </w:rPr>
                    </w:pPr>
                    <w:r>
                      <w:rPr>
                        <w:sz w:val="20"/>
                      </w:rPr>
                      <w:t>ŠRATC</w:t>
                    </w:r>
                  </w:p>
                </w:tc>
                <w:tc>
                  <w:tcPr>
                    <w:tcW w:w="1134" w:type="dxa"/>
                    <w:noWrap/>
                    <w:vAlign w:val="center"/>
                    <w:hideMark/>
                  </w:tcPr>
                  <w:p>
                    <w:pPr>
                      <w:jc w:val="center"/>
                      <w:rPr>
                        <w:sz w:val="20"/>
                      </w:rPr>
                    </w:pPr>
                    <w:r>
                      <w:rPr>
                        <w:sz w:val="20"/>
                      </w:rPr>
                      <w:t>0 (2023)</w:t>
                    </w:r>
                  </w:p>
                </w:tc>
                <w:tc>
                  <w:tcPr>
                    <w:tcW w:w="1134" w:type="dxa"/>
                    <w:noWrap/>
                    <w:vAlign w:val="center"/>
                    <w:hideMark/>
                  </w:tcPr>
                  <w:p>
                    <w:pPr>
                      <w:jc w:val="center"/>
                      <w:rPr>
                        <w:sz w:val="20"/>
                      </w:rPr>
                    </w:pPr>
                    <w:r>
                      <w:rPr>
                        <w:sz w:val="20"/>
                      </w:rPr>
                      <w:t>1 (2027)</w:t>
                    </w:r>
                  </w:p>
                </w:tc>
              </w:tr>
              <w:tr>
                <w:trPr>
                  <w:trHeight w:val="647"/>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rPr>
                        <w:sz w:val="20"/>
                      </w:rPr>
                    </w:pPr>
                  </w:p>
                </w:tc>
                <w:tc>
                  <w:tcPr>
                    <w:tcW w:w="709" w:type="dxa"/>
                    <w:vMerge/>
                    <w:vAlign w:val="center"/>
                    <w:hideMark/>
                  </w:tcPr>
                  <w:p>
                    <w:pPr>
                      <w:rPr>
                        <w:sz w:val="20"/>
                      </w:rPr>
                    </w:pPr>
                  </w:p>
                </w:tc>
                <w:tc>
                  <w:tcPr>
                    <w:tcW w:w="709" w:type="dxa"/>
                    <w:vMerge/>
                    <w:vAlign w:val="center"/>
                    <w:hideMark/>
                  </w:tcPr>
                  <w:p>
                    <w:pPr>
                      <w:rPr>
                        <w:sz w:val="20"/>
                      </w:rPr>
                    </w:pPr>
                  </w:p>
                </w:tc>
                <w:tc>
                  <w:tcPr>
                    <w:tcW w:w="1417" w:type="dxa"/>
                    <w:noWrap/>
                    <w:vAlign w:val="center"/>
                    <w:hideMark/>
                  </w:tcPr>
                  <w:p>
                    <w:pPr>
                      <w:rPr>
                        <w:sz w:val="20"/>
                      </w:rPr>
                    </w:pPr>
                    <w:r>
                      <w:rPr>
                        <w:sz w:val="20"/>
                      </w:rPr>
                      <w:t>P-13-02-03-02</w:t>
                    </w:r>
                  </w:p>
                </w:tc>
                <w:tc>
                  <w:tcPr>
                    <w:tcW w:w="4111" w:type="dxa"/>
                    <w:vAlign w:val="center"/>
                    <w:hideMark/>
                  </w:tcPr>
                  <w:p>
                    <w:pPr>
                      <w:rPr>
                        <w:sz w:val="20"/>
                      </w:rPr>
                    </w:pPr>
                    <w:r>
                      <w:rPr>
                        <w:sz w:val="20"/>
                      </w:rPr>
                      <w:t>Įgyvendintų viešinimo kampanijų, skatinančių rinktis daugkartinius gaminius ir pakartotinai naudoti daiktus, skaičius (vnt.)</w:t>
                    </w:r>
                  </w:p>
                </w:tc>
                <w:tc>
                  <w:tcPr>
                    <w:tcW w:w="1134" w:type="dxa"/>
                    <w:vAlign w:val="center"/>
                    <w:hideMark/>
                  </w:tcPr>
                  <w:p>
                    <w:pPr>
                      <w:jc w:val="center"/>
                      <w:rPr>
                        <w:sz w:val="20"/>
                      </w:rPr>
                    </w:pPr>
                    <w:r>
                      <w:rPr>
                        <w:sz w:val="20"/>
                      </w:rPr>
                      <w:t>ŠRATC</w:t>
                    </w:r>
                  </w:p>
                </w:tc>
                <w:tc>
                  <w:tcPr>
                    <w:tcW w:w="1134" w:type="dxa"/>
                    <w:noWrap/>
                    <w:vAlign w:val="center"/>
                    <w:hideMark/>
                  </w:tcPr>
                  <w:p>
                    <w:pPr>
                      <w:jc w:val="center"/>
                      <w:rPr>
                        <w:sz w:val="20"/>
                      </w:rPr>
                    </w:pPr>
                    <w:r>
                      <w:rPr>
                        <w:sz w:val="20"/>
                      </w:rPr>
                      <w:t>0 (2023)</w:t>
                    </w:r>
                  </w:p>
                </w:tc>
                <w:tc>
                  <w:tcPr>
                    <w:tcW w:w="1134" w:type="dxa"/>
                    <w:noWrap/>
                    <w:vAlign w:val="center"/>
                    <w:hideMark/>
                  </w:tcPr>
                  <w:p>
                    <w:pPr>
                      <w:jc w:val="center"/>
                      <w:rPr>
                        <w:sz w:val="20"/>
                      </w:rPr>
                    </w:pPr>
                    <w:r>
                      <w:rPr>
                        <w:sz w:val="20"/>
                      </w:rPr>
                      <w:t>1 (2027)</w:t>
                    </w:r>
                  </w:p>
                </w:tc>
              </w:tr>
              <w:tr>
                <w:trPr>
                  <w:trHeight w:val="553"/>
                  <w:jc w:val="center"/>
                </w:trPr>
                <w:tc>
                  <w:tcPr>
                    <w:tcW w:w="988" w:type="dxa"/>
                    <w:vMerge w:val="restart"/>
                    <w:shd w:val="clear" w:color="auto" w:fill="FFD966"/>
                    <w:noWrap/>
                    <w:vAlign w:val="center"/>
                    <w:hideMark/>
                  </w:tcPr>
                  <w:p>
                    <w:pPr>
                      <w:rPr>
                        <w:b/>
                        <w:bCs/>
                        <w:sz w:val="20"/>
                      </w:rPr>
                    </w:pPr>
                    <w:r>
                      <w:rPr>
                        <w:b/>
                        <w:bCs/>
                        <w:sz w:val="20"/>
                      </w:rPr>
                      <w:t>14</w:t>
                    </w:r>
                  </w:p>
                </w:tc>
                <w:tc>
                  <w:tcPr>
                    <w:tcW w:w="2126" w:type="dxa"/>
                    <w:vMerge w:val="restart"/>
                    <w:shd w:val="clear" w:color="auto" w:fill="FFD966"/>
                    <w:vAlign w:val="center"/>
                    <w:hideMark/>
                  </w:tcPr>
                  <w:p>
                    <w:pPr>
                      <w:rPr>
                        <w:b/>
                        <w:bCs/>
                        <w:sz w:val="20"/>
                      </w:rPr>
                    </w:pPr>
                    <w:r>
                      <w:rPr>
                        <w:b/>
                        <w:bCs/>
                        <w:sz w:val="20"/>
                      </w:rPr>
                      <w:t>Formuoti gyvybingą, tvarią ir darniai sujungtą miesto struktūrą</w:t>
                    </w:r>
                  </w:p>
                </w:tc>
                <w:tc>
                  <w:tcPr>
                    <w:tcW w:w="850" w:type="dxa"/>
                    <w:vMerge w:val="restart"/>
                    <w:shd w:val="clear" w:color="auto" w:fill="FFD966"/>
                    <w:noWrap/>
                    <w:vAlign w:val="center"/>
                    <w:hideMark/>
                  </w:tcPr>
                  <w:p>
                    <w:pPr>
                      <w:jc w:val="center"/>
                      <w:rPr>
                        <w:sz w:val="20"/>
                      </w:rPr>
                    </w:pPr>
                    <w:r>
                      <w:rPr>
                        <w:sz w:val="20"/>
                      </w:rPr>
                      <w:t>MŪAS</w:t>
                    </w:r>
                  </w:p>
                </w:tc>
                <w:tc>
                  <w:tcPr>
                    <w:tcW w:w="709" w:type="dxa"/>
                    <w:vMerge w:val="restart"/>
                    <w:shd w:val="clear" w:color="auto" w:fill="FFD966"/>
                    <w:noWrap/>
                    <w:vAlign w:val="center"/>
                    <w:hideMark/>
                  </w:tcPr>
                  <w:p>
                    <w:pPr>
                      <w:jc w:val="center"/>
                      <w:rPr>
                        <w:sz w:val="20"/>
                      </w:rPr>
                    </w:pPr>
                    <w:r>
                      <w:rPr>
                        <w:sz w:val="20"/>
                      </w:rPr>
                      <w:t>2025</w:t>
                    </w:r>
                  </w:p>
                </w:tc>
                <w:tc>
                  <w:tcPr>
                    <w:tcW w:w="709" w:type="dxa"/>
                    <w:vMerge w:val="restart"/>
                    <w:shd w:val="clear" w:color="auto" w:fill="FFD966"/>
                    <w:noWrap/>
                    <w:vAlign w:val="center"/>
                    <w:hideMark/>
                  </w:tcPr>
                  <w:p>
                    <w:pPr>
                      <w:jc w:val="center"/>
                      <w:rPr>
                        <w:sz w:val="20"/>
                      </w:rPr>
                    </w:pPr>
                    <w:r>
                      <w:rPr>
                        <w:sz w:val="20"/>
                      </w:rPr>
                      <w:t>2033</w:t>
                    </w:r>
                  </w:p>
                </w:tc>
                <w:tc>
                  <w:tcPr>
                    <w:tcW w:w="1417" w:type="dxa"/>
                    <w:shd w:val="clear" w:color="auto" w:fill="FFD966"/>
                    <w:noWrap/>
                    <w:vAlign w:val="center"/>
                    <w:hideMark/>
                  </w:tcPr>
                  <w:p>
                    <w:pPr>
                      <w:rPr>
                        <w:sz w:val="20"/>
                      </w:rPr>
                    </w:pPr>
                    <w:r>
                      <w:rPr>
                        <w:sz w:val="20"/>
                      </w:rPr>
                      <w:t>P-14-01</w:t>
                    </w:r>
                  </w:p>
                </w:tc>
                <w:tc>
                  <w:tcPr>
                    <w:tcW w:w="4111" w:type="dxa"/>
                    <w:shd w:val="clear" w:color="auto" w:fill="FFD966"/>
                    <w:vAlign w:val="center"/>
                    <w:hideMark/>
                  </w:tcPr>
                  <w:p>
                    <w:pPr>
                      <w:rPr>
                        <w:sz w:val="20"/>
                      </w:rPr>
                    </w:pPr>
                    <w:r>
                      <w:rPr>
                        <w:sz w:val="20"/>
                      </w:rPr>
                      <w:t>Miesto driekos indeksas</w:t>
                    </w:r>
                  </w:p>
                </w:tc>
                <w:tc>
                  <w:tcPr>
                    <w:tcW w:w="1134" w:type="dxa"/>
                    <w:shd w:val="clear" w:color="auto" w:fill="FFD966"/>
                    <w:vAlign w:val="center"/>
                    <w:hideMark/>
                  </w:tcPr>
                  <w:p>
                    <w:pPr>
                      <w:jc w:val="center"/>
                      <w:rPr>
                        <w:sz w:val="20"/>
                      </w:rPr>
                    </w:pPr>
                    <w:r>
                      <w:rPr>
                        <w:sz w:val="20"/>
                      </w:rPr>
                      <w:t>ŠMSA (AS)</w:t>
                    </w:r>
                  </w:p>
                </w:tc>
                <w:tc>
                  <w:tcPr>
                    <w:tcW w:w="1134" w:type="dxa"/>
                    <w:shd w:val="clear" w:color="auto" w:fill="FFD966"/>
                    <w:vAlign w:val="center"/>
                    <w:hideMark/>
                  </w:tcPr>
                  <w:p>
                    <w:pPr>
                      <w:jc w:val="center"/>
                      <w:rPr>
                        <w:sz w:val="20"/>
                      </w:rPr>
                    </w:pPr>
                    <w:r>
                      <w:rPr>
                        <w:sz w:val="20"/>
                      </w:rPr>
                      <w:t>0 (2025)</w:t>
                    </w:r>
                  </w:p>
                </w:tc>
                <w:tc>
                  <w:tcPr>
                    <w:tcW w:w="1134" w:type="dxa"/>
                    <w:shd w:val="clear" w:color="auto" w:fill="FFD966"/>
                    <w:vAlign w:val="center"/>
                    <w:hideMark/>
                  </w:tcPr>
                  <w:p>
                    <w:pPr>
                      <w:jc w:val="center"/>
                      <w:rPr>
                        <w:sz w:val="20"/>
                      </w:rPr>
                    </w:pPr>
                    <w:r>
                      <w:rPr>
                        <w:sz w:val="20"/>
                      </w:rPr>
                      <w:t>- 20 (2033)</w:t>
                    </w:r>
                  </w:p>
                </w:tc>
              </w:tr>
              <w:tr>
                <w:trPr>
                  <w:trHeight w:val="343"/>
                  <w:jc w:val="center"/>
                </w:trPr>
                <w:tc>
                  <w:tcPr>
                    <w:tcW w:w="988" w:type="dxa"/>
                    <w:vMerge/>
                    <w:shd w:val="clear" w:color="auto" w:fill="FFD966"/>
                    <w:vAlign w:val="center"/>
                    <w:hideMark/>
                  </w:tcPr>
                  <w:p>
                    <w:pPr>
                      <w:rPr>
                        <w:b/>
                        <w:bCs/>
                        <w:sz w:val="20"/>
                      </w:rPr>
                    </w:pPr>
                  </w:p>
                </w:tc>
                <w:tc>
                  <w:tcPr>
                    <w:tcW w:w="2126" w:type="dxa"/>
                    <w:vMerge/>
                    <w:shd w:val="clear" w:color="auto" w:fill="FFD966"/>
                    <w:vAlign w:val="center"/>
                    <w:hideMark/>
                  </w:tcPr>
                  <w:p>
                    <w:pPr>
                      <w:rPr>
                        <w:b/>
                        <w:bCs/>
                        <w:sz w:val="20"/>
                      </w:rPr>
                    </w:pPr>
                  </w:p>
                </w:tc>
                <w:tc>
                  <w:tcPr>
                    <w:tcW w:w="850" w:type="dxa"/>
                    <w:vMerge/>
                    <w:shd w:val="clear" w:color="auto" w:fill="FFD966"/>
                    <w:vAlign w:val="center"/>
                    <w:hideMark/>
                  </w:tcPr>
                  <w:p>
                    <w:pPr>
                      <w:rPr>
                        <w:sz w:val="20"/>
                      </w:rPr>
                    </w:pPr>
                  </w:p>
                </w:tc>
                <w:tc>
                  <w:tcPr>
                    <w:tcW w:w="709" w:type="dxa"/>
                    <w:vMerge/>
                    <w:shd w:val="clear" w:color="auto" w:fill="FFD966"/>
                    <w:vAlign w:val="center"/>
                    <w:hideMark/>
                  </w:tcPr>
                  <w:p>
                    <w:pPr>
                      <w:rPr>
                        <w:sz w:val="20"/>
                      </w:rPr>
                    </w:pPr>
                  </w:p>
                </w:tc>
                <w:tc>
                  <w:tcPr>
                    <w:tcW w:w="709" w:type="dxa"/>
                    <w:vMerge/>
                    <w:shd w:val="clear" w:color="auto" w:fill="FFD966"/>
                    <w:vAlign w:val="center"/>
                    <w:hideMark/>
                  </w:tcPr>
                  <w:p>
                    <w:pPr>
                      <w:rPr>
                        <w:sz w:val="20"/>
                      </w:rPr>
                    </w:pPr>
                  </w:p>
                </w:tc>
                <w:tc>
                  <w:tcPr>
                    <w:tcW w:w="1417" w:type="dxa"/>
                    <w:shd w:val="clear" w:color="auto" w:fill="FFD966"/>
                    <w:noWrap/>
                    <w:vAlign w:val="center"/>
                    <w:hideMark/>
                  </w:tcPr>
                  <w:p>
                    <w:pPr>
                      <w:rPr>
                        <w:sz w:val="20"/>
                      </w:rPr>
                    </w:pPr>
                    <w:r>
                      <w:rPr>
                        <w:sz w:val="20"/>
                      </w:rPr>
                      <w:t>P-14-02</w:t>
                    </w:r>
                  </w:p>
                </w:tc>
                <w:tc>
                  <w:tcPr>
                    <w:tcW w:w="4111" w:type="dxa"/>
                    <w:shd w:val="clear" w:color="auto" w:fill="FFD966"/>
                    <w:vAlign w:val="center"/>
                    <w:hideMark/>
                  </w:tcPr>
                  <w:p>
                    <w:pPr>
                      <w:rPr>
                        <w:sz w:val="20"/>
                      </w:rPr>
                    </w:pPr>
                    <w:r>
                      <w:rPr>
                        <w:sz w:val="20"/>
                      </w:rPr>
                      <w:t>Miesto patrauklumo gyventi vertinimas (balai)</w:t>
                    </w:r>
                  </w:p>
                </w:tc>
                <w:tc>
                  <w:tcPr>
                    <w:tcW w:w="1134" w:type="dxa"/>
                    <w:shd w:val="clear" w:color="auto" w:fill="FFD966"/>
                    <w:vAlign w:val="center"/>
                    <w:hideMark/>
                  </w:tcPr>
                  <w:p>
                    <w:pPr>
                      <w:jc w:val="center"/>
                      <w:rPr>
                        <w:sz w:val="20"/>
                      </w:rPr>
                    </w:pPr>
                    <w:r>
                      <w:rPr>
                        <w:sz w:val="20"/>
                      </w:rPr>
                      <w:t>Tyrimas (AAS)</w:t>
                    </w:r>
                  </w:p>
                </w:tc>
                <w:tc>
                  <w:tcPr>
                    <w:tcW w:w="1134" w:type="dxa"/>
                    <w:shd w:val="clear" w:color="auto" w:fill="FFD966"/>
                    <w:vAlign w:val="center"/>
                    <w:hideMark/>
                  </w:tcPr>
                  <w:p>
                    <w:pPr>
                      <w:jc w:val="center"/>
                      <w:rPr>
                        <w:sz w:val="20"/>
                      </w:rPr>
                    </w:pPr>
                    <w:r>
                      <w:rPr>
                        <w:sz w:val="20"/>
                      </w:rPr>
                      <w:t>7,7 (2023)</w:t>
                    </w:r>
                  </w:p>
                </w:tc>
                <w:tc>
                  <w:tcPr>
                    <w:tcW w:w="1134" w:type="dxa"/>
                    <w:shd w:val="clear" w:color="auto" w:fill="FFD966"/>
                    <w:vAlign w:val="center"/>
                    <w:hideMark/>
                  </w:tcPr>
                  <w:p>
                    <w:pPr>
                      <w:jc w:val="center"/>
                      <w:rPr>
                        <w:sz w:val="20"/>
                      </w:rPr>
                    </w:pPr>
                    <w:r>
                      <w:rPr>
                        <w:sz w:val="20"/>
                      </w:rPr>
                      <w:t>8,</w:t>
                    </w:r>
                    <w:r>
                      <w:rPr>
                        <w:sz w:val="20"/>
                        <w:lang w:val="en-US"/>
                      </w:rPr>
                      <w:t>4</w:t>
                    </w:r>
                    <w:r>
                      <w:rPr>
                        <w:sz w:val="20"/>
                      </w:rPr>
                      <w:t xml:space="preserve"> (2033)</w:t>
                    </w:r>
                  </w:p>
                </w:tc>
              </w:tr>
              <w:tr>
                <w:trPr>
                  <w:trHeight w:val="725"/>
                  <w:jc w:val="center"/>
                </w:trPr>
                <w:tc>
                  <w:tcPr>
                    <w:tcW w:w="988" w:type="dxa"/>
                    <w:shd w:val="clear" w:color="auto" w:fill="FCE4D6"/>
                    <w:noWrap/>
                    <w:vAlign w:val="center"/>
                    <w:hideMark/>
                  </w:tcPr>
                  <w:p>
                    <w:pPr>
                      <w:rPr>
                        <w:b/>
                        <w:bCs/>
                        <w:sz w:val="20"/>
                      </w:rPr>
                    </w:pPr>
                    <w:r>
                      <w:rPr>
                        <w:b/>
                        <w:bCs/>
                        <w:sz w:val="20"/>
                      </w:rPr>
                      <w:t>14-01</w:t>
                    </w:r>
                  </w:p>
                </w:tc>
                <w:tc>
                  <w:tcPr>
                    <w:tcW w:w="2126" w:type="dxa"/>
                    <w:shd w:val="clear" w:color="auto" w:fill="FCE4D6"/>
                    <w:vAlign w:val="center"/>
                    <w:hideMark/>
                  </w:tcPr>
                  <w:p>
                    <w:pPr>
                      <w:rPr>
                        <w:b/>
                        <w:bCs/>
                        <w:sz w:val="20"/>
                      </w:rPr>
                    </w:pPr>
                    <w:r>
                      <w:rPr>
                        <w:b/>
                        <w:bCs/>
                        <w:sz w:val="20"/>
                      </w:rPr>
                      <w:t>Kompleksiškai planuoti gyvybingą ir nuoseklią miesto struktūrą</w:t>
                    </w:r>
                  </w:p>
                </w:tc>
                <w:tc>
                  <w:tcPr>
                    <w:tcW w:w="850" w:type="dxa"/>
                    <w:shd w:val="clear" w:color="auto" w:fill="FCE4D6"/>
                    <w:noWrap/>
                    <w:vAlign w:val="center"/>
                    <w:hideMark/>
                  </w:tcPr>
                  <w:p>
                    <w:pPr>
                      <w:jc w:val="center"/>
                      <w:rPr>
                        <w:sz w:val="20"/>
                      </w:rPr>
                    </w:pPr>
                    <w:r>
                      <w:rPr>
                        <w:sz w:val="20"/>
                      </w:rPr>
                      <w:t>AS</w:t>
                    </w:r>
                  </w:p>
                </w:tc>
                <w:tc>
                  <w:tcPr>
                    <w:tcW w:w="709" w:type="dxa"/>
                    <w:shd w:val="clear" w:color="auto" w:fill="FCE4D6"/>
                    <w:noWrap/>
                    <w:vAlign w:val="center"/>
                    <w:hideMark/>
                  </w:tcPr>
                  <w:p>
                    <w:pPr>
                      <w:jc w:val="center"/>
                      <w:rPr>
                        <w:sz w:val="20"/>
                      </w:rPr>
                    </w:pPr>
                    <w:r>
                      <w:rPr>
                        <w:sz w:val="20"/>
                      </w:rPr>
                      <w:t>2025</w:t>
                    </w:r>
                  </w:p>
                </w:tc>
                <w:tc>
                  <w:tcPr>
                    <w:tcW w:w="709" w:type="dxa"/>
                    <w:shd w:val="clear" w:color="auto" w:fill="FCE4D6"/>
                    <w:noWrap/>
                    <w:vAlign w:val="center"/>
                    <w:hideMark/>
                  </w:tcPr>
                  <w:p>
                    <w:pPr>
                      <w:jc w:val="center"/>
                      <w:rPr>
                        <w:sz w:val="20"/>
                      </w:rPr>
                    </w:pPr>
                    <w:r>
                      <w:rPr>
                        <w:sz w:val="20"/>
                      </w:rPr>
                      <w:t>2033</w:t>
                    </w:r>
                  </w:p>
                </w:tc>
                <w:tc>
                  <w:tcPr>
                    <w:tcW w:w="1417" w:type="dxa"/>
                    <w:shd w:val="clear" w:color="auto" w:fill="FCE4D6"/>
                    <w:noWrap/>
                    <w:vAlign w:val="center"/>
                    <w:hideMark/>
                  </w:tcPr>
                  <w:p>
                    <w:pPr>
                      <w:rPr>
                        <w:sz w:val="20"/>
                      </w:rPr>
                    </w:pPr>
                    <w:r>
                      <w:rPr>
                        <w:sz w:val="20"/>
                      </w:rPr>
                      <w:t>R-14-01-01</w:t>
                    </w:r>
                  </w:p>
                </w:tc>
                <w:tc>
                  <w:tcPr>
                    <w:tcW w:w="4111" w:type="dxa"/>
                    <w:shd w:val="clear" w:color="auto" w:fill="FCE4D6"/>
                    <w:vAlign w:val="center"/>
                    <w:hideMark/>
                  </w:tcPr>
                  <w:p>
                    <w:pPr>
                      <w:rPr>
                        <w:sz w:val="20"/>
                      </w:rPr>
                    </w:pPr>
                    <w:r>
                      <w:rPr>
                        <w:sz w:val="20"/>
                      </w:rPr>
                      <w:t>Kompleksiniais teritorijų planavimo dokumentais naujai suplanuotų teritorijų bendras plotas, palyginti su bendru miesto urbanizuotų teritorijų plotu (proc.)</w:t>
                    </w:r>
                  </w:p>
                </w:tc>
                <w:tc>
                  <w:tcPr>
                    <w:tcW w:w="1134" w:type="dxa"/>
                    <w:shd w:val="clear" w:color="auto" w:fill="FCE4D6"/>
                    <w:vAlign w:val="center"/>
                    <w:hideMark/>
                  </w:tcPr>
                  <w:p>
                    <w:pPr>
                      <w:jc w:val="center"/>
                      <w:rPr>
                        <w:sz w:val="20"/>
                      </w:rPr>
                    </w:pPr>
                    <w:r>
                      <w:rPr>
                        <w:sz w:val="20"/>
                      </w:rPr>
                      <w:t>ŠMSA (AS)</w:t>
                    </w:r>
                  </w:p>
                </w:tc>
                <w:tc>
                  <w:tcPr>
                    <w:tcW w:w="1134" w:type="dxa"/>
                    <w:shd w:val="clear" w:color="auto" w:fill="FCE4D6"/>
                    <w:noWrap/>
                    <w:vAlign w:val="center"/>
                    <w:hideMark/>
                  </w:tcPr>
                  <w:p>
                    <w:pPr>
                      <w:jc w:val="center"/>
                      <w:rPr>
                        <w:sz w:val="20"/>
                      </w:rPr>
                    </w:pPr>
                    <w:r>
                      <w:rPr>
                        <w:sz w:val="20"/>
                      </w:rPr>
                      <w:t>0 (2025)</w:t>
                    </w:r>
                  </w:p>
                </w:tc>
                <w:tc>
                  <w:tcPr>
                    <w:tcW w:w="1134" w:type="dxa"/>
                    <w:shd w:val="clear" w:color="auto" w:fill="FCE4D6"/>
                    <w:noWrap/>
                    <w:vAlign w:val="center"/>
                    <w:hideMark/>
                  </w:tcPr>
                  <w:p>
                    <w:pPr>
                      <w:jc w:val="center"/>
                      <w:rPr>
                        <w:sz w:val="20"/>
                      </w:rPr>
                    </w:pPr>
                    <w:r>
                      <w:rPr>
                        <w:sz w:val="20"/>
                        <w:lang w:val="en-US"/>
                      </w:rPr>
                      <w:t>3</w:t>
                    </w:r>
                    <w:r>
                      <w:rPr>
                        <w:sz w:val="20"/>
                      </w:rPr>
                      <w:t>0 (2033)</w:t>
                    </w:r>
                  </w:p>
                </w:tc>
              </w:tr>
              <w:tr>
                <w:trPr>
                  <w:trHeight w:val="842"/>
                  <w:jc w:val="center"/>
                </w:trPr>
                <w:tc>
                  <w:tcPr>
                    <w:tcW w:w="988" w:type="dxa"/>
                    <w:vMerge w:val="restart"/>
                    <w:noWrap/>
                    <w:vAlign w:val="center"/>
                    <w:hideMark/>
                  </w:tcPr>
                  <w:p>
                    <w:pPr>
                      <w:rPr>
                        <w:sz w:val="20"/>
                      </w:rPr>
                    </w:pPr>
                    <w:r>
                      <w:rPr>
                        <w:sz w:val="20"/>
                      </w:rPr>
                      <w:t>14-01-01</w:t>
                    </w:r>
                  </w:p>
                </w:tc>
                <w:tc>
                  <w:tcPr>
                    <w:tcW w:w="2126" w:type="dxa"/>
                    <w:vMerge w:val="restart"/>
                    <w:vAlign w:val="center"/>
                    <w:hideMark/>
                  </w:tcPr>
                  <w:p>
                    <w:pPr>
                      <w:rPr>
                        <w:sz w:val="20"/>
                      </w:rPr>
                    </w:pPr>
                    <w:r>
                      <w:rPr>
                        <w:sz w:val="20"/>
                      </w:rPr>
                      <w:t>Planuoti naują plėtrą centrinėse, gerai aprūpintose miesto teritorijose ir skatinti mažaaukštės, bet tankios tipologijos atsiradimą (kotedžai)</w:t>
                    </w:r>
                  </w:p>
                </w:tc>
                <w:tc>
                  <w:tcPr>
                    <w:tcW w:w="850" w:type="dxa"/>
                    <w:vMerge w:val="restart"/>
                    <w:noWrap/>
                    <w:vAlign w:val="center"/>
                    <w:hideMark/>
                  </w:tcPr>
                  <w:p>
                    <w:pPr>
                      <w:jc w:val="center"/>
                      <w:rPr>
                        <w:sz w:val="20"/>
                      </w:rPr>
                    </w:pPr>
                    <w:r>
                      <w:rPr>
                        <w:sz w:val="20"/>
                      </w:rPr>
                      <w:t>MPPS</w:t>
                    </w:r>
                  </w:p>
                </w:tc>
                <w:tc>
                  <w:tcPr>
                    <w:tcW w:w="709" w:type="dxa"/>
                    <w:vMerge w:val="restart"/>
                    <w:noWrap/>
                    <w:vAlign w:val="center"/>
                    <w:hideMark/>
                  </w:tcPr>
                  <w:p>
                    <w:pPr>
                      <w:jc w:val="center"/>
                      <w:rPr>
                        <w:sz w:val="20"/>
                      </w:rPr>
                    </w:pPr>
                    <w:r>
                      <w:rPr>
                        <w:sz w:val="20"/>
                      </w:rPr>
                      <w:t>2025</w:t>
                    </w:r>
                  </w:p>
                </w:tc>
                <w:tc>
                  <w:tcPr>
                    <w:tcW w:w="709" w:type="dxa"/>
                    <w:vMerge w:val="restart"/>
                    <w:noWrap/>
                    <w:vAlign w:val="center"/>
                    <w:hideMark/>
                  </w:tcPr>
                  <w:p>
                    <w:pPr>
                      <w:jc w:val="center"/>
                      <w:rPr>
                        <w:sz w:val="20"/>
                      </w:rPr>
                    </w:pPr>
                    <w:r>
                      <w:rPr>
                        <w:sz w:val="20"/>
                      </w:rPr>
                      <w:t>2033</w:t>
                    </w:r>
                  </w:p>
                </w:tc>
                <w:tc>
                  <w:tcPr>
                    <w:tcW w:w="1417" w:type="dxa"/>
                    <w:noWrap/>
                    <w:vAlign w:val="center"/>
                    <w:hideMark/>
                  </w:tcPr>
                  <w:p>
                    <w:pPr>
                      <w:rPr>
                        <w:sz w:val="20"/>
                      </w:rPr>
                    </w:pPr>
                    <w:r>
                      <w:rPr>
                        <w:sz w:val="20"/>
                      </w:rPr>
                      <w:t>P-14-01-01-01</w:t>
                    </w:r>
                  </w:p>
                </w:tc>
                <w:tc>
                  <w:tcPr>
                    <w:tcW w:w="4111" w:type="dxa"/>
                    <w:vAlign w:val="center"/>
                    <w:hideMark/>
                  </w:tcPr>
                  <w:p>
                    <w:pPr>
                      <w:rPr>
                        <w:sz w:val="20"/>
                      </w:rPr>
                    </w:pPr>
                    <w:r>
                      <w:rPr>
                        <w:sz w:val="20"/>
                      </w:rPr>
                      <w:t>Naujų statybos leidimų skaičius senamiestyje, miesto periferiniuose centruose, gyvenamosiose didelio užstatymo intensyvumo teritorijose ir kitose didelio užstatymo teritorijose (vnt.)</w:t>
                    </w:r>
                  </w:p>
                </w:tc>
                <w:tc>
                  <w:tcPr>
                    <w:tcW w:w="1134" w:type="dxa"/>
                    <w:vAlign w:val="center"/>
                    <w:hideMark/>
                  </w:tcPr>
                  <w:p>
                    <w:pPr>
                      <w:jc w:val="center"/>
                      <w:rPr>
                        <w:sz w:val="20"/>
                      </w:rPr>
                    </w:pPr>
                    <w:r>
                      <w:rPr>
                        <w:sz w:val="20"/>
                      </w:rPr>
                      <w:t>MPPS</w:t>
                    </w:r>
                  </w:p>
                </w:tc>
                <w:tc>
                  <w:tcPr>
                    <w:tcW w:w="1134" w:type="dxa"/>
                    <w:noWrap/>
                    <w:vAlign w:val="center"/>
                    <w:hideMark/>
                  </w:tcPr>
                  <w:p>
                    <w:pPr>
                      <w:jc w:val="center"/>
                      <w:rPr>
                        <w:sz w:val="20"/>
                      </w:rPr>
                    </w:pPr>
                    <w:r>
                      <w:rPr>
                        <w:sz w:val="20"/>
                      </w:rPr>
                      <w:t xml:space="preserve">n.d.  (2023)</w:t>
                    </w:r>
                  </w:p>
                </w:tc>
                <w:tc>
                  <w:tcPr>
                    <w:tcW w:w="1134" w:type="dxa"/>
                    <w:noWrap/>
                    <w:vAlign w:val="center"/>
                    <w:hideMark/>
                  </w:tcPr>
                  <w:p>
                    <w:pPr>
                      <w:jc w:val="center"/>
                      <w:rPr>
                        <w:sz w:val="20"/>
                      </w:rPr>
                    </w:pPr>
                    <w:r>
                      <w:rPr>
                        <w:sz w:val="20"/>
                      </w:rPr>
                      <w:t>1500 (2033)</w:t>
                    </w:r>
                  </w:p>
                </w:tc>
              </w:tr>
              <w:tr>
                <w:trPr>
                  <w:trHeight w:val="1095"/>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rPr>
                        <w:sz w:val="20"/>
                      </w:rPr>
                    </w:pPr>
                  </w:p>
                </w:tc>
                <w:tc>
                  <w:tcPr>
                    <w:tcW w:w="709" w:type="dxa"/>
                    <w:vMerge/>
                    <w:vAlign w:val="center"/>
                    <w:hideMark/>
                  </w:tcPr>
                  <w:p>
                    <w:pPr>
                      <w:rPr>
                        <w:sz w:val="20"/>
                      </w:rPr>
                    </w:pPr>
                  </w:p>
                </w:tc>
                <w:tc>
                  <w:tcPr>
                    <w:tcW w:w="709" w:type="dxa"/>
                    <w:vMerge/>
                    <w:vAlign w:val="center"/>
                    <w:hideMark/>
                  </w:tcPr>
                  <w:p>
                    <w:pPr>
                      <w:rPr>
                        <w:sz w:val="20"/>
                      </w:rPr>
                    </w:pPr>
                  </w:p>
                </w:tc>
                <w:tc>
                  <w:tcPr>
                    <w:tcW w:w="1417" w:type="dxa"/>
                    <w:noWrap/>
                    <w:vAlign w:val="center"/>
                    <w:hideMark/>
                  </w:tcPr>
                  <w:p>
                    <w:pPr>
                      <w:rPr>
                        <w:sz w:val="20"/>
                      </w:rPr>
                    </w:pPr>
                    <w:r>
                      <w:rPr>
                        <w:sz w:val="20"/>
                      </w:rPr>
                      <w:t>P-14-01-01-02</w:t>
                    </w:r>
                  </w:p>
                </w:tc>
                <w:tc>
                  <w:tcPr>
                    <w:tcW w:w="4111" w:type="dxa"/>
                    <w:vAlign w:val="center"/>
                    <w:hideMark/>
                  </w:tcPr>
                  <w:p>
                    <w:pPr>
                      <w:rPr>
                        <w:sz w:val="20"/>
                      </w:rPr>
                    </w:pPr>
                    <w:r>
                      <w:rPr>
                        <w:sz w:val="20"/>
                      </w:rPr>
                      <w:t>Kompleksinių teritorijų planavimo dokumentais naujai suplanuotas plotas senamiestyje, miesto periferiniuose centruose, gyvenamosiose didelio užstatymo intensyvumo teritorijose ir kitose didelio užstatymo teritorijose (ha)</w:t>
                    </w:r>
                  </w:p>
                </w:tc>
                <w:tc>
                  <w:tcPr>
                    <w:tcW w:w="1134" w:type="dxa"/>
                    <w:vAlign w:val="center"/>
                    <w:hideMark/>
                  </w:tcPr>
                  <w:p>
                    <w:pPr>
                      <w:jc w:val="center"/>
                      <w:rPr>
                        <w:sz w:val="20"/>
                      </w:rPr>
                    </w:pPr>
                    <w:r>
                      <w:rPr>
                        <w:sz w:val="20"/>
                      </w:rPr>
                      <w:t>AS</w:t>
                    </w:r>
                  </w:p>
                </w:tc>
                <w:tc>
                  <w:tcPr>
                    <w:tcW w:w="1134" w:type="dxa"/>
                    <w:noWrap/>
                    <w:vAlign w:val="center"/>
                    <w:hideMark/>
                  </w:tcPr>
                  <w:p>
                    <w:pPr>
                      <w:jc w:val="center"/>
                      <w:rPr>
                        <w:sz w:val="20"/>
                      </w:rPr>
                    </w:pPr>
                    <w:r>
                      <w:rPr>
                        <w:sz w:val="20"/>
                      </w:rPr>
                      <w:t>n.d. (2023)</w:t>
                    </w:r>
                  </w:p>
                </w:tc>
                <w:tc>
                  <w:tcPr>
                    <w:tcW w:w="1134" w:type="dxa"/>
                    <w:noWrap/>
                    <w:vAlign w:val="center"/>
                    <w:hideMark/>
                  </w:tcPr>
                  <w:p>
                    <w:pPr>
                      <w:jc w:val="center"/>
                      <w:rPr>
                        <w:sz w:val="20"/>
                      </w:rPr>
                    </w:pPr>
                    <w:r>
                      <w:rPr>
                        <w:sz w:val="20"/>
                      </w:rPr>
                      <w:t>100 (2033)</w:t>
                    </w:r>
                  </w:p>
                </w:tc>
              </w:tr>
              <w:tr>
                <w:trPr>
                  <w:trHeight w:val="642"/>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rPr>
                        <w:sz w:val="20"/>
                      </w:rPr>
                    </w:pPr>
                  </w:p>
                </w:tc>
                <w:tc>
                  <w:tcPr>
                    <w:tcW w:w="709" w:type="dxa"/>
                    <w:vMerge/>
                    <w:vAlign w:val="center"/>
                    <w:hideMark/>
                  </w:tcPr>
                  <w:p>
                    <w:pPr>
                      <w:rPr>
                        <w:sz w:val="20"/>
                      </w:rPr>
                    </w:pPr>
                  </w:p>
                </w:tc>
                <w:tc>
                  <w:tcPr>
                    <w:tcW w:w="709" w:type="dxa"/>
                    <w:vMerge/>
                    <w:vAlign w:val="center"/>
                    <w:hideMark/>
                  </w:tcPr>
                  <w:p>
                    <w:pPr>
                      <w:rPr>
                        <w:sz w:val="20"/>
                      </w:rPr>
                    </w:pPr>
                  </w:p>
                </w:tc>
                <w:tc>
                  <w:tcPr>
                    <w:tcW w:w="1417" w:type="dxa"/>
                    <w:noWrap/>
                    <w:vAlign w:val="center"/>
                    <w:hideMark/>
                  </w:tcPr>
                  <w:p>
                    <w:pPr>
                      <w:rPr>
                        <w:sz w:val="20"/>
                      </w:rPr>
                    </w:pPr>
                    <w:r>
                      <w:rPr>
                        <w:sz w:val="20"/>
                      </w:rPr>
                      <w:t>P-14-01-01-03</w:t>
                    </w:r>
                  </w:p>
                </w:tc>
                <w:tc>
                  <w:tcPr>
                    <w:tcW w:w="4111" w:type="dxa"/>
                    <w:vAlign w:val="center"/>
                    <w:hideMark/>
                  </w:tcPr>
                  <w:p>
                    <w:pPr>
                      <w:rPr>
                        <w:sz w:val="20"/>
                      </w:rPr>
                    </w:pPr>
                    <w:r>
                      <w:rPr>
                        <w:sz w:val="20"/>
                      </w:rPr>
                      <w:t>Mažaaukštės, bei tankios tipologijos (kotedžai) teritorijų planavimo dokumentais suplanuotas plotas (ha)</w:t>
                    </w:r>
                  </w:p>
                </w:tc>
                <w:tc>
                  <w:tcPr>
                    <w:tcW w:w="1134" w:type="dxa"/>
                    <w:vAlign w:val="center"/>
                    <w:hideMark/>
                  </w:tcPr>
                  <w:p>
                    <w:pPr>
                      <w:jc w:val="center"/>
                      <w:rPr>
                        <w:sz w:val="20"/>
                      </w:rPr>
                    </w:pPr>
                    <w:r>
                      <w:rPr>
                        <w:sz w:val="20"/>
                      </w:rPr>
                      <w:t>MPPS</w:t>
                    </w:r>
                  </w:p>
                </w:tc>
                <w:tc>
                  <w:tcPr>
                    <w:tcW w:w="1134" w:type="dxa"/>
                    <w:noWrap/>
                    <w:vAlign w:val="center"/>
                    <w:hideMark/>
                  </w:tcPr>
                  <w:p>
                    <w:pPr>
                      <w:jc w:val="center"/>
                      <w:rPr>
                        <w:sz w:val="20"/>
                      </w:rPr>
                    </w:pPr>
                    <w:r>
                      <w:rPr>
                        <w:sz w:val="20"/>
                      </w:rPr>
                      <w:t>n.d. (2023)</w:t>
                    </w:r>
                  </w:p>
                </w:tc>
                <w:tc>
                  <w:tcPr>
                    <w:tcW w:w="1134" w:type="dxa"/>
                    <w:noWrap/>
                    <w:vAlign w:val="center"/>
                    <w:hideMark/>
                  </w:tcPr>
                  <w:p>
                    <w:pPr>
                      <w:jc w:val="center"/>
                      <w:rPr>
                        <w:sz w:val="20"/>
                      </w:rPr>
                    </w:pPr>
                    <w:r>
                      <w:rPr>
                        <w:sz w:val="20"/>
                      </w:rPr>
                      <w:t>20 (2033)</w:t>
                    </w:r>
                  </w:p>
                </w:tc>
              </w:tr>
              <w:tr>
                <w:trPr>
                  <w:trHeight w:val="321"/>
                  <w:jc w:val="center"/>
                </w:trPr>
                <w:tc>
                  <w:tcPr>
                    <w:tcW w:w="988" w:type="dxa"/>
                    <w:vMerge w:val="restart"/>
                    <w:noWrap/>
                    <w:vAlign w:val="center"/>
                  </w:tcPr>
                  <w:p>
                    <w:pPr>
                      <w:rPr>
                        <w:sz w:val="20"/>
                      </w:rPr>
                    </w:pPr>
                    <w:r>
                      <w:rPr>
                        <w:sz w:val="20"/>
                      </w:rPr>
                      <w:t>14-01-02</w:t>
                    </w:r>
                  </w:p>
                </w:tc>
                <w:tc>
                  <w:tcPr>
                    <w:tcW w:w="2126" w:type="dxa"/>
                    <w:vMerge w:val="restart"/>
                    <w:vAlign w:val="center"/>
                  </w:tcPr>
                  <w:p>
                    <w:pPr>
                      <w:rPr>
                        <w:sz w:val="20"/>
                      </w:rPr>
                    </w:pPr>
                    <w:r>
                      <w:rPr>
                        <w:sz w:val="20"/>
                      </w:rPr>
                      <w:t>Užtikrini tvarų, miesto identitetą pabrėžiantį miesto planavimą</w:t>
                    </w:r>
                  </w:p>
                </w:tc>
                <w:tc>
                  <w:tcPr>
                    <w:tcW w:w="850" w:type="dxa"/>
                    <w:vMerge w:val="restart"/>
                    <w:noWrap/>
                    <w:vAlign w:val="center"/>
                  </w:tcPr>
                  <w:p>
                    <w:pPr>
                      <w:jc w:val="center"/>
                      <w:rPr>
                        <w:sz w:val="20"/>
                      </w:rPr>
                    </w:pPr>
                    <w:r>
                      <w:rPr>
                        <w:sz w:val="20"/>
                      </w:rPr>
                      <w:t>AS</w:t>
                    </w:r>
                  </w:p>
                </w:tc>
                <w:tc>
                  <w:tcPr>
                    <w:tcW w:w="709" w:type="dxa"/>
                    <w:vMerge w:val="restart"/>
                    <w:noWrap/>
                    <w:vAlign w:val="center"/>
                  </w:tcPr>
                  <w:p>
                    <w:pPr>
                      <w:jc w:val="center"/>
                      <w:rPr>
                        <w:sz w:val="20"/>
                      </w:rPr>
                    </w:pPr>
                    <w:r>
                      <w:rPr>
                        <w:sz w:val="20"/>
                      </w:rPr>
                      <w:t>2025</w:t>
                    </w:r>
                  </w:p>
                </w:tc>
                <w:tc>
                  <w:tcPr>
                    <w:tcW w:w="709" w:type="dxa"/>
                    <w:vMerge w:val="restart"/>
                    <w:noWrap/>
                    <w:vAlign w:val="center"/>
                  </w:tcPr>
                  <w:p>
                    <w:pPr>
                      <w:jc w:val="center"/>
                      <w:rPr>
                        <w:sz w:val="20"/>
                      </w:rPr>
                    </w:pPr>
                    <w:r>
                      <w:rPr>
                        <w:sz w:val="20"/>
                      </w:rPr>
                      <w:t>2033</w:t>
                    </w:r>
                  </w:p>
                </w:tc>
                <w:tc>
                  <w:tcPr>
                    <w:tcW w:w="1417" w:type="dxa"/>
                    <w:noWrap/>
                    <w:vAlign w:val="center"/>
                  </w:tcPr>
                  <w:p>
                    <w:pPr>
                      <w:rPr>
                        <w:sz w:val="20"/>
                      </w:rPr>
                    </w:pPr>
                    <w:r>
                      <w:rPr>
                        <w:sz w:val="20"/>
                      </w:rPr>
                      <w:t>P-14-01-02-01</w:t>
                    </w:r>
                  </w:p>
                </w:tc>
                <w:tc>
                  <w:tcPr>
                    <w:tcW w:w="4111" w:type="dxa"/>
                    <w:vAlign w:val="center"/>
                  </w:tcPr>
                  <w:p>
                    <w:pPr>
                      <w:rPr>
                        <w:sz w:val="20"/>
                      </w:rPr>
                    </w:pPr>
                    <w:r>
                      <w:rPr>
                        <w:sz w:val="20"/>
                      </w:rPr>
                      <w:t>Urbanistinių ir architektūrinių vizijų / koncepcijų / planų skaičius (vnt.)</w:t>
                    </w:r>
                  </w:p>
                </w:tc>
                <w:tc>
                  <w:tcPr>
                    <w:tcW w:w="1134" w:type="dxa"/>
                    <w:vAlign w:val="center"/>
                  </w:tcPr>
                  <w:p>
                    <w:pPr>
                      <w:jc w:val="center"/>
                      <w:rPr>
                        <w:sz w:val="20"/>
                      </w:rPr>
                    </w:pPr>
                    <w:r>
                      <w:rPr>
                        <w:sz w:val="20"/>
                      </w:rPr>
                      <w:t>AS</w:t>
                    </w:r>
                  </w:p>
                </w:tc>
                <w:tc>
                  <w:tcPr>
                    <w:tcW w:w="1134" w:type="dxa"/>
                    <w:noWrap/>
                    <w:vAlign w:val="center"/>
                  </w:tcPr>
                  <w:p>
                    <w:pPr>
                      <w:jc w:val="center"/>
                      <w:rPr>
                        <w:sz w:val="20"/>
                      </w:rPr>
                    </w:pPr>
                    <w:r>
                      <w:rPr>
                        <w:sz w:val="20"/>
                      </w:rPr>
                      <w:t>0 (2023)</w:t>
                    </w:r>
                  </w:p>
                </w:tc>
                <w:tc>
                  <w:tcPr>
                    <w:tcW w:w="1134" w:type="dxa"/>
                    <w:noWrap/>
                    <w:vAlign w:val="center"/>
                  </w:tcPr>
                  <w:p>
                    <w:pPr>
                      <w:jc w:val="center"/>
                      <w:rPr>
                        <w:sz w:val="20"/>
                      </w:rPr>
                    </w:pPr>
                    <w:r>
                      <w:rPr>
                        <w:sz w:val="20"/>
                      </w:rPr>
                      <w:t>2 (2033)</w:t>
                    </w:r>
                  </w:p>
                </w:tc>
              </w:tr>
              <w:tr>
                <w:trPr>
                  <w:trHeight w:val="321"/>
                  <w:jc w:val="center"/>
                </w:trPr>
                <w:tc>
                  <w:tcPr>
                    <w:tcW w:w="988" w:type="dxa"/>
                    <w:vMerge/>
                    <w:noWrap/>
                    <w:vAlign w:val="center"/>
                  </w:tcPr>
                  <w:p>
                    <w:pPr>
                      <w:rPr>
                        <w:sz w:val="20"/>
                      </w:rPr>
                    </w:pPr>
                  </w:p>
                </w:tc>
                <w:tc>
                  <w:tcPr>
                    <w:tcW w:w="2126" w:type="dxa"/>
                    <w:vMerge/>
                    <w:vAlign w:val="center"/>
                  </w:tcPr>
                  <w:p>
                    <w:pPr>
                      <w:rPr>
                        <w:sz w:val="20"/>
                      </w:rPr>
                    </w:pPr>
                  </w:p>
                </w:tc>
                <w:tc>
                  <w:tcPr>
                    <w:tcW w:w="850" w:type="dxa"/>
                    <w:vMerge/>
                    <w:noWrap/>
                    <w:vAlign w:val="center"/>
                  </w:tcPr>
                  <w:p>
                    <w:pPr>
                      <w:jc w:val="center"/>
                      <w:rPr>
                        <w:sz w:val="20"/>
                      </w:rPr>
                    </w:pPr>
                  </w:p>
                </w:tc>
                <w:tc>
                  <w:tcPr>
                    <w:tcW w:w="709" w:type="dxa"/>
                    <w:vMerge/>
                    <w:noWrap/>
                    <w:vAlign w:val="center"/>
                  </w:tcPr>
                  <w:p>
                    <w:pPr>
                      <w:jc w:val="center"/>
                      <w:rPr>
                        <w:sz w:val="20"/>
                      </w:rPr>
                    </w:pPr>
                  </w:p>
                </w:tc>
                <w:tc>
                  <w:tcPr>
                    <w:tcW w:w="709" w:type="dxa"/>
                    <w:vMerge/>
                    <w:noWrap/>
                    <w:vAlign w:val="center"/>
                  </w:tcPr>
                  <w:p>
                    <w:pPr>
                      <w:jc w:val="center"/>
                      <w:rPr>
                        <w:sz w:val="20"/>
                      </w:rPr>
                    </w:pPr>
                  </w:p>
                </w:tc>
                <w:tc>
                  <w:tcPr>
                    <w:tcW w:w="1417" w:type="dxa"/>
                    <w:noWrap/>
                    <w:vAlign w:val="center"/>
                  </w:tcPr>
                  <w:p>
                    <w:pPr>
                      <w:rPr>
                        <w:sz w:val="20"/>
                      </w:rPr>
                    </w:pPr>
                    <w:r>
                      <w:rPr>
                        <w:sz w:val="20"/>
                      </w:rPr>
                      <w:t>P-14-01-02-02</w:t>
                    </w:r>
                  </w:p>
                </w:tc>
                <w:tc>
                  <w:tcPr>
                    <w:tcW w:w="4111" w:type="dxa"/>
                    <w:vAlign w:val="center"/>
                  </w:tcPr>
                  <w:p>
                    <w:pPr>
                      <w:rPr>
                        <w:sz w:val="20"/>
                      </w:rPr>
                    </w:pPr>
                    <w:r>
                      <w:rPr>
                        <w:sz w:val="20"/>
                      </w:rPr>
                      <w:t>Suorganizuotų urbanistinių ar architektūrinių konkursų skaičius (vnt.)</w:t>
                    </w:r>
                  </w:p>
                </w:tc>
                <w:tc>
                  <w:tcPr>
                    <w:tcW w:w="1134" w:type="dxa"/>
                    <w:vAlign w:val="center"/>
                  </w:tcPr>
                  <w:p>
                    <w:pPr>
                      <w:jc w:val="center"/>
                      <w:rPr>
                        <w:sz w:val="20"/>
                      </w:rPr>
                    </w:pPr>
                    <w:r>
                      <w:rPr>
                        <w:sz w:val="20"/>
                      </w:rPr>
                      <w:t>AS</w:t>
                    </w:r>
                  </w:p>
                </w:tc>
                <w:tc>
                  <w:tcPr>
                    <w:tcW w:w="1134" w:type="dxa"/>
                    <w:noWrap/>
                    <w:vAlign w:val="center"/>
                  </w:tcPr>
                  <w:p>
                    <w:pPr>
                      <w:jc w:val="center"/>
                      <w:rPr>
                        <w:sz w:val="20"/>
                      </w:rPr>
                    </w:pPr>
                    <w:r>
                      <w:rPr>
                        <w:sz w:val="20"/>
                      </w:rPr>
                      <w:t>0 (2023)</w:t>
                    </w:r>
                  </w:p>
                </w:tc>
                <w:tc>
                  <w:tcPr>
                    <w:tcW w:w="1134" w:type="dxa"/>
                    <w:noWrap/>
                    <w:vAlign w:val="center"/>
                  </w:tcPr>
                  <w:p>
                    <w:pPr>
                      <w:jc w:val="center"/>
                      <w:rPr>
                        <w:sz w:val="20"/>
                      </w:rPr>
                    </w:pPr>
                    <w:r>
                      <w:rPr>
                        <w:sz w:val="20"/>
                      </w:rPr>
                      <w:t>2 (2033)</w:t>
                    </w:r>
                  </w:p>
                </w:tc>
              </w:tr>
              <w:tr>
                <w:trPr>
                  <w:trHeight w:val="321"/>
                  <w:jc w:val="center"/>
                </w:trPr>
                <w:tc>
                  <w:tcPr>
                    <w:tcW w:w="988" w:type="dxa"/>
                    <w:vMerge/>
                    <w:noWrap/>
                    <w:vAlign w:val="center"/>
                  </w:tcPr>
                  <w:p>
                    <w:pPr>
                      <w:rPr>
                        <w:sz w:val="20"/>
                      </w:rPr>
                    </w:pPr>
                  </w:p>
                </w:tc>
                <w:tc>
                  <w:tcPr>
                    <w:tcW w:w="2126" w:type="dxa"/>
                    <w:vMerge/>
                    <w:vAlign w:val="center"/>
                  </w:tcPr>
                  <w:p>
                    <w:pPr>
                      <w:rPr>
                        <w:sz w:val="20"/>
                      </w:rPr>
                    </w:pPr>
                  </w:p>
                </w:tc>
                <w:tc>
                  <w:tcPr>
                    <w:tcW w:w="850" w:type="dxa"/>
                    <w:vMerge/>
                    <w:noWrap/>
                    <w:vAlign w:val="center"/>
                  </w:tcPr>
                  <w:p>
                    <w:pPr>
                      <w:jc w:val="center"/>
                      <w:rPr>
                        <w:sz w:val="20"/>
                      </w:rPr>
                    </w:pPr>
                  </w:p>
                </w:tc>
                <w:tc>
                  <w:tcPr>
                    <w:tcW w:w="709" w:type="dxa"/>
                    <w:vMerge/>
                    <w:noWrap/>
                    <w:vAlign w:val="center"/>
                  </w:tcPr>
                  <w:p>
                    <w:pPr>
                      <w:jc w:val="center"/>
                      <w:rPr>
                        <w:sz w:val="20"/>
                      </w:rPr>
                    </w:pPr>
                  </w:p>
                </w:tc>
                <w:tc>
                  <w:tcPr>
                    <w:tcW w:w="709" w:type="dxa"/>
                    <w:vMerge/>
                    <w:noWrap/>
                    <w:vAlign w:val="center"/>
                  </w:tcPr>
                  <w:p>
                    <w:pPr>
                      <w:jc w:val="center"/>
                      <w:rPr>
                        <w:sz w:val="20"/>
                      </w:rPr>
                    </w:pPr>
                  </w:p>
                </w:tc>
                <w:tc>
                  <w:tcPr>
                    <w:tcW w:w="1417" w:type="dxa"/>
                    <w:noWrap/>
                    <w:vAlign w:val="center"/>
                  </w:tcPr>
                  <w:p>
                    <w:pPr>
                      <w:rPr>
                        <w:sz w:val="20"/>
                      </w:rPr>
                    </w:pPr>
                    <w:r>
                      <w:rPr>
                        <w:sz w:val="20"/>
                      </w:rPr>
                      <w:t>P-14-01-02-03</w:t>
                    </w:r>
                  </w:p>
                </w:tc>
                <w:tc>
                  <w:tcPr>
                    <w:tcW w:w="4111" w:type="dxa"/>
                    <w:vAlign w:val="center"/>
                  </w:tcPr>
                  <w:p>
                    <w:pPr>
                      <w:rPr>
                        <w:sz w:val="20"/>
                      </w:rPr>
                    </w:pPr>
                    <w:r>
                      <w:rPr>
                        <w:sz w:val="20"/>
                      </w:rPr>
                      <w:t>Atnaujintų / parengtų specialiųjų teritorijų planavimo dokumentų skaičius (vnt.)</w:t>
                    </w:r>
                  </w:p>
                </w:tc>
                <w:tc>
                  <w:tcPr>
                    <w:tcW w:w="1134" w:type="dxa"/>
                    <w:vAlign w:val="center"/>
                  </w:tcPr>
                  <w:p>
                    <w:pPr>
                      <w:jc w:val="center"/>
                      <w:rPr>
                        <w:sz w:val="20"/>
                      </w:rPr>
                    </w:pPr>
                    <w:r>
                      <w:rPr>
                        <w:sz w:val="20"/>
                      </w:rPr>
                      <w:t>AS</w:t>
                    </w:r>
                  </w:p>
                </w:tc>
                <w:tc>
                  <w:tcPr>
                    <w:tcW w:w="1134" w:type="dxa"/>
                    <w:noWrap/>
                    <w:vAlign w:val="center"/>
                  </w:tcPr>
                  <w:p>
                    <w:pPr>
                      <w:jc w:val="center"/>
                      <w:rPr>
                        <w:sz w:val="20"/>
                      </w:rPr>
                    </w:pPr>
                    <w:r>
                      <w:rPr>
                        <w:sz w:val="20"/>
                      </w:rPr>
                      <w:t>0 (2025)</w:t>
                    </w:r>
                  </w:p>
                </w:tc>
                <w:tc>
                  <w:tcPr>
                    <w:tcW w:w="1134" w:type="dxa"/>
                    <w:noWrap/>
                    <w:vAlign w:val="center"/>
                  </w:tcPr>
                  <w:p>
                    <w:pPr>
                      <w:jc w:val="center"/>
                      <w:rPr>
                        <w:sz w:val="20"/>
                      </w:rPr>
                    </w:pPr>
                    <w:r>
                      <w:rPr>
                        <w:sz w:val="20"/>
                      </w:rPr>
                      <w:t>2 (2033)</w:t>
                    </w:r>
                  </w:p>
                </w:tc>
              </w:tr>
              <w:tr>
                <w:trPr>
                  <w:trHeight w:val="321"/>
                  <w:jc w:val="center"/>
                </w:trPr>
                <w:tc>
                  <w:tcPr>
                    <w:tcW w:w="988" w:type="dxa"/>
                    <w:vMerge/>
                    <w:noWrap/>
                    <w:vAlign w:val="center"/>
                  </w:tcPr>
                  <w:p>
                    <w:pPr>
                      <w:rPr>
                        <w:sz w:val="20"/>
                      </w:rPr>
                    </w:pPr>
                  </w:p>
                </w:tc>
                <w:tc>
                  <w:tcPr>
                    <w:tcW w:w="2126" w:type="dxa"/>
                    <w:vMerge/>
                    <w:vAlign w:val="center"/>
                  </w:tcPr>
                  <w:p>
                    <w:pPr>
                      <w:rPr>
                        <w:sz w:val="20"/>
                      </w:rPr>
                    </w:pPr>
                  </w:p>
                </w:tc>
                <w:tc>
                  <w:tcPr>
                    <w:tcW w:w="850" w:type="dxa"/>
                    <w:vMerge/>
                    <w:noWrap/>
                    <w:vAlign w:val="center"/>
                  </w:tcPr>
                  <w:p>
                    <w:pPr>
                      <w:jc w:val="center"/>
                      <w:rPr>
                        <w:sz w:val="20"/>
                      </w:rPr>
                    </w:pPr>
                  </w:p>
                </w:tc>
                <w:tc>
                  <w:tcPr>
                    <w:tcW w:w="709" w:type="dxa"/>
                    <w:vMerge/>
                    <w:noWrap/>
                    <w:vAlign w:val="center"/>
                  </w:tcPr>
                  <w:p>
                    <w:pPr>
                      <w:jc w:val="center"/>
                      <w:rPr>
                        <w:sz w:val="20"/>
                      </w:rPr>
                    </w:pPr>
                  </w:p>
                </w:tc>
                <w:tc>
                  <w:tcPr>
                    <w:tcW w:w="709" w:type="dxa"/>
                    <w:vMerge/>
                    <w:noWrap/>
                    <w:vAlign w:val="center"/>
                  </w:tcPr>
                  <w:p>
                    <w:pPr>
                      <w:jc w:val="center"/>
                      <w:rPr>
                        <w:sz w:val="20"/>
                      </w:rPr>
                    </w:pPr>
                  </w:p>
                </w:tc>
                <w:tc>
                  <w:tcPr>
                    <w:tcW w:w="1417" w:type="dxa"/>
                    <w:noWrap/>
                    <w:vAlign w:val="center"/>
                  </w:tcPr>
                  <w:p>
                    <w:pPr>
                      <w:rPr>
                        <w:sz w:val="20"/>
                      </w:rPr>
                    </w:pPr>
                    <w:r>
                      <w:rPr>
                        <w:sz w:val="20"/>
                      </w:rPr>
                      <w:t>P-14-01-02-04</w:t>
                    </w:r>
                  </w:p>
                </w:tc>
                <w:tc>
                  <w:tcPr>
                    <w:tcW w:w="4111" w:type="dxa"/>
                    <w:vAlign w:val="center"/>
                  </w:tcPr>
                  <w:p>
                    <w:pPr>
                      <w:rPr>
                        <w:sz w:val="20"/>
                      </w:rPr>
                    </w:pPr>
                    <w:r>
                      <w:rPr>
                        <w:sz w:val="20"/>
                      </w:rPr>
                      <w:t>Sukurta miesto vizualinio identiteto strategija, išryškinanti miesto identitetą, jį skatinančių, vizualinių, meninių priemonių / objektų, akcentų naudojimą (vnt.)</w:t>
                    </w:r>
                  </w:p>
                </w:tc>
                <w:tc>
                  <w:tcPr>
                    <w:tcW w:w="1134" w:type="dxa"/>
                    <w:vAlign w:val="center"/>
                  </w:tcPr>
                  <w:p>
                    <w:pPr>
                      <w:jc w:val="center"/>
                      <w:rPr>
                        <w:sz w:val="20"/>
                      </w:rPr>
                    </w:pPr>
                    <w:r>
                      <w:rPr>
                        <w:sz w:val="20"/>
                      </w:rPr>
                      <w:t>AS, MPPS</w:t>
                    </w:r>
                  </w:p>
                </w:tc>
                <w:tc>
                  <w:tcPr>
                    <w:tcW w:w="1134" w:type="dxa"/>
                    <w:noWrap/>
                    <w:vAlign w:val="center"/>
                  </w:tcPr>
                  <w:p>
                    <w:pPr>
                      <w:jc w:val="center"/>
                      <w:rPr>
                        <w:sz w:val="20"/>
                      </w:rPr>
                    </w:pPr>
                    <w:r>
                      <w:rPr>
                        <w:sz w:val="20"/>
                      </w:rPr>
                      <w:t>0 (2023)</w:t>
                    </w:r>
                  </w:p>
                </w:tc>
                <w:tc>
                  <w:tcPr>
                    <w:tcW w:w="1134" w:type="dxa"/>
                    <w:noWrap/>
                    <w:vAlign w:val="center"/>
                  </w:tcPr>
                  <w:p>
                    <w:pPr>
                      <w:jc w:val="center"/>
                      <w:rPr>
                        <w:sz w:val="20"/>
                      </w:rPr>
                    </w:pPr>
                    <w:r>
                      <w:rPr>
                        <w:sz w:val="20"/>
                      </w:rPr>
                      <w:t>1 (2025)</w:t>
                    </w:r>
                  </w:p>
                </w:tc>
              </w:tr>
              <w:tr>
                <w:trPr>
                  <w:trHeight w:val="321"/>
                  <w:jc w:val="center"/>
                </w:trPr>
                <w:tc>
                  <w:tcPr>
                    <w:tcW w:w="988" w:type="dxa"/>
                    <w:vMerge w:val="restart"/>
                    <w:noWrap/>
                    <w:vAlign w:val="center"/>
                  </w:tcPr>
                  <w:p>
                    <w:pPr>
                      <w:rPr>
                        <w:sz w:val="20"/>
                      </w:rPr>
                    </w:pPr>
                    <w:r>
                      <w:rPr>
                        <w:sz w:val="20"/>
                      </w:rPr>
                      <w:t>14-01-03</w:t>
                    </w:r>
                  </w:p>
                </w:tc>
                <w:tc>
                  <w:tcPr>
                    <w:tcW w:w="2126" w:type="dxa"/>
                    <w:vMerge w:val="restart"/>
                    <w:vAlign w:val="center"/>
                  </w:tcPr>
                  <w:p>
                    <w:pPr>
                      <w:rPr>
                        <w:sz w:val="20"/>
                      </w:rPr>
                    </w:pPr>
                    <w:r>
                      <w:rPr>
                        <w:sz w:val="20"/>
                      </w:rPr>
                      <w:t>Konvertuoti centro teritorijoje esančių pramoninių kompleksų teritorijas į mišrios paskirties miesto teritorijas</w:t>
                    </w:r>
                  </w:p>
                </w:tc>
                <w:tc>
                  <w:tcPr>
                    <w:tcW w:w="850" w:type="dxa"/>
                    <w:vMerge w:val="restart"/>
                    <w:noWrap/>
                    <w:vAlign w:val="center"/>
                  </w:tcPr>
                  <w:p>
                    <w:pPr>
                      <w:jc w:val="center"/>
                      <w:rPr>
                        <w:sz w:val="20"/>
                      </w:rPr>
                    </w:pPr>
                    <w:r>
                      <w:rPr>
                        <w:sz w:val="20"/>
                      </w:rPr>
                      <w:t>AS</w:t>
                    </w:r>
                  </w:p>
                </w:tc>
                <w:tc>
                  <w:tcPr>
                    <w:tcW w:w="709" w:type="dxa"/>
                    <w:vMerge w:val="restart"/>
                    <w:noWrap/>
                    <w:vAlign w:val="center"/>
                  </w:tcPr>
                  <w:p>
                    <w:pPr>
                      <w:jc w:val="center"/>
                      <w:rPr>
                        <w:sz w:val="20"/>
                      </w:rPr>
                    </w:pPr>
                    <w:r>
                      <w:rPr>
                        <w:sz w:val="20"/>
                      </w:rPr>
                      <w:t>2025</w:t>
                    </w:r>
                  </w:p>
                </w:tc>
                <w:tc>
                  <w:tcPr>
                    <w:tcW w:w="709" w:type="dxa"/>
                    <w:vMerge w:val="restart"/>
                    <w:noWrap/>
                    <w:vAlign w:val="center"/>
                  </w:tcPr>
                  <w:p>
                    <w:pPr>
                      <w:jc w:val="center"/>
                      <w:rPr>
                        <w:sz w:val="20"/>
                      </w:rPr>
                    </w:pPr>
                    <w:r>
                      <w:rPr>
                        <w:sz w:val="20"/>
                      </w:rPr>
                      <w:t>2033</w:t>
                    </w:r>
                  </w:p>
                </w:tc>
                <w:tc>
                  <w:tcPr>
                    <w:tcW w:w="1417" w:type="dxa"/>
                    <w:noWrap/>
                    <w:vAlign w:val="center"/>
                  </w:tcPr>
                  <w:p>
                    <w:pPr>
                      <w:rPr>
                        <w:sz w:val="20"/>
                      </w:rPr>
                    </w:pPr>
                    <w:r>
                      <w:rPr>
                        <w:sz w:val="20"/>
                      </w:rPr>
                      <w:t>P-14-01-03-01</w:t>
                    </w:r>
                  </w:p>
                </w:tc>
                <w:tc>
                  <w:tcPr>
                    <w:tcW w:w="4111" w:type="dxa"/>
                    <w:vAlign w:val="center"/>
                  </w:tcPr>
                  <w:p>
                    <w:pPr>
                      <w:rPr>
                        <w:sz w:val="20"/>
                      </w:rPr>
                    </w:pPr>
                    <w:r>
                      <w:rPr>
                        <w:sz w:val="20"/>
                      </w:rPr>
                      <w:t>Parengtų kompleksinių teritorijų planavimo dokumentų, kuriuose numatyta pramoninių teritorijų konversija, skaičius (vnt.)</w:t>
                    </w:r>
                  </w:p>
                </w:tc>
                <w:tc>
                  <w:tcPr>
                    <w:tcW w:w="1134" w:type="dxa"/>
                    <w:vAlign w:val="center"/>
                  </w:tcPr>
                  <w:p>
                    <w:pPr>
                      <w:jc w:val="center"/>
                      <w:rPr>
                        <w:sz w:val="20"/>
                      </w:rPr>
                    </w:pPr>
                    <w:r>
                      <w:rPr>
                        <w:sz w:val="20"/>
                      </w:rPr>
                      <w:t>AS</w:t>
                    </w:r>
                  </w:p>
                </w:tc>
                <w:tc>
                  <w:tcPr>
                    <w:tcW w:w="1134" w:type="dxa"/>
                    <w:noWrap/>
                    <w:vAlign w:val="center"/>
                  </w:tcPr>
                  <w:p>
                    <w:pPr>
                      <w:jc w:val="center"/>
                      <w:rPr>
                        <w:sz w:val="20"/>
                      </w:rPr>
                    </w:pPr>
                    <w:r>
                      <w:rPr>
                        <w:sz w:val="20"/>
                      </w:rPr>
                      <w:t>0 (2023)</w:t>
                    </w:r>
                  </w:p>
                </w:tc>
                <w:tc>
                  <w:tcPr>
                    <w:tcW w:w="1134" w:type="dxa"/>
                    <w:noWrap/>
                    <w:vAlign w:val="center"/>
                  </w:tcPr>
                  <w:p>
                    <w:pPr>
                      <w:jc w:val="center"/>
                      <w:rPr>
                        <w:sz w:val="20"/>
                      </w:rPr>
                    </w:pPr>
                    <w:r>
                      <w:rPr>
                        <w:sz w:val="20"/>
                      </w:rPr>
                      <w:t>3 (2033)</w:t>
                    </w:r>
                  </w:p>
                </w:tc>
              </w:tr>
              <w:tr>
                <w:trPr>
                  <w:trHeight w:val="321"/>
                  <w:jc w:val="center"/>
                </w:trPr>
                <w:tc>
                  <w:tcPr>
                    <w:tcW w:w="988" w:type="dxa"/>
                    <w:vMerge/>
                    <w:noWrap/>
                    <w:vAlign w:val="center"/>
                  </w:tcPr>
                  <w:p>
                    <w:pPr>
                      <w:rPr>
                        <w:sz w:val="20"/>
                      </w:rPr>
                    </w:pPr>
                  </w:p>
                </w:tc>
                <w:tc>
                  <w:tcPr>
                    <w:tcW w:w="2126" w:type="dxa"/>
                    <w:vMerge/>
                    <w:vAlign w:val="center"/>
                  </w:tcPr>
                  <w:p>
                    <w:pPr>
                      <w:rPr>
                        <w:sz w:val="20"/>
                      </w:rPr>
                    </w:pPr>
                  </w:p>
                </w:tc>
                <w:tc>
                  <w:tcPr>
                    <w:tcW w:w="850" w:type="dxa"/>
                    <w:vMerge/>
                    <w:noWrap/>
                    <w:vAlign w:val="center"/>
                  </w:tcPr>
                  <w:p>
                    <w:pPr>
                      <w:jc w:val="center"/>
                      <w:rPr>
                        <w:sz w:val="20"/>
                      </w:rPr>
                    </w:pPr>
                  </w:p>
                </w:tc>
                <w:tc>
                  <w:tcPr>
                    <w:tcW w:w="709" w:type="dxa"/>
                    <w:vMerge/>
                    <w:noWrap/>
                    <w:vAlign w:val="center"/>
                  </w:tcPr>
                  <w:p>
                    <w:pPr>
                      <w:jc w:val="center"/>
                      <w:rPr>
                        <w:sz w:val="20"/>
                      </w:rPr>
                    </w:pPr>
                  </w:p>
                </w:tc>
                <w:tc>
                  <w:tcPr>
                    <w:tcW w:w="709" w:type="dxa"/>
                    <w:vMerge/>
                    <w:noWrap/>
                    <w:vAlign w:val="center"/>
                  </w:tcPr>
                  <w:p>
                    <w:pPr>
                      <w:jc w:val="center"/>
                      <w:rPr>
                        <w:sz w:val="20"/>
                      </w:rPr>
                    </w:pPr>
                  </w:p>
                </w:tc>
                <w:tc>
                  <w:tcPr>
                    <w:tcW w:w="1417" w:type="dxa"/>
                    <w:noWrap/>
                    <w:vAlign w:val="center"/>
                  </w:tcPr>
                  <w:p>
                    <w:pPr>
                      <w:rPr>
                        <w:sz w:val="20"/>
                      </w:rPr>
                    </w:pPr>
                    <w:r>
                      <w:rPr>
                        <w:sz w:val="20"/>
                      </w:rPr>
                      <w:t>P-14-01-03-02</w:t>
                    </w:r>
                  </w:p>
                </w:tc>
                <w:tc>
                  <w:tcPr>
                    <w:tcW w:w="4111" w:type="dxa"/>
                    <w:vAlign w:val="center"/>
                  </w:tcPr>
                  <w:p>
                    <w:pPr>
                      <w:rPr>
                        <w:sz w:val="20"/>
                      </w:rPr>
                    </w:pPr>
                    <w:r>
                      <w:rPr>
                        <w:sz w:val="20"/>
                      </w:rPr>
                      <w:t>Urbanistinių / architektūrinių konkursų konversinėse teritorijose skaičius (vnt.)</w:t>
                    </w:r>
                  </w:p>
                </w:tc>
                <w:tc>
                  <w:tcPr>
                    <w:tcW w:w="1134" w:type="dxa"/>
                    <w:vAlign w:val="center"/>
                  </w:tcPr>
                  <w:p>
                    <w:pPr>
                      <w:jc w:val="center"/>
                      <w:rPr>
                        <w:sz w:val="20"/>
                      </w:rPr>
                    </w:pPr>
                    <w:r>
                      <w:rPr>
                        <w:sz w:val="20"/>
                      </w:rPr>
                      <w:t>AS</w:t>
                    </w:r>
                  </w:p>
                </w:tc>
                <w:tc>
                  <w:tcPr>
                    <w:tcW w:w="1134" w:type="dxa"/>
                    <w:noWrap/>
                    <w:vAlign w:val="center"/>
                  </w:tcPr>
                  <w:p>
                    <w:pPr>
                      <w:jc w:val="center"/>
                      <w:rPr>
                        <w:sz w:val="20"/>
                      </w:rPr>
                    </w:pPr>
                    <w:r>
                      <w:rPr>
                        <w:sz w:val="20"/>
                      </w:rPr>
                      <w:t>0 (2023)</w:t>
                    </w:r>
                  </w:p>
                </w:tc>
                <w:tc>
                  <w:tcPr>
                    <w:tcW w:w="1134" w:type="dxa"/>
                    <w:noWrap/>
                    <w:vAlign w:val="center"/>
                  </w:tcPr>
                  <w:p>
                    <w:pPr>
                      <w:jc w:val="center"/>
                      <w:rPr>
                        <w:sz w:val="20"/>
                      </w:rPr>
                    </w:pPr>
                    <w:r>
                      <w:rPr>
                        <w:sz w:val="20"/>
                      </w:rPr>
                      <w:t>1 (2033)</w:t>
                    </w:r>
                  </w:p>
                </w:tc>
              </w:tr>
              <w:tr>
                <w:trPr>
                  <w:trHeight w:val="520"/>
                  <w:jc w:val="center"/>
                </w:trPr>
                <w:tc>
                  <w:tcPr>
                    <w:tcW w:w="988" w:type="dxa"/>
                    <w:vMerge w:val="restart"/>
                    <w:shd w:val="clear" w:color="auto" w:fill="FCE4D6"/>
                    <w:noWrap/>
                    <w:vAlign w:val="center"/>
                    <w:hideMark/>
                  </w:tcPr>
                  <w:p>
                    <w:pPr>
                      <w:rPr>
                        <w:b/>
                        <w:bCs/>
                        <w:sz w:val="20"/>
                      </w:rPr>
                    </w:pPr>
                    <w:r>
                      <w:rPr>
                        <w:b/>
                        <w:bCs/>
                        <w:sz w:val="20"/>
                      </w:rPr>
                      <w:t>14-02</w:t>
                    </w:r>
                  </w:p>
                </w:tc>
                <w:tc>
                  <w:tcPr>
                    <w:tcW w:w="2126" w:type="dxa"/>
                    <w:vMerge w:val="restart"/>
                    <w:shd w:val="clear" w:color="auto" w:fill="FCE4D6"/>
                    <w:vAlign w:val="center"/>
                    <w:hideMark/>
                  </w:tcPr>
                  <w:p>
                    <w:pPr>
                      <w:rPr>
                        <w:b/>
                        <w:bCs/>
                        <w:sz w:val="20"/>
                      </w:rPr>
                    </w:pPr>
                    <w:r>
                      <w:rPr>
                        <w:b/>
                        <w:bCs/>
                        <w:sz w:val="20"/>
                      </w:rPr>
                      <w:t>Formuoti darnias miesto jungtis, užtikrinančias tvarų ir saugų judėjimą mieste</w:t>
                    </w:r>
                  </w:p>
                </w:tc>
                <w:tc>
                  <w:tcPr>
                    <w:tcW w:w="850" w:type="dxa"/>
                    <w:vMerge w:val="restart"/>
                    <w:shd w:val="clear" w:color="auto" w:fill="FCE4D6"/>
                    <w:noWrap/>
                    <w:vAlign w:val="center"/>
                    <w:hideMark/>
                  </w:tcPr>
                  <w:p>
                    <w:pPr>
                      <w:jc w:val="center"/>
                      <w:rPr>
                        <w:sz w:val="20"/>
                      </w:rPr>
                    </w:pPr>
                    <w:r>
                      <w:rPr>
                        <w:sz w:val="20"/>
                      </w:rPr>
                      <w:t>MŪAS</w:t>
                    </w:r>
                  </w:p>
                </w:tc>
                <w:tc>
                  <w:tcPr>
                    <w:tcW w:w="709" w:type="dxa"/>
                    <w:vMerge w:val="restart"/>
                    <w:shd w:val="clear" w:color="auto" w:fill="FCE4D6"/>
                    <w:noWrap/>
                    <w:vAlign w:val="center"/>
                    <w:hideMark/>
                  </w:tcPr>
                  <w:p>
                    <w:pPr>
                      <w:jc w:val="center"/>
                      <w:rPr>
                        <w:sz w:val="20"/>
                      </w:rPr>
                    </w:pPr>
                    <w:r>
                      <w:rPr>
                        <w:sz w:val="20"/>
                      </w:rPr>
                      <w:t>2025</w:t>
                    </w:r>
                  </w:p>
                </w:tc>
                <w:tc>
                  <w:tcPr>
                    <w:tcW w:w="709" w:type="dxa"/>
                    <w:vMerge w:val="restart"/>
                    <w:shd w:val="clear" w:color="auto" w:fill="FCE4D6"/>
                    <w:noWrap/>
                    <w:vAlign w:val="center"/>
                    <w:hideMark/>
                  </w:tcPr>
                  <w:p>
                    <w:pPr>
                      <w:jc w:val="center"/>
                      <w:rPr>
                        <w:sz w:val="20"/>
                      </w:rPr>
                    </w:pPr>
                    <w:r>
                      <w:rPr>
                        <w:sz w:val="20"/>
                      </w:rPr>
                      <w:t>2033</w:t>
                    </w:r>
                  </w:p>
                </w:tc>
                <w:tc>
                  <w:tcPr>
                    <w:tcW w:w="1417" w:type="dxa"/>
                    <w:shd w:val="clear" w:color="auto" w:fill="FCE4D6"/>
                    <w:noWrap/>
                    <w:vAlign w:val="center"/>
                    <w:hideMark/>
                  </w:tcPr>
                  <w:p>
                    <w:pPr>
                      <w:rPr>
                        <w:sz w:val="20"/>
                      </w:rPr>
                    </w:pPr>
                    <w:r>
                      <w:rPr>
                        <w:sz w:val="20"/>
                      </w:rPr>
                      <w:t>R-14-02-01</w:t>
                    </w:r>
                  </w:p>
                </w:tc>
                <w:tc>
                  <w:tcPr>
                    <w:tcW w:w="4111" w:type="dxa"/>
                    <w:shd w:val="clear" w:color="auto" w:fill="FCE4D6"/>
                    <w:vAlign w:val="center"/>
                    <w:hideMark/>
                  </w:tcPr>
                  <w:p>
                    <w:pPr>
                      <w:rPr>
                        <w:sz w:val="20"/>
                      </w:rPr>
                    </w:pPr>
                    <w:r>
                      <w:rPr>
                        <w:sz w:val="20"/>
                      </w:rPr>
                      <w:t>Neasfaltuotų gatvių dalis nuo viso gatvių tinklo (proc.)</w:t>
                    </w:r>
                  </w:p>
                </w:tc>
                <w:tc>
                  <w:tcPr>
                    <w:tcW w:w="1134" w:type="dxa"/>
                    <w:shd w:val="clear" w:color="auto" w:fill="FCE4D6"/>
                    <w:vAlign w:val="center"/>
                    <w:hideMark/>
                  </w:tcPr>
                  <w:p>
                    <w:pPr>
                      <w:jc w:val="center"/>
                      <w:rPr>
                        <w:sz w:val="20"/>
                      </w:rPr>
                    </w:pPr>
                    <w:r>
                      <w:rPr>
                        <w:sz w:val="20"/>
                      </w:rPr>
                      <w:t>ŠMSA (MŪAS)</w:t>
                    </w:r>
                  </w:p>
                </w:tc>
                <w:tc>
                  <w:tcPr>
                    <w:tcW w:w="1134" w:type="dxa"/>
                    <w:shd w:val="clear" w:color="auto" w:fill="FCE4D6"/>
                    <w:noWrap/>
                    <w:vAlign w:val="center"/>
                    <w:hideMark/>
                  </w:tcPr>
                  <w:p>
                    <w:pPr>
                      <w:jc w:val="center"/>
                      <w:rPr>
                        <w:sz w:val="20"/>
                      </w:rPr>
                    </w:pPr>
                    <w:r>
                      <w:rPr>
                        <w:sz w:val="20"/>
                      </w:rPr>
                      <w:t>30 (2022)</w:t>
                    </w:r>
                  </w:p>
                </w:tc>
                <w:tc>
                  <w:tcPr>
                    <w:tcW w:w="1134" w:type="dxa"/>
                    <w:shd w:val="clear" w:color="auto" w:fill="FCE4D6"/>
                    <w:noWrap/>
                    <w:vAlign w:val="center"/>
                    <w:hideMark/>
                  </w:tcPr>
                  <w:p>
                    <w:pPr>
                      <w:jc w:val="center"/>
                      <w:rPr>
                        <w:sz w:val="20"/>
                      </w:rPr>
                    </w:pPr>
                    <w:r>
                      <w:rPr>
                        <w:sz w:val="20"/>
                      </w:rPr>
                      <w:t>15 (2033)</w:t>
                    </w:r>
                  </w:p>
                </w:tc>
              </w:tr>
              <w:tr>
                <w:trPr>
                  <w:trHeight w:val="520"/>
                  <w:jc w:val="center"/>
                </w:trPr>
                <w:tc>
                  <w:tcPr>
                    <w:tcW w:w="988" w:type="dxa"/>
                    <w:vMerge/>
                    <w:shd w:val="clear" w:color="auto" w:fill="FCE4D6"/>
                    <w:vAlign w:val="center"/>
                    <w:hideMark/>
                  </w:tcPr>
                  <w:p>
                    <w:pPr>
                      <w:rPr>
                        <w:b/>
                        <w:bCs/>
                        <w:sz w:val="20"/>
                      </w:rPr>
                    </w:pPr>
                  </w:p>
                </w:tc>
                <w:tc>
                  <w:tcPr>
                    <w:tcW w:w="2126" w:type="dxa"/>
                    <w:vMerge/>
                    <w:shd w:val="clear" w:color="auto" w:fill="FCE4D6"/>
                    <w:vAlign w:val="center"/>
                    <w:hideMark/>
                  </w:tcPr>
                  <w:p>
                    <w:pPr>
                      <w:rPr>
                        <w:b/>
                        <w:bCs/>
                        <w:sz w:val="20"/>
                      </w:rPr>
                    </w:pPr>
                  </w:p>
                </w:tc>
                <w:tc>
                  <w:tcPr>
                    <w:tcW w:w="850" w:type="dxa"/>
                    <w:vMerge/>
                    <w:shd w:val="clear" w:color="auto" w:fill="FCE4D6"/>
                    <w:vAlign w:val="center"/>
                    <w:hideMark/>
                  </w:tcPr>
                  <w:p>
                    <w:pPr>
                      <w:rPr>
                        <w:sz w:val="20"/>
                      </w:rPr>
                    </w:pPr>
                  </w:p>
                </w:tc>
                <w:tc>
                  <w:tcPr>
                    <w:tcW w:w="709" w:type="dxa"/>
                    <w:vMerge/>
                    <w:shd w:val="clear" w:color="auto" w:fill="FCE4D6"/>
                    <w:vAlign w:val="center"/>
                    <w:hideMark/>
                  </w:tcPr>
                  <w:p>
                    <w:pPr>
                      <w:rPr>
                        <w:sz w:val="20"/>
                      </w:rPr>
                    </w:pPr>
                  </w:p>
                </w:tc>
                <w:tc>
                  <w:tcPr>
                    <w:tcW w:w="709" w:type="dxa"/>
                    <w:vMerge/>
                    <w:shd w:val="clear" w:color="auto" w:fill="FCE4D6"/>
                    <w:vAlign w:val="center"/>
                    <w:hideMark/>
                  </w:tcPr>
                  <w:p>
                    <w:pPr>
                      <w:rPr>
                        <w:sz w:val="20"/>
                      </w:rPr>
                    </w:pPr>
                  </w:p>
                </w:tc>
                <w:tc>
                  <w:tcPr>
                    <w:tcW w:w="1417" w:type="dxa"/>
                    <w:shd w:val="clear" w:color="auto" w:fill="FCE4D6"/>
                    <w:noWrap/>
                    <w:vAlign w:val="center"/>
                    <w:hideMark/>
                  </w:tcPr>
                  <w:p>
                    <w:pPr>
                      <w:rPr>
                        <w:sz w:val="20"/>
                      </w:rPr>
                    </w:pPr>
                    <w:r>
                      <w:rPr>
                        <w:sz w:val="20"/>
                      </w:rPr>
                      <w:t>R-14-02-02</w:t>
                    </w:r>
                  </w:p>
                </w:tc>
                <w:tc>
                  <w:tcPr>
                    <w:tcW w:w="4111" w:type="dxa"/>
                    <w:shd w:val="clear" w:color="auto" w:fill="FCE4D6"/>
                    <w:vAlign w:val="center"/>
                    <w:hideMark/>
                  </w:tcPr>
                  <w:p>
                    <w:pPr>
                      <w:rPr>
                        <w:sz w:val="20"/>
                      </w:rPr>
                    </w:pPr>
                    <w:r>
                      <w:rPr>
                        <w:sz w:val="20"/>
                      </w:rPr>
                      <w:t>Atnaujintų pėsčiųjų takų dalis nuo bendro takų ilgio (proc.)</w:t>
                    </w:r>
                  </w:p>
                </w:tc>
                <w:tc>
                  <w:tcPr>
                    <w:tcW w:w="1134" w:type="dxa"/>
                    <w:shd w:val="clear" w:color="auto" w:fill="FCE4D6"/>
                    <w:vAlign w:val="center"/>
                    <w:hideMark/>
                  </w:tcPr>
                  <w:p>
                    <w:pPr>
                      <w:jc w:val="center"/>
                      <w:rPr>
                        <w:sz w:val="20"/>
                      </w:rPr>
                    </w:pPr>
                    <w:r>
                      <w:rPr>
                        <w:sz w:val="20"/>
                      </w:rPr>
                      <w:t>ŠMSA (MŪAS)</w:t>
                    </w:r>
                  </w:p>
                </w:tc>
                <w:tc>
                  <w:tcPr>
                    <w:tcW w:w="1134" w:type="dxa"/>
                    <w:shd w:val="clear" w:color="auto" w:fill="FCE4D6"/>
                    <w:noWrap/>
                    <w:vAlign w:val="center"/>
                    <w:hideMark/>
                  </w:tcPr>
                  <w:p>
                    <w:pPr>
                      <w:jc w:val="center"/>
                      <w:rPr>
                        <w:sz w:val="20"/>
                      </w:rPr>
                    </w:pPr>
                    <w:r>
                      <w:rPr>
                        <w:sz w:val="20"/>
                      </w:rPr>
                      <w:t>0 (2025)</w:t>
                    </w:r>
                  </w:p>
                </w:tc>
                <w:tc>
                  <w:tcPr>
                    <w:tcW w:w="1134" w:type="dxa"/>
                    <w:shd w:val="clear" w:color="auto" w:fill="FCE4D6"/>
                    <w:noWrap/>
                    <w:vAlign w:val="center"/>
                    <w:hideMark/>
                  </w:tcPr>
                  <w:p>
                    <w:pPr>
                      <w:jc w:val="center"/>
                      <w:rPr>
                        <w:sz w:val="20"/>
                      </w:rPr>
                    </w:pPr>
                    <w:r>
                      <w:rPr>
                        <w:sz w:val="20"/>
                      </w:rPr>
                      <w:t>20 (2033)</w:t>
                    </w:r>
                  </w:p>
                </w:tc>
              </w:tr>
              <w:tr>
                <w:trPr>
                  <w:trHeight w:val="503"/>
                  <w:jc w:val="center"/>
                </w:trPr>
                <w:tc>
                  <w:tcPr>
                    <w:tcW w:w="988" w:type="dxa"/>
                    <w:vMerge/>
                    <w:shd w:val="clear" w:color="auto" w:fill="FCE4D6"/>
                    <w:vAlign w:val="center"/>
                    <w:hideMark/>
                  </w:tcPr>
                  <w:p>
                    <w:pPr>
                      <w:rPr>
                        <w:b/>
                        <w:bCs/>
                        <w:sz w:val="20"/>
                      </w:rPr>
                    </w:pPr>
                  </w:p>
                </w:tc>
                <w:tc>
                  <w:tcPr>
                    <w:tcW w:w="2126" w:type="dxa"/>
                    <w:vMerge/>
                    <w:shd w:val="clear" w:color="auto" w:fill="FCE4D6"/>
                    <w:vAlign w:val="center"/>
                    <w:hideMark/>
                  </w:tcPr>
                  <w:p>
                    <w:pPr>
                      <w:rPr>
                        <w:b/>
                        <w:bCs/>
                        <w:sz w:val="20"/>
                      </w:rPr>
                    </w:pPr>
                  </w:p>
                </w:tc>
                <w:tc>
                  <w:tcPr>
                    <w:tcW w:w="850" w:type="dxa"/>
                    <w:vMerge/>
                    <w:shd w:val="clear" w:color="auto" w:fill="FCE4D6"/>
                    <w:vAlign w:val="center"/>
                    <w:hideMark/>
                  </w:tcPr>
                  <w:p>
                    <w:pPr>
                      <w:rPr>
                        <w:sz w:val="20"/>
                      </w:rPr>
                    </w:pPr>
                  </w:p>
                </w:tc>
                <w:tc>
                  <w:tcPr>
                    <w:tcW w:w="709" w:type="dxa"/>
                    <w:vMerge/>
                    <w:shd w:val="clear" w:color="auto" w:fill="FCE4D6"/>
                    <w:vAlign w:val="center"/>
                    <w:hideMark/>
                  </w:tcPr>
                  <w:p>
                    <w:pPr>
                      <w:rPr>
                        <w:sz w:val="20"/>
                      </w:rPr>
                    </w:pPr>
                  </w:p>
                </w:tc>
                <w:tc>
                  <w:tcPr>
                    <w:tcW w:w="709" w:type="dxa"/>
                    <w:vMerge/>
                    <w:shd w:val="clear" w:color="auto" w:fill="FCE4D6"/>
                    <w:vAlign w:val="center"/>
                    <w:hideMark/>
                  </w:tcPr>
                  <w:p>
                    <w:pPr>
                      <w:rPr>
                        <w:sz w:val="20"/>
                      </w:rPr>
                    </w:pPr>
                  </w:p>
                </w:tc>
                <w:tc>
                  <w:tcPr>
                    <w:tcW w:w="1417" w:type="dxa"/>
                    <w:shd w:val="clear" w:color="auto" w:fill="FCE4D6"/>
                    <w:noWrap/>
                    <w:vAlign w:val="center"/>
                    <w:hideMark/>
                  </w:tcPr>
                  <w:p>
                    <w:pPr>
                      <w:rPr>
                        <w:sz w:val="20"/>
                      </w:rPr>
                    </w:pPr>
                    <w:r>
                      <w:rPr>
                        <w:sz w:val="20"/>
                      </w:rPr>
                      <w:t>R-14-02-03</w:t>
                    </w:r>
                  </w:p>
                </w:tc>
                <w:tc>
                  <w:tcPr>
                    <w:tcW w:w="4111" w:type="dxa"/>
                    <w:shd w:val="clear" w:color="auto" w:fill="FCE4D6"/>
                    <w:vAlign w:val="center"/>
                    <w:hideMark/>
                  </w:tcPr>
                  <w:p>
                    <w:pPr>
                      <w:rPr>
                        <w:sz w:val="20"/>
                      </w:rPr>
                    </w:pPr>
                    <w:r>
                      <w:rPr>
                        <w:sz w:val="20"/>
                      </w:rPr>
                      <w:t>Dviračių takų ilgis metų pabaigoje, tenkantis 1 tūkst. gyventojų (km)</w:t>
                    </w:r>
                  </w:p>
                </w:tc>
                <w:tc>
                  <w:tcPr>
                    <w:tcW w:w="1134" w:type="dxa"/>
                    <w:shd w:val="clear" w:color="auto" w:fill="FCE4D6"/>
                    <w:vAlign w:val="center"/>
                    <w:hideMark/>
                  </w:tcPr>
                  <w:p>
                    <w:pPr>
                      <w:jc w:val="center"/>
                      <w:rPr>
                        <w:sz w:val="20"/>
                      </w:rPr>
                    </w:pPr>
                    <w:r>
                      <w:rPr>
                        <w:sz w:val="20"/>
                      </w:rPr>
                      <w:t>ŠMSA (MŪAS)</w:t>
                    </w:r>
                  </w:p>
                </w:tc>
                <w:tc>
                  <w:tcPr>
                    <w:tcW w:w="1134" w:type="dxa"/>
                    <w:shd w:val="clear" w:color="auto" w:fill="FCE4D6"/>
                    <w:noWrap/>
                    <w:vAlign w:val="center"/>
                    <w:hideMark/>
                  </w:tcPr>
                  <w:p>
                    <w:pPr>
                      <w:jc w:val="center"/>
                      <w:rPr>
                        <w:sz w:val="20"/>
                      </w:rPr>
                    </w:pPr>
                    <w:r>
                      <w:rPr>
                        <w:sz w:val="20"/>
                      </w:rPr>
                      <w:t>n.d. (2023)</w:t>
                    </w:r>
                  </w:p>
                </w:tc>
                <w:tc>
                  <w:tcPr>
                    <w:tcW w:w="1134" w:type="dxa"/>
                    <w:shd w:val="clear" w:color="auto" w:fill="FCE4D6"/>
                    <w:noWrap/>
                    <w:vAlign w:val="center"/>
                    <w:hideMark/>
                  </w:tcPr>
                  <w:p>
                    <w:pPr>
                      <w:jc w:val="center"/>
                      <w:rPr>
                        <w:sz w:val="20"/>
                      </w:rPr>
                    </w:pPr>
                    <w:r>
                      <w:rPr>
                        <w:sz w:val="20"/>
                      </w:rPr>
                      <w:t xml:space="preserve">1  (2033)</w:t>
                    </w:r>
                  </w:p>
                </w:tc>
              </w:tr>
              <w:tr>
                <w:trPr>
                  <w:trHeight w:val="580"/>
                  <w:jc w:val="center"/>
                </w:trPr>
                <w:tc>
                  <w:tcPr>
                    <w:tcW w:w="988" w:type="dxa"/>
                    <w:vMerge/>
                    <w:shd w:val="clear" w:color="auto" w:fill="FCE4D6"/>
                    <w:vAlign w:val="center"/>
                    <w:hideMark/>
                  </w:tcPr>
                  <w:p>
                    <w:pPr>
                      <w:rPr>
                        <w:b/>
                        <w:bCs/>
                        <w:sz w:val="20"/>
                      </w:rPr>
                    </w:pPr>
                  </w:p>
                </w:tc>
                <w:tc>
                  <w:tcPr>
                    <w:tcW w:w="2126" w:type="dxa"/>
                    <w:vMerge/>
                    <w:shd w:val="clear" w:color="auto" w:fill="FCE4D6"/>
                    <w:vAlign w:val="center"/>
                    <w:hideMark/>
                  </w:tcPr>
                  <w:p>
                    <w:pPr>
                      <w:rPr>
                        <w:b/>
                        <w:bCs/>
                        <w:sz w:val="20"/>
                      </w:rPr>
                    </w:pPr>
                  </w:p>
                </w:tc>
                <w:tc>
                  <w:tcPr>
                    <w:tcW w:w="850" w:type="dxa"/>
                    <w:vMerge/>
                    <w:shd w:val="clear" w:color="auto" w:fill="FCE4D6"/>
                    <w:vAlign w:val="center"/>
                    <w:hideMark/>
                  </w:tcPr>
                  <w:p>
                    <w:pPr>
                      <w:rPr>
                        <w:sz w:val="20"/>
                      </w:rPr>
                    </w:pPr>
                  </w:p>
                </w:tc>
                <w:tc>
                  <w:tcPr>
                    <w:tcW w:w="709" w:type="dxa"/>
                    <w:vMerge/>
                    <w:shd w:val="clear" w:color="auto" w:fill="FCE4D6"/>
                    <w:vAlign w:val="center"/>
                    <w:hideMark/>
                  </w:tcPr>
                  <w:p>
                    <w:pPr>
                      <w:rPr>
                        <w:sz w:val="20"/>
                      </w:rPr>
                    </w:pPr>
                  </w:p>
                </w:tc>
                <w:tc>
                  <w:tcPr>
                    <w:tcW w:w="709" w:type="dxa"/>
                    <w:vMerge/>
                    <w:shd w:val="clear" w:color="auto" w:fill="FCE4D6"/>
                    <w:vAlign w:val="center"/>
                    <w:hideMark/>
                  </w:tcPr>
                  <w:p>
                    <w:pPr>
                      <w:rPr>
                        <w:sz w:val="20"/>
                      </w:rPr>
                    </w:pPr>
                  </w:p>
                </w:tc>
                <w:tc>
                  <w:tcPr>
                    <w:tcW w:w="1417" w:type="dxa"/>
                    <w:shd w:val="clear" w:color="auto" w:fill="FCE4D6"/>
                    <w:noWrap/>
                    <w:vAlign w:val="center"/>
                    <w:hideMark/>
                  </w:tcPr>
                  <w:p>
                    <w:pPr>
                      <w:rPr>
                        <w:sz w:val="20"/>
                      </w:rPr>
                    </w:pPr>
                    <w:r>
                      <w:rPr>
                        <w:sz w:val="20"/>
                      </w:rPr>
                      <w:t>R-14-02-04</w:t>
                    </w:r>
                  </w:p>
                </w:tc>
                <w:tc>
                  <w:tcPr>
                    <w:tcW w:w="4111" w:type="dxa"/>
                    <w:shd w:val="clear" w:color="auto" w:fill="FCE4D6"/>
                    <w:vAlign w:val="center"/>
                    <w:hideMark/>
                  </w:tcPr>
                  <w:p>
                    <w:pPr>
                      <w:rPr>
                        <w:sz w:val="20"/>
                      </w:rPr>
                    </w:pPr>
                    <w:r>
                      <w:rPr>
                        <w:sz w:val="20"/>
                      </w:rPr>
                      <w:t>Modalinis kelionių pasiskirstymas (automobiliu, viešuoju transportu, dviračiais, pėsčiomis, kita) (proc.)</w:t>
                    </w:r>
                  </w:p>
                </w:tc>
                <w:tc>
                  <w:tcPr>
                    <w:tcW w:w="1134" w:type="dxa"/>
                    <w:shd w:val="clear" w:color="auto" w:fill="FCE4D6"/>
                    <w:vAlign w:val="center"/>
                    <w:hideMark/>
                  </w:tcPr>
                  <w:p>
                    <w:pPr>
                      <w:jc w:val="center"/>
                      <w:rPr>
                        <w:sz w:val="20"/>
                      </w:rPr>
                    </w:pPr>
                    <w:r>
                      <w:rPr>
                        <w:sz w:val="20"/>
                      </w:rPr>
                      <w:t>ŠMSA (MŪAS)</w:t>
                    </w:r>
                  </w:p>
                </w:tc>
                <w:tc>
                  <w:tcPr>
                    <w:tcW w:w="1134" w:type="dxa"/>
                    <w:shd w:val="clear" w:color="auto" w:fill="FCE4D6"/>
                    <w:vAlign w:val="center"/>
                    <w:hideMark/>
                  </w:tcPr>
                  <w:p>
                    <w:pPr>
                      <w:jc w:val="center"/>
                      <w:rPr>
                        <w:sz w:val="20"/>
                      </w:rPr>
                    </w:pPr>
                    <w:r>
                      <w:rPr>
                        <w:sz w:val="20"/>
                      </w:rPr>
                      <w:t>39/30/2/27 (2019)</w:t>
                    </w:r>
                  </w:p>
                </w:tc>
                <w:tc>
                  <w:tcPr>
                    <w:tcW w:w="1134" w:type="dxa"/>
                    <w:shd w:val="clear" w:color="auto" w:fill="FCE4D6"/>
                    <w:vAlign w:val="center"/>
                    <w:hideMark/>
                  </w:tcPr>
                  <w:p>
                    <w:pPr>
                      <w:jc w:val="center"/>
                      <w:rPr>
                        <w:sz w:val="20"/>
                      </w:rPr>
                    </w:pPr>
                    <w:r>
                      <w:rPr>
                        <w:sz w:val="20"/>
                      </w:rPr>
                      <w:t>33/33/10/24 (2033)</w:t>
                    </w:r>
                  </w:p>
                </w:tc>
              </w:tr>
              <w:tr>
                <w:trPr>
                  <w:trHeight w:val="530"/>
                  <w:jc w:val="center"/>
                </w:trPr>
                <w:tc>
                  <w:tcPr>
                    <w:tcW w:w="988" w:type="dxa"/>
                    <w:vMerge/>
                    <w:shd w:val="clear" w:color="auto" w:fill="FCE4D6"/>
                    <w:vAlign w:val="center"/>
                    <w:hideMark/>
                  </w:tcPr>
                  <w:p>
                    <w:pPr>
                      <w:rPr>
                        <w:b/>
                        <w:bCs/>
                        <w:sz w:val="20"/>
                      </w:rPr>
                    </w:pPr>
                  </w:p>
                </w:tc>
                <w:tc>
                  <w:tcPr>
                    <w:tcW w:w="2126" w:type="dxa"/>
                    <w:vMerge/>
                    <w:shd w:val="clear" w:color="auto" w:fill="FCE4D6"/>
                    <w:vAlign w:val="center"/>
                    <w:hideMark/>
                  </w:tcPr>
                  <w:p>
                    <w:pPr>
                      <w:rPr>
                        <w:b/>
                        <w:bCs/>
                        <w:sz w:val="20"/>
                      </w:rPr>
                    </w:pPr>
                  </w:p>
                </w:tc>
                <w:tc>
                  <w:tcPr>
                    <w:tcW w:w="850" w:type="dxa"/>
                    <w:vMerge/>
                    <w:shd w:val="clear" w:color="auto" w:fill="FCE4D6"/>
                    <w:vAlign w:val="center"/>
                    <w:hideMark/>
                  </w:tcPr>
                  <w:p>
                    <w:pPr>
                      <w:rPr>
                        <w:sz w:val="20"/>
                      </w:rPr>
                    </w:pPr>
                  </w:p>
                </w:tc>
                <w:tc>
                  <w:tcPr>
                    <w:tcW w:w="709" w:type="dxa"/>
                    <w:vMerge/>
                    <w:shd w:val="clear" w:color="auto" w:fill="FCE4D6"/>
                    <w:vAlign w:val="center"/>
                    <w:hideMark/>
                  </w:tcPr>
                  <w:p>
                    <w:pPr>
                      <w:rPr>
                        <w:sz w:val="20"/>
                      </w:rPr>
                    </w:pPr>
                  </w:p>
                </w:tc>
                <w:tc>
                  <w:tcPr>
                    <w:tcW w:w="709" w:type="dxa"/>
                    <w:vMerge/>
                    <w:shd w:val="clear" w:color="auto" w:fill="FCE4D6"/>
                    <w:vAlign w:val="center"/>
                    <w:hideMark/>
                  </w:tcPr>
                  <w:p>
                    <w:pPr>
                      <w:rPr>
                        <w:sz w:val="20"/>
                      </w:rPr>
                    </w:pPr>
                  </w:p>
                </w:tc>
                <w:tc>
                  <w:tcPr>
                    <w:tcW w:w="1417" w:type="dxa"/>
                    <w:shd w:val="clear" w:color="auto" w:fill="FCE4D6"/>
                    <w:noWrap/>
                    <w:vAlign w:val="center"/>
                    <w:hideMark/>
                  </w:tcPr>
                  <w:p>
                    <w:pPr>
                      <w:rPr>
                        <w:sz w:val="20"/>
                      </w:rPr>
                    </w:pPr>
                    <w:r>
                      <w:rPr>
                        <w:sz w:val="20"/>
                      </w:rPr>
                      <w:t>R-14-02-05</w:t>
                    </w:r>
                  </w:p>
                </w:tc>
                <w:tc>
                  <w:tcPr>
                    <w:tcW w:w="4111" w:type="dxa"/>
                    <w:shd w:val="clear" w:color="auto" w:fill="FCE4D6"/>
                    <w:vAlign w:val="center"/>
                    <w:hideMark/>
                  </w:tcPr>
                  <w:p>
                    <w:pPr>
                      <w:rPr>
                        <w:sz w:val="20"/>
                      </w:rPr>
                    </w:pPr>
                    <w:r>
                      <w:rPr>
                        <w:sz w:val="20"/>
                      </w:rPr>
                      <w:t xml:space="preserve">Vidutiniškai vienam gyventojui tenkančių kelionių autobusais skaičius   (vnt. / 1 gyv.)</w:t>
                    </w:r>
                  </w:p>
                </w:tc>
                <w:tc>
                  <w:tcPr>
                    <w:tcW w:w="1134" w:type="dxa"/>
                    <w:shd w:val="clear" w:color="auto" w:fill="FCE4D6"/>
                    <w:vAlign w:val="center"/>
                    <w:hideMark/>
                  </w:tcPr>
                  <w:p>
                    <w:pPr>
                      <w:jc w:val="center"/>
                      <w:rPr>
                        <w:sz w:val="20"/>
                      </w:rPr>
                    </w:pPr>
                    <w:r>
                      <w:rPr>
                        <w:sz w:val="20"/>
                      </w:rPr>
                      <w:t>ŠMSA (MŪAS)</w:t>
                    </w:r>
                  </w:p>
                </w:tc>
                <w:tc>
                  <w:tcPr>
                    <w:tcW w:w="1134" w:type="dxa"/>
                    <w:shd w:val="clear" w:color="auto" w:fill="FCE4D6"/>
                    <w:noWrap/>
                    <w:vAlign w:val="center"/>
                    <w:hideMark/>
                  </w:tcPr>
                  <w:p>
                    <w:pPr>
                      <w:jc w:val="center"/>
                      <w:rPr>
                        <w:sz w:val="20"/>
                      </w:rPr>
                    </w:pPr>
                    <w:r>
                      <w:rPr>
                        <w:sz w:val="20"/>
                      </w:rPr>
                      <w:t>96 (2022)</w:t>
                    </w:r>
                  </w:p>
                </w:tc>
                <w:tc>
                  <w:tcPr>
                    <w:tcW w:w="1134" w:type="dxa"/>
                    <w:shd w:val="clear" w:color="auto" w:fill="FCE4D6"/>
                    <w:noWrap/>
                    <w:vAlign w:val="center"/>
                    <w:hideMark/>
                  </w:tcPr>
                  <w:p>
                    <w:pPr>
                      <w:jc w:val="center"/>
                      <w:rPr>
                        <w:sz w:val="20"/>
                      </w:rPr>
                    </w:pPr>
                    <w:r>
                      <w:rPr>
                        <w:sz w:val="20"/>
                      </w:rPr>
                      <w:t>105 (2033)</w:t>
                    </w:r>
                  </w:p>
                </w:tc>
              </w:tr>
              <w:tr>
                <w:trPr>
                  <w:trHeight w:val="260"/>
                  <w:jc w:val="center"/>
                </w:trPr>
                <w:tc>
                  <w:tcPr>
                    <w:tcW w:w="988" w:type="dxa"/>
                    <w:vMerge w:val="restart"/>
                    <w:noWrap/>
                    <w:vAlign w:val="center"/>
                    <w:hideMark/>
                  </w:tcPr>
                  <w:p>
                    <w:pPr>
                      <w:rPr>
                        <w:sz w:val="20"/>
                      </w:rPr>
                    </w:pPr>
                    <w:r>
                      <w:rPr>
                        <w:sz w:val="20"/>
                      </w:rPr>
                      <w:t>14-02-01</w:t>
                    </w:r>
                  </w:p>
                </w:tc>
                <w:tc>
                  <w:tcPr>
                    <w:tcW w:w="2126" w:type="dxa"/>
                    <w:vMerge w:val="restart"/>
                    <w:vAlign w:val="center"/>
                    <w:hideMark/>
                  </w:tcPr>
                  <w:p>
                    <w:pPr>
                      <w:rPr>
                        <w:sz w:val="20"/>
                      </w:rPr>
                    </w:pPr>
                    <w:r>
                      <w:rPr>
                        <w:sz w:val="20"/>
                      </w:rPr>
                      <w:t>Suformuoti nenutrūkstamą pagrindinį dviračių tinklą, jungiantį didžiuosius miesto rajonus, ir skatinti kasdienį, rekreacinį dviračių naudojimą</w:t>
                    </w:r>
                  </w:p>
                </w:tc>
                <w:tc>
                  <w:tcPr>
                    <w:tcW w:w="850" w:type="dxa"/>
                    <w:vMerge w:val="restart"/>
                    <w:noWrap/>
                    <w:vAlign w:val="center"/>
                    <w:hideMark/>
                  </w:tcPr>
                  <w:p>
                    <w:pPr>
                      <w:jc w:val="center"/>
                      <w:rPr>
                        <w:sz w:val="20"/>
                      </w:rPr>
                    </w:pPr>
                    <w:r>
                      <w:rPr>
                        <w:sz w:val="20"/>
                      </w:rPr>
                      <w:t>MŪAS</w:t>
                    </w:r>
                  </w:p>
                </w:tc>
                <w:tc>
                  <w:tcPr>
                    <w:tcW w:w="709" w:type="dxa"/>
                    <w:vMerge w:val="restart"/>
                    <w:noWrap/>
                    <w:vAlign w:val="center"/>
                    <w:hideMark/>
                  </w:tcPr>
                  <w:p>
                    <w:pPr>
                      <w:jc w:val="center"/>
                      <w:rPr>
                        <w:sz w:val="20"/>
                      </w:rPr>
                    </w:pPr>
                    <w:r>
                      <w:rPr>
                        <w:sz w:val="20"/>
                      </w:rPr>
                      <w:t>2025</w:t>
                    </w:r>
                  </w:p>
                </w:tc>
                <w:tc>
                  <w:tcPr>
                    <w:tcW w:w="709" w:type="dxa"/>
                    <w:vMerge w:val="restart"/>
                    <w:noWrap/>
                    <w:vAlign w:val="center"/>
                    <w:hideMark/>
                  </w:tcPr>
                  <w:p>
                    <w:pPr>
                      <w:jc w:val="center"/>
                      <w:rPr>
                        <w:sz w:val="20"/>
                      </w:rPr>
                    </w:pPr>
                    <w:r>
                      <w:rPr>
                        <w:sz w:val="20"/>
                      </w:rPr>
                      <w:t>2033</w:t>
                    </w:r>
                  </w:p>
                </w:tc>
                <w:tc>
                  <w:tcPr>
                    <w:tcW w:w="1417" w:type="dxa"/>
                    <w:noWrap/>
                    <w:vAlign w:val="center"/>
                    <w:hideMark/>
                  </w:tcPr>
                  <w:p>
                    <w:pPr>
                      <w:rPr>
                        <w:sz w:val="20"/>
                      </w:rPr>
                    </w:pPr>
                    <w:r>
                      <w:rPr>
                        <w:sz w:val="20"/>
                      </w:rPr>
                      <w:t>P-14-02-01-01</w:t>
                    </w:r>
                  </w:p>
                </w:tc>
                <w:tc>
                  <w:tcPr>
                    <w:tcW w:w="4111" w:type="dxa"/>
                    <w:vAlign w:val="center"/>
                    <w:hideMark/>
                  </w:tcPr>
                  <w:p>
                    <w:pPr>
                      <w:rPr>
                        <w:sz w:val="20"/>
                      </w:rPr>
                    </w:pPr>
                    <w:r>
                      <w:rPr>
                        <w:sz w:val="20"/>
                      </w:rPr>
                      <w:t>Įrengtų / rekonstruotų dviračių takų ilgis (km)</w:t>
                    </w:r>
                  </w:p>
                </w:tc>
                <w:tc>
                  <w:tcPr>
                    <w:tcW w:w="1134" w:type="dxa"/>
                    <w:vAlign w:val="center"/>
                    <w:hideMark/>
                  </w:tcPr>
                  <w:p>
                    <w:pPr>
                      <w:jc w:val="center"/>
                      <w:rPr>
                        <w:sz w:val="20"/>
                      </w:rPr>
                    </w:pPr>
                    <w:r>
                      <w:rPr>
                        <w:sz w:val="20"/>
                      </w:rPr>
                      <w:t>MŪAS</w:t>
                    </w:r>
                  </w:p>
                </w:tc>
                <w:tc>
                  <w:tcPr>
                    <w:tcW w:w="1134" w:type="dxa"/>
                    <w:noWrap/>
                    <w:vAlign w:val="center"/>
                    <w:hideMark/>
                  </w:tcPr>
                  <w:p>
                    <w:pPr>
                      <w:jc w:val="center"/>
                      <w:rPr>
                        <w:sz w:val="20"/>
                      </w:rPr>
                    </w:pPr>
                    <w:r>
                      <w:rPr>
                        <w:sz w:val="20"/>
                      </w:rPr>
                      <w:t>0 (2025)</w:t>
                    </w:r>
                  </w:p>
                </w:tc>
                <w:tc>
                  <w:tcPr>
                    <w:tcW w:w="1134" w:type="dxa"/>
                    <w:noWrap/>
                    <w:vAlign w:val="center"/>
                    <w:hideMark/>
                  </w:tcPr>
                  <w:p>
                    <w:pPr>
                      <w:jc w:val="center"/>
                      <w:rPr>
                        <w:sz w:val="20"/>
                      </w:rPr>
                    </w:pPr>
                    <w:r>
                      <w:rPr>
                        <w:sz w:val="20"/>
                      </w:rPr>
                      <w:t>45 (2033)</w:t>
                    </w:r>
                  </w:p>
                </w:tc>
              </w:tr>
              <w:tr>
                <w:trPr>
                  <w:trHeight w:val="659"/>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jc w:val="center"/>
                      <w:rPr>
                        <w:sz w:val="20"/>
                      </w:rPr>
                    </w:pPr>
                  </w:p>
                </w:tc>
                <w:tc>
                  <w:tcPr>
                    <w:tcW w:w="709" w:type="dxa"/>
                    <w:vMerge/>
                    <w:vAlign w:val="center"/>
                    <w:hideMark/>
                  </w:tcPr>
                  <w:p>
                    <w:pPr>
                      <w:jc w:val="center"/>
                      <w:rPr>
                        <w:sz w:val="20"/>
                      </w:rPr>
                    </w:pPr>
                  </w:p>
                </w:tc>
                <w:tc>
                  <w:tcPr>
                    <w:tcW w:w="709" w:type="dxa"/>
                    <w:vMerge/>
                    <w:vAlign w:val="center"/>
                    <w:hideMark/>
                  </w:tcPr>
                  <w:p>
                    <w:pPr>
                      <w:jc w:val="center"/>
                      <w:rPr>
                        <w:sz w:val="20"/>
                      </w:rPr>
                    </w:pPr>
                  </w:p>
                </w:tc>
                <w:tc>
                  <w:tcPr>
                    <w:tcW w:w="1417" w:type="dxa"/>
                    <w:noWrap/>
                    <w:vAlign w:val="center"/>
                    <w:hideMark/>
                  </w:tcPr>
                  <w:p>
                    <w:pPr>
                      <w:rPr>
                        <w:sz w:val="20"/>
                      </w:rPr>
                    </w:pPr>
                    <w:r>
                      <w:rPr>
                        <w:sz w:val="20"/>
                      </w:rPr>
                      <w:t>P-14-02-01-02</w:t>
                    </w:r>
                  </w:p>
                </w:tc>
                <w:tc>
                  <w:tcPr>
                    <w:tcW w:w="4111" w:type="dxa"/>
                    <w:vAlign w:val="center"/>
                    <w:hideMark/>
                  </w:tcPr>
                  <w:p>
                    <w:pPr>
                      <w:rPr>
                        <w:sz w:val="20"/>
                      </w:rPr>
                    </w:pPr>
                    <w:r>
                      <w:rPr>
                        <w:sz w:val="20"/>
                      </w:rPr>
                      <w:t>Pritaikytų dviračių eismui D, Ds kategorijos gatvių dalis nuo bendro ilgio nuo D, Ds kategorijos gatvių (proc.)</w:t>
                    </w:r>
                  </w:p>
                </w:tc>
                <w:tc>
                  <w:tcPr>
                    <w:tcW w:w="1134" w:type="dxa"/>
                    <w:vAlign w:val="center"/>
                    <w:hideMark/>
                  </w:tcPr>
                  <w:p>
                    <w:pPr>
                      <w:jc w:val="center"/>
                      <w:rPr>
                        <w:sz w:val="20"/>
                      </w:rPr>
                    </w:pPr>
                    <w:r>
                      <w:rPr>
                        <w:sz w:val="20"/>
                      </w:rPr>
                      <w:t>MŪAS</w:t>
                    </w:r>
                  </w:p>
                </w:tc>
                <w:tc>
                  <w:tcPr>
                    <w:tcW w:w="1134" w:type="dxa"/>
                    <w:noWrap/>
                    <w:vAlign w:val="center"/>
                    <w:hideMark/>
                  </w:tcPr>
                  <w:p>
                    <w:pPr>
                      <w:jc w:val="center"/>
                      <w:rPr>
                        <w:sz w:val="20"/>
                      </w:rPr>
                    </w:pPr>
                    <w:r>
                      <w:rPr>
                        <w:sz w:val="20"/>
                      </w:rPr>
                      <w:t>0 (2025)</w:t>
                    </w:r>
                  </w:p>
                </w:tc>
                <w:tc>
                  <w:tcPr>
                    <w:tcW w:w="1134" w:type="dxa"/>
                    <w:noWrap/>
                    <w:vAlign w:val="center"/>
                    <w:hideMark/>
                  </w:tcPr>
                  <w:p>
                    <w:pPr>
                      <w:jc w:val="center"/>
                      <w:rPr>
                        <w:sz w:val="20"/>
                      </w:rPr>
                    </w:pPr>
                    <w:r>
                      <w:rPr>
                        <w:sz w:val="20"/>
                      </w:rPr>
                      <w:t>20 (2033)</w:t>
                    </w:r>
                  </w:p>
                </w:tc>
              </w:tr>
              <w:tr>
                <w:trPr>
                  <w:trHeight w:val="705"/>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jc w:val="center"/>
                      <w:rPr>
                        <w:sz w:val="20"/>
                      </w:rPr>
                    </w:pPr>
                  </w:p>
                </w:tc>
                <w:tc>
                  <w:tcPr>
                    <w:tcW w:w="709" w:type="dxa"/>
                    <w:vMerge/>
                    <w:vAlign w:val="center"/>
                    <w:hideMark/>
                  </w:tcPr>
                  <w:p>
                    <w:pPr>
                      <w:jc w:val="center"/>
                      <w:rPr>
                        <w:sz w:val="20"/>
                      </w:rPr>
                    </w:pPr>
                  </w:p>
                </w:tc>
                <w:tc>
                  <w:tcPr>
                    <w:tcW w:w="709" w:type="dxa"/>
                    <w:vMerge/>
                    <w:vAlign w:val="center"/>
                    <w:hideMark/>
                  </w:tcPr>
                  <w:p>
                    <w:pPr>
                      <w:jc w:val="center"/>
                      <w:rPr>
                        <w:sz w:val="20"/>
                      </w:rPr>
                    </w:pPr>
                  </w:p>
                </w:tc>
                <w:tc>
                  <w:tcPr>
                    <w:tcW w:w="1417" w:type="dxa"/>
                    <w:noWrap/>
                    <w:vAlign w:val="center"/>
                    <w:hideMark/>
                  </w:tcPr>
                  <w:p>
                    <w:pPr>
                      <w:rPr>
                        <w:sz w:val="20"/>
                      </w:rPr>
                    </w:pPr>
                    <w:r>
                      <w:rPr>
                        <w:sz w:val="20"/>
                      </w:rPr>
                      <w:t>P-14-02-01-03</w:t>
                    </w:r>
                  </w:p>
                </w:tc>
                <w:tc>
                  <w:tcPr>
                    <w:tcW w:w="4111" w:type="dxa"/>
                    <w:vAlign w:val="center"/>
                    <w:hideMark/>
                  </w:tcPr>
                  <w:p>
                    <w:pPr>
                      <w:rPr>
                        <w:sz w:val="20"/>
                      </w:rPr>
                    </w:pPr>
                    <w:r>
                      <w:rPr>
                        <w:sz w:val="20"/>
                      </w:rPr>
                      <w:t xml:space="preserve">Dviračių vietų skaičius saugyklose (vnt.) </w:t>
                    </w:r>
                  </w:p>
                </w:tc>
                <w:tc>
                  <w:tcPr>
                    <w:tcW w:w="1134" w:type="dxa"/>
                    <w:vAlign w:val="center"/>
                    <w:hideMark/>
                  </w:tcPr>
                  <w:p>
                    <w:pPr>
                      <w:jc w:val="center"/>
                      <w:rPr>
                        <w:sz w:val="20"/>
                      </w:rPr>
                    </w:pPr>
                    <w:r>
                      <w:rPr>
                        <w:sz w:val="20"/>
                      </w:rPr>
                      <w:t>MŪAS</w:t>
                    </w:r>
                  </w:p>
                </w:tc>
                <w:tc>
                  <w:tcPr>
                    <w:tcW w:w="1134" w:type="dxa"/>
                    <w:noWrap/>
                    <w:vAlign w:val="center"/>
                    <w:hideMark/>
                  </w:tcPr>
                  <w:p>
                    <w:pPr>
                      <w:jc w:val="center"/>
                      <w:rPr>
                        <w:sz w:val="20"/>
                      </w:rPr>
                    </w:pPr>
                    <w:r>
                      <w:rPr>
                        <w:sz w:val="20"/>
                      </w:rPr>
                      <w:t>n.d. (2023)</w:t>
                    </w:r>
                  </w:p>
                </w:tc>
                <w:tc>
                  <w:tcPr>
                    <w:tcW w:w="1134" w:type="dxa"/>
                    <w:noWrap/>
                    <w:vAlign w:val="center"/>
                    <w:hideMark/>
                  </w:tcPr>
                  <w:p>
                    <w:pPr>
                      <w:jc w:val="center"/>
                      <w:rPr>
                        <w:sz w:val="20"/>
                      </w:rPr>
                    </w:pPr>
                    <w:r>
                      <w:rPr>
                        <w:sz w:val="20"/>
                      </w:rPr>
                      <w:t>200 (2033)</w:t>
                    </w:r>
                  </w:p>
                </w:tc>
              </w:tr>
              <w:tr>
                <w:trPr>
                  <w:trHeight w:val="260"/>
                  <w:jc w:val="center"/>
                </w:trPr>
                <w:tc>
                  <w:tcPr>
                    <w:tcW w:w="988" w:type="dxa"/>
                    <w:vMerge w:val="restart"/>
                    <w:noWrap/>
                    <w:vAlign w:val="center"/>
                    <w:hideMark/>
                  </w:tcPr>
                  <w:p>
                    <w:pPr>
                      <w:rPr>
                        <w:sz w:val="20"/>
                      </w:rPr>
                    </w:pPr>
                    <w:r>
                      <w:rPr>
                        <w:sz w:val="20"/>
                      </w:rPr>
                      <w:t>14-02-02</w:t>
                    </w:r>
                  </w:p>
                </w:tc>
                <w:tc>
                  <w:tcPr>
                    <w:tcW w:w="2126" w:type="dxa"/>
                    <w:vMerge w:val="restart"/>
                    <w:vAlign w:val="center"/>
                    <w:hideMark/>
                  </w:tcPr>
                  <w:p>
                    <w:pPr>
                      <w:rPr>
                        <w:sz w:val="20"/>
                      </w:rPr>
                    </w:pPr>
                    <w:r>
                      <w:rPr>
                        <w:sz w:val="20"/>
                      </w:rPr>
                      <w:t>Gerinti viešojo transporto kokybę</w:t>
                    </w:r>
                  </w:p>
                </w:tc>
                <w:tc>
                  <w:tcPr>
                    <w:tcW w:w="850" w:type="dxa"/>
                    <w:vMerge w:val="restart"/>
                    <w:vAlign w:val="center"/>
                    <w:hideMark/>
                  </w:tcPr>
                  <w:p>
                    <w:pPr>
                      <w:jc w:val="center"/>
                      <w:rPr>
                        <w:sz w:val="20"/>
                      </w:rPr>
                    </w:pPr>
                    <w:r>
                      <w:rPr>
                        <w:sz w:val="20"/>
                      </w:rPr>
                      <w:t>MŪAS</w:t>
                    </w:r>
                  </w:p>
                </w:tc>
                <w:tc>
                  <w:tcPr>
                    <w:tcW w:w="709" w:type="dxa"/>
                    <w:vMerge w:val="restart"/>
                    <w:noWrap/>
                    <w:vAlign w:val="center"/>
                    <w:hideMark/>
                  </w:tcPr>
                  <w:p>
                    <w:pPr>
                      <w:jc w:val="center"/>
                      <w:rPr>
                        <w:sz w:val="20"/>
                      </w:rPr>
                    </w:pPr>
                    <w:r>
                      <w:rPr>
                        <w:sz w:val="20"/>
                      </w:rPr>
                      <w:t>2025</w:t>
                    </w:r>
                  </w:p>
                </w:tc>
                <w:tc>
                  <w:tcPr>
                    <w:tcW w:w="709" w:type="dxa"/>
                    <w:vMerge w:val="restart"/>
                    <w:noWrap/>
                    <w:vAlign w:val="center"/>
                    <w:hideMark/>
                  </w:tcPr>
                  <w:p>
                    <w:pPr>
                      <w:jc w:val="center"/>
                      <w:rPr>
                        <w:sz w:val="20"/>
                      </w:rPr>
                    </w:pPr>
                    <w:r>
                      <w:rPr>
                        <w:sz w:val="20"/>
                      </w:rPr>
                      <w:t>2033</w:t>
                    </w:r>
                  </w:p>
                </w:tc>
                <w:tc>
                  <w:tcPr>
                    <w:tcW w:w="1417" w:type="dxa"/>
                    <w:noWrap/>
                    <w:vAlign w:val="center"/>
                    <w:hideMark/>
                  </w:tcPr>
                  <w:p>
                    <w:pPr>
                      <w:rPr>
                        <w:sz w:val="20"/>
                      </w:rPr>
                    </w:pPr>
                    <w:r>
                      <w:rPr>
                        <w:sz w:val="20"/>
                      </w:rPr>
                      <w:t>P-14-02-02-01</w:t>
                    </w:r>
                  </w:p>
                </w:tc>
                <w:tc>
                  <w:tcPr>
                    <w:tcW w:w="4111" w:type="dxa"/>
                    <w:vAlign w:val="center"/>
                    <w:hideMark/>
                  </w:tcPr>
                  <w:p>
                    <w:pPr>
                      <w:rPr>
                        <w:sz w:val="20"/>
                      </w:rPr>
                    </w:pPr>
                    <w:r>
                      <w:rPr>
                        <w:sz w:val="20"/>
                      </w:rPr>
                      <w:t>Vidutinis viešojo transporto amžius (m.)</w:t>
                    </w:r>
                  </w:p>
                </w:tc>
                <w:tc>
                  <w:tcPr>
                    <w:tcW w:w="1134" w:type="dxa"/>
                    <w:vAlign w:val="center"/>
                    <w:hideMark/>
                  </w:tcPr>
                  <w:p>
                    <w:pPr>
                      <w:jc w:val="center"/>
                      <w:rPr>
                        <w:sz w:val="20"/>
                      </w:rPr>
                    </w:pPr>
                    <w:r>
                      <w:rPr>
                        <w:sz w:val="20"/>
                      </w:rPr>
                      <w:t>Busturas</w:t>
                    </w:r>
                  </w:p>
                </w:tc>
                <w:tc>
                  <w:tcPr>
                    <w:tcW w:w="1134" w:type="dxa"/>
                    <w:noWrap/>
                    <w:vAlign w:val="center"/>
                    <w:hideMark/>
                  </w:tcPr>
                  <w:p>
                    <w:pPr>
                      <w:jc w:val="center"/>
                      <w:rPr>
                        <w:sz w:val="20"/>
                      </w:rPr>
                    </w:pPr>
                    <w:r>
                      <w:rPr>
                        <w:sz w:val="20"/>
                      </w:rPr>
                      <w:t>11,3 (2023)</w:t>
                    </w:r>
                  </w:p>
                </w:tc>
                <w:tc>
                  <w:tcPr>
                    <w:tcW w:w="1134" w:type="dxa"/>
                    <w:noWrap/>
                    <w:vAlign w:val="center"/>
                    <w:hideMark/>
                  </w:tcPr>
                  <w:p>
                    <w:pPr>
                      <w:jc w:val="center"/>
                      <w:rPr>
                        <w:sz w:val="20"/>
                      </w:rPr>
                    </w:pPr>
                    <w:r>
                      <w:rPr>
                        <w:sz w:val="20"/>
                      </w:rPr>
                      <w:t>10 (2033)</w:t>
                    </w:r>
                  </w:p>
                </w:tc>
              </w:tr>
              <w:tr>
                <w:trPr>
                  <w:trHeight w:val="780"/>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rPr>
                        <w:sz w:val="20"/>
                      </w:rPr>
                    </w:pPr>
                  </w:p>
                </w:tc>
                <w:tc>
                  <w:tcPr>
                    <w:tcW w:w="709" w:type="dxa"/>
                    <w:vMerge/>
                    <w:vAlign w:val="center"/>
                    <w:hideMark/>
                  </w:tcPr>
                  <w:p>
                    <w:pPr>
                      <w:rPr>
                        <w:sz w:val="20"/>
                      </w:rPr>
                    </w:pPr>
                  </w:p>
                </w:tc>
                <w:tc>
                  <w:tcPr>
                    <w:tcW w:w="709" w:type="dxa"/>
                    <w:vMerge/>
                    <w:vAlign w:val="center"/>
                    <w:hideMark/>
                  </w:tcPr>
                  <w:p>
                    <w:pPr>
                      <w:rPr>
                        <w:sz w:val="20"/>
                      </w:rPr>
                    </w:pPr>
                  </w:p>
                </w:tc>
                <w:tc>
                  <w:tcPr>
                    <w:tcW w:w="1417" w:type="dxa"/>
                    <w:noWrap/>
                    <w:vAlign w:val="center"/>
                    <w:hideMark/>
                  </w:tcPr>
                  <w:p>
                    <w:pPr>
                      <w:rPr>
                        <w:sz w:val="20"/>
                      </w:rPr>
                    </w:pPr>
                    <w:r>
                      <w:rPr>
                        <w:sz w:val="20"/>
                      </w:rPr>
                      <w:t>P-14-02-02-02</w:t>
                    </w:r>
                  </w:p>
                </w:tc>
                <w:tc>
                  <w:tcPr>
                    <w:tcW w:w="4111" w:type="dxa"/>
                    <w:vAlign w:val="center"/>
                    <w:hideMark/>
                  </w:tcPr>
                  <w:p>
                    <w:pPr>
                      <w:rPr>
                        <w:sz w:val="20"/>
                      </w:rPr>
                    </w:pPr>
                    <w:r>
                      <w:rPr>
                        <w:sz w:val="20"/>
                      </w:rPr>
                      <w:t xml:space="preserve">Tvariu kuru (elektra, vandenilis) varomo viešojo transporto autobusų dalis nuo viso autoparko (proc.)  </w:t>
                    </w:r>
                  </w:p>
                </w:tc>
                <w:tc>
                  <w:tcPr>
                    <w:tcW w:w="1134" w:type="dxa"/>
                    <w:vAlign w:val="center"/>
                    <w:hideMark/>
                  </w:tcPr>
                  <w:p>
                    <w:pPr>
                      <w:jc w:val="center"/>
                      <w:rPr>
                        <w:sz w:val="20"/>
                      </w:rPr>
                    </w:pPr>
                    <w:r>
                      <w:rPr>
                        <w:sz w:val="20"/>
                      </w:rPr>
                      <w:t>Busturas</w:t>
                    </w:r>
                  </w:p>
                </w:tc>
                <w:tc>
                  <w:tcPr>
                    <w:tcW w:w="1134" w:type="dxa"/>
                    <w:noWrap/>
                    <w:vAlign w:val="center"/>
                    <w:hideMark/>
                  </w:tcPr>
                  <w:p>
                    <w:pPr>
                      <w:jc w:val="center"/>
                      <w:rPr>
                        <w:sz w:val="20"/>
                      </w:rPr>
                    </w:pPr>
                    <w:r>
                      <w:rPr>
                        <w:sz w:val="20"/>
                      </w:rPr>
                      <w:t>0 (2023)</w:t>
                    </w:r>
                  </w:p>
                </w:tc>
                <w:tc>
                  <w:tcPr>
                    <w:tcW w:w="1134" w:type="dxa"/>
                    <w:noWrap/>
                    <w:vAlign w:val="center"/>
                    <w:hideMark/>
                  </w:tcPr>
                  <w:p>
                    <w:pPr>
                      <w:jc w:val="center"/>
                      <w:rPr>
                        <w:sz w:val="20"/>
                      </w:rPr>
                    </w:pPr>
                    <w:r>
                      <w:rPr>
                        <w:sz w:val="20"/>
                      </w:rPr>
                      <w:t>30 (2033)</w:t>
                    </w:r>
                  </w:p>
                </w:tc>
              </w:tr>
              <w:tr>
                <w:trPr>
                  <w:trHeight w:val="520"/>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rPr>
                        <w:sz w:val="20"/>
                      </w:rPr>
                    </w:pPr>
                  </w:p>
                </w:tc>
                <w:tc>
                  <w:tcPr>
                    <w:tcW w:w="709" w:type="dxa"/>
                    <w:vMerge/>
                    <w:vAlign w:val="center"/>
                    <w:hideMark/>
                  </w:tcPr>
                  <w:p>
                    <w:pPr>
                      <w:rPr>
                        <w:sz w:val="20"/>
                      </w:rPr>
                    </w:pPr>
                  </w:p>
                </w:tc>
                <w:tc>
                  <w:tcPr>
                    <w:tcW w:w="709" w:type="dxa"/>
                    <w:vMerge/>
                    <w:vAlign w:val="center"/>
                    <w:hideMark/>
                  </w:tcPr>
                  <w:p>
                    <w:pPr>
                      <w:rPr>
                        <w:sz w:val="20"/>
                      </w:rPr>
                    </w:pPr>
                  </w:p>
                </w:tc>
                <w:tc>
                  <w:tcPr>
                    <w:tcW w:w="1417" w:type="dxa"/>
                    <w:noWrap/>
                    <w:vAlign w:val="center"/>
                    <w:hideMark/>
                  </w:tcPr>
                  <w:p>
                    <w:pPr>
                      <w:rPr>
                        <w:sz w:val="20"/>
                      </w:rPr>
                    </w:pPr>
                    <w:r>
                      <w:rPr>
                        <w:sz w:val="20"/>
                      </w:rPr>
                      <w:t>P-14-02-02-03</w:t>
                    </w:r>
                  </w:p>
                </w:tc>
                <w:tc>
                  <w:tcPr>
                    <w:tcW w:w="4111" w:type="dxa"/>
                    <w:vAlign w:val="center"/>
                    <w:hideMark/>
                  </w:tcPr>
                  <w:p>
                    <w:pPr>
                      <w:rPr>
                        <w:sz w:val="20"/>
                      </w:rPr>
                    </w:pPr>
                    <w:r>
                      <w:rPr>
                        <w:sz w:val="20"/>
                      </w:rPr>
                      <w:t xml:space="preserve">Stotelių su išmaniomis informacinėmis sistemomis skaičius (vnt.) </w:t>
                    </w:r>
                  </w:p>
                </w:tc>
                <w:tc>
                  <w:tcPr>
                    <w:tcW w:w="1134" w:type="dxa"/>
                    <w:vAlign w:val="center"/>
                    <w:hideMark/>
                  </w:tcPr>
                  <w:p>
                    <w:pPr>
                      <w:jc w:val="center"/>
                      <w:rPr>
                        <w:sz w:val="20"/>
                      </w:rPr>
                    </w:pPr>
                    <w:r>
                      <w:rPr>
                        <w:sz w:val="20"/>
                      </w:rPr>
                      <w:t>MŪAS</w:t>
                    </w:r>
                  </w:p>
                </w:tc>
                <w:tc>
                  <w:tcPr>
                    <w:tcW w:w="1134" w:type="dxa"/>
                    <w:noWrap/>
                    <w:vAlign w:val="center"/>
                    <w:hideMark/>
                  </w:tcPr>
                  <w:p>
                    <w:pPr>
                      <w:jc w:val="center"/>
                      <w:rPr>
                        <w:sz w:val="20"/>
                      </w:rPr>
                    </w:pPr>
                    <w:r>
                      <w:rPr>
                        <w:sz w:val="20"/>
                      </w:rPr>
                      <w:t>0 (2023)</w:t>
                    </w:r>
                  </w:p>
                </w:tc>
                <w:tc>
                  <w:tcPr>
                    <w:tcW w:w="1134" w:type="dxa"/>
                    <w:noWrap/>
                    <w:vAlign w:val="center"/>
                    <w:hideMark/>
                  </w:tcPr>
                  <w:p>
                    <w:pPr>
                      <w:jc w:val="center"/>
                      <w:rPr>
                        <w:sz w:val="20"/>
                      </w:rPr>
                    </w:pPr>
                    <w:r>
                      <w:rPr>
                        <w:sz w:val="20"/>
                      </w:rPr>
                      <w:t>20 (2033)</w:t>
                    </w:r>
                  </w:p>
                </w:tc>
              </w:tr>
              <w:tr>
                <w:trPr>
                  <w:trHeight w:val="260"/>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rPr>
                        <w:sz w:val="20"/>
                      </w:rPr>
                    </w:pPr>
                  </w:p>
                </w:tc>
                <w:tc>
                  <w:tcPr>
                    <w:tcW w:w="709" w:type="dxa"/>
                    <w:vMerge/>
                    <w:vAlign w:val="center"/>
                    <w:hideMark/>
                  </w:tcPr>
                  <w:p>
                    <w:pPr>
                      <w:rPr>
                        <w:sz w:val="20"/>
                      </w:rPr>
                    </w:pPr>
                  </w:p>
                </w:tc>
                <w:tc>
                  <w:tcPr>
                    <w:tcW w:w="709" w:type="dxa"/>
                    <w:vMerge/>
                    <w:vAlign w:val="center"/>
                    <w:hideMark/>
                  </w:tcPr>
                  <w:p>
                    <w:pPr>
                      <w:rPr>
                        <w:sz w:val="20"/>
                      </w:rPr>
                    </w:pPr>
                  </w:p>
                </w:tc>
                <w:tc>
                  <w:tcPr>
                    <w:tcW w:w="1417" w:type="dxa"/>
                    <w:noWrap/>
                    <w:vAlign w:val="center"/>
                    <w:hideMark/>
                  </w:tcPr>
                  <w:p>
                    <w:pPr>
                      <w:rPr>
                        <w:sz w:val="20"/>
                      </w:rPr>
                    </w:pPr>
                    <w:r>
                      <w:rPr>
                        <w:sz w:val="20"/>
                      </w:rPr>
                      <w:t>P-14-02-02-04</w:t>
                    </w:r>
                  </w:p>
                </w:tc>
                <w:tc>
                  <w:tcPr>
                    <w:tcW w:w="4111" w:type="dxa"/>
                    <w:vAlign w:val="center"/>
                    <w:hideMark/>
                  </w:tcPr>
                  <w:p>
                    <w:pPr>
                      <w:rPr>
                        <w:sz w:val="20"/>
                      </w:rPr>
                    </w:pPr>
                    <w:r>
                      <w:rPr>
                        <w:sz w:val="20"/>
                      </w:rPr>
                      <w:t>Įdiegta E-bilieto sistema (vnt.)</w:t>
                    </w:r>
                  </w:p>
                </w:tc>
                <w:tc>
                  <w:tcPr>
                    <w:tcW w:w="1134" w:type="dxa"/>
                    <w:vAlign w:val="center"/>
                    <w:hideMark/>
                  </w:tcPr>
                  <w:p>
                    <w:pPr>
                      <w:jc w:val="center"/>
                      <w:rPr>
                        <w:sz w:val="20"/>
                      </w:rPr>
                    </w:pPr>
                    <w:r>
                      <w:rPr>
                        <w:sz w:val="20"/>
                      </w:rPr>
                      <w:t>Busturas</w:t>
                    </w:r>
                  </w:p>
                </w:tc>
                <w:tc>
                  <w:tcPr>
                    <w:tcW w:w="1134" w:type="dxa"/>
                    <w:noWrap/>
                    <w:vAlign w:val="center"/>
                    <w:hideMark/>
                  </w:tcPr>
                  <w:p>
                    <w:pPr>
                      <w:jc w:val="center"/>
                      <w:rPr>
                        <w:sz w:val="20"/>
                      </w:rPr>
                    </w:pPr>
                    <w:r>
                      <w:rPr>
                        <w:sz w:val="20"/>
                      </w:rPr>
                      <w:t>0 (2023)</w:t>
                    </w:r>
                  </w:p>
                </w:tc>
                <w:tc>
                  <w:tcPr>
                    <w:tcW w:w="1134" w:type="dxa"/>
                    <w:noWrap/>
                    <w:vAlign w:val="center"/>
                    <w:hideMark/>
                  </w:tcPr>
                  <w:p>
                    <w:pPr>
                      <w:jc w:val="center"/>
                      <w:rPr>
                        <w:sz w:val="20"/>
                      </w:rPr>
                    </w:pPr>
                    <w:r>
                      <w:rPr>
                        <w:sz w:val="20"/>
                      </w:rPr>
                      <w:t>1 (2026)</w:t>
                    </w:r>
                  </w:p>
                </w:tc>
              </w:tr>
              <w:tr>
                <w:trPr>
                  <w:trHeight w:val="270"/>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rPr>
                        <w:sz w:val="20"/>
                      </w:rPr>
                    </w:pPr>
                  </w:p>
                </w:tc>
                <w:tc>
                  <w:tcPr>
                    <w:tcW w:w="709" w:type="dxa"/>
                    <w:vMerge/>
                    <w:vAlign w:val="center"/>
                    <w:hideMark/>
                  </w:tcPr>
                  <w:p>
                    <w:pPr>
                      <w:rPr>
                        <w:sz w:val="20"/>
                      </w:rPr>
                    </w:pPr>
                  </w:p>
                </w:tc>
                <w:tc>
                  <w:tcPr>
                    <w:tcW w:w="709" w:type="dxa"/>
                    <w:vMerge/>
                    <w:vAlign w:val="center"/>
                    <w:hideMark/>
                  </w:tcPr>
                  <w:p>
                    <w:pPr>
                      <w:rPr>
                        <w:sz w:val="20"/>
                      </w:rPr>
                    </w:pPr>
                  </w:p>
                </w:tc>
                <w:tc>
                  <w:tcPr>
                    <w:tcW w:w="1417" w:type="dxa"/>
                    <w:noWrap/>
                    <w:vAlign w:val="center"/>
                    <w:hideMark/>
                  </w:tcPr>
                  <w:p>
                    <w:pPr>
                      <w:rPr>
                        <w:sz w:val="20"/>
                      </w:rPr>
                    </w:pPr>
                    <w:r>
                      <w:rPr>
                        <w:sz w:val="20"/>
                      </w:rPr>
                      <w:t>P-14-02-02-05</w:t>
                    </w:r>
                  </w:p>
                </w:tc>
                <w:tc>
                  <w:tcPr>
                    <w:tcW w:w="4111" w:type="dxa"/>
                    <w:vAlign w:val="center"/>
                    <w:hideMark/>
                  </w:tcPr>
                  <w:p>
                    <w:pPr>
                      <w:rPr>
                        <w:sz w:val="20"/>
                      </w:rPr>
                    </w:pPr>
                    <w:r>
                      <w:rPr>
                        <w:sz w:val="20"/>
                      </w:rPr>
                      <w:t xml:space="preserve">Multimodalinių stotelių skaičius (vnt.) </w:t>
                    </w:r>
                  </w:p>
                </w:tc>
                <w:tc>
                  <w:tcPr>
                    <w:tcW w:w="1134" w:type="dxa"/>
                    <w:vAlign w:val="center"/>
                    <w:hideMark/>
                  </w:tcPr>
                  <w:p>
                    <w:pPr>
                      <w:jc w:val="center"/>
                      <w:rPr>
                        <w:sz w:val="20"/>
                      </w:rPr>
                    </w:pPr>
                    <w:r>
                      <w:rPr>
                        <w:sz w:val="20"/>
                      </w:rPr>
                      <w:t>MŪAS</w:t>
                    </w:r>
                  </w:p>
                </w:tc>
                <w:tc>
                  <w:tcPr>
                    <w:tcW w:w="1134" w:type="dxa"/>
                    <w:noWrap/>
                    <w:vAlign w:val="center"/>
                    <w:hideMark/>
                  </w:tcPr>
                  <w:p>
                    <w:pPr>
                      <w:jc w:val="center"/>
                      <w:rPr>
                        <w:sz w:val="20"/>
                      </w:rPr>
                    </w:pPr>
                    <w:r>
                      <w:rPr>
                        <w:sz w:val="20"/>
                      </w:rPr>
                      <w:t>0 (2023)</w:t>
                    </w:r>
                  </w:p>
                </w:tc>
                <w:tc>
                  <w:tcPr>
                    <w:tcW w:w="1134" w:type="dxa"/>
                    <w:noWrap/>
                    <w:vAlign w:val="center"/>
                    <w:hideMark/>
                  </w:tcPr>
                  <w:p>
                    <w:pPr>
                      <w:jc w:val="center"/>
                      <w:rPr>
                        <w:sz w:val="20"/>
                      </w:rPr>
                    </w:pPr>
                    <w:r>
                      <w:rPr>
                        <w:sz w:val="20"/>
                      </w:rPr>
                      <w:t>4 (2033)</w:t>
                    </w:r>
                  </w:p>
                </w:tc>
              </w:tr>
              <w:tr>
                <w:trPr>
                  <w:trHeight w:val="520"/>
                  <w:jc w:val="center"/>
                </w:trPr>
                <w:tc>
                  <w:tcPr>
                    <w:tcW w:w="988" w:type="dxa"/>
                    <w:vMerge w:val="restart"/>
                    <w:noWrap/>
                    <w:vAlign w:val="center"/>
                    <w:hideMark/>
                  </w:tcPr>
                  <w:p>
                    <w:pPr>
                      <w:rPr>
                        <w:sz w:val="20"/>
                      </w:rPr>
                    </w:pPr>
                    <w:r>
                      <w:rPr>
                        <w:sz w:val="20"/>
                      </w:rPr>
                      <w:t>14-02-03</w:t>
                    </w:r>
                  </w:p>
                </w:tc>
                <w:tc>
                  <w:tcPr>
                    <w:tcW w:w="2126" w:type="dxa"/>
                    <w:vMerge w:val="restart"/>
                    <w:vAlign w:val="center"/>
                    <w:hideMark/>
                  </w:tcPr>
                  <w:p>
                    <w:pPr>
                      <w:rPr>
                        <w:sz w:val="20"/>
                      </w:rPr>
                    </w:pPr>
                    <w:r>
                      <w:rPr>
                        <w:sz w:val="20"/>
                      </w:rPr>
                      <w:t>Atnaujinti pėsčiųjų takus</w:t>
                    </w:r>
                  </w:p>
                </w:tc>
                <w:tc>
                  <w:tcPr>
                    <w:tcW w:w="850" w:type="dxa"/>
                    <w:vMerge w:val="restart"/>
                    <w:noWrap/>
                    <w:vAlign w:val="center"/>
                    <w:hideMark/>
                  </w:tcPr>
                  <w:p>
                    <w:pPr>
                      <w:jc w:val="center"/>
                      <w:rPr>
                        <w:sz w:val="20"/>
                      </w:rPr>
                    </w:pPr>
                    <w:r>
                      <w:rPr>
                        <w:sz w:val="20"/>
                      </w:rPr>
                      <w:t>MŪAS</w:t>
                    </w:r>
                  </w:p>
                </w:tc>
                <w:tc>
                  <w:tcPr>
                    <w:tcW w:w="709" w:type="dxa"/>
                    <w:vMerge w:val="restart"/>
                    <w:noWrap/>
                    <w:vAlign w:val="center"/>
                    <w:hideMark/>
                  </w:tcPr>
                  <w:p>
                    <w:pPr>
                      <w:jc w:val="center"/>
                      <w:rPr>
                        <w:sz w:val="20"/>
                      </w:rPr>
                    </w:pPr>
                    <w:r>
                      <w:rPr>
                        <w:sz w:val="20"/>
                      </w:rPr>
                      <w:t>2025</w:t>
                    </w:r>
                  </w:p>
                </w:tc>
                <w:tc>
                  <w:tcPr>
                    <w:tcW w:w="709" w:type="dxa"/>
                    <w:vMerge w:val="restart"/>
                    <w:noWrap/>
                    <w:vAlign w:val="center"/>
                    <w:hideMark/>
                  </w:tcPr>
                  <w:p>
                    <w:pPr>
                      <w:jc w:val="center"/>
                      <w:rPr>
                        <w:sz w:val="20"/>
                      </w:rPr>
                    </w:pPr>
                    <w:r>
                      <w:rPr>
                        <w:sz w:val="20"/>
                      </w:rPr>
                      <w:t>2033</w:t>
                    </w:r>
                  </w:p>
                </w:tc>
                <w:tc>
                  <w:tcPr>
                    <w:tcW w:w="1417" w:type="dxa"/>
                    <w:noWrap/>
                    <w:vAlign w:val="center"/>
                    <w:hideMark/>
                  </w:tcPr>
                  <w:p>
                    <w:pPr>
                      <w:rPr>
                        <w:sz w:val="20"/>
                      </w:rPr>
                    </w:pPr>
                    <w:r>
                      <w:rPr>
                        <w:sz w:val="20"/>
                      </w:rPr>
                      <w:t>P-14-02-03-01</w:t>
                    </w:r>
                  </w:p>
                </w:tc>
                <w:tc>
                  <w:tcPr>
                    <w:tcW w:w="4111" w:type="dxa"/>
                    <w:vAlign w:val="center"/>
                    <w:hideMark/>
                  </w:tcPr>
                  <w:p>
                    <w:pPr>
                      <w:rPr>
                        <w:sz w:val="20"/>
                      </w:rPr>
                    </w:pPr>
                    <w:r>
                      <w:rPr>
                        <w:sz w:val="20"/>
                      </w:rPr>
                      <w:t>Atnaujintų / nutiestų pėsčiųjų takų ir šaligatvių ilgis (km)</w:t>
                    </w:r>
                  </w:p>
                </w:tc>
                <w:tc>
                  <w:tcPr>
                    <w:tcW w:w="1134" w:type="dxa"/>
                    <w:vAlign w:val="center"/>
                    <w:hideMark/>
                  </w:tcPr>
                  <w:p>
                    <w:pPr>
                      <w:rPr>
                        <w:sz w:val="20"/>
                      </w:rPr>
                    </w:pPr>
                    <w:r>
                      <w:rPr>
                        <w:sz w:val="20"/>
                      </w:rPr>
                      <w:t>MŪAS</w:t>
                    </w:r>
                  </w:p>
                </w:tc>
                <w:tc>
                  <w:tcPr>
                    <w:tcW w:w="1134" w:type="dxa"/>
                    <w:noWrap/>
                    <w:vAlign w:val="center"/>
                    <w:hideMark/>
                  </w:tcPr>
                  <w:p>
                    <w:pPr>
                      <w:rPr>
                        <w:sz w:val="20"/>
                      </w:rPr>
                    </w:pPr>
                    <w:r>
                      <w:rPr>
                        <w:sz w:val="20"/>
                      </w:rPr>
                      <w:t>66 (2023)</w:t>
                    </w:r>
                  </w:p>
                </w:tc>
                <w:tc>
                  <w:tcPr>
                    <w:tcW w:w="1134" w:type="dxa"/>
                    <w:noWrap/>
                    <w:vAlign w:val="center"/>
                    <w:hideMark/>
                  </w:tcPr>
                  <w:p>
                    <w:pPr>
                      <w:rPr>
                        <w:sz w:val="20"/>
                      </w:rPr>
                    </w:pPr>
                    <w:r>
                      <w:rPr>
                        <w:sz w:val="20"/>
                      </w:rPr>
                      <w:t>201 (2033)</w:t>
                    </w:r>
                  </w:p>
                </w:tc>
              </w:tr>
              <w:tr>
                <w:trPr>
                  <w:trHeight w:val="520"/>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jc w:val="center"/>
                      <w:rPr>
                        <w:sz w:val="20"/>
                      </w:rPr>
                    </w:pPr>
                  </w:p>
                </w:tc>
                <w:tc>
                  <w:tcPr>
                    <w:tcW w:w="709" w:type="dxa"/>
                    <w:vMerge/>
                    <w:vAlign w:val="center"/>
                    <w:hideMark/>
                  </w:tcPr>
                  <w:p>
                    <w:pPr>
                      <w:jc w:val="center"/>
                      <w:rPr>
                        <w:sz w:val="20"/>
                      </w:rPr>
                    </w:pPr>
                  </w:p>
                </w:tc>
                <w:tc>
                  <w:tcPr>
                    <w:tcW w:w="709" w:type="dxa"/>
                    <w:vMerge/>
                    <w:vAlign w:val="center"/>
                    <w:hideMark/>
                  </w:tcPr>
                  <w:p>
                    <w:pPr>
                      <w:jc w:val="center"/>
                      <w:rPr>
                        <w:sz w:val="20"/>
                      </w:rPr>
                    </w:pPr>
                  </w:p>
                </w:tc>
                <w:tc>
                  <w:tcPr>
                    <w:tcW w:w="1417" w:type="dxa"/>
                    <w:noWrap/>
                    <w:vAlign w:val="center"/>
                    <w:hideMark/>
                  </w:tcPr>
                  <w:p>
                    <w:pPr>
                      <w:rPr>
                        <w:sz w:val="20"/>
                      </w:rPr>
                    </w:pPr>
                    <w:r>
                      <w:rPr>
                        <w:sz w:val="20"/>
                      </w:rPr>
                      <w:t>P-14-02-03-02</w:t>
                    </w:r>
                  </w:p>
                </w:tc>
                <w:tc>
                  <w:tcPr>
                    <w:tcW w:w="4111" w:type="dxa"/>
                    <w:vAlign w:val="center"/>
                    <w:hideMark/>
                  </w:tcPr>
                  <w:p>
                    <w:pPr>
                      <w:rPr>
                        <w:sz w:val="20"/>
                      </w:rPr>
                    </w:pPr>
                    <w:r>
                      <w:rPr>
                        <w:sz w:val="20"/>
                      </w:rPr>
                      <w:t>Atnaujintų / nutiestų pėsčiųjų takų ir šaligatvių ilgis D, Ds kategorijos gatvėse (km)</w:t>
                    </w:r>
                  </w:p>
                </w:tc>
                <w:tc>
                  <w:tcPr>
                    <w:tcW w:w="1134" w:type="dxa"/>
                    <w:vAlign w:val="center"/>
                    <w:hideMark/>
                  </w:tcPr>
                  <w:p>
                    <w:pPr>
                      <w:jc w:val="center"/>
                      <w:rPr>
                        <w:sz w:val="20"/>
                      </w:rPr>
                    </w:pPr>
                    <w:r>
                      <w:rPr>
                        <w:sz w:val="20"/>
                      </w:rPr>
                      <w:t>MŪAS</w:t>
                    </w:r>
                  </w:p>
                </w:tc>
                <w:tc>
                  <w:tcPr>
                    <w:tcW w:w="1134" w:type="dxa"/>
                    <w:noWrap/>
                    <w:vAlign w:val="center"/>
                    <w:hideMark/>
                  </w:tcPr>
                  <w:p>
                    <w:pPr>
                      <w:jc w:val="center"/>
                      <w:rPr>
                        <w:sz w:val="20"/>
                      </w:rPr>
                    </w:pPr>
                    <w:r>
                      <w:rPr>
                        <w:sz w:val="20"/>
                      </w:rPr>
                      <w:t>n.d. (2023)</w:t>
                    </w:r>
                  </w:p>
                </w:tc>
                <w:tc>
                  <w:tcPr>
                    <w:tcW w:w="1134" w:type="dxa"/>
                    <w:noWrap/>
                    <w:vAlign w:val="center"/>
                    <w:hideMark/>
                  </w:tcPr>
                  <w:p>
                    <w:pPr>
                      <w:jc w:val="center"/>
                      <w:rPr>
                        <w:sz w:val="20"/>
                      </w:rPr>
                    </w:pPr>
                    <w:r>
                      <w:rPr>
                        <w:sz w:val="20"/>
                      </w:rPr>
                      <w:t>45 (2033)</w:t>
                    </w:r>
                  </w:p>
                </w:tc>
              </w:tr>
              <w:tr>
                <w:trPr>
                  <w:trHeight w:val="530"/>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jc w:val="center"/>
                      <w:rPr>
                        <w:sz w:val="20"/>
                      </w:rPr>
                    </w:pPr>
                  </w:p>
                </w:tc>
                <w:tc>
                  <w:tcPr>
                    <w:tcW w:w="709" w:type="dxa"/>
                    <w:vMerge/>
                    <w:vAlign w:val="center"/>
                    <w:hideMark/>
                  </w:tcPr>
                  <w:p>
                    <w:pPr>
                      <w:jc w:val="center"/>
                      <w:rPr>
                        <w:sz w:val="20"/>
                      </w:rPr>
                    </w:pPr>
                  </w:p>
                </w:tc>
                <w:tc>
                  <w:tcPr>
                    <w:tcW w:w="709" w:type="dxa"/>
                    <w:vMerge/>
                    <w:vAlign w:val="center"/>
                    <w:hideMark/>
                  </w:tcPr>
                  <w:p>
                    <w:pPr>
                      <w:jc w:val="center"/>
                      <w:rPr>
                        <w:sz w:val="20"/>
                      </w:rPr>
                    </w:pPr>
                  </w:p>
                </w:tc>
                <w:tc>
                  <w:tcPr>
                    <w:tcW w:w="1417" w:type="dxa"/>
                    <w:noWrap/>
                    <w:vAlign w:val="center"/>
                    <w:hideMark/>
                  </w:tcPr>
                  <w:p>
                    <w:pPr>
                      <w:rPr>
                        <w:sz w:val="20"/>
                      </w:rPr>
                    </w:pPr>
                    <w:r>
                      <w:rPr>
                        <w:sz w:val="20"/>
                      </w:rPr>
                      <w:t>P-14-02-03-03</w:t>
                    </w:r>
                  </w:p>
                </w:tc>
                <w:tc>
                  <w:tcPr>
                    <w:tcW w:w="4111" w:type="dxa"/>
                    <w:vAlign w:val="center"/>
                    <w:hideMark/>
                  </w:tcPr>
                  <w:p>
                    <w:pPr>
                      <w:rPr>
                        <w:sz w:val="20"/>
                      </w:rPr>
                    </w:pPr>
                    <w:r>
                      <w:rPr>
                        <w:sz w:val="20"/>
                      </w:rPr>
                      <w:t>Įrengtų / atnaujintų pėsčiųjų takų bendras ilgis rekreacinėse teritorijose (km)</w:t>
                    </w:r>
                  </w:p>
                </w:tc>
                <w:tc>
                  <w:tcPr>
                    <w:tcW w:w="1134" w:type="dxa"/>
                    <w:vAlign w:val="center"/>
                    <w:hideMark/>
                  </w:tcPr>
                  <w:p>
                    <w:pPr>
                      <w:jc w:val="center"/>
                      <w:rPr>
                        <w:sz w:val="20"/>
                      </w:rPr>
                    </w:pPr>
                    <w:r>
                      <w:rPr>
                        <w:sz w:val="20"/>
                      </w:rPr>
                      <w:t>MŪAS</w:t>
                    </w:r>
                  </w:p>
                </w:tc>
                <w:tc>
                  <w:tcPr>
                    <w:tcW w:w="1134" w:type="dxa"/>
                    <w:noWrap/>
                    <w:vAlign w:val="center"/>
                    <w:hideMark/>
                  </w:tcPr>
                  <w:p>
                    <w:pPr>
                      <w:jc w:val="center"/>
                      <w:rPr>
                        <w:sz w:val="20"/>
                      </w:rPr>
                    </w:pPr>
                    <w:r>
                      <w:rPr>
                        <w:sz w:val="20"/>
                      </w:rPr>
                      <w:t>0 (2025)</w:t>
                    </w:r>
                  </w:p>
                </w:tc>
                <w:tc>
                  <w:tcPr>
                    <w:tcW w:w="1134" w:type="dxa"/>
                    <w:noWrap/>
                    <w:vAlign w:val="center"/>
                    <w:hideMark/>
                  </w:tcPr>
                  <w:p>
                    <w:pPr>
                      <w:jc w:val="center"/>
                      <w:rPr>
                        <w:sz w:val="20"/>
                      </w:rPr>
                    </w:pPr>
                    <w:r>
                      <w:rPr>
                        <w:sz w:val="20"/>
                      </w:rPr>
                      <w:t>20 (2033)</w:t>
                    </w:r>
                  </w:p>
                </w:tc>
              </w:tr>
              <w:tr>
                <w:trPr>
                  <w:trHeight w:val="520"/>
                  <w:jc w:val="center"/>
                </w:trPr>
                <w:tc>
                  <w:tcPr>
                    <w:tcW w:w="988" w:type="dxa"/>
                    <w:vMerge w:val="restart"/>
                    <w:noWrap/>
                    <w:vAlign w:val="center"/>
                    <w:hideMark/>
                  </w:tcPr>
                  <w:p>
                    <w:pPr>
                      <w:rPr>
                        <w:sz w:val="20"/>
                      </w:rPr>
                    </w:pPr>
                    <w:r>
                      <w:rPr>
                        <w:sz w:val="20"/>
                      </w:rPr>
                      <w:t>14-02-04</w:t>
                    </w:r>
                  </w:p>
                </w:tc>
                <w:tc>
                  <w:tcPr>
                    <w:tcW w:w="2126" w:type="dxa"/>
                    <w:vMerge w:val="restart"/>
                    <w:vAlign w:val="center"/>
                    <w:hideMark/>
                  </w:tcPr>
                  <w:p>
                    <w:pPr>
                      <w:rPr>
                        <w:sz w:val="20"/>
                      </w:rPr>
                    </w:pPr>
                    <w:r>
                      <w:rPr>
                        <w:sz w:val="20"/>
                      </w:rPr>
                      <w:t>Atnaujinti esamas gatves ir mažinti transporto daromą neigiamą įtaką mieste</w:t>
                    </w:r>
                  </w:p>
                </w:tc>
                <w:tc>
                  <w:tcPr>
                    <w:tcW w:w="850" w:type="dxa"/>
                    <w:vMerge w:val="restart"/>
                    <w:noWrap/>
                    <w:vAlign w:val="center"/>
                    <w:hideMark/>
                  </w:tcPr>
                  <w:p>
                    <w:pPr>
                      <w:jc w:val="center"/>
                      <w:rPr>
                        <w:sz w:val="20"/>
                      </w:rPr>
                    </w:pPr>
                    <w:r>
                      <w:rPr>
                        <w:sz w:val="20"/>
                      </w:rPr>
                      <w:t>MŪAS</w:t>
                    </w:r>
                  </w:p>
                </w:tc>
                <w:tc>
                  <w:tcPr>
                    <w:tcW w:w="709" w:type="dxa"/>
                    <w:vMerge w:val="restart"/>
                    <w:noWrap/>
                    <w:vAlign w:val="center"/>
                    <w:hideMark/>
                  </w:tcPr>
                  <w:p>
                    <w:pPr>
                      <w:jc w:val="center"/>
                      <w:rPr>
                        <w:sz w:val="20"/>
                      </w:rPr>
                    </w:pPr>
                    <w:r>
                      <w:rPr>
                        <w:sz w:val="20"/>
                      </w:rPr>
                      <w:t>2025</w:t>
                    </w:r>
                  </w:p>
                </w:tc>
                <w:tc>
                  <w:tcPr>
                    <w:tcW w:w="709" w:type="dxa"/>
                    <w:vMerge w:val="restart"/>
                    <w:noWrap/>
                    <w:vAlign w:val="center"/>
                    <w:hideMark/>
                  </w:tcPr>
                  <w:p>
                    <w:pPr>
                      <w:jc w:val="center"/>
                      <w:rPr>
                        <w:sz w:val="20"/>
                      </w:rPr>
                    </w:pPr>
                    <w:r>
                      <w:rPr>
                        <w:sz w:val="20"/>
                      </w:rPr>
                      <w:t>2033</w:t>
                    </w:r>
                  </w:p>
                </w:tc>
                <w:tc>
                  <w:tcPr>
                    <w:tcW w:w="1417" w:type="dxa"/>
                    <w:noWrap/>
                    <w:vAlign w:val="center"/>
                    <w:hideMark/>
                  </w:tcPr>
                  <w:p>
                    <w:pPr>
                      <w:rPr>
                        <w:sz w:val="20"/>
                      </w:rPr>
                    </w:pPr>
                    <w:r>
                      <w:rPr>
                        <w:sz w:val="20"/>
                      </w:rPr>
                      <w:t>P-14-02-04-01</w:t>
                    </w:r>
                  </w:p>
                </w:tc>
                <w:tc>
                  <w:tcPr>
                    <w:tcW w:w="4111" w:type="dxa"/>
                    <w:shd w:val="clear" w:color="auto" w:fill="auto"/>
                    <w:vAlign w:val="center"/>
                    <w:hideMark/>
                  </w:tcPr>
                  <w:p>
                    <w:pPr>
                      <w:rPr>
                        <w:sz w:val="20"/>
                      </w:rPr>
                    </w:pPr>
                    <w:r>
                      <w:rPr>
                        <w:sz w:val="20"/>
                      </w:rPr>
                      <w:t>Atnaujintas asfalto važiuojamosios dalies dangos ilgis (km)</w:t>
                    </w:r>
                  </w:p>
                </w:tc>
                <w:tc>
                  <w:tcPr>
                    <w:tcW w:w="1134" w:type="dxa"/>
                    <w:vAlign w:val="center"/>
                    <w:hideMark/>
                  </w:tcPr>
                  <w:p>
                    <w:pPr>
                      <w:jc w:val="center"/>
                      <w:rPr>
                        <w:sz w:val="20"/>
                      </w:rPr>
                    </w:pPr>
                    <w:r>
                      <w:rPr>
                        <w:sz w:val="20"/>
                      </w:rPr>
                      <w:t>MŪAS</w:t>
                    </w:r>
                  </w:p>
                </w:tc>
                <w:tc>
                  <w:tcPr>
                    <w:tcW w:w="1134" w:type="dxa"/>
                    <w:vAlign w:val="center"/>
                    <w:hideMark/>
                  </w:tcPr>
                  <w:p>
                    <w:pPr>
                      <w:jc w:val="center"/>
                      <w:rPr>
                        <w:sz w:val="20"/>
                      </w:rPr>
                    </w:pPr>
                    <w:r>
                      <w:rPr>
                        <w:sz w:val="20"/>
                      </w:rPr>
                      <w:t xml:space="preserve">25,7 </w:t>
                      <w:br/>
                      <w:t>(2023)</w:t>
                    </w:r>
                  </w:p>
                </w:tc>
                <w:tc>
                  <w:tcPr>
                    <w:tcW w:w="1134" w:type="dxa"/>
                    <w:noWrap/>
                    <w:vAlign w:val="center"/>
                    <w:hideMark/>
                  </w:tcPr>
                  <w:p>
                    <w:pPr>
                      <w:jc w:val="center"/>
                      <w:rPr>
                        <w:sz w:val="20"/>
                      </w:rPr>
                    </w:pPr>
                    <w:r>
                      <w:rPr>
                        <w:sz w:val="20"/>
                      </w:rPr>
                      <w:t>50 (2033)</w:t>
                    </w:r>
                  </w:p>
                </w:tc>
              </w:tr>
              <w:tr>
                <w:trPr>
                  <w:trHeight w:val="520"/>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jc w:val="center"/>
                      <w:rPr>
                        <w:sz w:val="20"/>
                      </w:rPr>
                    </w:pPr>
                  </w:p>
                </w:tc>
                <w:tc>
                  <w:tcPr>
                    <w:tcW w:w="709" w:type="dxa"/>
                    <w:vMerge/>
                    <w:vAlign w:val="center"/>
                    <w:hideMark/>
                  </w:tcPr>
                  <w:p>
                    <w:pPr>
                      <w:jc w:val="center"/>
                      <w:rPr>
                        <w:sz w:val="20"/>
                      </w:rPr>
                    </w:pPr>
                  </w:p>
                </w:tc>
                <w:tc>
                  <w:tcPr>
                    <w:tcW w:w="709" w:type="dxa"/>
                    <w:vMerge/>
                    <w:vAlign w:val="center"/>
                    <w:hideMark/>
                  </w:tcPr>
                  <w:p>
                    <w:pPr>
                      <w:jc w:val="center"/>
                      <w:rPr>
                        <w:sz w:val="20"/>
                      </w:rPr>
                    </w:pPr>
                  </w:p>
                </w:tc>
                <w:tc>
                  <w:tcPr>
                    <w:tcW w:w="1417" w:type="dxa"/>
                    <w:noWrap/>
                    <w:vAlign w:val="center"/>
                    <w:hideMark/>
                  </w:tcPr>
                  <w:p>
                    <w:pPr>
                      <w:rPr>
                        <w:sz w:val="20"/>
                      </w:rPr>
                    </w:pPr>
                    <w:r>
                      <w:rPr>
                        <w:sz w:val="20"/>
                      </w:rPr>
                      <w:t>P-14-02-04-02</w:t>
                    </w:r>
                  </w:p>
                </w:tc>
                <w:tc>
                  <w:tcPr>
                    <w:tcW w:w="4111" w:type="dxa"/>
                    <w:shd w:val="clear" w:color="auto" w:fill="auto"/>
                    <w:vAlign w:val="center"/>
                    <w:hideMark/>
                  </w:tcPr>
                  <w:p>
                    <w:pPr>
                      <w:rPr>
                        <w:sz w:val="20"/>
                      </w:rPr>
                    </w:pPr>
                    <w:r>
                      <w:rPr>
                        <w:sz w:val="20"/>
                      </w:rPr>
                      <w:t>Įrengtų dviejų lygių sankryžų su geležinkeliu ar aplinkkeliu skaičius (vnt.)</w:t>
                    </w:r>
                  </w:p>
                </w:tc>
                <w:tc>
                  <w:tcPr>
                    <w:tcW w:w="1134" w:type="dxa"/>
                    <w:vAlign w:val="center"/>
                    <w:hideMark/>
                  </w:tcPr>
                  <w:p>
                    <w:pPr>
                      <w:jc w:val="center"/>
                      <w:rPr>
                        <w:sz w:val="20"/>
                      </w:rPr>
                    </w:pPr>
                    <w:r>
                      <w:rPr>
                        <w:sz w:val="20"/>
                      </w:rPr>
                      <w:t>MŪAS</w:t>
                    </w:r>
                  </w:p>
                </w:tc>
                <w:tc>
                  <w:tcPr>
                    <w:tcW w:w="1134" w:type="dxa"/>
                    <w:noWrap/>
                    <w:vAlign w:val="center"/>
                    <w:hideMark/>
                  </w:tcPr>
                  <w:p>
                    <w:pPr>
                      <w:jc w:val="center"/>
                      <w:rPr>
                        <w:sz w:val="20"/>
                      </w:rPr>
                    </w:pPr>
                    <w:r>
                      <w:rPr>
                        <w:sz w:val="20"/>
                      </w:rPr>
                      <w:t>0 (2023)</w:t>
                    </w:r>
                  </w:p>
                </w:tc>
                <w:tc>
                  <w:tcPr>
                    <w:tcW w:w="1134" w:type="dxa"/>
                    <w:noWrap/>
                    <w:vAlign w:val="center"/>
                    <w:hideMark/>
                  </w:tcPr>
                  <w:p>
                    <w:pPr>
                      <w:jc w:val="center"/>
                      <w:rPr>
                        <w:sz w:val="20"/>
                      </w:rPr>
                    </w:pPr>
                    <w:r>
                      <w:rPr>
                        <w:sz w:val="20"/>
                      </w:rPr>
                      <w:t>2 (2033)</w:t>
                    </w:r>
                  </w:p>
                </w:tc>
              </w:tr>
              <w:tr>
                <w:trPr>
                  <w:trHeight w:val="386"/>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jc w:val="center"/>
                      <w:rPr>
                        <w:sz w:val="20"/>
                      </w:rPr>
                    </w:pPr>
                  </w:p>
                </w:tc>
                <w:tc>
                  <w:tcPr>
                    <w:tcW w:w="709" w:type="dxa"/>
                    <w:vMerge/>
                    <w:vAlign w:val="center"/>
                    <w:hideMark/>
                  </w:tcPr>
                  <w:p>
                    <w:pPr>
                      <w:jc w:val="center"/>
                      <w:rPr>
                        <w:sz w:val="20"/>
                      </w:rPr>
                    </w:pPr>
                  </w:p>
                </w:tc>
                <w:tc>
                  <w:tcPr>
                    <w:tcW w:w="709" w:type="dxa"/>
                    <w:vMerge/>
                    <w:vAlign w:val="center"/>
                    <w:hideMark/>
                  </w:tcPr>
                  <w:p>
                    <w:pPr>
                      <w:jc w:val="center"/>
                      <w:rPr>
                        <w:sz w:val="20"/>
                      </w:rPr>
                    </w:pPr>
                  </w:p>
                </w:tc>
                <w:tc>
                  <w:tcPr>
                    <w:tcW w:w="1417" w:type="dxa"/>
                    <w:noWrap/>
                    <w:vAlign w:val="center"/>
                    <w:hideMark/>
                  </w:tcPr>
                  <w:p>
                    <w:pPr>
                      <w:rPr>
                        <w:sz w:val="20"/>
                      </w:rPr>
                    </w:pPr>
                    <w:r>
                      <w:rPr>
                        <w:sz w:val="20"/>
                      </w:rPr>
                      <w:t>P-14-02-04-03</w:t>
                    </w:r>
                  </w:p>
                </w:tc>
                <w:tc>
                  <w:tcPr>
                    <w:tcW w:w="4111" w:type="dxa"/>
                    <w:shd w:val="clear" w:color="auto" w:fill="auto"/>
                    <w:vAlign w:val="center"/>
                    <w:hideMark/>
                  </w:tcPr>
                  <w:p>
                    <w:pPr>
                      <w:rPr>
                        <w:sz w:val="20"/>
                      </w:rPr>
                    </w:pPr>
                    <w:r>
                      <w:rPr>
                        <w:sz w:val="20"/>
                      </w:rPr>
                      <w:t>Įrengtų naujų gatvių su patobulinta danga ilgis (km)</w:t>
                    </w:r>
                  </w:p>
                </w:tc>
                <w:tc>
                  <w:tcPr>
                    <w:tcW w:w="1134" w:type="dxa"/>
                    <w:vAlign w:val="center"/>
                    <w:hideMark/>
                  </w:tcPr>
                  <w:p>
                    <w:pPr>
                      <w:jc w:val="center"/>
                      <w:rPr>
                        <w:sz w:val="20"/>
                      </w:rPr>
                    </w:pPr>
                    <w:r>
                      <w:rPr>
                        <w:sz w:val="20"/>
                      </w:rPr>
                      <w:t>MŪAS</w:t>
                    </w:r>
                  </w:p>
                </w:tc>
                <w:tc>
                  <w:tcPr>
                    <w:tcW w:w="1134" w:type="dxa"/>
                    <w:vAlign w:val="center"/>
                    <w:hideMark/>
                  </w:tcPr>
                  <w:p>
                    <w:pPr>
                      <w:jc w:val="center"/>
                      <w:rPr>
                        <w:sz w:val="20"/>
                      </w:rPr>
                    </w:pPr>
                    <w:r>
                      <w:rPr>
                        <w:sz w:val="20"/>
                      </w:rPr>
                      <w:t xml:space="preserve">5,5 </w:t>
                      <w:br/>
                      <w:t>(2023)</w:t>
                    </w:r>
                  </w:p>
                </w:tc>
                <w:tc>
                  <w:tcPr>
                    <w:tcW w:w="1134" w:type="dxa"/>
                    <w:noWrap/>
                    <w:vAlign w:val="center"/>
                    <w:hideMark/>
                  </w:tcPr>
                  <w:p>
                    <w:pPr>
                      <w:jc w:val="center"/>
                      <w:rPr>
                        <w:sz w:val="20"/>
                      </w:rPr>
                    </w:pPr>
                    <w:r>
                      <w:rPr>
                        <w:sz w:val="20"/>
                      </w:rPr>
                      <w:t>15,5 (2033)</w:t>
                    </w:r>
                  </w:p>
                </w:tc>
              </w:tr>
              <w:tr>
                <w:trPr>
                  <w:trHeight w:val="335"/>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jc w:val="center"/>
                      <w:rPr>
                        <w:sz w:val="20"/>
                      </w:rPr>
                    </w:pPr>
                  </w:p>
                </w:tc>
                <w:tc>
                  <w:tcPr>
                    <w:tcW w:w="709" w:type="dxa"/>
                    <w:vMerge/>
                    <w:vAlign w:val="center"/>
                    <w:hideMark/>
                  </w:tcPr>
                  <w:p>
                    <w:pPr>
                      <w:jc w:val="center"/>
                      <w:rPr>
                        <w:sz w:val="20"/>
                      </w:rPr>
                    </w:pPr>
                  </w:p>
                </w:tc>
                <w:tc>
                  <w:tcPr>
                    <w:tcW w:w="709" w:type="dxa"/>
                    <w:vMerge/>
                    <w:vAlign w:val="center"/>
                    <w:hideMark/>
                  </w:tcPr>
                  <w:p>
                    <w:pPr>
                      <w:jc w:val="center"/>
                      <w:rPr>
                        <w:sz w:val="20"/>
                      </w:rPr>
                    </w:pPr>
                  </w:p>
                </w:tc>
                <w:tc>
                  <w:tcPr>
                    <w:tcW w:w="1417" w:type="dxa"/>
                    <w:noWrap/>
                    <w:vAlign w:val="center"/>
                    <w:hideMark/>
                  </w:tcPr>
                  <w:p>
                    <w:pPr>
                      <w:rPr>
                        <w:sz w:val="20"/>
                      </w:rPr>
                    </w:pPr>
                    <w:r>
                      <w:rPr>
                        <w:sz w:val="20"/>
                      </w:rPr>
                      <w:t>P-14-02-04-04</w:t>
                    </w:r>
                  </w:p>
                </w:tc>
                <w:tc>
                  <w:tcPr>
                    <w:tcW w:w="4111" w:type="dxa"/>
                    <w:shd w:val="clear" w:color="auto" w:fill="auto"/>
                    <w:vAlign w:val="center"/>
                    <w:hideMark/>
                  </w:tcPr>
                  <w:p>
                    <w:pPr>
                      <w:rPr>
                        <w:sz w:val="20"/>
                      </w:rPr>
                    </w:pPr>
                    <w:r>
                      <w:rPr>
                        <w:sz w:val="20"/>
                      </w:rPr>
                      <w:t>Įrengtos dangos ilgis gatvėse, kurios neturėjo dangos (km)</w:t>
                    </w:r>
                  </w:p>
                </w:tc>
                <w:tc>
                  <w:tcPr>
                    <w:tcW w:w="1134" w:type="dxa"/>
                    <w:vAlign w:val="center"/>
                    <w:hideMark/>
                  </w:tcPr>
                  <w:p>
                    <w:pPr>
                      <w:jc w:val="center"/>
                      <w:rPr>
                        <w:sz w:val="20"/>
                      </w:rPr>
                    </w:pPr>
                    <w:r>
                      <w:rPr>
                        <w:sz w:val="20"/>
                      </w:rPr>
                      <w:t>MŪAS</w:t>
                    </w:r>
                  </w:p>
                </w:tc>
                <w:tc>
                  <w:tcPr>
                    <w:tcW w:w="1134" w:type="dxa"/>
                    <w:vAlign w:val="center"/>
                    <w:hideMark/>
                  </w:tcPr>
                  <w:p>
                    <w:pPr>
                      <w:jc w:val="center"/>
                      <w:rPr>
                        <w:sz w:val="20"/>
                      </w:rPr>
                    </w:pPr>
                    <w:r>
                      <w:rPr>
                        <w:sz w:val="20"/>
                      </w:rPr>
                      <w:t xml:space="preserve">15,3 </w:t>
                      <w:br/>
                      <w:t>(2019 - 2023)</w:t>
                    </w:r>
                  </w:p>
                </w:tc>
                <w:tc>
                  <w:tcPr>
                    <w:tcW w:w="1134" w:type="dxa"/>
                    <w:noWrap/>
                    <w:vAlign w:val="center"/>
                    <w:hideMark/>
                  </w:tcPr>
                  <w:p>
                    <w:pPr>
                      <w:jc w:val="center"/>
                      <w:rPr>
                        <w:sz w:val="20"/>
                      </w:rPr>
                    </w:pPr>
                    <w:r>
                      <w:rPr>
                        <w:sz w:val="20"/>
                      </w:rPr>
                      <w:t>70,3 (2033)</w:t>
                    </w:r>
                  </w:p>
                </w:tc>
              </w:tr>
              <w:tr>
                <w:trPr>
                  <w:trHeight w:val="629"/>
                  <w:jc w:val="center"/>
                </w:trPr>
                <w:tc>
                  <w:tcPr>
                    <w:tcW w:w="988" w:type="dxa"/>
                    <w:noWrap/>
                    <w:vAlign w:val="center"/>
                    <w:hideMark/>
                  </w:tcPr>
                  <w:p>
                    <w:pPr>
                      <w:rPr>
                        <w:sz w:val="20"/>
                      </w:rPr>
                    </w:pPr>
                    <w:r>
                      <w:rPr>
                        <w:sz w:val="20"/>
                      </w:rPr>
                      <w:t>14-02-05</w:t>
                    </w:r>
                  </w:p>
                </w:tc>
                <w:tc>
                  <w:tcPr>
                    <w:tcW w:w="2126" w:type="dxa"/>
                    <w:vAlign w:val="center"/>
                    <w:hideMark/>
                  </w:tcPr>
                  <w:p>
                    <w:pPr>
                      <w:rPr>
                        <w:sz w:val="20"/>
                      </w:rPr>
                    </w:pPr>
                    <w:r>
                      <w:rPr>
                        <w:sz w:val="20"/>
                      </w:rPr>
                      <w:t>Plėtoti elektromobilių pakrovimo stotelių tinklą</w:t>
                    </w:r>
                  </w:p>
                </w:tc>
                <w:tc>
                  <w:tcPr>
                    <w:tcW w:w="850" w:type="dxa"/>
                    <w:noWrap/>
                    <w:vAlign w:val="center"/>
                    <w:hideMark/>
                  </w:tcPr>
                  <w:p>
                    <w:pPr>
                      <w:jc w:val="center"/>
                      <w:rPr>
                        <w:sz w:val="20"/>
                      </w:rPr>
                    </w:pPr>
                    <w:r>
                      <w:rPr>
                        <w:sz w:val="20"/>
                      </w:rPr>
                      <w:t>MŪAS</w:t>
                    </w:r>
                  </w:p>
                </w:tc>
                <w:tc>
                  <w:tcPr>
                    <w:tcW w:w="709" w:type="dxa"/>
                    <w:noWrap/>
                    <w:vAlign w:val="center"/>
                    <w:hideMark/>
                  </w:tcPr>
                  <w:p>
                    <w:pPr>
                      <w:jc w:val="center"/>
                      <w:rPr>
                        <w:sz w:val="20"/>
                      </w:rPr>
                    </w:pPr>
                    <w:r>
                      <w:rPr>
                        <w:sz w:val="20"/>
                      </w:rPr>
                      <w:t>2025</w:t>
                    </w:r>
                  </w:p>
                </w:tc>
                <w:tc>
                  <w:tcPr>
                    <w:tcW w:w="709" w:type="dxa"/>
                    <w:noWrap/>
                    <w:vAlign w:val="center"/>
                    <w:hideMark/>
                  </w:tcPr>
                  <w:p>
                    <w:pPr>
                      <w:jc w:val="center"/>
                      <w:rPr>
                        <w:sz w:val="20"/>
                      </w:rPr>
                    </w:pPr>
                    <w:r>
                      <w:rPr>
                        <w:sz w:val="20"/>
                      </w:rPr>
                      <w:t>2033</w:t>
                    </w:r>
                  </w:p>
                </w:tc>
                <w:tc>
                  <w:tcPr>
                    <w:tcW w:w="1417" w:type="dxa"/>
                    <w:noWrap/>
                    <w:vAlign w:val="center"/>
                    <w:hideMark/>
                  </w:tcPr>
                  <w:p>
                    <w:pPr>
                      <w:rPr>
                        <w:sz w:val="20"/>
                      </w:rPr>
                    </w:pPr>
                    <w:r>
                      <w:rPr>
                        <w:sz w:val="20"/>
                      </w:rPr>
                      <w:t>P-14-02-05-01</w:t>
                    </w:r>
                  </w:p>
                </w:tc>
                <w:tc>
                  <w:tcPr>
                    <w:tcW w:w="4111" w:type="dxa"/>
                    <w:vAlign w:val="center"/>
                    <w:hideMark/>
                  </w:tcPr>
                  <w:p>
                    <w:pPr>
                      <w:rPr>
                        <w:sz w:val="20"/>
                      </w:rPr>
                    </w:pPr>
                    <w:r>
                      <w:rPr>
                        <w:sz w:val="20"/>
                      </w:rPr>
                      <w:t>Viešų elektromobilių pakrovimo stotelių skaičius (vnt.)</w:t>
                    </w:r>
                  </w:p>
                </w:tc>
                <w:tc>
                  <w:tcPr>
                    <w:tcW w:w="1134" w:type="dxa"/>
                    <w:vAlign w:val="center"/>
                    <w:hideMark/>
                  </w:tcPr>
                  <w:p>
                    <w:pPr>
                      <w:jc w:val="center"/>
                      <w:rPr>
                        <w:sz w:val="20"/>
                      </w:rPr>
                    </w:pPr>
                    <w:r>
                      <w:rPr>
                        <w:sz w:val="20"/>
                      </w:rPr>
                      <w:t>MŪAS</w:t>
                    </w:r>
                  </w:p>
                </w:tc>
                <w:tc>
                  <w:tcPr>
                    <w:tcW w:w="1134" w:type="dxa"/>
                    <w:noWrap/>
                    <w:vAlign w:val="center"/>
                    <w:hideMark/>
                  </w:tcPr>
                  <w:p>
                    <w:pPr>
                      <w:jc w:val="center"/>
                      <w:rPr>
                        <w:sz w:val="20"/>
                      </w:rPr>
                    </w:pPr>
                    <w:r>
                      <w:rPr>
                        <w:sz w:val="20"/>
                      </w:rPr>
                      <w:t>7 (2022)</w:t>
                    </w:r>
                  </w:p>
                </w:tc>
                <w:tc>
                  <w:tcPr>
                    <w:tcW w:w="1134" w:type="dxa"/>
                    <w:noWrap/>
                    <w:vAlign w:val="center"/>
                    <w:hideMark/>
                  </w:tcPr>
                  <w:p>
                    <w:pPr>
                      <w:jc w:val="center"/>
                      <w:rPr>
                        <w:sz w:val="20"/>
                      </w:rPr>
                    </w:pPr>
                    <w:r>
                      <w:rPr>
                        <w:sz w:val="20"/>
                      </w:rPr>
                      <w:t>93 (2033)</w:t>
                    </w:r>
                  </w:p>
                </w:tc>
              </w:tr>
              <w:tr>
                <w:trPr>
                  <w:trHeight w:val="252"/>
                  <w:jc w:val="center"/>
                </w:trPr>
                <w:tc>
                  <w:tcPr>
                    <w:tcW w:w="988" w:type="dxa"/>
                    <w:vMerge w:val="restart"/>
                    <w:noWrap/>
                    <w:vAlign w:val="center"/>
                    <w:hideMark/>
                  </w:tcPr>
                  <w:p>
                    <w:pPr>
                      <w:rPr>
                        <w:sz w:val="20"/>
                      </w:rPr>
                    </w:pPr>
                    <w:r>
                      <w:rPr>
                        <w:sz w:val="20"/>
                      </w:rPr>
                      <w:t>14-02-06</w:t>
                    </w:r>
                  </w:p>
                </w:tc>
                <w:tc>
                  <w:tcPr>
                    <w:tcW w:w="2126" w:type="dxa"/>
                    <w:vMerge w:val="restart"/>
                    <w:hideMark/>
                  </w:tcPr>
                  <w:p>
                    <w:pPr>
                      <w:rPr>
                        <w:sz w:val="20"/>
                      </w:rPr>
                    </w:pPr>
                    <w:r>
                      <w:rPr>
                        <w:sz w:val="20"/>
                      </w:rPr>
                      <w:t>Plėsti saugumą didinančių priemonių kiekį mieste</w:t>
                    </w:r>
                  </w:p>
                </w:tc>
                <w:tc>
                  <w:tcPr>
                    <w:tcW w:w="850" w:type="dxa"/>
                    <w:vMerge w:val="restart"/>
                    <w:noWrap/>
                    <w:vAlign w:val="center"/>
                    <w:hideMark/>
                  </w:tcPr>
                  <w:p>
                    <w:pPr>
                      <w:jc w:val="center"/>
                      <w:rPr>
                        <w:sz w:val="20"/>
                      </w:rPr>
                    </w:pPr>
                    <w:r>
                      <w:rPr>
                        <w:sz w:val="20"/>
                      </w:rPr>
                      <w:t>MŪAS</w:t>
                    </w:r>
                  </w:p>
                </w:tc>
                <w:tc>
                  <w:tcPr>
                    <w:tcW w:w="709" w:type="dxa"/>
                    <w:vMerge w:val="restart"/>
                    <w:noWrap/>
                    <w:vAlign w:val="center"/>
                    <w:hideMark/>
                  </w:tcPr>
                  <w:p>
                    <w:pPr>
                      <w:jc w:val="center"/>
                      <w:rPr>
                        <w:sz w:val="20"/>
                      </w:rPr>
                    </w:pPr>
                    <w:r>
                      <w:rPr>
                        <w:sz w:val="20"/>
                      </w:rPr>
                      <w:t>2025</w:t>
                    </w:r>
                  </w:p>
                </w:tc>
                <w:tc>
                  <w:tcPr>
                    <w:tcW w:w="709" w:type="dxa"/>
                    <w:vMerge w:val="restart"/>
                    <w:noWrap/>
                    <w:vAlign w:val="center"/>
                    <w:hideMark/>
                  </w:tcPr>
                  <w:p>
                    <w:pPr>
                      <w:jc w:val="center"/>
                      <w:rPr>
                        <w:sz w:val="20"/>
                      </w:rPr>
                    </w:pPr>
                    <w:r>
                      <w:rPr>
                        <w:sz w:val="20"/>
                      </w:rPr>
                      <w:t>2033</w:t>
                    </w:r>
                  </w:p>
                </w:tc>
                <w:tc>
                  <w:tcPr>
                    <w:tcW w:w="1417" w:type="dxa"/>
                    <w:noWrap/>
                    <w:vAlign w:val="center"/>
                    <w:hideMark/>
                  </w:tcPr>
                  <w:p>
                    <w:pPr>
                      <w:rPr>
                        <w:sz w:val="20"/>
                      </w:rPr>
                    </w:pPr>
                    <w:r>
                      <w:rPr>
                        <w:sz w:val="20"/>
                      </w:rPr>
                      <w:t>P-14-02-06-01</w:t>
                    </w:r>
                  </w:p>
                </w:tc>
                <w:tc>
                  <w:tcPr>
                    <w:tcW w:w="4111" w:type="dxa"/>
                    <w:vAlign w:val="center"/>
                    <w:hideMark/>
                  </w:tcPr>
                  <w:p>
                    <w:pPr>
                      <w:rPr>
                        <w:sz w:val="20"/>
                      </w:rPr>
                    </w:pPr>
                    <w:r>
                      <w:rPr>
                        <w:sz w:val="20"/>
                      </w:rPr>
                      <w:t>Vaizdo stebėjimo kamerų skaičius mieste (vnt.)</w:t>
                    </w:r>
                  </w:p>
                </w:tc>
                <w:tc>
                  <w:tcPr>
                    <w:tcW w:w="1134" w:type="dxa"/>
                    <w:vAlign w:val="center"/>
                    <w:hideMark/>
                  </w:tcPr>
                  <w:p>
                    <w:pPr>
                      <w:jc w:val="center"/>
                      <w:rPr>
                        <w:sz w:val="20"/>
                      </w:rPr>
                    </w:pPr>
                    <w:r>
                      <w:rPr>
                        <w:sz w:val="20"/>
                      </w:rPr>
                      <w:t>MŪAS</w:t>
                    </w:r>
                  </w:p>
                </w:tc>
                <w:tc>
                  <w:tcPr>
                    <w:tcW w:w="1134" w:type="dxa"/>
                    <w:noWrap/>
                    <w:vAlign w:val="center"/>
                    <w:hideMark/>
                  </w:tcPr>
                  <w:p>
                    <w:pPr>
                      <w:jc w:val="center"/>
                      <w:rPr>
                        <w:sz w:val="20"/>
                      </w:rPr>
                    </w:pPr>
                    <w:r>
                      <w:rPr>
                        <w:sz w:val="20"/>
                      </w:rPr>
                      <w:t>149 (2023)</w:t>
                    </w:r>
                  </w:p>
                </w:tc>
                <w:tc>
                  <w:tcPr>
                    <w:tcW w:w="1134" w:type="dxa"/>
                    <w:noWrap/>
                    <w:vAlign w:val="center"/>
                    <w:hideMark/>
                  </w:tcPr>
                  <w:p>
                    <w:pPr>
                      <w:jc w:val="center"/>
                      <w:rPr>
                        <w:sz w:val="20"/>
                      </w:rPr>
                    </w:pPr>
                    <w:r>
                      <w:rPr>
                        <w:sz w:val="20"/>
                      </w:rPr>
                      <w:t>200 (2033)</w:t>
                    </w:r>
                  </w:p>
                </w:tc>
              </w:tr>
              <w:tr>
                <w:trPr>
                  <w:trHeight w:val="331"/>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rPr>
                        <w:sz w:val="20"/>
                      </w:rPr>
                    </w:pPr>
                  </w:p>
                </w:tc>
                <w:tc>
                  <w:tcPr>
                    <w:tcW w:w="709" w:type="dxa"/>
                    <w:vMerge/>
                    <w:vAlign w:val="center"/>
                    <w:hideMark/>
                  </w:tcPr>
                  <w:p>
                    <w:pPr>
                      <w:rPr>
                        <w:sz w:val="20"/>
                      </w:rPr>
                    </w:pPr>
                  </w:p>
                </w:tc>
                <w:tc>
                  <w:tcPr>
                    <w:tcW w:w="709" w:type="dxa"/>
                    <w:vMerge/>
                    <w:vAlign w:val="center"/>
                    <w:hideMark/>
                  </w:tcPr>
                  <w:p>
                    <w:pPr>
                      <w:rPr>
                        <w:sz w:val="20"/>
                      </w:rPr>
                    </w:pPr>
                  </w:p>
                </w:tc>
                <w:tc>
                  <w:tcPr>
                    <w:tcW w:w="1417" w:type="dxa"/>
                    <w:noWrap/>
                    <w:vAlign w:val="center"/>
                    <w:hideMark/>
                  </w:tcPr>
                  <w:p>
                    <w:pPr>
                      <w:rPr>
                        <w:sz w:val="20"/>
                      </w:rPr>
                    </w:pPr>
                    <w:r>
                      <w:rPr>
                        <w:sz w:val="20"/>
                      </w:rPr>
                      <w:t>P-14-02-06-02</w:t>
                    </w:r>
                  </w:p>
                </w:tc>
                <w:tc>
                  <w:tcPr>
                    <w:tcW w:w="4111" w:type="dxa"/>
                    <w:vAlign w:val="center"/>
                    <w:hideMark/>
                  </w:tcPr>
                  <w:p>
                    <w:pPr>
                      <w:rPr>
                        <w:sz w:val="20"/>
                      </w:rPr>
                    </w:pPr>
                    <w:r>
                      <w:rPr>
                        <w:sz w:val="20"/>
                      </w:rPr>
                      <w:t>Įrengtų saugių pėsčiųjų perėjų skaičius (vnt.)</w:t>
                    </w:r>
                  </w:p>
                </w:tc>
                <w:tc>
                  <w:tcPr>
                    <w:tcW w:w="1134" w:type="dxa"/>
                    <w:vAlign w:val="center"/>
                    <w:hideMark/>
                  </w:tcPr>
                  <w:p>
                    <w:pPr>
                      <w:jc w:val="center"/>
                      <w:rPr>
                        <w:sz w:val="20"/>
                      </w:rPr>
                    </w:pPr>
                    <w:r>
                      <w:rPr>
                        <w:sz w:val="20"/>
                      </w:rPr>
                      <w:t>MŪAS</w:t>
                    </w:r>
                  </w:p>
                </w:tc>
                <w:tc>
                  <w:tcPr>
                    <w:tcW w:w="1134" w:type="dxa"/>
                    <w:noWrap/>
                    <w:vAlign w:val="center"/>
                    <w:hideMark/>
                  </w:tcPr>
                  <w:p>
                    <w:pPr>
                      <w:jc w:val="center"/>
                      <w:rPr>
                        <w:sz w:val="20"/>
                      </w:rPr>
                    </w:pPr>
                    <w:r>
                      <w:rPr>
                        <w:sz w:val="20"/>
                      </w:rPr>
                      <w:t>10 (2023)</w:t>
                    </w:r>
                  </w:p>
                </w:tc>
                <w:tc>
                  <w:tcPr>
                    <w:tcW w:w="1134" w:type="dxa"/>
                    <w:noWrap/>
                    <w:vAlign w:val="center"/>
                    <w:hideMark/>
                  </w:tcPr>
                  <w:p>
                    <w:pPr>
                      <w:jc w:val="center"/>
                      <w:rPr>
                        <w:sz w:val="20"/>
                      </w:rPr>
                    </w:pPr>
                    <w:r>
                      <w:rPr>
                        <w:sz w:val="20"/>
                      </w:rPr>
                      <w:t>100 (2033)</w:t>
                    </w:r>
                  </w:p>
                </w:tc>
              </w:tr>
              <w:tr>
                <w:trPr>
                  <w:trHeight w:val="359"/>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rPr>
                        <w:sz w:val="20"/>
                      </w:rPr>
                    </w:pPr>
                  </w:p>
                </w:tc>
                <w:tc>
                  <w:tcPr>
                    <w:tcW w:w="709" w:type="dxa"/>
                    <w:vMerge/>
                    <w:vAlign w:val="center"/>
                    <w:hideMark/>
                  </w:tcPr>
                  <w:p>
                    <w:pPr>
                      <w:rPr>
                        <w:sz w:val="20"/>
                      </w:rPr>
                    </w:pPr>
                  </w:p>
                </w:tc>
                <w:tc>
                  <w:tcPr>
                    <w:tcW w:w="709" w:type="dxa"/>
                    <w:vMerge/>
                    <w:vAlign w:val="center"/>
                    <w:hideMark/>
                  </w:tcPr>
                  <w:p>
                    <w:pPr>
                      <w:rPr>
                        <w:sz w:val="20"/>
                      </w:rPr>
                    </w:pPr>
                  </w:p>
                </w:tc>
                <w:tc>
                  <w:tcPr>
                    <w:tcW w:w="1417" w:type="dxa"/>
                    <w:noWrap/>
                    <w:vAlign w:val="center"/>
                    <w:hideMark/>
                  </w:tcPr>
                  <w:p>
                    <w:pPr>
                      <w:rPr>
                        <w:sz w:val="20"/>
                      </w:rPr>
                    </w:pPr>
                    <w:r>
                      <w:rPr>
                        <w:sz w:val="20"/>
                      </w:rPr>
                      <w:t>P-14-02-06-03</w:t>
                    </w:r>
                  </w:p>
                </w:tc>
                <w:tc>
                  <w:tcPr>
                    <w:tcW w:w="4111" w:type="dxa"/>
                    <w:vAlign w:val="center"/>
                    <w:hideMark/>
                  </w:tcPr>
                  <w:p>
                    <w:pPr>
                      <w:rPr>
                        <w:sz w:val="20"/>
                      </w:rPr>
                    </w:pPr>
                    <w:r>
                      <w:rPr>
                        <w:sz w:val="20"/>
                      </w:rPr>
                      <w:t>Atnaujintų / įrengtų sankryžų, kuriose numatytos saugos priemonės, skaičius (vnt.)</w:t>
                    </w:r>
                  </w:p>
                </w:tc>
                <w:tc>
                  <w:tcPr>
                    <w:tcW w:w="1134" w:type="dxa"/>
                    <w:vAlign w:val="center"/>
                    <w:hideMark/>
                  </w:tcPr>
                  <w:p>
                    <w:pPr>
                      <w:jc w:val="center"/>
                      <w:rPr>
                        <w:sz w:val="20"/>
                      </w:rPr>
                    </w:pPr>
                    <w:r>
                      <w:rPr>
                        <w:sz w:val="20"/>
                      </w:rPr>
                      <w:t>MŪAS</w:t>
                    </w:r>
                  </w:p>
                </w:tc>
                <w:tc>
                  <w:tcPr>
                    <w:tcW w:w="1134" w:type="dxa"/>
                    <w:noWrap/>
                    <w:vAlign w:val="center"/>
                    <w:hideMark/>
                  </w:tcPr>
                  <w:p>
                    <w:pPr>
                      <w:jc w:val="center"/>
                      <w:rPr>
                        <w:sz w:val="20"/>
                      </w:rPr>
                    </w:pPr>
                    <w:r>
                      <w:rPr>
                        <w:sz w:val="20"/>
                      </w:rPr>
                      <w:t>9 (2023)</w:t>
                    </w:r>
                  </w:p>
                </w:tc>
                <w:tc>
                  <w:tcPr>
                    <w:tcW w:w="1134" w:type="dxa"/>
                    <w:noWrap/>
                    <w:vAlign w:val="center"/>
                    <w:hideMark/>
                  </w:tcPr>
                  <w:p>
                    <w:pPr>
                      <w:jc w:val="center"/>
                      <w:rPr>
                        <w:sz w:val="20"/>
                      </w:rPr>
                    </w:pPr>
                    <w:r>
                      <w:rPr>
                        <w:sz w:val="20"/>
                      </w:rPr>
                      <w:t>18 (2033)</w:t>
                    </w:r>
                  </w:p>
                </w:tc>
              </w:tr>
              <w:tr>
                <w:trPr>
                  <w:trHeight w:val="452"/>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rPr>
                        <w:sz w:val="20"/>
                      </w:rPr>
                    </w:pPr>
                  </w:p>
                </w:tc>
                <w:tc>
                  <w:tcPr>
                    <w:tcW w:w="709" w:type="dxa"/>
                    <w:vMerge/>
                    <w:vAlign w:val="center"/>
                    <w:hideMark/>
                  </w:tcPr>
                  <w:p>
                    <w:pPr>
                      <w:rPr>
                        <w:sz w:val="20"/>
                      </w:rPr>
                    </w:pPr>
                  </w:p>
                </w:tc>
                <w:tc>
                  <w:tcPr>
                    <w:tcW w:w="709" w:type="dxa"/>
                    <w:vMerge/>
                    <w:vAlign w:val="center"/>
                    <w:hideMark/>
                  </w:tcPr>
                  <w:p>
                    <w:pPr>
                      <w:rPr>
                        <w:sz w:val="20"/>
                      </w:rPr>
                    </w:pPr>
                  </w:p>
                </w:tc>
                <w:tc>
                  <w:tcPr>
                    <w:tcW w:w="1417" w:type="dxa"/>
                    <w:noWrap/>
                    <w:vAlign w:val="center"/>
                    <w:hideMark/>
                  </w:tcPr>
                  <w:p>
                    <w:pPr>
                      <w:rPr>
                        <w:sz w:val="20"/>
                      </w:rPr>
                    </w:pPr>
                    <w:r>
                      <w:rPr>
                        <w:sz w:val="20"/>
                      </w:rPr>
                      <w:t>P-14-02-06-04</w:t>
                    </w:r>
                  </w:p>
                </w:tc>
                <w:tc>
                  <w:tcPr>
                    <w:tcW w:w="4111" w:type="dxa"/>
                    <w:vAlign w:val="center"/>
                    <w:hideMark/>
                  </w:tcPr>
                  <w:p>
                    <w:pPr>
                      <w:rPr>
                        <w:sz w:val="20"/>
                      </w:rPr>
                    </w:pPr>
                    <w:r>
                      <w:rPr>
                        <w:sz w:val="20"/>
                      </w:rPr>
                      <w:t>Įskaitinių eismo įvykių mieste skaičius 1 tūkst. gyventojų (vnt.)</w:t>
                    </w:r>
                  </w:p>
                </w:tc>
                <w:tc>
                  <w:tcPr>
                    <w:tcW w:w="1134" w:type="dxa"/>
                    <w:vAlign w:val="center"/>
                    <w:hideMark/>
                  </w:tcPr>
                  <w:p>
                    <w:pPr>
                      <w:jc w:val="center"/>
                      <w:rPr>
                        <w:sz w:val="20"/>
                      </w:rPr>
                    </w:pPr>
                    <w:r>
                      <w:rPr>
                        <w:sz w:val="20"/>
                      </w:rPr>
                      <w:t>MŪAS</w:t>
                    </w:r>
                  </w:p>
                </w:tc>
                <w:tc>
                  <w:tcPr>
                    <w:tcW w:w="1134" w:type="dxa"/>
                    <w:noWrap/>
                    <w:vAlign w:val="center"/>
                    <w:hideMark/>
                  </w:tcPr>
                  <w:p>
                    <w:pPr>
                      <w:jc w:val="center"/>
                      <w:rPr>
                        <w:sz w:val="20"/>
                      </w:rPr>
                    </w:pPr>
                    <w:r>
                      <w:rPr>
                        <w:sz w:val="20"/>
                      </w:rPr>
                      <w:t>1,1 (2022)</w:t>
                    </w:r>
                  </w:p>
                </w:tc>
                <w:tc>
                  <w:tcPr>
                    <w:tcW w:w="1134" w:type="dxa"/>
                    <w:noWrap/>
                    <w:vAlign w:val="center"/>
                    <w:hideMark/>
                  </w:tcPr>
                  <w:p>
                    <w:pPr>
                      <w:jc w:val="center"/>
                      <w:rPr>
                        <w:sz w:val="20"/>
                      </w:rPr>
                    </w:pPr>
                    <w:r>
                      <w:rPr>
                        <w:sz w:val="20"/>
                      </w:rPr>
                      <w:t xml:space="preserve">0  (2033)</w:t>
                    </w:r>
                  </w:p>
                </w:tc>
              </w:tr>
              <w:tr>
                <w:trPr>
                  <w:trHeight w:val="399"/>
                  <w:jc w:val="center"/>
                </w:trPr>
                <w:tc>
                  <w:tcPr>
                    <w:tcW w:w="988" w:type="dxa"/>
                    <w:vMerge w:val="restart"/>
                    <w:shd w:val="clear" w:color="auto" w:fill="FCE4D6"/>
                    <w:noWrap/>
                    <w:vAlign w:val="center"/>
                    <w:hideMark/>
                  </w:tcPr>
                  <w:p>
                    <w:pPr>
                      <w:rPr>
                        <w:b/>
                        <w:bCs/>
                        <w:sz w:val="20"/>
                      </w:rPr>
                    </w:pPr>
                    <w:r>
                      <w:rPr>
                        <w:b/>
                        <w:bCs/>
                        <w:sz w:val="20"/>
                      </w:rPr>
                      <w:t>14-03</w:t>
                    </w:r>
                  </w:p>
                </w:tc>
                <w:tc>
                  <w:tcPr>
                    <w:tcW w:w="2126" w:type="dxa"/>
                    <w:vMerge w:val="restart"/>
                    <w:shd w:val="clear" w:color="auto" w:fill="FCE4D6"/>
                    <w:vAlign w:val="center"/>
                    <w:hideMark/>
                  </w:tcPr>
                  <w:p>
                    <w:pPr>
                      <w:rPr>
                        <w:b/>
                        <w:bCs/>
                        <w:sz w:val="20"/>
                      </w:rPr>
                    </w:pPr>
                    <w:r>
                      <w:rPr>
                        <w:b/>
                        <w:bCs/>
                        <w:sz w:val="20"/>
                      </w:rPr>
                      <w:t>Užtikrinti tvarią, kokybišką miesto infrastruktūros plėtrą</w:t>
                    </w:r>
                  </w:p>
                </w:tc>
                <w:tc>
                  <w:tcPr>
                    <w:tcW w:w="850" w:type="dxa"/>
                    <w:vMerge w:val="restart"/>
                    <w:shd w:val="clear" w:color="auto" w:fill="FCE4D6"/>
                    <w:noWrap/>
                    <w:vAlign w:val="center"/>
                    <w:hideMark/>
                  </w:tcPr>
                  <w:p>
                    <w:pPr>
                      <w:jc w:val="center"/>
                      <w:rPr>
                        <w:sz w:val="20"/>
                      </w:rPr>
                    </w:pPr>
                    <w:r>
                      <w:rPr>
                        <w:sz w:val="20"/>
                      </w:rPr>
                      <w:t>MPPS</w:t>
                    </w:r>
                  </w:p>
                </w:tc>
                <w:tc>
                  <w:tcPr>
                    <w:tcW w:w="709" w:type="dxa"/>
                    <w:vMerge w:val="restart"/>
                    <w:shd w:val="clear" w:color="auto" w:fill="FCE4D6"/>
                    <w:noWrap/>
                    <w:vAlign w:val="center"/>
                    <w:hideMark/>
                  </w:tcPr>
                  <w:p>
                    <w:pPr>
                      <w:jc w:val="center"/>
                      <w:rPr>
                        <w:sz w:val="20"/>
                      </w:rPr>
                    </w:pPr>
                    <w:r>
                      <w:rPr>
                        <w:sz w:val="20"/>
                      </w:rPr>
                      <w:t>2025</w:t>
                    </w:r>
                  </w:p>
                </w:tc>
                <w:tc>
                  <w:tcPr>
                    <w:tcW w:w="709" w:type="dxa"/>
                    <w:vMerge w:val="restart"/>
                    <w:shd w:val="clear" w:color="auto" w:fill="FCE4D6"/>
                    <w:noWrap/>
                    <w:vAlign w:val="center"/>
                    <w:hideMark/>
                  </w:tcPr>
                  <w:p>
                    <w:pPr>
                      <w:jc w:val="center"/>
                      <w:rPr>
                        <w:sz w:val="20"/>
                      </w:rPr>
                    </w:pPr>
                    <w:r>
                      <w:rPr>
                        <w:sz w:val="20"/>
                      </w:rPr>
                      <w:t>2033</w:t>
                    </w:r>
                  </w:p>
                </w:tc>
                <w:tc>
                  <w:tcPr>
                    <w:tcW w:w="1417" w:type="dxa"/>
                    <w:tcBorders>
                      <w:bottom w:val="single" w:sz="4" w:space="0" w:color="auto"/>
                    </w:tcBorders>
                    <w:shd w:val="clear" w:color="auto" w:fill="FCE4D6"/>
                    <w:noWrap/>
                    <w:vAlign w:val="center"/>
                    <w:hideMark/>
                  </w:tcPr>
                  <w:p>
                    <w:pPr>
                      <w:rPr>
                        <w:sz w:val="20"/>
                      </w:rPr>
                    </w:pPr>
                    <w:r>
                      <w:rPr>
                        <w:sz w:val="20"/>
                      </w:rPr>
                      <w:t>R-14-03-01</w:t>
                    </w:r>
                  </w:p>
                </w:tc>
                <w:tc>
                  <w:tcPr>
                    <w:tcW w:w="4111" w:type="dxa"/>
                    <w:tcBorders>
                      <w:bottom w:val="single" w:sz="4" w:space="0" w:color="auto"/>
                    </w:tcBorders>
                    <w:shd w:val="clear" w:color="auto" w:fill="FCE4D6"/>
                    <w:vAlign w:val="center"/>
                    <w:hideMark/>
                  </w:tcPr>
                  <w:p>
                    <w:pPr>
                      <w:rPr>
                        <w:sz w:val="20"/>
                      </w:rPr>
                    </w:pPr>
                    <w:r>
                      <w:rPr>
                        <w:sz w:val="20"/>
                      </w:rPr>
                      <w:t>Renovuotų daugiabučių dalis nuo visų renovuotinų daugiabučių (proc.)</w:t>
                    </w:r>
                  </w:p>
                </w:tc>
                <w:tc>
                  <w:tcPr>
                    <w:tcW w:w="1134" w:type="dxa"/>
                    <w:tcBorders>
                      <w:bottom w:val="single" w:sz="4" w:space="0" w:color="auto"/>
                    </w:tcBorders>
                    <w:shd w:val="clear" w:color="auto" w:fill="FCE4D6"/>
                    <w:vAlign w:val="center"/>
                    <w:hideMark/>
                  </w:tcPr>
                  <w:p>
                    <w:pPr>
                      <w:jc w:val="center"/>
                      <w:rPr>
                        <w:sz w:val="20"/>
                      </w:rPr>
                    </w:pPr>
                    <w:r>
                      <w:rPr>
                        <w:sz w:val="20"/>
                      </w:rPr>
                      <w:t>ŠMSA (SRS)</w:t>
                    </w:r>
                  </w:p>
                </w:tc>
                <w:tc>
                  <w:tcPr>
                    <w:tcW w:w="1134" w:type="dxa"/>
                    <w:tcBorders>
                      <w:bottom w:val="single" w:sz="4" w:space="0" w:color="auto"/>
                    </w:tcBorders>
                    <w:shd w:val="clear" w:color="auto" w:fill="FCE4D6"/>
                    <w:noWrap/>
                    <w:vAlign w:val="center"/>
                    <w:hideMark/>
                  </w:tcPr>
                  <w:p>
                    <w:pPr>
                      <w:jc w:val="center"/>
                      <w:rPr>
                        <w:sz w:val="20"/>
                      </w:rPr>
                    </w:pPr>
                    <w:r>
                      <w:rPr>
                        <w:sz w:val="20"/>
                      </w:rPr>
                      <w:t>6 (2023)</w:t>
                    </w:r>
                  </w:p>
                </w:tc>
                <w:tc>
                  <w:tcPr>
                    <w:tcW w:w="1134" w:type="dxa"/>
                    <w:tcBorders>
                      <w:bottom w:val="single" w:sz="4" w:space="0" w:color="auto"/>
                    </w:tcBorders>
                    <w:shd w:val="clear" w:color="auto" w:fill="FCE4D6"/>
                    <w:noWrap/>
                    <w:vAlign w:val="center"/>
                    <w:hideMark/>
                  </w:tcPr>
                  <w:p>
                    <w:pPr>
                      <w:jc w:val="center"/>
                      <w:rPr>
                        <w:sz w:val="20"/>
                      </w:rPr>
                    </w:pPr>
                    <w:r>
                      <w:rPr>
                        <w:sz w:val="20"/>
                      </w:rPr>
                      <w:t>15 (2033)</w:t>
                    </w:r>
                  </w:p>
                </w:tc>
              </w:tr>
              <w:tr>
                <w:trPr>
                  <w:trHeight w:val="465"/>
                  <w:jc w:val="center"/>
                </w:trPr>
                <w:tc>
                  <w:tcPr>
                    <w:tcW w:w="988" w:type="dxa"/>
                    <w:vMerge/>
                    <w:noWrap/>
                    <w:vAlign w:val="center"/>
                  </w:tcPr>
                  <w:p>
                    <w:pPr>
                      <w:rPr>
                        <w:sz w:val="20"/>
                      </w:rPr>
                    </w:pPr>
                  </w:p>
                </w:tc>
                <w:tc>
                  <w:tcPr>
                    <w:tcW w:w="2126" w:type="dxa"/>
                    <w:vMerge/>
                    <w:vAlign w:val="center"/>
                  </w:tcPr>
                  <w:p>
                    <w:pPr>
                      <w:rPr>
                        <w:sz w:val="20"/>
                      </w:rPr>
                    </w:pPr>
                  </w:p>
                </w:tc>
                <w:tc>
                  <w:tcPr>
                    <w:tcW w:w="850" w:type="dxa"/>
                    <w:vMerge/>
                    <w:noWrap/>
                    <w:vAlign w:val="center"/>
                  </w:tcPr>
                  <w:p>
                    <w:pPr>
                      <w:jc w:val="center"/>
                      <w:rPr>
                        <w:sz w:val="20"/>
                      </w:rPr>
                    </w:pPr>
                  </w:p>
                </w:tc>
                <w:tc>
                  <w:tcPr>
                    <w:tcW w:w="709" w:type="dxa"/>
                    <w:vMerge/>
                    <w:noWrap/>
                    <w:vAlign w:val="center"/>
                  </w:tcPr>
                  <w:p>
                    <w:pPr>
                      <w:jc w:val="center"/>
                      <w:rPr>
                        <w:sz w:val="20"/>
                      </w:rPr>
                    </w:pPr>
                  </w:p>
                </w:tc>
                <w:tc>
                  <w:tcPr>
                    <w:tcW w:w="709" w:type="dxa"/>
                    <w:vMerge/>
                    <w:noWrap/>
                    <w:vAlign w:val="center"/>
                  </w:tcPr>
                  <w:p>
                    <w:pPr>
                      <w:jc w:val="center"/>
                      <w:rPr>
                        <w:sz w:val="20"/>
                      </w:rPr>
                    </w:pPr>
                  </w:p>
                </w:tc>
                <w:tc>
                  <w:tcPr>
                    <w:tcW w:w="1417" w:type="dxa"/>
                    <w:tcBorders>
                      <w:top w:val="single" w:sz="4" w:space="0" w:color="auto"/>
                      <w:left w:val="single" w:sz="4" w:space="0" w:color="auto"/>
                      <w:bottom w:val="single" w:sz="4" w:space="0" w:color="auto"/>
                      <w:right w:val="single" w:sz="4" w:space="0" w:color="auto"/>
                    </w:tcBorders>
                    <w:shd w:val="clear" w:color="000000" w:fill="FCE4D6"/>
                    <w:noWrap/>
                    <w:vAlign w:val="center"/>
                  </w:tcPr>
                  <w:p>
                    <w:pPr>
                      <w:rPr>
                        <w:sz w:val="20"/>
                      </w:rPr>
                    </w:pPr>
                    <w:r>
                      <w:rPr>
                        <w:rFonts w:eastAsia="MS Mincho"/>
                        <w:color w:val="000000"/>
                        <w:kern w:val="2"/>
                        <w:sz w:val="20"/>
                      </w:rPr>
                      <w:t>R-14-03-02</w:t>
                    </w:r>
                  </w:p>
                </w:tc>
                <w:tc>
                  <w:tcPr>
                    <w:tcW w:w="4111" w:type="dxa"/>
                    <w:tcBorders>
                      <w:top w:val="single" w:sz="4" w:space="0" w:color="auto"/>
                      <w:left w:val="nil"/>
                      <w:bottom w:val="single" w:sz="4" w:space="0" w:color="auto"/>
                      <w:right w:val="single" w:sz="4" w:space="0" w:color="auto"/>
                    </w:tcBorders>
                    <w:shd w:val="clear" w:color="000000" w:fill="FCE4D6"/>
                    <w:vAlign w:val="center"/>
                  </w:tcPr>
                  <w:p>
                    <w:pPr>
                      <w:rPr>
                        <w:sz w:val="20"/>
                      </w:rPr>
                    </w:pPr>
                    <w:r>
                      <w:rPr>
                        <w:rFonts w:eastAsia="MS Mincho"/>
                        <w:kern w:val="2"/>
                        <w:sz w:val="20"/>
                      </w:rPr>
                      <w:t>Naujai suplanuotų / atnaujintų viešųjų erdvių plotas 1 gyventojui (m²)</w:t>
                    </w:r>
                  </w:p>
                </w:tc>
                <w:tc>
                  <w:tcPr>
                    <w:tcW w:w="1134" w:type="dxa"/>
                    <w:tcBorders>
                      <w:top w:val="single" w:sz="4" w:space="0" w:color="auto"/>
                      <w:left w:val="single" w:sz="4" w:space="0" w:color="auto"/>
                      <w:bottom w:val="single" w:sz="4" w:space="0" w:color="auto"/>
                      <w:right w:val="single" w:sz="4" w:space="0" w:color="auto"/>
                    </w:tcBorders>
                    <w:shd w:val="clear" w:color="000000" w:fill="FCE4D6"/>
                    <w:vAlign w:val="center"/>
                  </w:tcPr>
                  <w:p>
                    <w:pPr>
                      <w:jc w:val="center"/>
                      <w:rPr>
                        <w:sz w:val="20"/>
                      </w:rPr>
                    </w:pPr>
                    <w:r>
                      <w:rPr>
                        <w:rFonts w:ascii="Calibri" w:eastAsia="MS Mincho" w:hAnsi="Calibri" w:cs="Calibri"/>
                        <w:color w:val="000000"/>
                        <w:kern w:val="2"/>
                        <w:sz w:val="20"/>
                      </w:rPr>
                      <w:t>ŠMSA (MPPS)</w:t>
                    </w:r>
                  </w:p>
                </w:tc>
                <w:tc>
                  <w:tcPr>
                    <w:tcW w:w="1134" w:type="dxa"/>
                    <w:tcBorders>
                      <w:top w:val="single" w:sz="4" w:space="0" w:color="auto"/>
                      <w:left w:val="nil"/>
                      <w:bottom w:val="single" w:sz="4" w:space="0" w:color="auto"/>
                      <w:right w:val="single" w:sz="4" w:space="0" w:color="auto"/>
                    </w:tcBorders>
                    <w:shd w:val="clear" w:color="000000" w:fill="FCE4D6"/>
                    <w:noWrap/>
                    <w:vAlign w:val="center"/>
                  </w:tcPr>
                  <w:p>
                    <w:pPr>
                      <w:jc w:val="center"/>
                      <w:rPr>
                        <w:sz w:val="20"/>
                      </w:rPr>
                    </w:pPr>
                    <w:r>
                      <w:rPr>
                        <w:rFonts w:ascii="Calibri" w:eastAsia="MS Mincho" w:hAnsi="Calibri" w:cs="Calibri"/>
                        <w:color w:val="000000"/>
                        <w:kern w:val="2"/>
                        <w:sz w:val="20"/>
                      </w:rPr>
                      <w:t>n.d. (2023)</w:t>
                    </w:r>
                  </w:p>
                </w:tc>
                <w:tc>
                  <w:tcPr>
                    <w:tcW w:w="1134" w:type="dxa"/>
                    <w:tcBorders>
                      <w:top w:val="single" w:sz="4" w:space="0" w:color="auto"/>
                      <w:left w:val="nil"/>
                      <w:bottom w:val="single" w:sz="4" w:space="0" w:color="auto"/>
                      <w:right w:val="single" w:sz="4" w:space="0" w:color="auto"/>
                    </w:tcBorders>
                    <w:shd w:val="clear" w:color="000000" w:fill="FCE4D6"/>
                    <w:noWrap/>
                    <w:vAlign w:val="center"/>
                  </w:tcPr>
                  <w:p>
                    <w:pPr>
                      <w:jc w:val="center"/>
                      <w:rPr>
                        <w:sz w:val="20"/>
                      </w:rPr>
                    </w:pPr>
                    <w:r>
                      <w:rPr>
                        <w:rFonts w:ascii="Calibri" w:eastAsia="MS Mincho" w:hAnsi="Calibri" w:cs="Calibri"/>
                        <w:color w:val="000000"/>
                        <w:kern w:val="2"/>
                        <w:sz w:val="20"/>
                      </w:rPr>
                      <w:t>1,3 (2033)</w:t>
                    </w:r>
                  </w:p>
                </w:tc>
              </w:tr>
              <w:tr>
                <w:trPr>
                  <w:trHeight w:val="286"/>
                  <w:jc w:val="center"/>
                </w:trPr>
                <w:tc>
                  <w:tcPr>
                    <w:tcW w:w="988" w:type="dxa"/>
                    <w:vMerge w:val="restart"/>
                    <w:noWrap/>
                    <w:vAlign w:val="center"/>
                  </w:tcPr>
                  <w:p>
                    <w:pPr>
                      <w:rPr>
                        <w:sz w:val="20"/>
                      </w:rPr>
                    </w:pPr>
                    <w:r>
                      <w:rPr>
                        <w:sz w:val="20"/>
                      </w:rPr>
                      <w:t>14-03-01</w:t>
                    </w:r>
                  </w:p>
                </w:tc>
                <w:tc>
                  <w:tcPr>
                    <w:tcW w:w="2126" w:type="dxa"/>
                    <w:vMerge w:val="restart"/>
                    <w:vAlign w:val="center"/>
                  </w:tcPr>
                  <w:p>
                    <w:pPr>
                      <w:rPr>
                        <w:sz w:val="20"/>
                      </w:rPr>
                    </w:pPr>
                    <w:r>
                      <w:rPr>
                        <w:sz w:val="20"/>
                      </w:rPr>
                      <w:t>Atnaujinti esamas ir suplanuoti naujas viešąsias erdves</w:t>
                    </w:r>
                  </w:p>
                </w:tc>
                <w:tc>
                  <w:tcPr>
                    <w:tcW w:w="850" w:type="dxa"/>
                    <w:vMerge w:val="restart"/>
                    <w:noWrap/>
                    <w:vAlign w:val="center"/>
                  </w:tcPr>
                  <w:p>
                    <w:pPr>
                      <w:jc w:val="center"/>
                      <w:rPr>
                        <w:sz w:val="20"/>
                      </w:rPr>
                    </w:pPr>
                    <w:r>
                      <w:rPr>
                        <w:sz w:val="20"/>
                      </w:rPr>
                      <w:t>MPPS</w:t>
                    </w:r>
                  </w:p>
                </w:tc>
                <w:tc>
                  <w:tcPr>
                    <w:tcW w:w="709" w:type="dxa"/>
                    <w:vMerge w:val="restart"/>
                    <w:noWrap/>
                    <w:vAlign w:val="center"/>
                  </w:tcPr>
                  <w:p>
                    <w:pPr>
                      <w:jc w:val="center"/>
                      <w:rPr>
                        <w:sz w:val="20"/>
                      </w:rPr>
                    </w:pPr>
                    <w:r>
                      <w:rPr>
                        <w:sz w:val="20"/>
                      </w:rPr>
                      <w:t>2025</w:t>
                    </w:r>
                  </w:p>
                </w:tc>
                <w:tc>
                  <w:tcPr>
                    <w:tcW w:w="709" w:type="dxa"/>
                    <w:vMerge w:val="restart"/>
                    <w:noWrap/>
                    <w:vAlign w:val="center"/>
                  </w:tcPr>
                  <w:p>
                    <w:pPr>
                      <w:jc w:val="center"/>
                      <w:rPr>
                        <w:sz w:val="20"/>
                      </w:rPr>
                    </w:pPr>
                    <w:r>
                      <w:rPr>
                        <w:sz w:val="20"/>
                      </w:rPr>
                      <w:t>2033</w:t>
                    </w:r>
                  </w:p>
                </w:tc>
                <w:tc>
                  <w:tcPr>
                    <w:tcW w:w="1417" w:type="dxa"/>
                    <w:tcBorders>
                      <w:top w:val="single" w:sz="4" w:space="0" w:color="auto"/>
                    </w:tcBorders>
                    <w:noWrap/>
                    <w:vAlign w:val="center"/>
                  </w:tcPr>
                  <w:p>
                    <w:pPr>
                      <w:rPr>
                        <w:sz w:val="20"/>
                      </w:rPr>
                    </w:pPr>
                    <w:r>
                      <w:rPr>
                        <w:sz w:val="20"/>
                      </w:rPr>
                      <w:t>P-14-03-01-01</w:t>
                    </w:r>
                  </w:p>
                </w:tc>
                <w:tc>
                  <w:tcPr>
                    <w:tcW w:w="4111" w:type="dxa"/>
                    <w:tcBorders>
                      <w:top w:val="single" w:sz="4" w:space="0" w:color="auto"/>
                    </w:tcBorders>
                    <w:vAlign w:val="center"/>
                  </w:tcPr>
                  <w:p>
                    <w:pPr>
                      <w:rPr>
                        <w:sz w:val="20"/>
                      </w:rPr>
                    </w:pPr>
                    <w:r>
                      <w:rPr>
                        <w:sz w:val="20"/>
                      </w:rPr>
                      <w:t>Atnaujintų viešųjų erdvių plotas (ha)</w:t>
                    </w:r>
                  </w:p>
                </w:tc>
                <w:tc>
                  <w:tcPr>
                    <w:tcW w:w="1134" w:type="dxa"/>
                    <w:tcBorders>
                      <w:top w:val="single" w:sz="4" w:space="0" w:color="auto"/>
                    </w:tcBorders>
                    <w:vAlign w:val="center"/>
                  </w:tcPr>
                  <w:p>
                    <w:pPr>
                      <w:jc w:val="center"/>
                      <w:rPr>
                        <w:sz w:val="20"/>
                      </w:rPr>
                    </w:pPr>
                    <w:r>
                      <w:rPr>
                        <w:sz w:val="20"/>
                      </w:rPr>
                      <w:t>MPPS</w:t>
                    </w:r>
                  </w:p>
                </w:tc>
                <w:tc>
                  <w:tcPr>
                    <w:tcW w:w="1134" w:type="dxa"/>
                    <w:tcBorders>
                      <w:top w:val="single" w:sz="4" w:space="0" w:color="auto"/>
                    </w:tcBorders>
                    <w:noWrap/>
                    <w:vAlign w:val="center"/>
                  </w:tcPr>
                  <w:p>
                    <w:pPr>
                      <w:jc w:val="center"/>
                      <w:rPr>
                        <w:sz w:val="20"/>
                      </w:rPr>
                    </w:pPr>
                    <w:r>
                      <w:rPr>
                        <w:sz w:val="20"/>
                      </w:rPr>
                      <w:t>n.d. (2023)</w:t>
                    </w:r>
                  </w:p>
                </w:tc>
                <w:tc>
                  <w:tcPr>
                    <w:tcW w:w="1134" w:type="dxa"/>
                    <w:tcBorders>
                      <w:top w:val="single" w:sz="4" w:space="0" w:color="auto"/>
                    </w:tcBorders>
                    <w:noWrap/>
                    <w:vAlign w:val="center"/>
                  </w:tcPr>
                  <w:p>
                    <w:pPr>
                      <w:jc w:val="center"/>
                      <w:rPr>
                        <w:sz w:val="20"/>
                      </w:rPr>
                    </w:pPr>
                    <w:r>
                      <w:rPr>
                        <w:sz w:val="20"/>
                      </w:rPr>
                      <w:t>6 (2033)</w:t>
                    </w:r>
                  </w:p>
                </w:tc>
              </w:tr>
              <w:tr>
                <w:trPr>
                  <w:trHeight w:val="275"/>
                  <w:jc w:val="center"/>
                </w:trPr>
                <w:tc>
                  <w:tcPr>
                    <w:tcW w:w="988" w:type="dxa"/>
                    <w:vMerge/>
                    <w:noWrap/>
                    <w:vAlign w:val="center"/>
                  </w:tcPr>
                  <w:p>
                    <w:pPr>
                      <w:rPr>
                        <w:sz w:val="20"/>
                      </w:rPr>
                    </w:pPr>
                  </w:p>
                </w:tc>
                <w:tc>
                  <w:tcPr>
                    <w:tcW w:w="2126" w:type="dxa"/>
                    <w:vMerge/>
                    <w:vAlign w:val="center"/>
                  </w:tcPr>
                  <w:p>
                    <w:pPr>
                      <w:rPr>
                        <w:sz w:val="20"/>
                      </w:rPr>
                    </w:pPr>
                  </w:p>
                </w:tc>
                <w:tc>
                  <w:tcPr>
                    <w:tcW w:w="850" w:type="dxa"/>
                    <w:vMerge/>
                    <w:noWrap/>
                    <w:vAlign w:val="center"/>
                  </w:tcPr>
                  <w:p>
                    <w:pPr>
                      <w:jc w:val="center"/>
                      <w:rPr>
                        <w:sz w:val="20"/>
                      </w:rPr>
                    </w:pPr>
                  </w:p>
                </w:tc>
                <w:tc>
                  <w:tcPr>
                    <w:tcW w:w="709" w:type="dxa"/>
                    <w:vMerge/>
                    <w:noWrap/>
                    <w:vAlign w:val="center"/>
                  </w:tcPr>
                  <w:p>
                    <w:pPr>
                      <w:jc w:val="center"/>
                      <w:rPr>
                        <w:sz w:val="20"/>
                      </w:rPr>
                    </w:pPr>
                  </w:p>
                </w:tc>
                <w:tc>
                  <w:tcPr>
                    <w:tcW w:w="709" w:type="dxa"/>
                    <w:vMerge/>
                    <w:noWrap/>
                    <w:vAlign w:val="center"/>
                  </w:tcPr>
                  <w:p>
                    <w:pPr>
                      <w:jc w:val="center"/>
                      <w:rPr>
                        <w:sz w:val="20"/>
                      </w:rPr>
                    </w:pPr>
                  </w:p>
                </w:tc>
                <w:tc>
                  <w:tcPr>
                    <w:tcW w:w="1417" w:type="dxa"/>
                    <w:noWrap/>
                    <w:vAlign w:val="center"/>
                  </w:tcPr>
                  <w:p>
                    <w:pPr>
                      <w:rPr>
                        <w:sz w:val="20"/>
                      </w:rPr>
                    </w:pPr>
                    <w:r>
                      <w:rPr>
                        <w:sz w:val="20"/>
                      </w:rPr>
                      <w:t>P-14-03-01-02</w:t>
                    </w:r>
                  </w:p>
                </w:tc>
                <w:tc>
                  <w:tcPr>
                    <w:tcW w:w="4111" w:type="dxa"/>
                    <w:vAlign w:val="center"/>
                  </w:tcPr>
                  <w:p>
                    <w:pPr>
                      <w:rPr>
                        <w:sz w:val="20"/>
                      </w:rPr>
                    </w:pPr>
                    <w:r>
                      <w:rPr>
                        <w:sz w:val="20"/>
                      </w:rPr>
                      <w:t>Naujai suplanuotų viešųjų erdvių plotas (ha)</w:t>
                    </w:r>
                  </w:p>
                </w:tc>
                <w:tc>
                  <w:tcPr>
                    <w:tcW w:w="1134" w:type="dxa"/>
                    <w:vAlign w:val="center"/>
                  </w:tcPr>
                  <w:p>
                    <w:pPr>
                      <w:jc w:val="center"/>
                      <w:rPr>
                        <w:sz w:val="20"/>
                      </w:rPr>
                    </w:pPr>
                    <w:r>
                      <w:rPr>
                        <w:sz w:val="20"/>
                      </w:rPr>
                      <w:t>MPPS</w:t>
                    </w:r>
                  </w:p>
                </w:tc>
                <w:tc>
                  <w:tcPr>
                    <w:tcW w:w="1134" w:type="dxa"/>
                    <w:noWrap/>
                    <w:vAlign w:val="center"/>
                  </w:tcPr>
                  <w:p>
                    <w:pPr>
                      <w:jc w:val="center"/>
                      <w:rPr>
                        <w:sz w:val="20"/>
                      </w:rPr>
                    </w:pPr>
                    <w:r>
                      <w:rPr>
                        <w:sz w:val="20"/>
                      </w:rPr>
                      <w:t>0 (2025)</w:t>
                    </w:r>
                  </w:p>
                </w:tc>
                <w:tc>
                  <w:tcPr>
                    <w:tcW w:w="1134" w:type="dxa"/>
                    <w:noWrap/>
                    <w:vAlign w:val="center"/>
                  </w:tcPr>
                  <w:p>
                    <w:pPr>
                      <w:jc w:val="center"/>
                      <w:rPr>
                        <w:sz w:val="20"/>
                      </w:rPr>
                    </w:pPr>
                    <w:r>
                      <w:rPr>
                        <w:sz w:val="20"/>
                      </w:rPr>
                      <w:t>10 (2033)</w:t>
                    </w:r>
                  </w:p>
                </w:tc>
              </w:tr>
              <w:tr>
                <w:trPr>
                  <w:trHeight w:val="520"/>
                  <w:jc w:val="center"/>
                </w:trPr>
                <w:tc>
                  <w:tcPr>
                    <w:tcW w:w="988" w:type="dxa"/>
                    <w:vMerge/>
                    <w:noWrap/>
                    <w:vAlign w:val="center"/>
                  </w:tcPr>
                  <w:p>
                    <w:pPr>
                      <w:rPr>
                        <w:sz w:val="20"/>
                      </w:rPr>
                    </w:pPr>
                  </w:p>
                </w:tc>
                <w:tc>
                  <w:tcPr>
                    <w:tcW w:w="2126" w:type="dxa"/>
                    <w:vMerge/>
                    <w:vAlign w:val="center"/>
                  </w:tcPr>
                  <w:p>
                    <w:pPr>
                      <w:rPr>
                        <w:sz w:val="20"/>
                      </w:rPr>
                    </w:pPr>
                  </w:p>
                </w:tc>
                <w:tc>
                  <w:tcPr>
                    <w:tcW w:w="850" w:type="dxa"/>
                    <w:vMerge/>
                    <w:noWrap/>
                    <w:vAlign w:val="center"/>
                  </w:tcPr>
                  <w:p>
                    <w:pPr>
                      <w:jc w:val="center"/>
                      <w:rPr>
                        <w:sz w:val="20"/>
                      </w:rPr>
                    </w:pPr>
                  </w:p>
                </w:tc>
                <w:tc>
                  <w:tcPr>
                    <w:tcW w:w="709" w:type="dxa"/>
                    <w:vMerge/>
                    <w:noWrap/>
                    <w:vAlign w:val="center"/>
                  </w:tcPr>
                  <w:p>
                    <w:pPr>
                      <w:jc w:val="center"/>
                      <w:rPr>
                        <w:sz w:val="20"/>
                      </w:rPr>
                    </w:pPr>
                  </w:p>
                </w:tc>
                <w:tc>
                  <w:tcPr>
                    <w:tcW w:w="709" w:type="dxa"/>
                    <w:vMerge/>
                    <w:noWrap/>
                    <w:vAlign w:val="center"/>
                  </w:tcPr>
                  <w:p>
                    <w:pPr>
                      <w:jc w:val="center"/>
                      <w:rPr>
                        <w:sz w:val="20"/>
                      </w:rPr>
                    </w:pPr>
                  </w:p>
                </w:tc>
                <w:tc>
                  <w:tcPr>
                    <w:tcW w:w="1417" w:type="dxa"/>
                    <w:noWrap/>
                    <w:vAlign w:val="center"/>
                  </w:tcPr>
                  <w:p>
                    <w:pPr>
                      <w:rPr>
                        <w:sz w:val="20"/>
                      </w:rPr>
                    </w:pPr>
                    <w:r>
                      <w:rPr>
                        <w:sz w:val="20"/>
                      </w:rPr>
                      <w:t>P-14-03-01-03</w:t>
                    </w:r>
                  </w:p>
                </w:tc>
                <w:tc>
                  <w:tcPr>
                    <w:tcW w:w="4111" w:type="dxa"/>
                    <w:vAlign w:val="center"/>
                  </w:tcPr>
                  <w:p>
                    <w:pPr>
                      <w:rPr>
                        <w:sz w:val="20"/>
                      </w:rPr>
                    </w:pPr>
                    <w:r>
                      <w:rPr>
                        <w:sz w:val="20"/>
                      </w:rPr>
                      <w:t xml:space="preserve">Vaikų žaidimų ir sporto aikštelių, pritaikytų fizinę negalią turintiems asmenims, dalis (proc.) </w:t>
                    </w:r>
                  </w:p>
                </w:tc>
                <w:tc>
                  <w:tcPr>
                    <w:tcW w:w="1134" w:type="dxa"/>
                    <w:vAlign w:val="center"/>
                  </w:tcPr>
                  <w:p>
                    <w:pPr>
                      <w:jc w:val="center"/>
                      <w:rPr>
                        <w:sz w:val="20"/>
                      </w:rPr>
                    </w:pPr>
                    <w:r>
                      <w:rPr>
                        <w:sz w:val="20"/>
                      </w:rPr>
                      <w:t>MPPS</w:t>
                    </w:r>
                  </w:p>
                </w:tc>
                <w:tc>
                  <w:tcPr>
                    <w:tcW w:w="1134" w:type="dxa"/>
                    <w:noWrap/>
                    <w:vAlign w:val="center"/>
                  </w:tcPr>
                  <w:p>
                    <w:pPr>
                      <w:jc w:val="center"/>
                      <w:rPr>
                        <w:sz w:val="20"/>
                      </w:rPr>
                    </w:pPr>
                    <w:r>
                      <w:rPr>
                        <w:sz w:val="20"/>
                      </w:rPr>
                      <w:t>n.d. (2023)</w:t>
                    </w:r>
                  </w:p>
                </w:tc>
                <w:tc>
                  <w:tcPr>
                    <w:tcW w:w="1134" w:type="dxa"/>
                    <w:noWrap/>
                    <w:vAlign w:val="center"/>
                  </w:tcPr>
                  <w:p>
                    <w:pPr>
                      <w:jc w:val="center"/>
                      <w:rPr>
                        <w:sz w:val="20"/>
                      </w:rPr>
                    </w:pPr>
                    <w:r>
                      <w:rPr>
                        <w:sz w:val="20"/>
                      </w:rPr>
                      <w:t>100 (2033)</w:t>
                    </w:r>
                  </w:p>
                </w:tc>
              </w:tr>
              <w:tr>
                <w:trPr>
                  <w:trHeight w:val="520"/>
                  <w:jc w:val="center"/>
                </w:trPr>
                <w:tc>
                  <w:tcPr>
                    <w:tcW w:w="988" w:type="dxa"/>
                    <w:vMerge/>
                    <w:noWrap/>
                    <w:vAlign w:val="center"/>
                  </w:tcPr>
                  <w:p>
                    <w:pPr>
                      <w:rPr>
                        <w:sz w:val="20"/>
                      </w:rPr>
                    </w:pPr>
                  </w:p>
                </w:tc>
                <w:tc>
                  <w:tcPr>
                    <w:tcW w:w="2126" w:type="dxa"/>
                    <w:vMerge/>
                    <w:vAlign w:val="center"/>
                  </w:tcPr>
                  <w:p>
                    <w:pPr>
                      <w:rPr>
                        <w:sz w:val="20"/>
                      </w:rPr>
                    </w:pPr>
                  </w:p>
                </w:tc>
                <w:tc>
                  <w:tcPr>
                    <w:tcW w:w="850" w:type="dxa"/>
                    <w:vMerge/>
                    <w:noWrap/>
                    <w:vAlign w:val="center"/>
                  </w:tcPr>
                  <w:p>
                    <w:pPr>
                      <w:jc w:val="center"/>
                      <w:rPr>
                        <w:sz w:val="20"/>
                      </w:rPr>
                    </w:pPr>
                  </w:p>
                </w:tc>
                <w:tc>
                  <w:tcPr>
                    <w:tcW w:w="709" w:type="dxa"/>
                    <w:vMerge/>
                    <w:noWrap/>
                    <w:vAlign w:val="center"/>
                  </w:tcPr>
                  <w:p>
                    <w:pPr>
                      <w:jc w:val="center"/>
                      <w:rPr>
                        <w:sz w:val="20"/>
                      </w:rPr>
                    </w:pPr>
                  </w:p>
                </w:tc>
                <w:tc>
                  <w:tcPr>
                    <w:tcW w:w="709" w:type="dxa"/>
                    <w:vMerge/>
                    <w:noWrap/>
                    <w:vAlign w:val="center"/>
                  </w:tcPr>
                  <w:p>
                    <w:pPr>
                      <w:jc w:val="center"/>
                      <w:rPr>
                        <w:sz w:val="20"/>
                      </w:rPr>
                    </w:pPr>
                  </w:p>
                </w:tc>
                <w:tc>
                  <w:tcPr>
                    <w:tcW w:w="1417" w:type="dxa"/>
                    <w:tcBorders>
                      <w:bottom w:val="single" w:sz="4" w:space="0" w:color="auto"/>
                    </w:tcBorders>
                    <w:noWrap/>
                    <w:vAlign w:val="center"/>
                  </w:tcPr>
                  <w:p>
                    <w:pPr>
                      <w:rPr>
                        <w:sz w:val="20"/>
                      </w:rPr>
                    </w:pPr>
                    <w:r>
                      <w:rPr>
                        <w:sz w:val="20"/>
                      </w:rPr>
                      <w:t>P-14-03-01-04</w:t>
                    </w:r>
                  </w:p>
                </w:tc>
                <w:tc>
                  <w:tcPr>
                    <w:tcW w:w="4111" w:type="dxa"/>
                    <w:tcBorders>
                      <w:bottom w:val="single" w:sz="4" w:space="0" w:color="auto"/>
                    </w:tcBorders>
                    <w:vAlign w:val="center"/>
                  </w:tcPr>
                  <w:p>
                    <w:pPr>
                      <w:rPr>
                        <w:sz w:val="20"/>
                      </w:rPr>
                    </w:pPr>
                    <w:r>
                      <w:rPr>
                        <w:sz w:val="20"/>
                      </w:rPr>
                      <w:t>Naujai įrengtų vaikų žaidimų aikštelių ir pritaikytų aktyviam poilsiui aikštelių plotas (m²)</w:t>
                    </w:r>
                  </w:p>
                </w:tc>
                <w:tc>
                  <w:tcPr>
                    <w:tcW w:w="1134" w:type="dxa"/>
                    <w:tcBorders>
                      <w:bottom w:val="single" w:sz="4" w:space="0" w:color="auto"/>
                    </w:tcBorders>
                    <w:vAlign w:val="center"/>
                  </w:tcPr>
                  <w:p>
                    <w:pPr>
                      <w:jc w:val="center"/>
                      <w:rPr>
                        <w:sz w:val="20"/>
                      </w:rPr>
                    </w:pPr>
                    <w:r>
                      <w:rPr>
                        <w:sz w:val="20"/>
                      </w:rPr>
                      <w:t>MPPS</w:t>
                    </w:r>
                  </w:p>
                </w:tc>
                <w:tc>
                  <w:tcPr>
                    <w:tcW w:w="1134" w:type="dxa"/>
                    <w:tcBorders>
                      <w:bottom w:val="single" w:sz="4" w:space="0" w:color="auto"/>
                    </w:tcBorders>
                    <w:noWrap/>
                    <w:vAlign w:val="center"/>
                  </w:tcPr>
                  <w:p>
                    <w:pPr>
                      <w:jc w:val="center"/>
                      <w:rPr>
                        <w:sz w:val="20"/>
                      </w:rPr>
                    </w:pPr>
                    <w:r>
                      <w:rPr>
                        <w:sz w:val="20"/>
                      </w:rPr>
                      <w:t>0 (2025)</w:t>
                    </w:r>
                  </w:p>
                </w:tc>
                <w:tc>
                  <w:tcPr>
                    <w:tcW w:w="1134" w:type="dxa"/>
                    <w:tcBorders>
                      <w:bottom w:val="single" w:sz="4" w:space="0" w:color="auto"/>
                    </w:tcBorders>
                    <w:noWrap/>
                    <w:vAlign w:val="center"/>
                  </w:tcPr>
                  <w:p>
                    <w:pPr>
                      <w:jc w:val="center"/>
                      <w:rPr>
                        <w:sz w:val="20"/>
                      </w:rPr>
                    </w:pPr>
                    <w:r>
                      <w:rPr>
                        <w:sz w:val="20"/>
                      </w:rPr>
                      <w:t>5000 (2033)</w:t>
                    </w:r>
                  </w:p>
                </w:tc>
              </w:tr>
              <w:tr>
                <w:trPr>
                  <w:trHeight w:val="520"/>
                  <w:jc w:val="center"/>
                </w:trPr>
                <w:tc>
                  <w:tcPr>
                    <w:tcW w:w="988" w:type="dxa"/>
                    <w:vMerge/>
                    <w:noWrap/>
                    <w:vAlign w:val="center"/>
                  </w:tcPr>
                  <w:p>
                    <w:pPr>
                      <w:rPr>
                        <w:sz w:val="20"/>
                      </w:rPr>
                    </w:pPr>
                  </w:p>
                </w:tc>
                <w:tc>
                  <w:tcPr>
                    <w:tcW w:w="2126" w:type="dxa"/>
                    <w:vMerge/>
                    <w:vAlign w:val="center"/>
                  </w:tcPr>
                  <w:p>
                    <w:pPr>
                      <w:rPr>
                        <w:sz w:val="20"/>
                      </w:rPr>
                    </w:pPr>
                  </w:p>
                </w:tc>
                <w:tc>
                  <w:tcPr>
                    <w:tcW w:w="850" w:type="dxa"/>
                    <w:vMerge/>
                    <w:noWrap/>
                    <w:vAlign w:val="center"/>
                  </w:tcPr>
                  <w:p>
                    <w:pPr>
                      <w:jc w:val="center"/>
                      <w:rPr>
                        <w:sz w:val="20"/>
                      </w:rPr>
                    </w:pPr>
                  </w:p>
                </w:tc>
                <w:tc>
                  <w:tcPr>
                    <w:tcW w:w="709" w:type="dxa"/>
                    <w:vMerge/>
                    <w:noWrap/>
                    <w:vAlign w:val="center"/>
                  </w:tcPr>
                  <w:p>
                    <w:pPr>
                      <w:jc w:val="center"/>
                      <w:rPr>
                        <w:sz w:val="20"/>
                      </w:rPr>
                    </w:pPr>
                  </w:p>
                </w:tc>
                <w:tc>
                  <w:tcPr>
                    <w:tcW w:w="709" w:type="dxa"/>
                    <w:vMerge/>
                    <w:noWrap/>
                    <w:vAlign w:val="center"/>
                  </w:tcPr>
                  <w:p>
                    <w:pPr>
                      <w:jc w:val="center"/>
                      <w:rPr>
                        <w:sz w:val="20"/>
                      </w:rPr>
                    </w:pPr>
                  </w:p>
                </w:tc>
                <w:tc>
                  <w:tcPr>
                    <w:tcW w:w="1417" w:type="dxa"/>
                    <w:tcBorders>
                      <w:bottom w:val="single" w:sz="4" w:space="0" w:color="auto"/>
                    </w:tcBorders>
                    <w:noWrap/>
                    <w:vAlign w:val="center"/>
                  </w:tcPr>
                  <w:p>
                    <w:pPr>
                      <w:rPr>
                        <w:sz w:val="20"/>
                      </w:rPr>
                    </w:pPr>
                    <w:r>
                      <w:rPr>
                        <w:sz w:val="20"/>
                      </w:rPr>
                      <w:t>P-14-03-01-05</w:t>
                    </w:r>
                  </w:p>
                </w:tc>
                <w:tc>
                  <w:tcPr>
                    <w:tcW w:w="4111" w:type="dxa"/>
                    <w:tcBorders>
                      <w:bottom w:val="single" w:sz="4" w:space="0" w:color="auto"/>
                    </w:tcBorders>
                    <w:vAlign w:val="center"/>
                  </w:tcPr>
                  <w:p>
                    <w:pPr>
                      <w:rPr>
                        <w:sz w:val="20"/>
                      </w:rPr>
                    </w:pPr>
                    <w:r>
                      <w:rPr>
                        <w:sz w:val="20"/>
                      </w:rPr>
                      <w:t>Naujai įrengtų sporto aikštelių / aikštynų ir pritaikytų sportui aikštelių teritorijų plotas (m²)</w:t>
                    </w:r>
                  </w:p>
                </w:tc>
                <w:tc>
                  <w:tcPr>
                    <w:tcW w:w="1134" w:type="dxa"/>
                    <w:tcBorders>
                      <w:bottom w:val="single" w:sz="4" w:space="0" w:color="auto"/>
                    </w:tcBorders>
                    <w:vAlign w:val="center"/>
                  </w:tcPr>
                  <w:p>
                    <w:pPr>
                      <w:jc w:val="center"/>
                      <w:rPr>
                        <w:sz w:val="20"/>
                      </w:rPr>
                    </w:pPr>
                    <w:r>
                      <w:rPr>
                        <w:sz w:val="20"/>
                      </w:rPr>
                      <w:t>MPPS</w:t>
                    </w:r>
                  </w:p>
                </w:tc>
                <w:tc>
                  <w:tcPr>
                    <w:tcW w:w="1134" w:type="dxa"/>
                    <w:tcBorders>
                      <w:bottom w:val="single" w:sz="4" w:space="0" w:color="auto"/>
                    </w:tcBorders>
                    <w:noWrap/>
                    <w:vAlign w:val="center"/>
                  </w:tcPr>
                  <w:p>
                    <w:pPr>
                      <w:jc w:val="center"/>
                      <w:rPr>
                        <w:sz w:val="20"/>
                      </w:rPr>
                    </w:pPr>
                    <w:r>
                      <w:rPr>
                        <w:sz w:val="20"/>
                      </w:rPr>
                      <w:t>0 (2025)</w:t>
                    </w:r>
                  </w:p>
                </w:tc>
                <w:tc>
                  <w:tcPr>
                    <w:tcW w:w="1134" w:type="dxa"/>
                    <w:tcBorders>
                      <w:bottom w:val="single" w:sz="4" w:space="0" w:color="auto"/>
                    </w:tcBorders>
                    <w:noWrap/>
                    <w:vAlign w:val="center"/>
                  </w:tcPr>
                  <w:p>
                    <w:pPr>
                      <w:jc w:val="center"/>
                      <w:rPr>
                        <w:sz w:val="20"/>
                      </w:rPr>
                    </w:pPr>
                    <w:r>
                      <w:rPr>
                        <w:sz w:val="20"/>
                      </w:rPr>
                      <w:t>5000 (2033)</w:t>
                    </w:r>
                  </w:p>
                </w:tc>
              </w:tr>
              <w:tr>
                <w:trPr>
                  <w:trHeight w:val="520"/>
                  <w:jc w:val="center"/>
                </w:trPr>
                <w:tc>
                  <w:tcPr>
                    <w:tcW w:w="988" w:type="dxa"/>
                    <w:vMerge w:val="restart"/>
                    <w:noWrap/>
                    <w:vAlign w:val="center"/>
                  </w:tcPr>
                  <w:p>
                    <w:pPr>
                      <w:rPr>
                        <w:sz w:val="20"/>
                      </w:rPr>
                    </w:pPr>
                    <w:r>
                      <w:rPr>
                        <w:sz w:val="20"/>
                      </w:rPr>
                      <w:t>14-03-02</w:t>
                    </w:r>
                  </w:p>
                </w:tc>
                <w:tc>
                  <w:tcPr>
                    <w:tcW w:w="2126" w:type="dxa"/>
                    <w:vMerge w:val="restart"/>
                    <w:vAlign w:val="center"/>
                  </w:tcPr>
                  <w:p>
                    <w:pPr>
                      <w:rPr>
                        <w:sz w:val="20"/>
                      </w:rPr>
                    </w:pPr>
                    <w:r>
                      <w:rPr>
                        <w:sz w:val="20"/>
                      </w:rPr>
                      <w:t>Kompleksiškai atnaujinti mikrorajonų (laisvo planavimo daugiabučių teritorijos) teritorijas, suplanuojant nuoseklų žalių erdvių ir pėsčiųjų takų tinklą, užtikrinant tvarų judėjimą, monofunkciškumo mažinimą ir skatinti naujų būsto tipologijų atsiradimą</w:t>
                    </w:r>
                  </w:p>
                </w:tc>
                <w:tc>
                  <w:tcPr>
                    <w:tcW w:w="850" w:type="dxa"/>
                    <w:vMerge w:val="restart"/>
                    <w:noWrap/>
                    <w:vAlign w:val="center"/>
                  </w:tcPr>
                  <w:p>
                    <w:pPr>
                      <w:jc w:val="center"/>
                      <w:rPr>
                        <w:sz w:val="20"/>
                      </w:rPr>
                    </w:pPr>
                    <w:r>
                      <w:rPr>
                        <w:sz w:val="20"/>
                      </w:rPr>
                      <w:t>MŪAS</w:t>
                    </w:r>
                  </w:p>
                </w:tc>
                <w:tc>
                  <w:tcPr>
                    <w:tcW w:w="709" w:type="dxa"/>
                    <w:vMerge w:val="restart"/>
                    <w:noWrap/>
                    <w:vAlign w:val="center"/>
                  </w:tcPr>
                  <w:p>
                    <w:pPr>
                      <w:jc w:val="center"/>
                      <w:rPr>
                        <w:sz w:val="20"/>
                      </w:rPr>
                    </w:pPr>
                    <w:r>
                      <w:rPr>
                        <w:sz w:val="20"/>
                      </w:rPr>
                      <w:t>2025</w:t>
                    </w:r>
                  </w:p>
                </w:tc>
                <w:tc>
                  <w:tcPr>
                    <w:tcW w:w="709" w:type="dxa"/>
                    <w:vMerge w:val="restart"/>
                    <w:noWrap/>
                    <w:vAlign w:val="center"/>
                  </w:tcPr>
                  <w:p>
                    <w:pPr>
                      <w:jc w:val="center"/>
                      <w:rPr>
                        <w:sz w:val="20"/>
                      </w:rPr>
                    </w:pPr>
                    <w:r>
                      <w:rPr>
                        <w:sz w:val="20"/>
                      </w:rPr>
                      <w:t>2033</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center"/>
                  </w:tcPr>
                  <w:p>
                    <w:pPr>
                      <w:rPr>
                        <w:sz w:val="20"/>
                      </w:rPr>
                    </w:pPr>
                    <w:r>
                      <w:rPr>
                        <w:rFonts w:eastAsia="MS Mincho"/>
                        <w:color w:val="000000"/>
                        <w:kern w:val="2"/>
                        <w:sz w:val="20"/>
                      </w:rPr>
                      <w:t>P-14-03-02-01</w:t>
                    </w:r>
                  </w:p>
                </w:tc>
                <w:tc>
                  <w:tcPr>
                    <w:tcW w:w="4111" w:type="dxa"/>
                    <w:tcBorders>
                      <w:top w:val="single" w:sz="4" w:space="0" w:color="auto"/>
                      <w:left w:val="nil"/>
                      <w:bottom w:val="single" w:sz="4" w:space="0" w:color="auto"/>
                      <w:right w:val="single" w:sz="4" w:space="0" w:color="auto"/>
                    </w:tcBorders>
                    <w:shd w:val="clear" w:color="auto" w:fill="auto"/>
                    <w:vAlign w:val="center"/>
                  </w:tcPr>
                  <w:p>
                    <w:pPr>
                      <w:rPr>
                        <w:sz w:val="20"/>
                      </w:rPr>
                    </w:pPr>
                    <w:r>
                      <w:rPr>
                        <w:rFonts w:eastAsia="MS Mincho"/>
                        <w:kern w:val="2"/>
                        <w:sz w:val="20"/>
                      </w:rPr>
                      <w:t>Atnaujintų mikrorajonų bendrojo naudojimo erdvių ir kiemų plotas (ha)</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rPr>
                    </w:pPr>
                    <w:r>
                      <w:rPr>
                        <w:rFonts w:eastAsia="MS Mincho"/>
                        <w:color w:val="000000"/>
                        <w:kern w:val="2"/>
                        <w:sz w:val="20"/>
                      </w:rPr>
                      <w:t>MPPS</w:t>
                    </w:r>
                  </w:p>
                </w:tc>
                <w:tc>
                  <w:tcPr>
                    <w:tcW w:w="1134" w:type="dxa"/>
                    <w:tcBorders>
                      <w:top w:val="single" w:sz="4" w:space="0" w:color="auto"/>
                      <w:left w:val="nil"/>
                      <w:bottom w:val="single" w:sz="4" w:space="0" w:color="auto"/>
                      <w:right w:val="single" w:sz="4" w:space="0" w:color="auto"/>
                    </w:tcBorders>
                    <w:shd w:val="clear" w:color="auto" w:fill="auto"/>
                    <w:noWrap/>
                    <w:vAlign w:val="center"/>
                  </w:tcPr>
                  <w:p>
                    <w:pPr>
                      <w:jc w:val="center"/>
                      <w:rPr>
                        <w:sz w:val="20"/>
                      </w:rPr>
                    </w:pPr>
                    <w:r>
                      <w:rPr>
                        <w:rFonts w:eastAsia="MS Mincho"/>
                        <w:kern w:val="2"/>
                        <w:sz w:val="20"/>
                      </w:rPr>
                      <w:t>25 (2023)</w:t>
                    </w:r>
                  </w:p>
                </w:tc>
                <w:tc>
                  <w:tcPr>
                    <w:tcW w:w="1134" w:type="dxa"/>
                    <w:tcBorders>
                      <w:top w:val="single" w:sz="4" w:space="0" w:color="auto"/>
                      <w:left w:val="nil"/>
                      <w:bottom w:val="single" w:sz="4" w:space="0" w:color="auto"/>
                      <w:right w:val="single" w:sz="4" w:space="0" w:color="auto"/>
                    </w:tcBorders>
                    <w:shd w:val="clear" w:color="auto" w:fill="auto"/>
                    <w:noWrap/>
                    <w:vAlign w:val="center"/>
                  </w:tcPr>
                  <w:p>
                    <w:pPr>
                      <w:jc w:val="center"/>
                      <w:rPr>
                        <w:sz w:val="20"/>
                      </w:rPr>
                    </w:pPr>
                    <w:r>
                      <w:rPr>
                        <w:rFonts w:eastAsia="MS Mincho"/>
                        <w:kern w:val="2"/>
                        <w:sz w:val="20"/>
                      </w:rPr>
                      <w:t>50 (2033)</w:t>
                    </w:r>
                  </w:p>
                </w:tc>
              </w:tr>
              <w:tr>
                <w:trPr>
                  <w:trHeight w:val="520"/>
                  <w:jc w:val="center"/>
                </w:trPr>
                <w:tc>
                  <w:tcPr>
                    <w:tcW w:w="988" w:type="dxa"/>
                    <w:vMerge/>
                    <w:noWrap/>
                    <w:vAlign w:val="center"/>
                  </w:tcPr>
                  <w:p>
                    <w:pPr>
                      <w:rPr>
                        <w:sz w:val="20"/>
                      </w:rPr>
                    </w:pPr>
                  </w:p>
                </w:tc>
                <w:tc>
                  <w:tcPr>
                    <w:tcW w:w="2126" w:type="dxa"/>
                    <w:vMerge/>
                    <w:vAlign w:val="center"/>
                  </w:tcPr>
                  <w:p>
                    <w:pPr>
                      <w:rPr>
                        <w:sz w:val="20"/>
                      </w:rPr>
                    </w:pPr>
                  </w:p>
                </w:tc>
                <w:tc>
                  <w:tcPr>
                    <w:tcW w:w="850" w:type="dxa"/>
                    <w:vMerge/>
                    <w:noWrap/>
                    <w:vAlign w:val="center"/>
                  </w:tcPr>
                  <w:p>
                    <w:pPr>
                      <w:jc w:val="center"/>
                      <w:rPr>
                        <w:sz w:val="20"/>
                      </w:rPr>
                    </w:pPr>
                  </w:p>
                </w:tc>
                <w:tc>
                  <w:tcPr>
                    <w:tcW w:w="709" w:type="dxa"/>
                    <w:vMerge/>
                    <w:noWrap/>
                    <w:vAlign w:val="center"/>
                  </w:tcPr>
                  <w:p>
                    <w:pPr>
                      <w:jc w:val="center"/>
                      <w:rPr>
                        <w:sz w:val="20"/>
                      </w:rPr>
                    </w:pPr>
                  </w:p>
                </w:tc>
                <w:tc>
                  <w:tcPr>
                    <w:tcW w:w="709" w:type="dxa"/>
                    <w:vMerge/>
                    <w:noWrap/>
                    <w:vAlign w:val="center"/>
                  </w:tcPr>
                  <w:p>
                    <w:pPr>
                      <w:jc w:val="center"/>
                      <w:rPr>
                        <w:sz w:val="20"/>
                      </w:rPr>
                    </w:pP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center"/>
                  </w:tcPr>
                  <w:p>
                    <w:pPr>
                      <w:rPr>
                        <w:sz w:val="20"/>
                      </w:rPr>
                    </w:pPr>
                    <w:r>
                      <w:rPr>
                        <w:rFonts w:eastAsia="MS Mincho"/>
                        <w:color w:val="000000"/>
                        <w:kern w:val="2"/>
                        <w:sz w:val="20"/>
                      </w:rPr>
                      <w:t>P-14-03-02-02</w:t>
                    </w:r>
                  </w:p>
                </w:tc>
                <w:tc>
                  <w:tcPr>
                    <w:tcW w:w="4111" w:type="dxa"/>
                    <w:tcBorders>
                      <w:top w:val="single" w:sz="4" w:space="0" w:color="auto"/>
                      <w:left w:val="nil"/>
                      <w:bottom w:val="single" w:sz="4" w:space="0" w:color="auto"/>
                      <w:right w:val="single" w:sz="4" w:space="0" w:color="auto"/>
                    </w:tcBorders>
                    <w:shd w:val="clear" w:color="auto" w:fill="auto"/>
                    <w:vAlign w:val="center"/>
                  </w:tcPr>
                  <w:p>
                    <w:pPr>
                      <w:rPr>
                        <w:sz w:val="20"/>
                      </w:rPr>
                    </w:pPr>
                    <w:r>
                      <w:rPr>
                        <w:rFonts w:eastAsia="MS Mincho"/>
                        <w:color w:val="000000"/>
                        <w:kern w:val="2"/>
                        <w:sz w:val="20"/>
                      </w:rPr>
                      <w:t>Atnaujintų ar naujai įrengtų pėsčiųjų takų ilgis mikrorajonų teritorijoje (km)</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rPr>
                    </w:pPr>
                    <w:r>
                      <w:rPr>
                        <w:rFonts w:eastAsia="MS Mincho"/>
                        <w:color w:val="000000"/>
                        <w:kern w:val="2"/>
                        <w:sz w:val="20"/>
                      </w:rPr>
                      <w:t>MŪAS</w:t>
                    </w:r>
                  </w:p>
                </w:tc>
                <w:tc>
                  <w:tcPr>
                    <w:tcW w:w="1134" w:type="dxa"/>
                    <w:tcBorders>
                      <w:top w:val="single" w:sz="4" w:space="0" w:color="auto"/>
                      <w:left w:val="nil"/>
                      <w:bottom w:val="single" w:sz="4" w:space="0" w:color="auto"/>
                      <w:right w:val="single" w:sz="4" w:space="0" w:color="auto"/>
                    </w:tcBorders>
                    <w:shd w:val="clear" w:color="auto" w:fill="auto"/>
                    <w:noWrap/>
                    <w:vAlign w:val="center"/>
                  </w:tcPr>
                  <w:p>
                    <w:pPr>
                      <w:jc w:val="center"/>
                      <w:rPr>
                        <w:sz w:val="20"/>
                      </w:rPr>
                    </w:pPr>
                    <w:r>
                      <w:rPr>
                        <w:rFonts w:eastAsia="MS Mincho"/>
                        <w:kern w:val="2"/>
                        <w:sz w:val="20"/>
                      </w:rPr>
                      <w:t>n.d. (2023)</w:t>
                    </w:r>
                  </w:p>
                </w:tc>
                <w:tc>
                  <w:tcPr>
                    <w:tcW w:w="1134" w:type="dxa"/>
                    <w:tcBorders>
                      <w:top w:val="single" w:sz="4" w:space="0" w:color="auto"/>
                      <w:left w:val="nil"/>
                      <w:bottom w:val="single" w:sz="4" w:space="0" w:color="auto"/>
                      <w:right w:val="single" w:sz="4" w:space="0" w:color="auto"/>
                    </w:tcBorders>
                    <w:shd w:val="clear" w:color="auto" w:fill="auto"/>
                    <w:noWrap/>
                    <w:vAlign w:val="center"/>
                  </w:tcPr>
                  <w:p>
                    <w:pPr>
                      <w:jc w:val="center"/>
                      <w:rPr>
                        <w:sz w:val="20"/>
                      </w:rPr>
                    </w:pPr>
                    <w:r>
                      <w:rPr>
                        <w:rFonts w:eastAsia="MS Mincho"/>
                        <w:kern w:val="2"/>
                        <w:sz w:val="20"/>
                      </w:rPr>
                      <w:t>30 (2033)</w:t>
                    </w:r>
                  </w:p>
                </w:tc>
              </w:tr>
              <w:tr>
                <w:trPr>
                  <w:trHeight w:val="520"/>
                  <w:jc w:val="center"/>
                </w:trPr>
                <w:tc>
                  <w:tcPr>
                    <w:tcW w:w="988" w:type="dxa"/>
                    <w:vMerge/>
                    <w:noWrap/>
                    <w:vAlign w:val="center"/>
                  </w:tcPr>
                  <w:p>
                    <w:pPr>
                      <w:rPr>
                        <w:sz w:val="20"/>
                      </w:rPr>
                    </w:pPr>
                  </w:p>
                </w:tc>
                <w:tc>
                  <w:tcPr>
                    <w:tcW w:w="2126" w:type="dxa"/>
                    <w:vMerge/>
                    <w:vAlign w:val="center"/>
                  </w:tcPr>
                  <w:p>
                    <w:pPr>
                      <w:rPr>
                        <w:sz w:val="20"/>
                      </w:rPr>
                    </w:pPr>
                  </w:p>
                </w:tc>
                <w:tc>
                  <w:tcPr>
                    <w:tcW w:w="850" w:type="dxa"/>
                    <w:vMerge/>
                    <w:noWrap/>
                    <w:vAlign w:val="center"/>
                  </w:tcPr>
                  <w:p>
                    <w:pPr>
                      <w:jc w:val="center"/>
                      <w:rPr>
                        <w:sz w:val="20"/>
                      </w:rPr>
                    </w:pPr>
                  </w:p>
                </w:tc>
                <w:tc>
                  <w:tcPr>
                    <w:tcW w:w="709" w:type="dxa"/>
                    <w:vMerge/>
                    <w:noWrap/>
                    <w:vAlign w:val="center"/>
                  </w:tcPr>
                  <w:p>
                    <w:pPr>
                      <w:jc w:val="center"/>
                      <w:rPr>
                        <w:sz w:val="20"/>
                      </w:rPr>
                    </w:pPr>
                  </w:p>
                </w:tc>
                <w:tc>
                  <w:tcPr>
                    <w:tcW w:w="709" w:type="dxa"/>
                    <w:vMerge/>
                    <w:noWrap/>
                    <w:vAlign w:val="center"/>
                  </w:tcPr>
                  <w:p>
                    <w:pPr>
                      <w:jc w:val="center"/>
                      <w:rPr>
                        <w:sz w:val="20"/>
                      </w:rPr>
                    </w:pP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center"/>
                  </w:tcPr>
                  <w:p>
                    <w:pPr>
                      <w:rPr>
                        <w:sz w:val="20"/>
                      </w:rPr>
                    </w:pPr>
                    <w:r>
                      <w:rPr>
                        <w:rFonts w:eastAsia="MS Mincho"/>
                        <w:color w:val="000000"/>
                        <w:kern w:val="2"/>
                        <w:sz w:val="20"/>
                      </w:rPr>
                      <w:t>P-14-03-02-03</w:t>
                    </w:r>
                  </w:p>
                </w:tc>
                <w:tc>
                  <w:tcPr>
                    <w:tcW w:w="4111" w:type="dxa"/>
                    <w:tcBorders>
                      <w:top w:val="single" w:sz="4" w:space="0" w:color="auto"/>
                      <w:left w:val="nil"/>
                      <w:bottom w:val="single" w:sz="4" w:space="0" w:color="auto"/>
                      <w:right w:val="single" w:sz="4" w:space="0" w:color="auto"/>
                    </w:tcBorders>
                    <w:shd w:val="clear" w:color="auto" w:fill="auto"/>
                    <w:vAlign w:val="center"/>
                  </w:tcPr>
                  <w:p>
                    <w:pPr>
                      <w:rPr>
                        <w:sz w:val="20"/>
                      </w:rPr>
                    </w:pPr>
                    <w:r>
                      <w:rPr>
                        <w:rFonts w:eastAsia="MS Mincho"/>
                        <w:color w:val="000000"/>
                        <w:kern w:val="2"/>
                        <w:sz w:val="20"/>
                      </w:rPr>
                      <w:t>Atnaujintų ar naujai įrengtų dviračių takų ilgis mikrorajonų teritorijoje (km)</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rPr>
                    </w:pPr>
                    <w:r>
                      <w:rPr>
                        <w:rFonts w:eastAsia="MS Mincho"/>
                        <w:color w:val="000000"/>
                        <w:kern w:val="2"/>
                        <w:sz w:val="20"/>
                      </w:rPr>
                      <w:t>MŪAS</w:t>
                    </w:r>
                  </w:p>
                </w:tc>
                <w:tc>
                  <w:tcPr>
                    <w:tcW w:w="1134" w:type="dxa"/>
                    <w:tcBorders>
                      <w:top w:val="single" w:sz="4" w:space="0" w:color="auto"/>
                      <w:left w:val="nil"/>
                      <w:bottom w:val="single" w:sz="4" w:space="0" w:color="auto"/>
                      <w:right w:val="single" w:sz="4" w:space="0" w:color="auto"/>
                    </w:tcBorders>
                    <w:shd w:val="clear" w:color="auto" w:fill="auto"/>
                    <w:noWrap/>
                    <w:vAlign w:val="center"/>
                  </w:tcPr>
                  <w:p>
                    <w:pPr>
                      <w:jc w:val="center"/>
                      <w:rPr>
                        <w:sz w:val="20"/>
                      </w:rPr>
                    </w:pPr>
                    <w:r>
                      <w:rPr>
                        <w:rFonts w:eastAsia="MS Mincho"/>
                        <w:kern w:val="2"/>
                        <w:sz w:val="20"/>
                      </w:rPr>
                      <w:t xml:space="preserve">n.d.  (2023)</w:t>
                    </w:r>
                  </w:p>
                </w:tc>
                <w:tc>
                  <w:tcPr>
                    <w:tcW w:w="1134" w:type="dxa"/>
                    <w:tcBorders>
                      <w:top w:val="single" w:sz="4" w:space="0" w:color="auto"/>
                      <w:left w:val="nil"/>
                      <w:bottom w:val="single" w:sz="4" w:space="0" w:color="auto"/>
                      <w:right w:val="single" w:sz="4" w:space="0" w:color="auto"/>
                    </w:tcBorders>
                    <w:shd w:val="clear" w:color="auto" w:fill="auto"/>
                    <w:noWrap/>
                    <w:vAlign w:val="center"/>
                  </w:tcPr>
                  <w:p>
                    <w:pPr>
                      <w:jc w:val="center"/>
                      <w:rPr>
                        <w:sz w:val="20"/>
                      </w:rPr>
                    </w:pPr>
                    <w:r>
                      <w:rPr>
                        <w:rFonts w:eastAsia="MS Mincho"/>
                        <w:kern w:val="2"/>
                        <w:sz w:val="20"/>
                      </w:rPr>
                      <w:t>10 (2033)</w:t>
                    </w:r>
                  </w:p>
                </w:tc>
              </w:tr>
              <w:tr>
                <w:trPr>
                  <w:trHeight w:val="520"/>
                  <w:jc w:val="center"/>
                </w:trPr>
                <w:tc>
                  <w:tcPr>
                    <w:tcW w:w="988" w:type="dxa"/>
                    <w:vMerge/>
                    <w:noWrap/>
                    <w:vAlign w:val="center"/>
                  </w:tcPr>
                  <w:p>
                    <w:pPr>
                      <w:rPr>
                        <w:sz w:val="20"/>
                      </w:rPr>
                    </w:pPr>
                  </w:p>
                </w:tc>
                <w:tc>
                  <w:tcPr>
                    <w:tcW w:w="2126" w:type="dxa"/>
                    <w:vMerge/>
                    <w:vAlign w:val="center"/>
                  </w:tcPr>
                  <w:p>
                    <w:pPr>
                      <w:rPr>
                        <w:sz w:val="20"/>
                      </w:rPr>
                    </w:pPr>
                  </w:p>
                </w:tc>
                <w:tc>
                  <w:tcPr>
                    <w:tcW w:w="850" w:type="dxa"/>
                    <w:vMerge/>
                    <w:noWrap/>
                    <w:vAlign w:val="center"/>
                  </w:tcPr>
                  <w:p>
                    <w:pPr>
                      <w:jc w:val="center"/>
                      <w:rPr>
                        <w:sz w:val="20"/>
                      </w:rPr>
                    </w:pPr>
                  </w:p>
                </w:tc>
                <w:tc>
                  <w:tcPr>
                    <w:tcW w:w="709" w:type="dxa"/>
                    <w:vMerge/>
                    <w:noWrap/>
                    <w:vAlign w:val="center"/>
                  </w:tcPr>
                  <w:p>
                    <w:pPr>
                      <w:jc w:val="center"/>
                      <w:rPr>
                        <w:sz w:val="20"/>
                      </w:rPr>
                    </w:pPr>
                  </w:p>
                </w:tc>
                <w:tc>
                  <w:tcPr>
                    <w:tcW w:w="709" w:type="dxa"/>
                    <w:vMerge/>
                    <w:noWrap/>
                    <w:vAlign w:val="center"/>
                  </w:tcPr>
                  <w:p>
                    <w:pPr>
                      <w:jc w:val="center"/>
                      <w:rPr>
                        <w:sz w:val="20"/>
                      </w:rPr>
                    </w:pP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center"/>
                  </w:tcPr>
                  <w:p>
                    <w:pPr>
                      <w:rPr>
                        <w:sz w:val="20"/>
                      </w:rPr>
                    </w:pPr>
                    <w:r>
                      <w:rPr>
                        <w:rFonts w:eastAsia="MS Mincho"/>
                        <w:color w:val="000000"/>
                        <w:kern w:val="2"/>
                        <w:sz w:val="20"/>
                      </w:rPr>
                      <w:t>P-14-03-02-04</w:t>
                    </w:r>
                  </w:p>
                </w:tc>
                <w:tc>
                  <w:tcPr>
                    <w:tcW w:w="4111" w:type="dxa"/>
                    <w:tcBorders>
                      <w:top w:val="single" w:sz="4" w:space="0" w:color="auto"/>
                      <w:left w:val="nil"/>
                      <w:bottom w:val="single" w:sz="4" w:space="0" w:color="auto"/>
                      <w:right w:val="single" w:sz="4" w:space="0" w:color="auto"/>
                    </w:tcBorders>
                    <w:shd w:val="clear" w:color="auto" w:fill="auto"/>
                    <w:vAlign w:val="center"/>
                  </w:tcPr>
                  <w:p>
                    <w:pPr>
                      <w:rPr>
                        <w:sz w:val="20"/>
                      </w:rPr>
                    </w:pPr>
                    <w:r>
                      <w:rPr>
                        <w:rFonts w:eastAsia="MS Mincho"/>
                        <w:kern w:val="2"/>
                        <w:sz w:val="20"/>
                      </w:rPr>
                      <w:t>Renovuotų daugiabučių skaičius (vnt.)</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rPr>
                    </w:pPr>
                    <w:r>
                      <w:rPr>
                        <w:rFonts w:eastAsia="MS Mincho"/>
                        <w:color w:val="000000"/>
                        <w:kern w:val="2"/>
                        <w:sz w:val="20"/>
                      </w:rPr>
                      <w:t>MŪAS, ŠE</w:t>
                    </w:r>
                  </w:p>
                </w:tc>
                <w:tc>
                  <w:tcPr>
                    <w:tcW w:w="1134" w:type="dxa"/>
                    <w:tcBorders>
                      <w:top w:val="single" w:sz="4" w:space="0" w:color="auto"/>
                      <w:left w:val="nil"/>
                      <w:bottom w:val="single" w:sz="4" w:space="0" w:color="auto"/>
                      <w:right w:val="single" w:sz="4" w:space="0" w:color="auto"/>
                    </w:tcBorders>
                    <w:shd w:val="clear" w:color="auto" w:fill="auto"/>
                    <w:noWrap/>
                    <w:vAlign w:val="center"/>
                  </w:tcPr>
                  <w:p>
                    <w:pPr>
                      <w:jc w:val="center"/>
                      <w:rPr>
                        <w:sz w:val="20"/>
                      </w:rPr>
                    </w:pPr>
                    <w:r>
                      <w:rPr>
                        <w:rFonts w:eastAsia="MS Mincho"/>
                        <w:kern w:val="2"/>
                        <w:sz w:val="20"/>
                      </w:rPr>
                      <w:t>64 (2023)</w:t>
                    </w:r>
                  </w:p>
                </w:tc>
                <w:tc>
                  <w:tcPr>
                    <w:tcW w:w="1134" w:type="dxa"/>
                    <w:tcBorders>
                      <w:top w:val="single" w:sz="4" w:space="0" w:color="auto"/>
                      <w:left w:val="nil"/>
                      <w:bottom w:val="single" w:sz="4" w:space="0" w:color="auto"/>
                      <w:right w:val="single" w:sz="4" w:space="0" w:color="auto"/>
                    </w:tcBorders>
                    <w:shd w:val="clear" w:color="auto" w:fill="auto"/>
                    <w:noWrap/>
                    <w:vAlign w:val="center"/>
                  </w:tcPr>
                  <w:p>
                    <w:pPr>
                      <w:jc w:val="center"/>
                      <w:rPr>
                        <w:sz w:val="20"/>
                      </w:rPr>
                    </w:pPr>
                    <w:r>
                      <w:rPr>
                        <w:rFonts w:eastAsia="MS Mincho"/>
                        <w:kern w:val="2"/>
                        <w:sz w:val="20"/>
                      </w:rPr>
                      <w:t>160 (2033)</w:t>
                    </w:r>
                  </w:p>
                </w:tc>
              </w:tr>
              <w:tr>
                <w:trPr>
                  <w:trHeight w:val="520"/>
                  <w:jc w:val="center"/>
                </w:trPr>
                <w:tc>
                  <w:tcPr>
                    <w:tcW w:w="988" w:type="dxa"/>
                    <w:vMerge/>
                    <w:noWrap/>
                    <w:vAlign w:val="center"/>
                  </w:tcPr>
                  <w:p>
                    <w:pPr>
                      <w:rPr>
                        <w:sz w:val="20"/>
                      </w:rPr>
                    </w:pPr>
                  </w:p>
                </w:tc>
                <w:tc>
                  <w:tcPr>
                    <w:tcW w:w="2126" w:type="dxa"/>
                    <w:vMerge/>
                    <w:vAlign w:val="center"/>
                  </w:tcPr>
                  <w:p>
                    <w:pPr>
                      <w:rPr>
                        <w:sz w:val="20"/>
                      </w:rPr>
                    </w:pPr>
                  </w:p>
                </w:tc>
                <w:tc>
                  <w:tcPr>
                    <w:tcW w:w="850" w:type="dxa"/>
                    <w:vMerge/>
                    <w:noWrap/>
                    <w:vAlign w:val="center"/>
                  </w:tcPr>
                  <w:p>
                    <w:pPr>
                      <w:jc w:val="center"/>
                      <w:rPr>
                        <w:sz w:val="20"/>
                      </w:rPr>
                    </w:pPr>
                  </w:p>
                </w:tc>
                <w:tc>
                  <w:tcPr>
                    <w:tcW w:w="709" w:type="dxa"/>
                    <w:vMerge/>
                    <w:noWrap/>
                    <w:vAlign w:val="center"/>
                  </w:tcPr>
                  <w:p>
                    <w:pPr>
                      <w:jc w:val="center"/>
                      <w:rPr>
                        <w:sz w:val="20"/>
                      </w:rPr>
                    </w:pPr>
                  </w:p>
                </w:tc>
                <w:tc>
                  <w:tcPr>
                    <w:tcW w:w="709" w:type="dxa"/>
                    <w:vMerge/>
                    <w:noWrap/>
                    <w:vAlign w:val="center"/>
                  </w:tcPr>
                  <w:p>
                    <w:pPr>
                      <w:jc w:val="center"/>
                      <w:rPr>
                        <w:sz w:val="20"/>
                      </w:rPr>
                    </w:pP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center"/>
                  </w:tcPr>
                  <w:p>
                    <w:pPr>
                      <w:rPr>
                        <w:sz w:val="20"/>
                      </w:rPr>
                    </w:pPr>
                    <w:r>
                      <w:rPr>
                        <w:rFonts w:eastAsia="MS Mincho"/>
                        <w:color w:val="000000"/>
                        <w:kern w:val="2"/>
                        <w:sz w:val="20"/>
                      </w:rPr>
                      <w:t>P-14-03-02-05</w:t>
                    </w:r>
                  </w:p>
                </w:tc>
                <w:tc>
                  <w:tcPr>
                    <w:tcW w:w="4111" w:type="dxa"/>
                    <w:tcBorders>
                      <w:top w:val="single" w:sz="4" w:space="0" w:color="auto"/>
                      <w:left w:val="nil"/>
                      <w:bottom w:val="single" w:sz="4" w:space="0" w:color="auto"/>
                      <w:right w:val="single" w:sz="4" w:space="0" w:color="auto"/>
                    </w:tcBorders>
                    <w:shd w:val="clear" w:color="auto" w:fill="auto"/>
                    <w:vAlign w:val="center"/>
                  </w:tcPr>
                  <w:p>
                    <w:pPr>
                      <w:rPr>
                        <w:sz w:val="20"/>
                      </w:rPr>
                    </w:pPr>
                    <w:r>
                      <w:rPr>
                        <w:rFonts w:eastAsia="MS Mincho"/>
                        <w:color w:val="000000"/>
                        <w:kern w:val="2"/>
                        <w:sz w:val="20"/>
                      </w:rPr>
                      <w:t>Naujų statybos leidimų mikrorajonuose skaičius (vnt.)</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rPr>
                    </w:pPr>
                    <w:r>
                      <w:rPr>
                        <w:rFonts w:eastAsia="MS Mincho"/>
                        <w:color w:val="000000"/>
                        <w:kern w:val="2"/>
                        <w:sz w:val="20"/>
                      </w:rPr>
                      <w:t>MPPS</w:t>
                    </w:r>
                  </w:p>
                </w:tc>
                <w:tc>
                  <w:tcPr>
                    <w:tcW w:w="1134" w:type="dxa"/>
                    <w:tcBorders>
                      <w:top w:val="single" w:sz="4" w:space="0" w:color="auto"/>
                      <w:left w:val="nil"/>
                      <w:bottom w:val="single" w:sz="4" w:space="0" w:color="auto"/>
                      <w:right w:val="single" w:sz="4" w:space="0" w:color="auto"/>
                    </w:tcBorders>
                    <w:shd w:val="clear" w:color="auto" w:fill="auto"/>
                    <w:noWrap/>
                    <w:vAlign w:val="center"/>
                  </w:tcPr>
                  <w:p>
                    <w:pPr>
                      <w:jc w:val="center"/>
                      <w:rPr>
                        <w:sz w:val="20"/>
                      </w:rPr>
                    </w:pPr>
                    <w:r>
                      <w:rPr>
                        <w:rFonts w:eastAsia="MS Mincho"/>
                        <w:kern w:val="2"/>
                        <w:sz w:val="20"/>
                      </w:rPr>
                      <w:t>n.d. (2023)</w:t>
                    </w:r>
                  </w:p>
                </w:tc>
                <w:tc>
                  <w:tcPr>
                    <w:tcW w:w="1134" w:type="dxa"/>
                    <w:tcBorders>
                      <w:top w:val="single" w:sz="4" w:space="0" w:color="auto"/>
                      <w:left w:val="nil"/>
                      <w:bottom w:val="single" w:sz="4" w:space="0" w:color="auto"/>
                      <w:right w:val="single" w:sz="4" w:space="0" w:color="auto"/>
                    </w:tcBorders>
                    <w:shd w:val="clear" w:color="auto" w:fill="auto"/>
                    <w:noWrap/>
                    <w:vAlign w:val="center"/>
                  </w:tcPr>
                  <w:p>
                    <w:pPr>
                      <w:jc w:val="center"/>
                      <w:rPr>
                        <w:sz w:val="20"/>
                      </w:rPr>
                    </w:pPr>
                    <w:r>
                      <w:rPr>
                        <w:rFonts w:eastAsia="MS Mincho"/>
                        <w:kern w:val="2"/>
                        <w:sz w:val="20"/>
                      </w:rPr>
                      <w:t>500 (2033)</w:t>
                    </w:r>
                  </w:p>
                </w:tc>
              </w:tr>
              <w:tr>
                <w:trPr>
                  <w:trHeight w:val="520"/>
                  <w:jc w:val="center"/>
                </w:trPr>
                <w:tc>
                  <w:tcPr>
                    <w:tcW w:w="988" w:type="dxa"/>
                    <w:noWrap/>
                    <w:vAlign w:val="center"/>
                  </w:tcPr>
                  <w:p>
                    <w:pPr>
                      <w:rPr>
                        <w:sz w:val="20"/>
                      </w:rPr>
                    </w:pPr>
                    <w:r>
                      <w:rPr>
                        <w:sz w:val="20"/>
                      </w:rPr>
                      <w:t>14-03-03</w:t>
                    </w:r>
                  </w:p>
                </w:tc>
                <w:tc>
                  <w:tcPr>
                    <w:tcW w:w="2126" w:type="dxa"/>
                    <w:vAlign w:val="center"/>
                  </w:tcPr>
                  <w:p>
                    <w:pPr>
                      <w:rPr>
                        <w:sz w:val="20"/>
                      </w:rPr>
                    </w:pPr>
                    <w:r>
                      <w:rPr>
                        <w:sz w:val="20"/>
                      </w:rPr>
                      <w:t>Sutvarkyti apleistas teritorijas ir pastatus, transformuoti garažų teritorijas</w:t>
                    </w:r>
                  </w:p>
                </w:tc>
                <w:tc>
                  <w:tcPr>
                    <w:tcW w:w="850" w:type="dxa"/>
                    <w:noWrap/>
                    <w:vAlign w:val="center"/>
                  </w:tcPr>
                  <w:p>
                    <w:pPr>
                      <w:jc w:val="center"/>
                      <w:rPr>
                        <w:sz w:val="20"/>
                      </w:rPr>
                    </w:pPr>
                    <w:r>
                      <w:rPr>
                        <w:sz w:val="20"/>
                      </w:rPr>
                      <w:t>MŪAS</w:t>
                    </w:r>
                  </w:p>
                </w:tc>
                <w:tc>
                  <w:tcPr>
                    <w:tcW w:w="709" w:type="dxa"/>
                    <w:noWrap/>
                    <w:vAlign w:val="center"/>
                  </w:tcPr>
                  <w:p>
                    <w:pPr>
                      <w:jc w:val="center"/>
                      <w:rPr>
                        <w:sz w:val="20"/>
                      </w:rPr>
                    </w:pPr>
                    <w:r>
                      <w:rPr>
                        <w:sz w:val="20"/>
                      </w:rPr>
                      <w:t>2025</w:t>
                    </w:r>
                  </w:p>
                </w:tc>
                <w:tc>
                  <w:tcPr>
                    <w:tcW w:w="709" w:type="dxa"/>
                    <w:noWrap/>
                    <w:vAlign w:val="center"/>
                  </w:tcPr>
                  <w:p>
                    <w:pPr>
                      <w:jc w:val="center"/>
                      <w:rPr>
                        <w:sz w:val="20"/>
                      </w:rPr>
                    </w:pPr>
                    <w:r>
                      <w:rPr>
                        <w:sz w:val="20"/>
                      </w:rPr>
                      <w:t>2033</w:t>
                    </w:r>
                  </w:p>
                </w:tc>
                <w:tc>
                  <w:tcPr>
                    <w:tcW w:w="1417" w:type="dxa"/>
                    <w:tcBorders>
                      <w:top w:val="single" w:sz="4" w:space="0" w:color="auto"/>
                    </w:tcBorders>
                    <w:noWrap/>
                    <w:vAlign w:val="center"/>
                  </w:tcPr>
                  <w:p>
                    <w:pPr>
                      <w:rPr>
                        <w:sz w:val="20"/>
                      </w:rPr>
                    </w:pPr>
                    <w:r>
                      <w:rPr>
                        <w:sz w:val="20"/>
                      </w:rPr>
                      <w:t>P-14-03-03-01</w:t>
                    </w:r>
                  </w:p>
                </w:tc>
                <w:tc>
                  <w:tcPr>
                    <w:tcW w:w="4111" w:type="dxa"/>
                    <w:tcBorders>
                      <w:top w:val="single" w:sz="4" w:space="0" w:color="auto"/>
                    </w:tcBorders>
                    <w:vAlign w:val="center"/>
                  </w:tcPr>
                  <w:p>
                    <w:pPr>
                      <w:rPr>
                        <w:sz w:val="20"/>
                      </w:rPr>
                    </w:pPr>
                    <w:r>
                      <w:rPr>
                        <w:sz w:val="20"/>
                      </w:rPr>
                      <w:t>Sutvarkytų apleistų teritorijų ir pastatų skaičius (vnt. / vnt.)</w:t>
                    </w:r>
                  </w:p>
                </w:tc>
                <w:tc>
                  <w:tcPr>
                    <w:tcW w:w="1134" w:type="dxa"/>
                    <w:tcBorders>
                      <w:top w:val="single" w:sz="4" w:space="0" w:color="auto"/>
                    </w:tcBorders>
                    <w:vAlign w:val="center"/>
                  </w:tcPr>
                  <w:p>
                    <w:pPr>
                      <w:jc w:val="center"/>
                      <w:rPr>
                        <w:sz w:val="20"/>
                      </w:rPr>
                    </w:pPr>
                    <w:r>
                      <w:rPr>
                        <w:sz w:val="20"/>
                      </w:rPr>
                      <w:t>MŪAS,</w:t>
                      <w:br/>
                      <w:t>SRS</w:t>
                    </w:r>
                  </w:p>
                </w:tc>
                <w:tc>
                  <w:tcPr>
                    <w:tcW w:w="1134" w:type="dxa"/>
                    <w:tcBorders>
                      <w:top w:val="single" w:sz="4" w:space="0" w:color="auto"/>
                    </w:tcBorders>
                    <w:noWrap/>
                    <w:vAlign w:val="center"/>
                  </w:tcPr>
                  <w:p>
                    <w:pPr>
                      <w:jc w:val="center"/>
                      <w:rPr>
                        <w:sz w:val="20"/>
                      </w:rPr>
                    </w:pPr>
                    <w:r>
                      <w:rPr>
                        <w:sz w:val="20"/>
                      </w:rPr>
                      <w:t>n.d. / n.d. (2023)</w:t>
                    </w:r>
                  </w:p>
                </w:tc>
                <w:tc>
                  <w:tcPr>
                    <w:tcW w:w="1134" w:type="dxa"/>
                    <w:tcBorders>
                      <w:top w:val="single" w:sz="4" w:space="0" w:color="auto"/>
                    </w:tcBorders>
                    <w:noWrap/>
                    <w:vAlign w:val="center"/>
                  </w:tcPr>
                  <w:p>
                    <w:pPr>
                      <w:jc w:val="center"/>
                      <w:rPr>
                        <w:sz w:val="20"/>
                      </w:rPr>
                    </w:pPr>
                    <w:r>
                      <w:rPr>
                        <w:sz w:val="20"/>
                      </w:rPr>
                      <w:t>10 / 50 (2033)</w:t>
                    </w:r>
                  </w:p>
                </w:tc>
              </w:tr>
              <w:tr>
                <w:trPr>
                  <w:trHeight w:val="520"/>
                  <w:jc w:val="center"/>
                </w:trPr>
                <w:tc>
                  <w:tcPr>
                    <w:tcW w:w="988" w:type="dxa"/>
                    <w:vMerge w:val="restart"/>
                    <w:noWrap/>
                    <w:vAlign w:val="center"/>
                    <w:hideMark/>
                  </w:tcPr>
                  <w:p>
                    <w:pPr>
                      <w:rPr>
                        <w:sz w:val="20"/>
                      </w:rPr>
                    </w:pPr>
                    <w:r>
                      <w:rPr>
                        <w:sz w:val="20"/>
                      </w:rPr>
                      <w:t>14-03-04</w:t>
                    </w:r>
                  </w:p>
                </w:tc>
                <w:tc>
                  <w:tcPr>
                    <w:tcW w:w="2126" w:type="dxa"/>
                    <w:vMerge w:val="restart"/>
                    <w:vAlign w:val="center"/>
                    <w:hideMark/>
                  </w:tcPr>
                  <w:p>
                    <w:pPr>
                      <w:rPr>
                        <w:sz w:val="20"/>
                      </w:rPr>
                    </w:pPr>
                    <w:r>
                      <w:rPr>
                        <w:sz w:val="20"/>
                      </w:rPr>
                      <w:t>Suplanuoti tvarią inžinerinę infrastruktūros plėtrą naujai vystomose teritorijose</w:t>
                    </w:r>
                  </w:p>
                </w:tc>
                <w:tc>
                  <w:tcPr>
                    <w:tcW w:w="850" w:type="dxa"/>
                    <w:vMerge w:val="restart"/>
                    <w:noWrap/>
                    <w:vAlign w:val="center"/>
                    <w:hideMark/>
                  </w:tcPr>
                  <w:p>
                    <w:pPr>
                      <w:jc w:val="center"/>
                      <w:rPr>
                        <w:sz w:val="20"/>
                      </w:rPr>
                    </w:pPr>
                    <w:r>
                      <w:rPr>
                        <w:sz w:val="20"/>
                      </w:rPr>
                      <w:t>MŪAS</w:t>
                    </w:r>
                  </w:p>
                </w:tc>
                <w:tc>
                  <w:tcPr>
                    <w:tcW w:w="709" w:type="dxa"/>
                    <w:vMerge w:val="restart"/>
                    <w:noWrap/>
                    <w:vAlign w:val="center"/>
                    <w:hideMark/>
                  </w:tcPr>
                  <w:p>
                    <w:pPr>
                      <w:jc w:val="center"/>
                      <w:rPr>
                        <w:sz w:val="20"/>
                      </w:rPr>
                    </w:pPr>
                    <w:r>
                      <w:rPr>
                        <w:sz w:val="20"/>
                      </w:rPr>
                      <w:t>2025</w:t>
                    </w:r>
                  </w:p>
                </w:tc>
                <w:tc>
                  <w:tcPr>
                    <w:tcW w:w="709" w:type="dxa"/>
                    <w:vMerge w:val="restart"/>
                    <w:noWrap/>
                    <w:vAlign w:val="center"/>
                    <w:hideMark/>
                  </w:tcPr>
                  <w:p>
                    <w:pPr>
                      <w:jc w:val="center"/>
                      <w:rPr>
                        <w:sz w:val="20"/>
                      </w:rPr>
                    </w:pPr>
                    <w:r>
                      <w:rPr>
                        <w:sz w:val="20"/>
                      </w:rPr>
                      <w:t>2033</w:t>
                    </w:r>
                  </w:p>
                </w:tc>
                <w:tc>
                  <w:tcPr>
                    <w:tcW w:w="1417" w:type="dxa"/>
                    <w:noWrap/>
                    <w:vAlign w:val="center"/>
                    <w:hideMark/>
                  </w:tcPr>
                  <w:p>
                    <w:pPr>
                      <w:rPr>
                        <w:sz w:val="20"/>
                      </w:rPr>
                    </w:pPr>
                    <w:r>
                      <w:rPr>
                        <w:sz w:val="20"/>
                      </w:rPr>
                      <w:t>P-14-03-04-01</w:t>
                    </w:r>
                  </w:p>
                </w:tc>
                <w:tc>
                  <w:tcPr>
                    <w:tcW w:w="4111" w:type="dxa"/>
                    <w:vAlign w:val="center"/>
                    <w:hideMark/>
                  </w:tcPr>
                  <w:p>
                    <w:pPr>
                      <w:rPr>
                        <w:sz w:val="20"/>
                      </w:rPr>
                    </w:pPr>
                    <w:r>
                      <w:rPr>
                        <w:sz w:val="20"/>
                      </w:rPr>
                      <w:t>Įrengtų vandens tiekimo ir nuotekų surinkimo tinklų ilgis (km)</w:t>
                    </w:r>
                  </w:p>
                </w:tc>
                <w:tc>
                  <w:tcPr>
                    <w:tcW w:w="1134" w:type="dxa"/>
                    <w:vAlign w:val="center"/>
                    <w:hideMark/>
                  </w:tcPr>
                  <w:p>
                    <w:pPr>
                      <w:jc w:val="center"/>
                      <w:rPr>
                        <w:sz w:val="20"/>
                      </w:rPr>
                    </w:pPr>
                    <w:r>
                      <w:rPr>
                        <w:sz w:val="20"/>
                      </w:rPr>
                      <w:t>ŠV</w:t>
                    </w:r>
                  </w:p>
                </w:tc>
                <w:tc>
                  <w:tcPr>
                    <w:tcW w:w="1134" w:type="dxa"/>
                    <w:noWrap/>
                    <w:vAlign w:val="center"/>
                    <w:hideMark/>
                  </w:tcPr>
                  <w:p>
                    <w:pPr>
                      <w:jc w:val="center"/>
                      <w:rPr>
                        <w:sz w:val="20"/>
                      </w:rPr>
                    </w:pPr>
                    <w:r>
                      <w:rPr>
                        <w:sz w:val="20"/>
                      </w:rPr>
                      <w:t>1220 (2023)</w:t>
                    </w:r>
                  </w:p>
                </w:tc>
                <w:tc>
                  <w:tcPr>
                    <w:tcW w:w="1134" w:type="dxa"/>
                    <w:noWrap/>
                    <w:vAlign w:val="center"/>
                    <w:hideMark/>
                  </w:tcPr>
                  <w:p>
                    <w:pPr>
                      <w:jc w:val="center"/>
                      <w:rPr>
                        <w:sz w:val="20"/>
                      </w:rPr>
                    </w:pPr>
                    <w:r>
                      <w:rPr>
                        <w:sz w:val="20"/>
                      </w:rPr>
                      <w:t>1280 (2033)</w:t>
                    </w:r>
                  </w:p>
                </w:tc>
              </w:tr>
              <w:tr>
                <w:trPr>
                  <w:trHeight w:val="530"/>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jc w:val="center"/>
                      <w:rPr>
                        <w:sz w:val="20"/>
                      </w:rPr>
                    </w:pPr>
                  </w:p>
                </w:tc>
                <w:tc>
                  <w:tcPr>
                    <w:tcW w:w="709" w:type="dxa"/>
                    <w:vMerge/>
                    <w:vAlign w:val="center"/>
                    <w:hideMark/>
                  </w:tcPr>
                  <w:p>
                    <w:pPr>
                      <w:jc w:val="center"/>
                      <w:rPr>
                        <w:sz w:val="20"/>
                      </w:rPr>
                    </w:pPr>
                  </w:p>
                </w:tc>
                <w:tc>
                  <w:tcPr>
                    <w:tcW w:w="709" w:type="dxa"/>
                    <w:vMerge/>
                    <w:vAlign w:val="center"/>
                    <w:hideMark/>
                  </w:tcPr>
                  <w:p>
                    <w:pPr>
                      <w:jc w:val="center"/>
                      <w:rPr>
                        <w:sz w:val="20"/>
                      </w:rPr>
                    </w:pPr>
                  </w:p>
                </w:tc>
                <w:tc>
                  <w:tcPr>
                    <w:tcW w:w="1417" w:type="dxa"/>
                    <w:noWrap/>
                    <w:vAlign w:val="center"/>
                    <w:hideMark/>
                  </w:tcPr>
                  <w:p>
                    <w:pPr>
                      <w:rPr>
                        <w:sz w:val="20"/>
                      </w:rPr>
                    </w:pPr>
                    <w:r>
                      <w:rPr>
                        <w:sz w:val="20"/>
                      </w:rPr>
                      <w:t>P-14-03-04-02</w:t>
                    </w:r>
                  </w:p>
                </w:tc>
                <w:tc>
                  <w:tcPr>
                    <w:tcW w:w="4111" w:type="dxa"/>
                    <w:vAlign w:val="center"/>
                    <w:hideMark/>
                  </w:tcPr>
                  <w:p>
                    <w:pPr>
                      <w:rPr>
                        <w:sz w:val="20"/>
                      </w:rPr>
                    </w:pPr>
                    <w:r>
                      <w:rPr>
                        <w:sz w:val="20"/>
                      </w:rPr>
                      <w:t xml:space="preserve">Modernizuotos šildymo sistemos trasos (sąlyginio 100 mm diametro) ilgis (km) </w:t>
                    </w:r>
                  </w:p>
                </w:tc>
                <w:tc>
                  <w:tcPr>
                    <w:tcW w:w="1134" w:type="dxa"/>
                    <w:vAlign w:val="center"/>
                    <w:hideMark/>
                  </w:tcPr>
                  <w:p>
                    <w:pPr>
                      <w:jc w:val="center"/>
                      <w:rPr>
                        <w:sz w:val="20"/>
                      </w:rPr>
                    </w:pPr>
                    <w:r>
                      <w:rPr>
                        <w:sz w:val="20"/>
                      </w:rPr>
                      <w:t>ŠE</w:t>
                    </w:r>
                  </w:p>
                </w:tc>
                <w:tc>
                  <w:tcPr>
                    <w:tcW w:w="1134" w:type="dxa"/>
                    <w:noWrap/>
                    <w:vAlign w:val="center"/>
                    <w:hideMark/>
                  </w:tcPr>
                  <w:p>
                    <w:pPr>
                      <w:jc w:val="center"/>
                      <w:rPr>
                        <w:sz w:val="20"/>
                      </w:rPr>
                    </w:pPr>
                    <w:r>
                      <w:rPr>
                        <w:sz w:val="20"/>
                      </w:rPr>
                      <w:t>154,7 (2023)</w:t>
                    </w:r>
                  </w:p>
                </w:tc>
                <w:tc>
                  <w:tcPr>
                    <w:tcW w:w="1134" w:type="dxa"/>
                    <w:noWrap/>
                    <w:vAlign w:val="center"/>
                    <w:hideMark/>
                  </w:tcPr>
                  <w:p>
                    <w:pPr>
                      <w:jc w:val="center"/>
                      <w:rPr>
                        <w:sz w:val="20"/>
                      </w:rPr>
                    </w:pPr>
                    <w:r>
                      <w:rPr>
                        <w:sz w:val="20"/>
                      </w:rPr>
                      <w:t>164,7 (2033)</w:t>
                    </w:r>
                  </w:p>
                </w:tc>
              </w:tr>
              <w:tr>
                <w:trPr>
                  <w:trHeight w:val="520"/>
                  <w:jc w:val="center"/>
                </w:trPr>
                <w:tc>
                  <w:tcPr>
                    <w:tcW w:w="988" w:type="dxa"/>
                    <w:vMerge w:val="restart"/>
                    <w:noWrap/>
                    <w:vAlign w:val="center"/>
                    <w:hideMark/>
                  </w:tcPr>
                  <w:p>
                    <w:pPr>
                      <w:rPr>
                        <w:sz w:val="20"/>
                      </w:rPr>
                    </w:pPr>
                    <w:r>
                      <w:rPr>
                        <w:sz w:val="20"/>
                      </w:rPr>
                      <w:t>14-03-05</w:t>
                    </w:r>
                  </w:p>
                </w:tc>
                <w:tc>
                  <w:tcPr>
                    <w:tcW w:w="2126" w:type="dxa"/>
                    <w:vMerge w:val="restart"/>
                    <w:vAlign w:val="center"/>
                    <w:hideMark/>
                  </w:tcPr>
                  <w:p>
                    <w:pPr>
                      <w:rPr>
                        <w:sz w:val="20"/>
                      </w:rPr>
                    </w:pPr>
                    <w:r>
                      <w:rPr>
                        <w:sz w:val="20"/>
                      </w:rPr>
                      <w:t>Modernizuoti esamą apšvietimo tinklo infrastruktūrą ir numatyti naują gatvių, pėsčiųjų takų apšvietimą</w:t>
                    </w:r>
                  </w:p>
                </w:tc>
                <w:tc>
                  <w:tcPr>
                    <w:tcW w:w="850" w:type="dxa"/>
                    <w:vMerge w:val="restart"/>
                    <w:noWrap/>
                    <w:vAlign w:val="center"/>
                    <w:hideMark/>
                  </w:tcPr>
                  <w:p>
                    <w:pPr>
                      <w:jc w:val="center"/>
                      <w:rPr>
                        <w:sz w:val="20"/>
                      </w:rPr>
                    </w:pPr>
                    <w:r>
                      <w:rPr>
                        <w:sz w:val="20"/>
                      </w:rPr>
                      <w:t>MŪAS</w:t>
                    </w:r>
                  </w:p>
                </w:tc>
                <w:tc>
                  <w:tcPr>
                    <w:tcW w:w="709" w:type="dxa"/>
                    <w:vMerge w:val="restart"/>
                    <w:noWrap/>
                    <w:vAlign w:val="center"/>
                    <w:hideMark/>
                  </w:tcPr>
                  <w:p>
                    <w:pPr>
                      <w:jc w:val="center"/>
                      <w:rPr>
                        <w:sz w:val="20"/>
                      </w:rPr>
                    </w:pPr>
                    <w:r>
                      <w:rPr>
                        <w:sz w:val="20"/>
                      </w:rPr>
                      <w:t>2025</w:t>
                    </w:r>
                  </w:p>
                </w:tc>
                <w:tc>
                  <w:tcPr>
                    <w:tcW w:w="709" w:type="dxa"/>
                    <w:vMerge w:val="restart"/>
                    <w:noWrap/>
                    <w:vAlign w:val="center"/>
                    <w:hideMark/>
                  </w:tcPr>
                  <w:p>
                    <w:pPr>
                      <w:jc w:val="center"/>
                      <w:rPr>
                        <w:sz w:val="20"/>
                      </w:rPr>
                    </w:pPr>
                    <w:r>
                      <w:rPr>
                        <w:sz w:val="20"/>
                      </w:rPr>
                      <w:t>2033</w:t>
                    </w:r>
                  </w:p>
                </w:tc>
                <w:tc>
                  <w:tcPr>
                    <w:tcW w:w="1417" w:type="dxa"/>
                    <w:noWrap/>
                    <w:vAlign w:val="center"/>
                    <w:hideMark/>
                  </w:tcPr>
                  <w:p>
                    <w:pPr>
                      <w:rPr>
                        <w:sz w:val="20"/>
                      </w:rPr>
                    </w:pPr>
                    <w:r>
                      <w:rPr>
                        <w:sz w:val="20"/>
                      </w:rPr>
                      <w:t>P-14-03-05-01</w:t>
                    </w:r>
                  </w:p>
                </w:tc>
                <w:tc>
                  <w:tcPr>
                    <w:tcW w:w="4111" w:type="dxa"/>
                    <w:vAlign w:val="center"/>
                    <w:hideMark/>
                  </w:tcPr>
                  <w:p>
                    <w:pPr>
                      <w:rPr>
                        <w:sz w:val="20"/>
                      </w:rPr>
                    </w:pPr>
                    <w:r>
                      <w:rPr>
                        <w:sz w:val="20"/>
                      </w:rPr>
                      <w:t>Modernizuoto apšvietimo infrastruktūros tinklo ilgis (km)</w:t>
                    </w:r>
                  </w:p>
                </w:tc>
                <w:tc>
                  <w:tcPr>
                    <w:tcW w:w="1134" w:type="dxa"/>
                    <w:vAlign w:val="center"/>
                    <w:hideMark/>
                  </w:tcPr>
                  <w:p>
                    <w:pPr>
                      <w:jc w:val="center"/>
                      <w:rPr>
                        <w:sz w:val="20"/>
                      </w:rPr>
                    </w:pPr>
                    <w:r>
                      <w:rPr>
                        <w:sz w:val="20"/>
                      </w:rPr>
                      <w:t>MŪAS, ŠGA</w:t>
                    </w:r>
                  </w:p>
                </w:tc>
                <w:tc>
                  <w:tcPr>
                    <w:tcW w:w="1134" w:type="dxa"/>
                    <w:vAlign w:val="center"/>
                    <w:hideMark/>
                  </w:tcPr>
                  <w:p>
                    <w:pPr>
                      <w:jc w:val="center"/>
                      <w:rPr>
                        <w:sz w:val="20"/>
                      </w:rPr>
                    </w:pPr>
                    <w:r>
                      <w:rPr>
                        <w:sz w:val="20"/>
                      </w:rPr>
                      <w:t>125 (2023)</w:t>
                    </w:r>
                  </w:p>
                </w:tc>
                <w:tc>
                  <w:tcPr>
                    <w:tcW w:w="1134" w:type="dxa"/>
                    <w:noWrap/>
                    <w:vAlign w:val="center"/>
                    <w:hideMark/>
                  </w:tcPr>
                  <w:p>
                    <w:pPr>
                      <w:jc w:val="center"/>
                      <w:rPr>
                        <w:sz w:val="20"/>
                      </w:rPr>
                    </w:pPr>
                    <w:r>
                      <w:rPr>
                        <w:sz w:val="20"/>
                      </w:rPr>
                      <w:t>210 (2033)</w:t>
                    </w:r>
                  </w:p>
                </w:tc>
              </w:tr>
              <w:tr>
                <w:trPr>
                  <w:trHeight w:val="530"/>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noWrap/>
                    <w:vAlign w:val="center"/>
                  </w:tcPr>
                  <w:p>
                    <w:pPr>
                      <w:jc w:val="center"/>
                      <w:rPr>
                        <w:sz w:val="20"/>
                      </w:rPr>
                    </w:pPr>
                  </w:p>
                </w:tc>
                <w:tc>
                  <w:tcPr>
                    <w:tcW w:w="709" w:type="dxa"/>
                    <w:vMerge/>
                    <w:noWrap/>
                    <w:vAlign w:val="center"/>
                  </w:tcPr>
                  <w:p>
                    <w:pPr>
                      <w:jc w:val="center"/>
                      <w:rPr>
                        <w:sz w:val="20"/>
                      </w:rPr>
                    </w:pPr>
                  </w:p>
                </w:tc>
                <w:tc>
                  <w:tcPr>
                    <w:tcW w:w="709" w:type="dxa"/>
                    <w:vMerge/>
                    <w:noWrap/>
                    <w:vAlign w:val="center"/>
                  </w:tcPr>
                  <w:p>
                    <w:pPr>
                      <w:jc w:val="center"/>
                      <w:rPr>
                        <w:sz w:val="20"/>
                      </w:rPr>
                    </w:pPr>
                  </w:p>
                </w:tc>
                <w:tc>
                  <w:tcPr>
                    <w:tcW w:w="1417" w:type="dxa"/>
                    <w:noWrap/>
                    <w:vAlign w:val="center"/>
                    <w:hideMark/>
                  </w:tcPr>
                  <w:p>
                    <w:pPr>
                      <w:rPr>
                        <w:sz w:val="20"/>
                      </w:rPr>
                    </w:pPr>
                    <w:r>
                      <w:rPr>
                        <w:sz w:val="20"/>
                      </w:rPr>
                      <w:t>P-14-03-05-02</w:t>
                    </w:r>
                  </w:p>
                </w:tc>
                <w:tc>
                  <w:tcPr>
                    <w:tcW w:w="4111" w:type="dxa"/>
                    <w:vAlign w:val="center"/>
                    <w:hideMark/>
                  </w:tcPr>
                  <w:p>
                    <w:pPr>
                      <w:rPr>
                        <w:sz w:val="20"/>
                      </w:rPr>
                    </w:pPr>
                    <w:r>
                      <w:rPr>
                        <w:sz w:val="20"/>
                      </w:rPr>
                      <w:t>Naujai įrengto apšvietimo infrastruktūros tinklo ilgis (km)</w:t>
                    </w:r>
                  </w:p>
                </w:tc>
                <w:tc>
                  <w:tcPr>
                    <w:tcW w:w="1134" w:type="dxa"/>
                    <w:vAlign w:val="center"/>
                    <w:hideMark/>
                  </w:tcPr>
                  <w:p>
                    <w:pPr>
                      <w:jc w:val="center"/>
                      <w:rPr>
                        <w:sz w:val="20"/>
                      </w:rPr>
                    </w:pPr>
                    <w:r>
                      <w:rPr>
                        <w:sz w:val="20"/>
                      </w:rPr>
                      <w:t>MŪAS, ŠGA</w:t>
                    </w:r>
                  </w:p>
                </w:tc>
                <w:tc>
                  <w:tcPr>
                    <w:tcW w:w="1134" w:type="dxa"/>
                    <w:noWrap/>
                    <w:vAlign w:val="center"/>
                    <w:hideMark/>
                  </w:tcPr>
                  <w:p>
                    <w:pPr>
                      <w:jc w:val="center"/>
                      <w:rPr>
                        <w:sz w:val="20"/>
                      </w:rPr>
                    </w:pPr>
                    <w:r>
                      <w:rPr>
                        <w:sz w:val="20"/>
                      </w:rPr>
                      <w:t>0 (2023)</w:t>
                    </w:r>
                  </w:p>
                </w:tc>
                <w:tc>
                  <w:tcPr>
                    <w:tcW w:w="1134" w:type="dxa"/>
                    <w:noWrap/>
                    <w:vAlign w:val="center"/>
                    <w:hideMark/>
                  </w:tcPr>
                  <w:p>
                    <w:pPr>
                      <w:jc w:val="center"/>
                      <w:rPr>
                        <w:sz w:val="20"/>
                      </w:rPr>
                    </w:pPr>
                    <w:r>
                      <w:rPr>
                        <w:sz w:val="20"/>
                      </w:rPr>
                      <w:t>9 (2033)</w:t>
                    </w:r>
                  </w:p>
                </w:tc>
              </w:tr>
              <w:tr>
                <w:trPr>
                  <w:trHeight w:val="534"/>
                  <w:jc w:val="center"/>
                </w:trPr>
                <w:tc>
                  <w:tcPr>
                    <w:tcW w:w="988" w:type="dxa"/>
                    <w:vMerge w:val="restart"/>
                    <w:shd w:val="clear" w:color="auto" w:fill="FFD966"/>
                    <w:noWrap/>
                    <w:vAlign w:val="center"/>
                    <w:hideMark/>
                  </w:tcPr>
                  <w:p>
                    <w:pPr>
                      <w:rPr>
                        <w:b/>
                        <w:bCs/>
                        <w:sz w:val="20"/>
                      </w:rPr>
                    </w:pPr>
                    <w:r>
                      <w:rPr>
                        <w:b/>
                        <w:bCs/>
                        <w:sz w:val="20"/>
                      </w:rPr>
                      <w:t>15</w:t>
                    </w:r>
                  </w:p>
                </w:tc>
                <w:tc>
                  <w:tcPr>
                    <w:tcW w:w="2126" w:type="dxa"/>
                    <w:vMerge w:val="restart"/>
                    <w:shd w:val="clear" w:color="auto" w:fill="FFD966"/>
                    <w:vAlign w:val="center"/>
                    <w:hideMark/>
                  </w:tcPr>
                  <w:p>
                    <w:pPr>
                      <w:rPr>
                        <w:b/>
                        <w:bCs/>
                        <w:sz w:val="20"/>
                      </w:rPr>
                    </w:pPr>
                    <w:r>
                      <w:rPr>
                        <w:b/>
                        <w:bCs/>
                        <w:sz w:val="20"/>
                      </w:rPr>
                      <w:t>Skatinti miesto ekonominę plėtrą, sudarant palankias sąlygas verslo, turizmo ir laisvalaikio vystymuisi</w:t>
                    </w:r>
                  </w:p>
                </w:tc>
                <w:tc>
                  <w:tcPr>
                    <w:tcW w:w="850" w:type="dxa"/>
                    <w:vMerge w:val="restart"/>
                    <w:shd w:val="clear" w:color="auto" w:fill="FFD966"/>
                    <w:vAlign w:val="center"/>
                    <w:hideMark/>
                  </w:tcPr>
                  <w:p>
                    <w:pPr>
                      <w:jc w:val="center"/>
                      <w:rPr>
                        <w:sz w:val="20"/>
                      </w:rPr>
                    </w:pPr>
                    <w:r>
                      <w:rPr>
                        <w:sz w:val="20"/>
                      </w:rPr>
                      <w:t>EIS</w:t>
                    </w:r>
                  </w:p>
                </w:tc>
                <w:tc>
                  <w:tcPr>
                    <w:tcW w:w="709" w:type="dxa"/>
                    <w:vMerge w:val="restart"/>
                    <w:shd w:val="clear" w:color="auto" w:fill="FFD966"/>
                    <w:vAlign w:val="center"/>
                    <w:hideMark/>
                  </w:tcPr>
                  <w:p>
                    <w:pPr>
                      <w:jc w:val="center"/>
                      <w:rPr>
                        <w:sz w:val="20"/>
                      </w:rPr>
                    </w:pPr>
                    <w:r>
                      <w:rPr>
                        <w:sz w:val="20"/>
                      </w:rPr>
                      <w:t>2025</w:t>
                    </w:r>
                  </w:p>
                </w:tc>
                <w:tc>
                  <w:tcPr>
                    <w:tcW w:w="709" w:type="dxa"/>
                    <w:vMerge w:val="restart"/>
                    <w:shd w:val="clear" w:color="auto" w:fill="FFD966"/>
                    <w:vAlign w:val="center"/>
                    <w:hideMark/>
                  </w:tcPr>
                  <w:p>
                    <w:pPr>
                      <w:jc w:val="center"/>
                      <w:rPr>
                        <w:sz w:val="20"/>
                      </w:rPr>
                    </w:pPr>
                    <w:r>
                      <w:rPr>
                        <w:sz w:val="20"/>
                      </w:rPr>
                      <w:t>2033</w:t>
                    </w:r>
                  </w:p>
                </w:tc>
                <w:tc>
                  <w:tcPr>
                    <w:tcW w:w="1417" w:type="dxa"/>
                    <w:shd w:val="clear" w:color="auto" w:fill="FFD966"/>
                    <w:vAlign w:val="center"/>
                    <w:hideMark/>
                  </w:tcPr>
                  <w:p>
                    <w:pPr>
                      <w:rPr>
                        <w:sz w:val="20"/>
                      </w:rPr>
                    </w:pPr>
                    <w:r>
                      <w:rPr>
                        <w:sz w:val="20"/>
                      </w:rPr>
                      <w:t>P-15-01</w:t>
                    </w:r>
                  </w:p>
                </w:tc>
                <w:tc>
                  <w:tcPr>
                    <w:tcW w:w="4111" w:type="dxa"/>
                    <w:shd w:val="clear" w:color="auto" w:fill="FFD966"/>
                    <w:vAlign w:val="center"/>
                    <w:hideMark/>
                  </w:tcPr>
                  <w:p>
                    <w:pPr>
                      <w:rPr>
                        <w:sz w:val="20"/>
                      </w:rPr>
                    </w:pPr>
                    <w:r>
                      <w:rPr>
                        <w:sz w:val="20"/>
                      </w:rPr>
                      <w:t>Vidutinis mėnesinis bruto darbo užmokestis (santykis su LT vidurkiu) (Eur per metus)</w:t>
                    </w:r>
                  </w:p>
                </w:tc>
                <w:tc>
                  <w:tcPr>
                    <w:tcW w:w="1134" w:type="dxa"/>
                    <w:shd w:val="clear" w:color="auto" w:fill="FFD966"/>
                    <w:vAlign w:val="center"/>
                    <w:hideMark/>
                  </w:tcPr>
                  <w:p>
                    <w:pPr>
                      <w:jc w:val="center"/>
                      <w:rPr>
                        <w:sz w:val="20"/>
                      </w:rPr>
                    </w:pPr>
                    <w:r>
                      <w:rPr>
                        <w:sz w:val="20"/>
                      </w:rPr>
                      <w:t>VDA (EIS)</w:t>
                    </w:r>
                  </w:p>
                </w:tc>
                <w:tc>
                  <w:tcPr>
                    <w:tcW w:w="1134" w:type="dxa"/>
                    <w:shd w:val="clear" w:color="auto" w:fill="FFD966"/>
                    <w:vAlign w:val="center"/>
                    <w:hideMark/>
                  </w:tcPr>
                  <w:p>
                    <w:pPr>
                      <w:jc w:val="center"/>
                      <w:rPr>
                        <w:sz w:val="20"/>
                      </w:rPr>
                    </w:pPr>
                    <w:r>
                      <w:rPr>
                        <w:sz w:val="20"/>
                      </w:rPr>
                      <w:t>1546 (0,86) (2022)</w:t>
                    </w:r>
                  </w:p>
                </w:tc>
                <w:tc>
                  <w:tcPr>
                    <w:tcW w:w="1134" w:type="dxa"/>
                    <w:shd w:val="clear" w:color="auto" w:fill="FFD966"/>
                    <w:vAlign w:val="center"/>
                    <w:hideMark/>
                  </w:tcPr>
                  <w:p>
                    <w:pPr>
                      <w:jc w:val="center"/>
                      <w:rPr>
                        <w:sz w:val="20"/>
                      </w:rPr>
                    </w:pPr>
                    <w:r>
                      <w:rPr>
                        <w:sz w:val="20"/>
                      </w:rPr>
                      <w:t>0,92 (2033)</w:t>
                    </w:r>
                  </w:p>
                </w:tc>
              </w:tr>
              <w:tr>
                <w:trPr>
                  <w:trHeight w:val="695"/>
                  <w:jc w:val="center"/>
                </w:trPr>
                <w:tc>
                  <w:tcPr>
                    <w:tcW w:w="988" w:type="dxa"/>
                    <w:vMerge/>
                    <w:shd w:val="clear" w:color="auto" w:fill="FFD966"/>
                    <w:vAlign w:val="center"/>
                    <w:hideMark/>
                  </w:tcPr>
                  <w:p>
                    <w:pPr>
                      <w:rPr>
                        <w:b/>
                        <w:bCs/>
                        <w:sz w:val="20"/>
                      </w:rPr>
                    </w:pPr>
                  </w:p>
                </w:tc>
                <w:tc>
                  <w:tcPr>
                    <w:tcW w:w="2126" w:type="dxa"/>
                    <w:vMerge/>
                    <w:shd w:val="clear" w:color="auto" w:fill="FFD966"/>
                    <w:vAlign w:val="center"/>
                    <w:hideMark/>
                  </w:tcPr>
                  <w:p>
                    <w:pPr>
                      <w:rPr>
                        <w:b/>
                        <w:bCs/>
                        <w:sz w:val="20"/>
                      </w:rPr>
                    </w:pPr>
                  </w:p>
                </w:tc>
                <w:tc>
                  <w:tcPr>
                    <w:tcW w:w="850" w:type="dxa"/>
                    <w:vMerge/>
                    <w:shd w:val="clear" w:color="auto" w:fill="FFD966"/>
                    <w:vAlign w:val="center"/>
                    <w:hideMark/>
                  </w:tcPr>
                  <w:p>
                    <w:pPr>
                      <w:rPr>
                        <w:sz w:val="20"/>
                      </w:rPr>
                    </w:pPr>
                  </w:p>
                </w:tc>
                <w:tc>
                  <w:tcPr>
                    <w:tcW w:w="709" w:type="dxa"/>
                    <w:vMerge/>
                    <w:shd w:val="clear" w:color="auto" w:fill="FFD966"/>
                    <w:vAlign w:val="center"/>
                    <w:hideMark/>
                  </w:tcPr>
                  <w:p>
                    <w:pPr>
                      <w:rPr>
                        <w:sz w:val="20"/>
                      </w:rPr>
                    </w:pPr>
                  </w:p>
                </w:tc>
                <w:tc>
                  <w:tcPr>
                    <w:tcW w:w="709" w:type="dxa"/>
                    <w:vMerge/>
                    <w:shd w:val="clear" w:color="auto" w:fill="FFD966"/>
                    <w:vAlign w:val="center"/>
                    <w:hideMark/>
                  </w:tcPr>
                  <w:p>
                    <w:pPr>
                      <w:rPr>
                        <w:sz w:val="20"/>
                      </w:rPr>
                    </w:pPr>
                  </w:p>
                </w:tc>
                <w:tc>
                  <w:tcPr>
                    <w:tcW w:w="1417" w:type="dxa"/>
                    <w:shd w:val="clear" w:color="auto" w:fill="FFD966"/>
                    <w:vAlign w:val="center"/>
                    <w:hideMark/>
                  </w:tcPr>
                  <w:p>
                    <w:pPr>
                      <w:rPr>
                        <w:sz w:val="20"/>
                      </w:rPr>
                    </w:pPr>
                    <w:r>
                      <w:rPr>
                        <w:sz w:val="20"/>
                      </w:rPr>
                      <w:t>P-15-02</w:t>
                    </w:r>
                  </w:p>
                </w:tc>
                <w:tc>
                  <w:tcPr>
                    <w:tcW w:w="4111" w:type="dxa"/>
                    <w:shd w:val="clear" w:color="auto" w:fill="FFD966"/>
                    <w:vAlign w:val="center"/>
                    <w:hideMark/>
                  </w:tcPr>
                  <w:p>
                    <w:pPr>
                      <w:rPr>
                        <w:sz w:val="20"/>
                      </w:rPr>
                    </w:pPr>
                    <w:r>
                      <w:rPr>
                        <w:sz w:val="20"/>
                      </w:rPr>
                      <w:t xml:space="preserve">Materialinės investicijos (MI), tenkančios 1 gyventojui (santykis su LT vidurkiu)  (Eur per metus)</w:t>
                    </w:r>
                  </w:p>
                </w:tc>
                <w:tc>
                  <w:tcPr>
                    <w:tcW w:w="1134" w:type="dxa"/>
                    <w:shd w:val="clear" w:color="auto" w:fill="FFD966"/>
                    <w:vAlign w:val="center"/>
                    <w:hideMark/>
                  </w:tcPr>
                  <w:p>
                    <w:pPr>
                      <w:jc w:val="center"/>
                      <w:rPr>
                        <w:sz w:val="20"/>
                      </w:rPr>
                    </w:pPr>
                    <w:r>
                      <w:rPr>
                        <w:sz w:val="20"/>
                      </w:rPr>
                      <w:t>VDA (EIS)</w:t>
                    </w:r>
                  </w:p>
                </w:tc>
                <w:tc>
                  <w:tcPr>
                    <w:tcW w:w="1134" w:type="dxa"/>
                    <w:shd w:val="clear" w:color="auto" w:fill="FFD966"/>
                    <w:vAlign w:val="center"/>
                    <w:hideMark/>
                  </w:tcPr>
                  <w:p>
                    <w:pPr>
                      <w:jc w:val="center"/>
                      <w:rPr>
                        <w:sz w:val="20"/>
                      </w:rPr>
                    </w:pPr>
                    <w:r>
                      <w:rPr>
                        <w:sz w:val="20"/>
                      </w:rPr>
                      <w:t>3044 (0,69) (2022)</w:t>
                    </w:r>
                  </w:p>
                </w:tc>
                <w:tc>
                  <w:tcPr>
                    <w:tcW w:w="1134" w:type="dxa"/>
                    <w:shd w:val="clear" w:color="auto" w:fill="FFD966"/>
                    <w:vAlign w:val="center"/>
                    <w:hideMark/>
                  </w:tcPr>
                  <w:p>
                    <w:pPr>
                      <w:jc w:val="center"/>
                      <w:rPr>
                        <w:sz w:val="20"/>
                      </w:rPr>
                    </w:pPr>
                    <w:r>
                      <w:rPr>
                        <w:sz w:val="20"/>
                      </w:rPr>
                      <w:t>0,9 (2033)</w:t>
                    </w:r>
                  </w:p>
                </w:tc>
              </w:tr>
              <w:tr>
                <w:trPr>
                  <w:trHeight w:val="563"/>
                  <w:jc w:val="center"/>
                </w:trPr>
                <w:tc>
                  <w:tcPr>
                    <w:tcW w:w="988" w:type="dxa"/>
                    <w:vMerge/>
                    <w:shd w:val="clear" w:color="auto" w:fill="FFD966"/>
                    <w:vAlign w:val="center"/>
                    <w:hideMark/>
                  </w:tcPr>
                  <w:p>
                    <w:pPr>
                      <w:rPr>
                        <w:b/>
                        <w:bCs/>
                        <w:sz w:val="20"/>
                      </w:rPr>
                    </w:pPr>
                  </w:p>
                </w:tc>
                <w:tc>
                  <w:tcPr>
                    <w:tcW w:w="2126" w:type="dxa"/>
                    <w:vMerge/>
                    <w:shd w:val="clear" w:color="auto" w:fill="FFD966"/>
                    <w:vAlign w:val="center"/>
                    <w:hideMark/>
                  </w:tcPr>
                  <w:p>
                    <w:pPr>
                      <w:rPr>
                        <w:b/>
                        <w:bCs/>
                        <w:sz w:val="20"/>
                      </w:rPr>
                    </w:pPr>
                  </w:p>
                </w:tc>
                <w:tc>
                  <w:tcPr>
                    <w:tcW w:w="850" w:type="dxa"/>
                    <w:vMerge/>
                    <w:shd w:val="clear" w:color="auto" w:fill="FFD966"/>
                    <w:vAlign w:val="center"/>
                    <w:hideMark/>
                  </w:tcPr>
                  <w:p>
                    <w:pPr>
                      <w:rPr>
                        <w:sz w:val="20"/>
                      </w:rPr>
                    </w:pPr>
                  </w:p>
                </w:tc>
                <w:tc>
                  <w:tcPr>
                    <w:tcW w:w="709" w:type="dxa"/>
                    <w:vMerge/>
                    <w:shd w:val="clear" w:color="auto" w:fill="FFD966"/>
                    <w:vAlign w:val="center"/>
                    <w:hideMark/>
                  </w:tcPr>
                  <w:p>
                    <w:pPr>
                      <w:rPr>
                        <w:sz w:val="20"/>
                      </w:rPr>
                    </w:pPr>
                  </w:p>
                </w:tc>
                <w:tc>
                  <w:tcPr>
                    <w:tcW w:w="709" w:type="dxa"/>
                    <w:vMerge/>
                    <w:shd w:val="clear" w:color="auto" w:fill="FFD966"/>
                    <w:vAlign w:val="center"/>
                    <w:hideMark/>
                  </w:tcPr>
                  <w:p>
                    <w:pPr>
                      <w:rPr>
                        <w:sz w:val="20"/>
                      </w:rPr>
                    </w:pPr>
                  </w:p>
                </w:tc>
                <w:tc>
                  <w:tcPr>
                    <w:tcW w:w="1417" w:type="dxa"/>
                    <w:shd w:val="clear" w:color="auto" w:fill="FFD966"/>
                    <w:vAlign w:val="center"/>
                    <w:hideMark/>
                  </w:tcPr>
                  <w:p>
                    <w:pPr>
                      <w:rPr>
                        <w:sz w:val="20"/>
                      </w:rPr>
                    </w:pPr>
                    <w:r>
                      <w:rPr>
                        <w:sz w:val="20"/>
                      </w:rPr>
                      <w:t>P-15-03</w:t>
                    </w:r>
                  </w:p>
                </w:tc>
                <w:tc>
                  <w:tcPr>
                    <w:tcW w:w="4111" w:type="dxa"/>
                    <w:shd w:val="clear" w:color="auto" w:fill="FFD966"/>
                    <w:vAlign w:val="center"/>
                    <w:hideMark/>
                  </w:tcPr>
                  <w:p>
                    <w:pPr>
                      <w:rPr>
                        <w:sz w:val="20"/>
                      </w:rPr>
                    </w:pPr>
                    <w:r>
                      <w:rPr>
                        <w:sz w:val="20"/>
                      </w:rPr>
                      <w:t>Nakvynių ir turistų skaičius apgyvendinimo įstaigose (tūkst. vnt. / asm. per metus)</w:t>
                    </w:r>
                  </w:p>
                </w:tc>
                <w:tc>
                  <w:tcPr>
                    <w:tcW w:w="1134" w:type="dxa"/>
                    <w:shd w:val="clear" w:color="auto" w:fill="FFD966"/>
                    <w:vAlign w:val="center"/>
                    <w:hideMark/>
                  </w:tcPr>
                  <w:p>
                    <w:pPr>
                      <w:jc w:val="center"/>
                      <w:rPr>
                        <w:sz w:val="20"/>
                      </w:rPr>
                    </w:pPr>
                    <w:r>
                      <w:rPr>
                        <w:sz w:val="20"/>
                      </w:rPr>
                      <w:t>VDA (TIC)</w:t>
                    </w:r>
                  </w:p>
                </w:tc>
                <w:tc>
                  <w:tcPr>
                    <w:tcW w:w="1134" w:type="dxa"/>
                    <w:shd w:val="clear" w:color="auto" w:fill="FFD966"/>
                    <w:vAlign w:val="center"/>
                    <w:hideMark/>
                  </w:tcPr>
                  <w:p>
                    <w:pPr>
                      <w:jc w:val="center"/>
                      <w:rPr>
                        <w:sz w:val="20"/>
                      </w:rPr>
                    </w:pPr>
                    <w:r>
                      <w:rPr>
                        <w:sz w:val="20"/>
                      </w:rPr>
                      <w:t>149,2 / 41,6 (2023)</w:t>
                    </w:r>
                  </w:p>
                </w:tc>
                <w:tc>
                  <w:tcPr>
                    <w:tcW w:w="1134" w:type="dxa"/>
                    <w:shd w:val="clear" w:color="auto" w:fill="FFD966"/>
                    <w:vAlign w:val="center"/>
                    <w:hideMark/>
                  </w:tcPr>
                  <w:p>
                    <w:pPr>
                      <w:jc w:val="center"/>
                      <w:rPr>
                        <w:sz w:val="20"/>
                      </w:rPr>
                    </w:pPr>
                    <w:r>
                      <w:rPr>
                        <w:sz w:val="20"/>
                      </w:rPr>
                      <w:t>181,9 / 70 (2033)</w:t>
                    </w:r>
                  </w:p>
                </w:tc>
              </w:tr>
              <w:tr>
                <w:trPr>
                  <w:trHeight w:val="530"/>
                  <w:jc w:val="center"/>
                </w:trPr>
                <w:tc>
                  <w:tcPr>
                    <w:tcW w:w="988" w:type="dxa"/>
                    <w:vMerge/>
                    <w:shd w:val="clear" w:color="auto" w:fill="FFD966"/>
                    <w:vAlign w:val="center"/>
                    <w:hideMark/>
                  </w:tcPr>
                  <w:p>
                    <w:pPr>
                      <w:rPr>
                        <w:b/>
                        <w:bCs/>
                        <w:sz w:val="20"/>
                      </w:rPr>
                    </w:pPr>
                  </w:p>
                </w:tc>
                <w:tc>
                  <w:tcPr>
                    <w:tcW w:w="2126" w:type="dxa"/>
                    <w:vMerge/>
                    <w:shd w:val="clear" w:color="auto" w:fill="FFD966"/>
                    <w:vAlign w:val="center"/>
                    <w:hideMark/>
                  </w:tcPr>
                  <w:p>
                    <w:pPr>
                      <w:rPr>
                        <w:b/>
                        <w:bCs/>
                        <w:sz w:val="20"/>
                      </w:rPr>
                    </w:pPr>
                  </w:p>
                </w:tc>
                <w:tc>
                  <w:tcPr>
                    <w:tcW w:w="850" w:type="dxa"/>
                    <w:vMerge/>
                    <w:shd w:val="clear" w:color="auto" w:fill="FFD966"/>
                    <w:vAlign w:val="center"/>
                    <w:hideMark/>
                  </w:tcPr>
                  <w:p>
                    <w:pPr>
                      <w:rPr>
                        <w:sz w:val="20"/>
                      </w:rPr>
                    </w:pPr>
                  </w:p>
                </w:tc>
                <w:tc>
                  <w:tcPr>
                    <w:tcW w:w="709" w:type="dxa"/>
                    <w:vMerge/>
                    <w:shd w:val="clear" w:color="auto" w:fill="FFD966"/>
                    <w:vAlign w:val="center"/>
                    <w:hideMark/>
                  </w:tcPr>
                  <w:p>
                    <w:pPr>
                      <w:rPr>
                        <w:sz w:val="20"/>
                      </w:rPr>
                    </w:pPr>
                  </w:p>
                </w:tc>
                <w:tc>
                  <w:tcPr>
                    <w:tcW w:w="709" w:type="dxa"/>
                    <w:vMerge/>
                    <w:shd w:val="clear" w:color="auto" w:fill="FFD966"/>
                    <w:vAlign w:val="center"/>
                    <w:hideMark/>
                  </w:tcPr>
                  <w:p>
                    <w:pPr>
                      <w:rPr>
                        <w:sz w:val="20"/>
                      </w:rPr>
                    </w:pPr>
                  </w:p>
                </w:tc>
                <w:tc>
                  <w:tcPr>
                    <w:tcW w:w="1417" w:type="dxa"/>
                    <w:shd w:val="clear" w:color="auto" w:fill="FFD966"/>
                    <w:vAlign w:val="center"/>
                    <w:hideMark/>
                  </w:tcPr>
                  <w:p>
                    <w:pPr>
                      <w:rPr>
                        <w:sz w:val="20"/>
                      </w:rPr>
                    </w:pPr>
                    <w:r>
                      <w:rPr>
                        <w:sz w:val="20"/>
                      </w:rPr>
                      <w:t>P-15-04</w:t>
                    </w:r>
                  </w:p>
                </w:tc>
                <w:tc>
                  <w:tcPr>
                    <w:tcW w:w="4111" w:type="dxa"/>
                    <w:shd w:val="clear" w:color="auto" w:fill="FFD966"/>
                    <w:vAlign w:val="center"/>
                    <w:hideMark/>
                  </w:tcPr>
                  <w:p>
                    <w:pPr>
                      <w:rPr>
                        <w:sz w:val="20"/>
                      </w:rPr>
                    </w:pPr>
                    <w:r>
                      <w:rPr>
                        <w:sz w:val="20"/>
                      </w:rPr>
                      <w:t>Vietos ir užsienio turistų pasitenkinimo lygis (proc.)</w:t>
                    </w:r>
                  </w:p>
                </w:tc>
                <w:tc>
                  <w:tcPr>
                    <w:tcW w:w="1134" w:type="dxa"/>
                    <w:shd w:val="clear" w:color="auto" w:fill="FFD966"/>
                    <w:vAlign w:val="center"/>
                    <w:hideMark/>
                  </w:tcPr>
                  <w:p>
                    <w:pPr>
                      <w:jc w:val="center"/>
                      <w:rPr>
                        <w:sz w:val="20"/>
                      </w:rPr>
                    </w:pPr>
                    <w:r>
                      <w:rPr>
                        <w:sz w:val="20"/>
                      </w:rPr>
                      <w:t>Tyrimas (TIC)</w:t>
                    </w:r>
                  </w:p>
                </w:tc>
                <w:tc>
                  <w:tcPr>
                    <w:tcW w:w="1134" w:type="dxa"/>
                    <w:shd w:val="clear" w:color="auto" w:fill="FFD966"/>
                    <w:vAlign w:val="center"/>
                    <w:hideMark/>
                  </w:tcPr>
                  <w:p>
                    <w:pPr>
                      <w:jc w:val="center"/>
                      <w:rPr>
                        <w:sz w:val="20"/>
                      </w:rPr>
                    </w:pPr>
                    <w:r>
                      <w:rPr>
                        <w:sz w:val="20"/>
                      </w:rPr>
                      <w:t>n.d. (2023)</w:t>
                    </w:r>
                  </w:p>
                </w:tc>
                <w:tc>
                  <w:tcPr>
                    <w:tcW w:w="1134" w:type="dxa"/>
                    <w:shd w:val="clear" w:color="auto" w:fill="FFD966"/>
                    <w:vAlign w:val="center"/>
                    <w:hideMark/>
                  </w:tcPr>
                  <w:p>
                    <w:pPr>
                      <w:jc w:val="center"/>
                      <w:rPr>
                        <w:sz w:val="20"/>
                      </w:rPr>
                    </w:pPr>
                    <w:r>
                      <w:rPr>
                        <w:sz w:val="20"/>
                      </w:rPr>
                      <w:t>70 (2033)</w:t>
                    </w:r>
                  </w:p>
                </w:tc>
              </w:tr>
              <w:tr>
                <w:trPr>
                  <w:trHeight w:val="736"/>
                  <w:jc w:val="center"/>
                </w:trPr>
                <w:tc>
                  <w:tcPr>
                    <w:tcW w:w="988" w:type="dxa"/>
                    <w:vMerge w:val="restart"/>
                    <w:shd w:val="clear" w:color="auto" w:fill="FCE4D6"/>
                    <w:noWrap/>
                    <w:vAlign w:val="center"/>
                    <w:hideMark/>
                  </w:tcPr>
                  <w:p>
                    <w:pPr>
                      <w:rPr>
                        <w:b/>
                        <w:bCs/>
                        <w:sz w:val="20"/>
                      </w:rPr>
                    </w:pPr>
                    <w:r>
                      <w:rPr>
                        <w:b/>
                        <w:bCs/>
                        <w:sz w:val="20"/>
                      </w:rPr>
                      <w:t>15-01</w:t>
                    </w:r>
                  </w:p>
                </w:tc>
                <w:tc>
                  <w:tcPr>
                    <w:tcW w:w="2126" w:type="dxa"/>
                    <w:vMerge w:val="restart"/>
                    <w:shd w:val="clear" w:color="auto" w:fill="FCE4D6"/>
                    <w:vAlign w:val="center"/>
                    <w:hideMark/>
                  </w:tcPr>
                  <w:p>
                    <w:pPr>
                      <w:rPr>
                        <w:b/>
                        <w:bCs/>
                        <w:sz w:val="20"/>
                      </w:rPr>
                    </w:pPr>
                    <w:r>
                      <w:rPr>
                        <w:b/>
                        <w:bCs/>
                        <w:sz w:val="20"/>
                      </w:rPr>
                      <w:t>Pagerinti investicijų pritraukimo ir verslo plėtros sąlygas</w:t>
                    </w:r>
                  </w:p>
                </w:tc>
                <w:tc>
                  <w:tcPr>
                    <w:tcW w:w="850" w:type="dxa"/>
                    <w:vMerge w:val="restart"/>
                    <w:shd w:val="clear" w:color="auto" w:fill="FCE4D6"/>
                    <w:vAlign w:val="center"/>
                    <w:hideMark/>
                  </w:tcPr>
                  <w:p>
                    <w:pPr>
                      <w:jc w:val="center"/>
                      <w:rPr>
                        <w:sz w:val="20"/>
                      </w:rPr>
                    </w:pPr>
                    <w:r>
                      <w:rPr>
                        <w:sz w:val="20"/>
                      </w:rPr>
                      <w:t>EIS</w:t>
                    </w:r>
                  </w:p>
                </w:tc>
                <w:tc>
                  <w:tcPr>
                    <w:tcW w:w="709" w:type="dxa"/>
                    <w:vMerge w:val="restart"/>
                    <w:shd w:val="clear" w:color="auto" w:fill="FCE4D6"/>
                    <w:vAlign w:val="center"/>
                    <w:hideMark/>
                  </w:tcPr>
                  <w:p>
                    <w:pPr>
                      <w:jc w:val="center"/>
                      <w:rPr>
                        <w:sz w:val="20"/>
                      </w:rPr>
                    </w:pPr>
                    <w:r>
                      <w:rPr>
                        <w:sz w:val="20"/>
                      </w:rPr>
                      <w:t>2025</w:t>
                    </w:r>
                  </w:p>
                </w:tc>
                <w:tc>
                  <w:tcPr>
                    <w:tcW w:w="709" w:type="dxa"/>
                    <w:vMerge w:val="restart"/>
                    <w:shd w:val="clear" w:color="auto" w:fill="FCE4D6"/>
                    <w:vAlign w:val="center"/>
                    <w:hideMark/>
                  </w:tcPr>
                  <w:p>
                    <w:pPr>
                      <w:jc w:val="center"/>
                      <w:rPr>
                        <w:sz w:val="20"/>
                      </w:rPr>
                    </w:pPr>
                    <w:r>
                      <w:rPr>
                        <w:sz w:val="20"/>
                      </w:rPr>
                      <w:t>2033</w:t>
                    </w:r>
                  </w:p>
                </w:tc>
                <w:tc>
                  <w:tcPr>
                    <w:tcW w:w="1417" w:type="dxa"/>
                    <w:shd w:val="clear" w:color="auto" w:fill="FCE4D6"/>
                    <w:vAlign w:val="center"/>
                    <w:hideMark/>
                  </w:tcPr>
                  <w:p>
                    <w:pPr>
                      <w:rPr>
                        <w:b/>
                        <w:bCs/>
                        <w:sz w:val="20"/>
                      </w:rPr>
                    </w:pPr>
                    <w:r>
                      <w:rPr>
                        <w:b/>
                        <w:bCs/>
                        <w:sz w:val="20"/>
                      </w:rPr>
                      <w:t>R-15-01-01</w:t>
                    </w:r>
                  </w:p>
                </w:tc>
                <w:tc>
                  <w:tcPr>
                    <w:tcW w:w="4111" w:type="dxa"/>
                    <w:shd w:val="clear" w:color="auto" w:fill="FCE4D6"/>
                    <w:vAlign w:val="center"/>
                    <w:hideMark/>
                  </w:tcPr>
                  <w:p>
                    <w:pPr>
                      <w:rPr>
                        <w:sz w:val="20"/>
                      </w:rPr>
                    </w:pPr>
                    <w:r>
                      <w:rPr>
                        <w:sz w:val="20"/>
                      </w:rPr>
                      <w:t>Tiesioginės užsienio investicijos (TUI), tenkančios 1 gyventojui (santykis su LT vidurkiu) (Eur per metus)</w:t>
                    </w:r>
                  </w:p>
                </w:tc>
                <w:tc>
                  <w:tcPr>
                    <w:tcW w:w="1134" w:type="dxa"/>
                    <w:shd w:val="clear" w:color="auto" w:fill="FCE4D6"/>
                    <w:vAlign w:val="center"/>
                    <w:hideMark/>
                  </w:tcPr>
                  <w:p>
                    <w:pPr>
                      <w:jc w:val="center"/>
                      <w:rPr>
                        <w:sz w:val="20"/>
                      </w:rPr>
                    </w:pPr>
                    <w:r>
                      <w:rPr>
                        <w:sz w:val="20"/>
                      </w:rPr>
                      <w:t>VDA (EIS)</w:t>
                    </w:r>
                  </w:p>
                </w:tc>
                <w:tc>
                  <w:tcPr>
                    <w:tcW w:w="1134" w:type="dxa"/>
                    <w:shd w:val="clear" w:color="auto" w:fill="FCE4D6"/>
                    <w:vAlign w:val="center"/>
                    <w:hideMark/>
                  </w:tcPr>
                  <w:p>
                    <w:pPr>
                      <w:jc w:val="center"/>
                      <w:rPr>
                        <w:sz w:val="20"/>
                      </w:rPr>
                    </w:pPr>
                    <w:r>
                      <w:rPr>
                        <w:sz w:val="20"/>
                      </w:rPr>
                      <w:t>3202 (0,31) (2022)</w:t>
                    </w:r>
                  </w:p>
                </w:tc>
                <w:tc>
                  <w:tcPr>
                    <w:tcW w:w="1134" w:type="dxa"/>
                    <w:shd w:val="clear" w:color="auto" w:fill="FCE4D6"/>
                    <w:vAlign w:val="center"/>
                    <w:hideMark/>
                  </w:tcPr>
                  <w:p>
                    <w:pPr>
                      <w:jc w:val="center"/>
                      <w:rPr>
                        <w:sz w:val="20"/>
                      </w:rPr>
                    </w:pPr>
                    <w:r>
                      <w:rPr>
                        <w:sz w:val="20"/>
                      </w:rPr>
                      <w:t>0,55 (2033)</w:t>
                    </w:r>
                  </w:p>
                </w:tc>
              </w:tr>
              <w:tr>
                <w:trPr>
                  <w:trHeight w:val="520"/>
                  <w:jc w:val="center"/>
                </w:trPr>
                <w:tc>
                  <w:tcPr>
                    <w:tcW w:w="988" w:type="dxa"/>
                    <w:vMerge/>
                    <w:shd w:val="clear" w:color="auto" w:fill="FCE4D6"/>
                    <w:vAlign w:val="center"/>
                    <w:hideMark/>
                  </w:tcPr>
                  <w:p>
                    <w:pPr>
                      <w:rPr>
                        <w:b/>
                        <w:bCs/>
                        <w:sz w:val="20"/>
                      </w:rPr>
                    </w:pPr>
                  </w:p>
                </w:tc>
                <w:tc>
                  <w:tcPr>
                    <w:tcW w:w="2126" w:type="dxa"/>
                    <w:vMerge/>
                    <w:shd w:val="clear" w:color="auto" w:fill="FCE4D6"/>
                    <w:vAlign w:val="center"/>
                    <w:hideMark/>
                  </w:tcPr>
                  <w:p>
                    <w:pPr>
                      <w:rPr>
                        <w:b/>
                        <w:bCs/>
                        <w:sz w:val="20"/>
                      </w:rPr>
                    </w:pPr>
                  </w:p>
                </w:tc>
                <w:tc>
                  <w:tcPr>
                    <w:tcW w:w="850" w:type="dxa"/>
                    <w:vMerge/>
                    <w:shd w:val="clear" w:color="auto" w:fill="FCE4D6"/>
                    <w:vAlign w:val="center"/>
                    <w:hideMark/>
                  </w:tcPr>
                  <w:p>
                    <w:pPr>
                      <w:rPr>
                        <w:sz w:val="20"/>
                      </w:rPr>
                    </w:pPr>
                  </w:p>
                </w:tc>
                <w:tc>
                  <w:tcPr>
                    <w:tcW w:w="709" w:type="dxa"/>
                    <w:vMerge/>
                    <w:shd w:val="clear" w:color="auto" w:fill="FCE4D6"/>
                    <w:vAlign w:val="center"/>
                    <w:hideMark/>
                  </w:tcPr>
                  <w:p>
                    <w:pPr>
                      <w:rPr>
                        <w:sz w:val="20"/>
                      </w:rPr>
                    </w:pPr>
                  </w:p>
                </w:tc>
                <w:tc>
                  <w:tcPr>
                    <w:tcW w:w="709" w:type="dxa"/>
                    <w:vMerge/>
                    <w:shd w:val="clear" w:color="auto" w:fill="FCE4D6"/>
                    <w:vAlign w:val="center"/>
                    <w:hideMark/>
                  </w:tcPr>
                  <w:p>
                    <w:pPr>
                      <w:rPr>
                        <w:sz w:val="20"/>
                      </w:rPr>
                    </w:pPr>
                  </w:p>
                </w:tc>
                <w:tc>
                  <w:tcPr>
                    <w:tcW w:w="1417" w:type="dxa"/>
                    <w:shd w:val="clear" w:color="auto" w:fill="FCE4D6"/>
                    <w:vAlign w:val="center"/>
                    <w:hideMark/>
                  </w:tcPr>
                  <w:p>
                    <w:pPr>
                      <w:rPr>
                        <w:b/>
                        <w:bCs/>
                        <w:sz w:val="20"/>
                      </w:rPr>
                    </w:pPr>
                    <w:r>
                      <w:rPr>
                        <w:b/>
                        <w:bCs/>
                        <w:sz w:val="20"/>
                      </w:rPr>
                      <w:t>R-15-01-02</w:t>
                    </w:r>
                  </w:p>
                </w:tc>
                <w:tc>
                  <w:tcPr>
                    <w:tcW w:w="4111" w:type="dxa"/>
                    <w:shd w:val="clear" w:color="auto" w:fill="FCE4D6"/>
                    <w:vAlign w:val="center"/>
                    <w:hideMark/>
                  </w:tcPr>
                  <w:p>
                    <w:pPr>
                      <w:rPr>
                        <w:sz w:val="20"/>
                      </w:rPr>
                    </w:pPr>
                    <w:r>
                      <w:rPr>
                        <w:sz w:val="20"/>
                      </w:rPr>
                      <w:t>Registruotų bedarbių ir darbingo amžiaus gyventojų santykis (proc.)</w:t>
                    </w:r>
                  </w:p>
                </w:tc>
                <w:tc>
                  <w:tcPr>
                    <w:tcW w:w="1134" w:type="dxa"/>
                    <w:shd w:val="clear" w:color="auto" w:fill="FCE4D6"/>
                    <w:vAlign w:val="center"/>
                    <w:hideMark/>
                  </w:tcPr>
                  <w:p>
                    <w:pPr>
                      <w:jc w:val="center"/>
                      <w:rPr>
                        <w:sz w:val="20"/>
                      </w:rPr>
                    </w:pPr>
                    <w:r>
                      <w:rPr>
                        <w:sz w:val="20"/>
                      </w:rPr>
                      <w:t>VDA (EIS)</w:t>
                    </w:r>
                  </w:p>
                </w:tc>
                <w:tc>
                  <w:tcPr>
                    <w:tcW w:w="1134" w:type="dxa"/>
                    <w:shd w:val="clear" w:color="auto" w:fill="FCE4D6"/>
                    <w:vAlign w:val="center"/>
                    <w:hideMark/>
                  </w:tcPr>
                  <w:p>
                    <w:pPr>
                      <w:jc w:val="center"/>
                      <w:rPr>
                        <w:sz w:val="20"/>
                      </w:rPr>
                    </w:pPr>
                    <w:r>
                      <w:rPr>
                        <w:sz w:val="20"/>
                      </w:rPr>
                      <w:t>6,9 (2023)</w:t>
                    </w:r>
                  </w:p>
                </w:tc>
                <w:tc>
                  <w:tcPr>
                    <w:tcW w:w="1134" w:type="dxa"/>
                    <w:shd w:val="clear" w:color="auto" w:fill="FCE4D6"/>
                    <w:vAlign w:val="center"/>
                    <w:hideMark/>
                  </w:tcPr>
                  <w:p>
                    <w:pPr>
                      <w:jc w:val="center"/>
                      <w:rPr>
                        <w:sz w:val="20"/>
                      </w:rPr>
                    </w:pPr>
                    <w:r>
                      <w:rPr>
                        <w:sz w:val="20"/>
                      </w:rPr>
                      <w:t>6 (2033)</w:t>
                    </w:r>
                  </w:p>
                </w:tc>
              </w:tr>
              <w:tr>
                <w:trPr>
                  <w:trHeight w:val="630"/>
                  <w:jc w:val="center"/>
                </w:trPr>
                <w:tc>
                  <w:tcPr>
                    <w:tcW w:w="988" w:type="dxa"/>
                    <w:vMerge/>
                    <w:shd w:val="clear" w:color="auto" w:fill="FCE4D6"/>
                    <w:vAlign w:val="center"/>
                    <w:hideMark/>
                  </w:tcPr>
                  <w:p>
                    <w:pPr>
                      <w:rPr>
                        <w:b/>
                        <w:bCs/>
                        <w:sz w:val="20"/>
                      </w:rPr>
                    </w:pPr>
                  </w:p>
                </w:tc>
                <w:tc>
                  <w:tcPr>
                    <w:tcW w:w="2126" w:type="dxa"/>
                    <w:vMerge/>
                    <w:shd w:val="clear" w:color="auto" w:fill="FCE4D6"/>
                    <w:vAlign w:val="center"/>
                    <w:hideMark/>
                  </w:tcPr>
                  <w:p>
                    <w:pPr>
                      <w:rPr>
                        <w:b/>
                        <w:bCs/>
                        <w:sz w:val="20"/>
                      </w:rPr>
                    </w:pPr>
                  </w:p>
                </w:tc>
                <w:tc>
                  <w:tcPr>
                    <w:tcW w:w="850" w:type="dxa"/>
                    <w:vMerge/>
                    <w:shd w:val="clear" w:color="auto" w:fill="FCE4D6"/>
                    <w:vAlign w:val="center"/>
                    <w:hideMark/>
                  </w:tcPr>
                  <w:p>
                    <w:pPr>
                      <w:rPr>
                        <w:sz w:val="20"/>
                      </w:rPr>
                    </w:pPr>
                  </w:p>
                </w:tc>
                <w:tc>
                  <w:tcPr>
                    <w:tcW w:w="709" w:type="dxa"/>
                    <w:vMerge/>
                    <w:shd w:val="clear" w:color="auto" w:fill="FCE4D6"/>
                    <w:vAlign w:val="center"/>
                    <w:hideMark/>
                  </w:tcPr>
                  <w:p>
                    <w:pPr>
                      <w:rPr>
                        <w:sz w:val="20"/>
                      </w:rPr>
                    </w:pPr>
                  </w:p>
                </w:tc>
                <w:tc>
                  <w:tcPr>
                    <w:tcW w:w="709" w:type="dxa"/>
                    <w:vMerge/>
                    <w:shd w:val="clear" w:color="auto" w:fill="FCE4D6"/>
                    <w:vAlign w:val="center"/>
                    <w:hideMark/>
                  </w:tcPr>
                  <w:p>
                    <w:pPr>
                      <w:rPr>
                        <w:sz w:val="20"/>
                      </w:rPr>
                    </w:pPr>
                  </w:p>
                </w:tc>
                <w:tc>
                  <w:tcPr>
                    <w:tcW w:w="1417" w:type="dxa"/>
                    <w:shd w:val="clear" w:color="auto" w:fill="FCE4D6"/>
                    <w:vAlign w:val="center"/>
                    <w:hideMark/>
                  </w:tcPr>
                  <w:p>
                    <w:pPr>
                      <w:rPr>
                        <w:b/>
                        <w:bCs/>
                        <w:sz w:val="20"/>
                      </w:rPr>
                    </w:pPr>
                    <w:r>
                      <w:rPr>
                        <w:b/>
                        <w:bCs/>
                        <w:sz w:val="20"/>
                      </w:rPr>
                      <w:t>R-15-01-03</w:t>
                    </w:r>
                  </w:p>
                </w:tc>
                <w:tc>
                  <w:tcPr>
                    <w:tcW w:w="4111" w:type="dxa"/>
                    <w:shd w:val="clear" w:color="auto" w:fill="FCE4D6"/>
                    <w:vAlign w:val="center"/>
                    <w:hideMark/>
                  </w:tcPr>
                  <w:p>
                    <w:pPr>
                      <w:rPr>
                        <w:sz w:val="20"/>
                      </w:rPr>
                    </w:pPr>
                    <w:r>
                      <w:rPr>
                        <w:sz w:val="20"/>
                      </w:rPr>
                      <w:t>Veikiančių įmonių metų pradžioje skaičius, tenkantis 1 tūkst. gyv. (santykis su LT vidurkiu) (vnt. per metus)</w:t>
                    </w:r>
                  </w:p>
                </w:tc>
                <w:tc>
                  <w:tcPr>
                    <w:tcW w:w="1134" w:type="dxa"/>
                    <w:shd w:val="clear" w:color="auto" w:fill="FCE4D6"/>
                    <w:vAlign w:val="center"/>
                    <w:hideMark/>
                  </w:tcPr>
                  <w:p>
                    <w:pPr>
                      <w:jc w:val="center"/>
                      <w:rPr>
                        <w:sz w:val="20"/>
                      </w:rPr>
                    </w:pPr>
                    <w:r>
                      <w:rPr>
                        <w:sz w:val="20"/>
                      </w:rPr>
                      <w:t>VDA (EIS)</w:t>
                    </w:r>
                  </w:p>
                </w:tc>
                <w:tc>
                  <w:tcPr>
                    <w:tcW w:w="1134" w:type="dxa"/>
                    <w:shd w:val="clear" w:color="auto" w:fill="FCE4D6"/>
                    <w:vAlign w:val="center"/>
                    <w:hideMark/>
                  </w:tcPr>
                  <w:p>
                    <w:pPr>
                      <w:jc w:val="center"/>
                      <w:rPr>
                        <w:sz w:val="20"/>
                      </w:rPr>
                    </w:pPr>
                    <w:r>
                      <w:rPr>
                        <w:sz w:val="20"/>
                      </w:rPr>
                      <w:t>30,7 (0,87) (2023)</w:t>
                    </w:r>
                  </w:p>
                </w:tc>
                <w:tc>
                  <w:tcPr>
                    <w:tcW w:w="1134" w:type="dxa"/>
                    <w:shd w:val="clear" w:color="auto" w:fill="FCE4D6"/>
                    <w:vAlign w:val="center"/>
                    <w:hideMark/>
                  </w:tcPr>
                  <w:p>
                    <w:pPr>
                      <w:jc w:val="center"/>
                      <w:rPr>
                        <w:sz w:val="20"/>
                      </w:rPr>
                    </w:pPr>
                    <w:r>
                      <w:rPr>
                        <w:sz w:val="20"/>
                      </w:rPr>
                      <w:t>1 (2033)</w:t>
                    </w:r>
                  </w:p>
                </w:tc>
              </w:tr>
              <w:tr>
                <w:trPr>
                  <w:trHeight w:val="965"/>
                  <w:jc w:val="center"/>
                </w:trPr>
                <w:tc>
                  <w:tcPr>
                    <w:tcW w:w="988" w:type="dxa"/>
                    <w:vMerge w:val="restart"/>
                    <w:noWrap/>
                    <w:vAlign w:val="center"/>
                    <w:hideMark/>
                  </w:tcPr>
                  <w:p>
                    <w:pPr>
                      <w:rPr>
                        <w:sz w:val="20"/>
                      </w:rPr>
                    </w:pPr>
                    <w:r>
                      <w:rPr>
                        <w:sz w:val="20"/>
                      </w:rPr>
                      <w:t>15-01-01</w:t>
                    </w:r>
                  </w:p>
                </w:tc>
                <w:tc>
                  <w:tcPr>
                    <w:tcW w:w="2126" w:type="dxa"/>
                    <w:vMerge w:val="restart"/>
                    <w:vAlign w:val="center"/>
                    <w:hideMark/>
                  </w:tcPr>
                  <w:p>
                    <w:pPr>
                      <w:rPr>
                        <w:sz w:val="20"/>
                      </w:rPr>
                    </w:pPr>
                    <w:r>
                      <w:rPr>
                        <w:sz w:val="20"/>
                      </w:rPr>
                      <w:t>Skatinti ir ugdyti verslumą</w:t>
                    </w:r>
                  </w:p>
                </w:tc>
                <w:tc>
                  <w:tcPr>
                    <w:tcW w:w="850" w:type="dxa"/>
                    <w:vMerge w:val="restart"/>
                    <w:vAlign w:val="center"/>
                    <w:hideMark/>
                  </w:tcPr>
                  <w:p>
                    <w:pPr>
                      <w:jc w:val="center"/>
                      <w:rPr>
                        <w:sz w:val="20"/>
                      </w:rPr>
                    </w:pPr>
                    <w:r>
                      <w:rPr>
                        <w:sz w:val="20"/>
                      </w:rPr>
                      <w:t>EIS</w:t>
                    </w:r>
                  </w:p>
                </w:tc>
                <w:tc>
                  <w:tcPr>
                    <w:tcW w:w="709" w:type="dxa"/>
                    <w:vMerge w:val="restart"/>
                    <w:vAlign w:val="center"/>
                    <w:hideMark/>
                  </w:tcPr>
                  <w:p>
                    <w:pPr>
                      <w:jc w:val="center"/>
                      <w:rPr>
                        <w:sz w:val="20"/>
                      </w:rPr>
                    </w:pPr>
                    <w:r>
                      <w:rPr>
                        <w:sz w:val="20"/>
                      </w:rPr>
                      <w:t>2025</w:t>
                    </w:r>
                  </w:p>
                </w:tc>
                <w:tc>
                  <w:tcPr>
                    <w:tcW w:w="709" w:type="dxa"/>
                    <w:vMerge w:val="restart"/>
                    <w:vAlign w:val="center"/>
                    <w:hideMark/>
                  </w:tcPr>
                  <w:p>
                    <w:pPr>
                      <w:jc w:val="center"/>
                      <w:rPr>
                        <w:sz w:val="20"/>
                      </w:rPr>
                    </w:pPr>
                    <w:r>
                      <w:rPr>
                        <w:sz w:val="20"/>
                      </w:rPr>
                      <w:t>2033</w:t>
                    </w:r>
                  </w:p>
                </w:tc>
                <w:tc>
                  <w:tcPr>
                    <w:tcW w:w="1417" w:type="dxa"/>
                    <w:vAlign w:val="center"/>
                    <w:hideMark/>
                  </w:tcPr>
                  <w:p>
                    <w:pPr>
                      <w:rPr>
                        <w:sz w:val="20"/>
                      </w:rPr>
                    </w:pPr>
                    <w:r>
                      <w:rPr>
                        <w:sz w:val="20"/>
                      </w:rPr>
                      <w:t>P-15-01-01-01</w:t>
                    </w:r>
                  </w:p>
                </w:tc>
                <w:tc>
                  <w:tcPr>
                    <w:tcW w:w="4111" w:type="dxa"/>
                    <w:vAlign w:val="center"/>
                    <w:hideMark/>
                  </w:tcPr>
                  <w:p>
                    <w:pPr>
                      <w:rPr>
                        <w:sz w:val="20"/>
                      </w:rPr>
                    </w:pPr>
                    <w:r>
                      <w:rPr>
                        <w:sz w:val="20"/>
                      </w:rPr>
                      <w:t>Mokslo įstaigų erdvių, pritaikytų ir naudojamų verslų kūrimui, vystymui, bendradarbiavimui, žinių mainams, inovacijų ir technologijų kūrimui, skaičius (vnt.)</w:t>
                    </w:r>
                  </w:p>
                </w:tc>
                <w:tc>
                  <w:tcPr>
                    <w:tcW w:w="1134" w:type="dxa"/>
                    <w:vAlign w:val="center"/>
                    <w:hideMark/>
                  </w:tcPr>
                  <w:p>
                    <w:pPr>
                      <w:jc w:val="center"/>
                      <w:rPr>
                        <w:sz w:val="20"/>
                      </w:rPr>
                    </w:pPr>
                    <w:r>
                      <w:rPr>
                        <w:sz w:val="20"/>
                      </w:rPr>
                      <w:t>EIS, ŠS</w:t>
                    </w:r>
                  </w:p>
                </w:tc>
                <w:tc>
                  <w:tcPr>
                    <w:tcW w:w="1134" w:type="dxa"/>
                    <w:vAlign w:val="center"/>
                    <w:hideMark/>
                  </w:tcPr>
                  <w:p>
                    <w:pPr>
                      <w:jc w:val="center"/>
                      <w:rPr>
                        <w:sz w:val="20"/>
                      </w:rPr>
                    </w:pPr>
                    <w:r>
                      <w:rPr>
                        <w:sz w:val="20"/>
                      </w:rPr>
                      <w:t>0 (2023)</w:t>
                    </w:r>
                  </w:p>
                </w:tc>
                <w:tc>
                  <w:tcPr>
                    <w:tcW w:w="1134" w:type="dxa"/>
                    <w:vAlign w:val="center"/>
                    <w:hideMark/>
                  </w:tcPr>
                  <w:p>
                    <w:pPr>
                      <w:jc w:val="center"/>
                      <w:rPr>
                        <w:sz w:val="20"/>
                      </w:rPr>
                    </w:pPr>
                    <w:r>
                      <w:rPr>
                        <w:sz w:val="20"/>
                      </w:rPr>
                      <w:t>2 (2030)</w:t>
                    </w:r>
                  </w:p>
                </w:tc>
              </w:tr>
              <w:tr>
                <w:trPr>
                  <w:trHeight w:val="530"/>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rPr>
                        <w:sz w:val="20"/>
                      </w:rPr>
                    </w:pPr>
                  </w:p>
                </w:tc>
                <w:tc>
                  <w:tcPr>
                    <w:tcW w:w="709" w:type="dxa"/>
                    <w:vMerge/>
                    <w:vAlign w:val="center"/>
                    <w:hideMark/>
                  </w:tcPr>
                  <w:p>
                    <w:pPr>
                      <w:rPr>
                        <w:sz w:val="20"/>
                      </w:rPr>
                    </w:pPr>
                  </w:p>
                </w:tc>
                <w:tc>
                  <w:tcPr>
                    <w:tcW w:w="709" w:type="dxa"/>
                    <w:vMerge/>
                    <w:vAlign w:val="center"/>
                    <w:hideMark/>
                  </w:tcPr>
                  <w:p>
                    <w:pPr>
                      <w:rPr>
                        <w:sz w:val="20"/>
                      </w:rPr>
                    </w:pPr>
                  </w:p>
                </w:tc>
                <w:tc>
                  <w:tcPr>
                    <w:tcW w:w="1417" w:type="dxa"/>
                    <w:vAlign w:val="center"/>
                    <w:hideMark/>
                  </w:tcPr>
                  <w:p>
                    <w:pPr>
                      <w:rPr>
                        <w:sz w:val="20"/>
                      </w:rPr>
                    </w:pPr>
                    <w:r>
                      <w:rPr>
                        <w:sz w:val="20"/>
                      </w:rPr>
                      <w:t>P-15-01-01-02</w:t>
                    </w:r>
                  </w:p>
                </w:tc>
                <w:tc>
                  <w:tcPr>
                    <w:tcW w:w="4111" w:type="dxa"/>
                    <w:vAlign w:val="center"/>
                    <w:hideMark/>
                  </w:tcPr>
                  <w:p>
                    <w:pPr>
                      <w:rPr>
                        <w:sz w:val="20"/>
                      </w:rPr>
                    </w:pPr>
                    <w:r>
                      <w:rPr>
                        <w:sz w:val="20"/>
                      </w:rPr>
                      <w:t>Paramos teikimo smulkiajam ir vidutiniam verslui iniciatyvų skaičius (vnt. per metus)</w:t>
                    </w:r>
                  </w:p>
                </w:tc>
                <w:tc>
                  <w:tcPr>
                    <w:tcW w:w="1134" w:type="dxa"/>
                    <w:vAlign w:val="center"/>
                    <w:hideMark/>
                  </w:tcPr>
                  <w:p>
                    <w:pPr>
                      <w:jc w:val="center"/>
                      <w:rPr>
                        <w:sz w:val="20"/>
                      </w:rPr>
                    </w:pPr>
                    <w:r>
                      <w:rPr>
                        <w:sz w:val="20"/>
                      </w:rPr>
                      <w:t>EIS</w:t>
                    </w:r>
                  </w:p>
                </w:tc>
                <w:tc>
                  <w:tcPr>
                    <w:tcW w:w="1134" w:type="dxa"/>
                    <w:vAlign w:val="center"/>
                    <w:hideMark/>
                  </w:tcPr>
                  <w:p>
                    <w:pPr>
                      <w:jc w:val="center"/>
                      <w:rPr>
                        <w:sz w:val="20"/>
                      </w:rPr>
                    </w:pPr>
                    <w:r>
                      <w:rPr>
                        <w:sz w:val="20"/>
                      </w:rPr>
                      <w:t>3 (2023)</w:t>
                    </w:r>
                  </w:p>
                </w:tc>
                <w:tc>
                  <w:tcPr>
                    <w:tcW w:w="1134" w:type="dxa"/>
                    <w:vAlign w:val="center"/>
                    <w:hideMark/>
                  </w:tcPr>
                  <w:p>
                    <w:pPr>
                      <w:jc w:val="center"/>
                      <w:rPr>
                        <w:sz w:val="20"/>
                      </w:rPr>
                    </w:pPr>
                    <w:r>
                      <w:rPr>
                        <w:sz w:val="20"/>
                      </w:rPr>
                      <w:t>4 (2033)</w:t>
                    </w:r>
                  </w:p>
                </w:tc>
              </w:tr>
              <w:tr>
                <w:trPr>
                  <w:trHeight w:val="252"/>
                  <w:jc w:val="center"/>
                </w:trPr>
                <w:tc>
                  <w:tcPr>
                    <w:tcW w:w="988" w:type="dxa"/>
                    <w:vMerge w:val="restart"/>
                    <w:noWrap/>
                    <w:vAlign w:val="center"/>
                    <w:hideMark/>
                  </w:tcPr>
                  <w:p>
                    <w:pPr>
                      <w:rPr>
                        <w:sz w:val="20"/>
                      </w:rPr>
                    </w:pPr>
                    <w:r>
                      <w:rPr>
                        <w:sz w:val="20"/>
                      </w:rPr>
                      <w:t>15-01-02</w:t>
                    </w:r>
                  </w:p>
                </w:tc>
                <w:tc>
                  <w:tcPr>
                    <w:tcW w:w="2126" w:type="dxa"/>
                    <w:vMerge w:val="restart"/>
                    <w:vAlign w:val="center"/>
                    <w:hideMark/>
                  </w:tcPr>
                  <w:p>
                    <w:pPr>
                      <w:rPr>
                        <w:sz w:val="20"/>
                      </w:rPr>
                    </w:pPr>
                    <w:r>
                      <w:rPr>
                        <w:sz w:val="20"/>
                      </w:rPr>
                      <w:t>Vystyti Šiaulių pramoninio parko ir Šiaulių laisvosios ekonominės zonos infrastruktūrą</w:t>
                    </w:r>
                  </w:p>
                </w:tc>
                <w:tc>
                  <w:tcPr>
                    <w:tcW w:w="850" w:type="dxa"/>
                    <w:vMerge w:val="restart"/>
                    <w:vAlign w:val="center"/>
                    <w:hideMark/>
                  </w:tcPr>
                  <w:p>
                    <w:pPr>
                      <w:jc w:val="center"/>
                      <w:rPr>
                        <w:sz w:val="20"/>
                      </w:rPr>
                    </w:pPr>
                    <w:r>
                      <w:rPr>
                        <w:sz w:val="20"/>
                      </w:rPr>
                      <w:t>EIS</w:t>
                    </w:r>
                  </w:p>
                </w:tc>
                <w:tc>
                  <w:tcPr>
                    <w:tcW w:w="709" w:type="dxa"/>
                    <w:vMerge w:val="restart"/>
                    <w:vAlign w:val="center"/>
                    <w:hideMark/>
                  </w:tcPr>
                  <w:p>
                    <w:pPr>
                      <w:jc w:val="center"/>
                      <w:rPr>
                        <w:sz w:val="20"/>
                      </w:rPr>
                    </w:pPr>
                    <w:r>
                      <w:rPr>
                        <w:sz w:val="20"/>
                      </w:rPr>
                      <w:t>2025</w:t>
                    </w:r>
                  </w:p>
                </w:tc>
                <w:tc>
                  <w:tcPr>
                    <w:tcW w:w="709" w:type="dxa"/>
                    <w:vMerge w:val="restart"/>
                    <w:vAlign w:val="center"/>
                    <w:hideMark/>
                  </w:tcPr>
                  <w:p>
                    <w:pPr>
                      <w:jc w:val="center"/>
                      <w:rPr>
                        <w:sz w:val="20"/>
                      </w:rPr>
                    </w:pPr>
                    <w:r>
                      <w:rPr>
                        <w:sz w:val="20"/>
                      </w:rPr>
                      <w:t>2033</w:t>
                    </w:r>
                  </w:p>
                </w:tc>
                <w:tc>
                  <w:tcPr>
                    <w:tcW w:w="1417" w:type="dxa"/>
                    <w:vAlign w:val="center"/>
                    <w:hideMark/>
                  </w:tcPr>
                  <w:p>
                    <w:pPr>
                      <w:rPr>
                        <w:sz w:val="20"/>
                      </w:rPr>
                    </w:pPr>
                    <w:r>
                      <w:rPr>
                        <w:sz w:val="20"/>
                      </w:rPr>
                      <w:t>P-15-01-02-01</w:t>
                    </w:r>
                  </w:p>
                </w:tc>
                <w:tc>
                  <w:tcPr>
                    <w:tcW w:w="4111" w:type="dxa"/>
                    <w:vAlign w:val="center"/>
                    <w:hideMark/>
                  </w:tcPr>
                  <w:p>
                    <w:pPr>
                      <w:rPr>
                        <w:sz w:val="20"/>
                      </w:rPr>
                    </w:pPr>
                    <w:r>
                      <w:rPr>
                        <w:sz w:val="20"/>
                      </w:rPr>
                      <w:t>Įveiklintų LEZ sklypų dalis (proc.)</w:t>
                    </w:r>
                  </w:p>
                </w:tc>
                <w:tc>
                  <w:tcPr>
                    <w:tcW w:w="1134" w:type="dxa"/>
                    <w:vAlign w:val="center"/>
                    <w:hideMark/>
                  </w:tcPr>
                  <w:p>
                    <w:pPr>
                      <w:jc w:val="center"/>
                      <w:rPr>
                        <w:sz w:val="20"/>
                      </w:rPr>
                    </w:pPr>
                    <w:r>
                      <w:rPr>
                        <w:sz w:val="20"/>
                      </w:rPr>
                      <w:t>LEZ</w:t>
                    </w:r>
                  </w:p>
                </w:tc>
                <w:tc>
                  <w:tcPr>
                    <w:tcW w:w="1134" w:type="dxa"/>
                    <w:vAlign w:val="center"/>
                    <w:hideMark/>
                  </w:tcPr>
                  <w:p>
                    <w:pPr>
                      <w:jc w:val="center"/>
                      <w:rPr>
                        <w:sz w:val="20"/>
                      </w:rPr>
                    </w:pPr>
                    <w:r>
                      <w:rPr>
                        <w:sz w:val="20"/>
                      </w:rPr>
                      <w:t>42 (2023)</w:t>
                    </w:r>
                  </w:p>
                </w:tc>
                <w:tc>
                  <w:tcPr>
                    <w:tcW w:w="1134" w:type="dxa"/>
                    <w:vAlign w:val="center"/>
                    <w:hideMark/>
                  </w:tcPr>
                  <w:p>
                    <w:pPr>
                      <w:jc w:val="center"/>
                      <w:rPr>
                        <w:sz w:val="20"/>
                      </w:rPr>
                    </w:pPr>
                    <w:r>
                      <w:rPr>
                        <w:sz w:val="20"/>
                      </w:rPr>
                      <w:t>95 (2033)</w:t>
                    </w:r>
                  </w:p>
                </w:tc>
              </w:tr>
              <w:tr>
                <w:trPr>
                  <w:trHeight w:val="520"/>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jc w:val="center"/>
                      <w:rPr>
                        <w:sz w:val="20"/>
                      </w:rPr>
                    </w:pPr>
                  </w:p>
                </w:tc>
                <w:tc>
                  <w:tcPr>
                    <w:tcW w:w="709" w:type="dxa"/>
                    <w:vMerge/>
                    <w:vAlign w:val="center"/>
                    <w:hideMark/>
                  </w:tcPr>
                  <w:p>
                    <w:pPr>
                      <w:jc w:val="center"/>
                      <w:rPr>
                        <w:sz w:val="20"/>
                      </w:rPr>
                    </w:pPr>
                  </w:p>
                </w:tc>
                <w:tc>
                  <w:tcPr>
                    <w:tcW w:w="709" w:type="dxa"/>
                    <w:vMerge/>
                    <w:vAlign w:val="center"/>
                    <w:hideMark/>
                  </w:tcPr>
                  <w:p>
                    <w:pPr>
                      <w:jc w:val="center"/>
                      <w:rPr>
                        <w:sz w:val="20"/>
                      </w:rPr>
                    </w:pPr>
                  </w:p>
                </w:tc>
                <w:tc>
                  <w:tcPr>
                    <w:tcW w:w="1417" w:type="dxa"/>
                    <w:vAlign w:val="center"/>
                    <w:hideMark/>
                  </w:tcPr>
                  <w:p>
                    <w:pPr>
                      <w:rPr>
                        <w:sz w:val="20"/>
                      </w:rPr>
                    </w:pPr>
                    <w:r>
                      <w:rPr>
                        <w:sz w:val="20"/>
                      </w:rPr>
                      <w:t>P-15-01-02-02</w:t>
                    </w:r>
                  </w:p>
                </w:tc>
                <w:tc>
                  <w:tcPr>
                    <w:tcW w:w="4111" w:type="dxa"/>
                    <w:vAlign w:val="center"/>
                    <w:hideMark/>
                  </w:tcPr>
                  <w:p>
                    <w:pPr>
                      <w:rPr>
                        <w:sz w:val="20"/>
                      </w:rPr>
                    </w:pPr>
                    <w:r>
                      <w:rPr>
                        <w:sz w:val="20"/>
                      </w:rPr>
                      <w:t>LEZ įgyvendintų „Built to suit“ principu parengtų projektų skaičius (vnt.)</w:t>
                    </w:r>
                  </w:p>
                </w:tc>
                <w:tc>
                  <w:tcPr>
                    <w:tcW w:w="1134" w:type="dxa"/>
                    <w:vAlign w:val="center"/>
                    <w:hideMark/>
                  </w:tcPr>
                  <w:p>
                    <w:pPr>
                      <w:jc w:val="center"/>
                      <w:rPr>
                        <w:sz w:val="20"/>
                      </w:rPr>
                    </w:pPr>
                    <w:r>
                      <w:rPr>
                        <w:sz w:val="20"/>
                      </w:rPr>
                      <w:t>LEZ</w:t>
                    </w:r>
                  </w:p>
                </w:tc>
                <w:tc>
                  <w:tcPr>
                    <w:tcW w:w="1134" w:type="dxa"/>
                    <w:vAlign w:val="center"/>
                    <w:hideMark/>
                  </w:tcPr>
                  <w:p>
                    <w:pPr>
                      <w:jc w:val="center"/>
                      <w:rPr>
                        <w:sz w:val="20"/>
                      </w:rPr>
                    </w:pPr>
                    <w:r>
                      <w:rPr>
                        <w:sz w:val="20"/>
                      </w:rPr>
                      <w:t>0 (2023)</w:t>
                    </w:r>
                  </w:p>
                </w:tc>
                <w:tc>
                  <w:tcPr>
                    <w:tcW w:w="1134" w:type="dxa"/>
                    <w:vAlign w:val="center"/>
                    <w:hideMark/>
                  </w:tcPr>
                  <w:p>
                    <w:pPr>
                      <w:jc w:val="center"/>
                      <w:rPr>
                        <w:sz w:val="20"/>
                      </w:rPr>
                    </w:pPr>
                    <w:r>
                      <w:rPr>
                        <w:sz w:val="20"/>
                      </w:rPr>
                      <w:t>1 (2027)</w:t>
                    </w:r>
                  </w:p>
                </w:tc>
              </w:tr>
              <w:tr>
                <w:trPr>
                  <w:trHeight w:val="461"/>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jc w:val="center"/>
                      <w:rPr>
                        <w:sz w:val="20"/>
                      </w:rPr>
                    </w:pPr>
                  </w:p>
                </w:tc>
                <w:tc>
                  <w:tcPr>
                    <w:tcW w:w="709" w:type="dxa"/>
                    <w:vMerge/>
                    <w:vAlign w:val="center"/>
                    <w:hideMark/>
                  </w:tcPr>
                  <w:p>
                    <w:pPr>
                      <w:jc w:val="center"/>
                      <w:rPr>
                        <w:sz w:val="20"/>
                      </w:rPr>
                    </w:pPr>
                  </w:p>
                </w:tc>
                <w:tc>
                  <w:tcPr>
                    <w:tcW w:w="709" w:type="dxa"/>
                    <w:vMerge/>
                    <w:vAlign w:val="center"/>
                    <w:hideMark/>
                  </w:tcPr>
                  <w:p>
                    <w:pPr>
                      <w:jc w:val="center"/>
                      <w:rPr>
                        <w:sz w:val="20"/>
                      </w:rPr>
                    </w:pPr>
                  </w:p>
                </w:tc>
                <w:tc>
                  <w:tcPr>
                    <w:tcW w:w="1417" w:type="dxa"/>
                    <w:vAlign w:val="center"/>
                    <w:hideMark/>
                  </w:tcPr>
                  <w:p>
                    <w:pPr>
                      <w:rPr>
                        <w:sz w:val="20"/>
                      </w:rPr>
                    </w:pPr>
                    <w:r>
                      <w:rPr>
                        <w:sz w:val="20"/>
                      </w:rPr>
                      <w:t>P-15-01-02-03</w:t>
                    </w:r>
                  </w:p>
                </w:tc>
                <w:tc>
                  <w:tcPr>
                    <w:tcW w:w="4111" w:type="dxa"/>
                    <w:vAlign w:val="center"/>
                    <w:hideMark/>
                  </w:tcPr>
                  <w:p>
                    <w:pPr>
                      <w:rPr>
                        <w:sz w:val="20"/>
                      </w:rPr>
                    </w:pPr>
                    <w:r>
                      <w:rPr>
                        <w:sz w:val="20"/>
                      </w:rPr>
                      <w:t>Įgyvendintas elektros galios padidinimo projektas verslo reikmėms (vnt.)</w:t>
                    </w:r>
                  </w:p>
                </w:tc>
                <w:tc>
                  <w:tcPr>
                    <w:tcW w:w="1134" w:type="dxa"/>
                    <w:vAlign w:val="center"/>
                    <w:hideMark/>
                  </w:tcPr>
                  <w:p>
                    <w:pPr>
                      <w:jc w:val="center"/>
                      <w:rPr>
                        <w:sz w:val="20"/>
                      </w:rPr>
                    </w:pPr>
                    <w:r>
                      <w:rPr>
                        <w:sz w:val="20"/>
                      </w:rPr>
                      <w:t>EIS</w:t>
                    </w:r>
                  </w:p>
                </w:tc>
                <w:tc>
                  <w:tcPr>
                    <w:tcW w:w="1134" w:type="dxa"/>
                    <w:vAlign w:val="center"/>
                    <w:hideMark/>
                  </w:tcPr>
                  <w:p>
                    <w:pPr>
                      <w:jc w:val="center"/>
                      <w:rPr>
                        <w:sz w:val="20"/>
                      </w:rPr>
                    </w:pPr>
                    <w:r>
                      <w:rPr>
                        <w:sz w:val="20"/>
                      </w:rPr>
                      <w:t>0 (2024)</w:t>
                    </w:r>
                  </w:p>
                </w:tc>
                <w:tc>
                  <w:tcPr>
                    <w:tcW w:w="1134" w:type="dxa"/>
                    <w:vAlign w:val="center"/>
                    <w:hideMark/>
                  </w:tcPr>
                  <w:p>
                    <w:pPr>
                      <w:jc w:val="center"/>
                      <w:rPr>
                        <w:sz w:val="20"/>
                      </w:rPr>
                    </w:pPr>
                    <w:r>
                      <w:rPr>
                        <w:sz w:val="20"/>
                      </w:rPr>
                      <w:t>1 (2026)</w:t>
                    </w:r>
                  </w:p>
                </w:tc>
              </w:tr>
              <w:tr>
                <w:trPr>
                  <w:trHeight w:val="411"/>
                  <w:jc w:val="center"/>
                </w:trPr>
                <w:tc>
                  <w:tcPr>
                    <w:tcW w:w="988" w:type="dxa"/>
                    <w:noWrap/>
                    <w:vAlign w:val="center"/>
                    <w:hideMark/>
                  </w:tcPr>
                  <w:p>
                    <w:pPr>
                      <w:rPr>
                        <w:sz w:val="20"/>
                      </w:rPr>
                    </w:pPr>
                    <w:r>
                      <w:rPr>
                        <w:sz w:val="20"/>
                      </w:rPr>
                      <w:t>15-01-03</w:t>
                    </w:r>
                  </w:p>
                </w:tc>
                <w:tc>
                  <w:tcPr>
                    <w:tcW w:w="2126" w:type="dxa"/>
                    <w:vAlign w:val="center"/>
                    <w:hideMark/>
                  </w:tcPr>
                  <w:p>
                    <w:pPr>
                      <w:rPr>
                        <w:sz w:val="20"/>
                      </w:rPr>
                    </w:pPr>
                    <w:r>
                      <w:rPr>
                        <w:sz w:val="20"/>
                      </w:rPr>
                      <w:t xml:space="preserve">Vykdyti Šiaulių Oro uosto plėtrą </w:t>
                    </w:r>
                  </w:p>
                </w:tc>
                <w:tc>
                  <w:tcPr>
                    <w:tcW w:w="850" w:type="dxa"/>
                    <w:vAlign w:val="center"/>
                    <w:hideMark/>
                  </w:tcPr>
                  <w:p>
                    <w:pPr>
                      <w:jc w:val="center"/>
                      <w:rPr>
                        <w:sz w:val="20"/>
                      </w:rPr>
                    </w:pPr>
                    <w:r>
                      <w:rPr>
                        <w:sz w:val="20"/>
                      </w:rPr>
                      <w:t>EIS</w:t>
                    </w:r>
                  </w:p>
                </w:tc>
                <w:tc>
                  <w:tcPr>
                    <w:tcW w:w="709" w:type="dxa"/>
                    <w:vAlign w:val="center"/>
                    <w:hideMark/>
                  </w:tcPr>
                  <w:p>
                    <w:pPr>
                      <w:jc w:val="center"/>
                      <w:rPr>
                        <w:sz w:val="20"/>
                      </w:rPr>
                    </w:pPr>
                    <w:r>
                      <w:rPr>
                        <w:sz w:val="20"/>
                      </w:rPr>
                      <w:t>2025</w:t>
                    </w:r>
                  </w:p>
                </w:tc>
                <w:tc>
                  <w:tcPr>
                    <w:tcW w:w="709" w:type="dxa"/>
                    <w:vAlign w:val="center"/>
                    <w:hideMark/>
                  </w:tcPr>
                  <w:p>
                    <w:pPr>
                      <w:jc w:val="center"/>
                      <w:rPr>
                        <w:sz w:val="20"/>
                      </w:rPr>
                    </w:pPr>
                    <w:r>
                      <w:rPr>
                        <w:sz w:val="20"/>
                      </w:rPr>
                      <w:t>2033</w:t>
                    </w:r>
                  </w:p>
                </w:tc>
                <w:tc>
                  <w:tcPr>
                    <w:tcW w:w="1417" w:type="dxa"/>
                    <w:vAlign w:val="center"/>
                    <w:hideMark/>
                  </w:tcPr>
                  <w:p>
                    <w:pPr>
                      <w:rPr>
                        <w:sz w:val="20"/>
                      </w:rPr>
                    </w:pPr>
                    <w:r>
                      <w:rPr>
                        <w:sz w:val="20"/>
                      </w:rPr>
                      <w:t>P-15-01-03-01</w:t>
                    </w:r>
                  </w:p>
                </w:tc>
                <w:tc>
                  <w:tcPr>
                    <w:tcW w:w="4111" w:type="dxa"/>
                    <w:vAlign w:val="center"/>
                    <w:hideMark/>
                  </w:tcPr>
                  <w:p>
                    <w:pPr>
                      <w:rPr>
                        <w:sz w:val="20"/>
                      </w:rPr>
                    </w:pPr>
                    <w:r>
                      <w:rPr>
                        <w:sz w:val="20"/>
                      </w:rPr>
                      <w:t>Pastatytas Oro uosto multifunkcinis terminalas (vnt.)</w:t>
                    </w:r>
                  </w:p>
                </w:tc>
                <w:tc>
                  <w:tcPr>
                    <w:tcW w:w="1134" w:type="dxa"/>
                    <w:vAlign w:val="center"/>
                    <w:hideMark/>
                  </w:tcPr>
                  <w:p>
                    <w:pPr>
                      <w:jc w:val="center"/>
                      <w:rPr>
                        <w:sz w:val="20"/>
                      </w:rPr>
                    </w:pPr>
                    <w:r>
                      <w:rPr>
                        <w:sz w:val="20"/>
                      </w:rPr>
                      <w:t>EIS</w:t>
                    </w:r>
                  </w:p>
                </w:tc>
                <w:tc>
                  <w:tcPr>
                    <w:tcW w:w="1134" w:type="dxa"/>
                    <w:vAlign w:val="center"/>
                    <w:hideMark/>
                  </w:tcPr>
                  <w:p>
                    <w:pPr>
                      <w:jc w:val="center"/>
                      <w:rPr>
                        <w:sz w:val="20"/>
                      </w:rPr>
                    </w:pPr>
                    <w:r>
                      <w:rPr>
                        <w:sz w:val="20"/>
                      </w:rPr>
                      <w:t>0 (2024)</w:t>
                    </w:r>
                  </w:p>
                </w:tc>
                <w:tc>
                  <w:tcPr>
                    <w:tcW w:w="1134" w:type="dxa"/>
                    <w:vAlign w:val="center"/>
                    <w:hideMark/>
                  </w:tcPr>
                  <w:p>
                    <w:pPr>
                      <w:jc w:val="center"/>
                      <w:rPr>
                        <w:sz w:val="20"/>
                      </w:rPr>
                    </w:pPr>
                    <w:r>
                      <w:rPr>
                        <w:sz w:val="20"/>
                      </w:rPr>
                      <w:t>1 (2026)</w:t>
                    </w:r>
                  </w:p>
                </w:tc>
              </w:tr>
              <w:tr>
                <w:trPr>
                  <w:trHeight w:val="659"/>
                  <w:jc w:val="center"/>
                </w:trPr>
                <w:tc>
                  <w:tcPr>
                    <w:tcW w:w="988" w:type="dxa"/>
                    <w:vMerge w:val="restart"/>
                    <w:noWrap/>
                    <w:vAlign w:val="center"/>
                    <w:hideMark/>
                  </w:tcPr>
                  <w:p>
                    <w:pPr>
                      <w:rPr>
                        <w:sz w:val="20"/>
                      </w:rPr>
                    </w:pPr>
                    <w:r>
                      <w:rPr>
                        <w:sz w:val="20"/>
                      </w:rPr>
                      <w:t>15-01-04</w:t>
                    </w:r>
                  </w:p>
                </w:tc>
                <w:tc>
                  <w:tcPr>
                    <w:tcW w:w="2126" w:type="dxa"/>
                    <w:vMerge w:val="restart"/>
                    <w:vAlign w:val="center"/>
                    <w:hideMark/>
                  </w:tcPr>
                  <w:p>
                    <w:pPr>
                      <w:rPr>
                        <w:sz w:val="20"/>
                      </w:rPr>
                    </w:pPr>
                    <w:r>
                      <w:rPr>
                        <w:sz w:val="20"/>
                      </w:rPr>
                      <w:t>Sukurti integruotą investuotojų pritraukimo ir aptarnavimo sistemą</w:t>
                    </w:r>
                  </w:p>
                </w:tc>
                <w:tc>
                  <w:tcPr>
                    <w:tcW w:w="850" w:type="dxa"/>
                    <w:vMerge w:val="restart"/>
                    <w:vAlign w:val="center"/>
                    <w:hideMark/>
                  </w:tcPr>
                  <w:p>
                    <w:pPr>
                      <w:jc w:val="center"/>
                      <w:rPr>
                        <w:sz w:val="20"/>
                      </w:rPr>
                    </w:pPr>
                    <w:r>
                      <w:rPr>
                        <w:sz w:val="20"/>
                      </w:rPr>
                      <w:t>EIS</w:t>
                    </w:r>
                  </w:p>
                </w:tc>
                <w:tc>
                  <w:tcPr>
                    <w:tcW w:w="709" w:type="dxa"/>
                    <w:vMerge w:val="restart"/>
                    <w:vAlign w:val="center"/>
                    <w:hideMark/>
                  </w:tcPr>
                  <w:p>
                    <w:pPr>
                      <w:jc w:val="center"/>
                      <w:rPr>
                        <w:sz w:val="20"/>
                      </w:rPr>
                    </w:pPr>
                    <w:r>
                      <w:rPr>
                        <w:sz w:val="20"/>
                      </w:rPr>
                      <w:t>2025</w:t>
                    </w:r>
                  </w:p>
                </w:tc>
                <w:tc>
                  <w:tcPr>
                    <w:tcW w:w="709" w:type="dxa"/>
                    <w:vMerge w:val="restart"/>
                    <w:vAlign w:val="center"/>
                    <w:hideMark/>
                  </w:tcPr>
                  <w:p>
                    <w:pPr>
                      <w:jc w:val="center"/>
                      <w:rPr>
                        <w:sz w:val="20"/>
                      </w:rPr>
                    </w:pPr>
                    <w:r>
                      <w:rPr>
                        <w:sz w:val="20"/>
                      </w:rPr>
                      <w:t>2033</w:t>
                    </w:r>
                  </w:p>
                </w:tc>
                <w:tc>
                  <w:tcPr>
                    <w:tcW w:w="1417" w:type="dxa"/>
                    <w:vAlign w:val="center"/>
                    <w:hideMark/>
                  </w:tcPr>
                  <w:p>
                    <w:pPr>
                      <w:rPr>
                        <w:sz w:val="20"/>
                      </w:rPr>
                    </w:pPr>
                    <w:r>
                      <w:rPr>
                        <w:sz w:val="20"/>
                      </w:rPr>
                      <w:t>P-15-01-04-01</w:t>
                    </w:r>
                  </w:p>
                </w:tc>
                <w:tc>
                  <w:tcPr>
                    <w:tcW w:w="4111" w:type="dxa"/>
                    <w:vAlign w:val="center"/>
                    <w:hideMark/>
                  </w:tcPr>
                  <w:p>
                    <w:pPr>
                      <w:rPr>
                        <w:sz w:val="20"/>
                      </w:rPr>
                    </w:pPr>
                    <w:r>
                      <w:rPr>
                        <w:sz w:val="20"/>
                      </w:rPr>
                      <w:t xml:space="preserve">Parengtas ir pristatytas praktinis Šiaulių miesto stiliaus knygos (angl. </w:t>
                    </w:r>
                    <w:r>
                      <w:rPr>
                        <w:i/>
                        <w:iCs/>
                        <w:sz w:val="20"/>
                      </w:rPr>
                      <w:t>brand book</w:t>
                    </w:r>
                    <w:r>
                      <w:rPr>
                        <w:sz w:val="20"/>
                      </w:rPr>
                      <w:t>) paketas verslo asocijuotoms struktūroms (vnt.)</w:t>
                    </w:r>
                  </w:p>
                </w:tc>
                <w:tc>
                  <w:tcPr>
                    <w:tcW w:w="1134" w:type="dxa"/>
                    <w:vAlign w:val="center"/>
                    <w:hideMark/>
                  </w:tcPr>
                  <w:p>
                    <w:pPr>
                      <w:jc w:val="center"/>
                      <w:rPr>
                        <w:sz w:val="20"/>
                      </w:rPr>
                    </w:pPr>
                    <w:r>
                      <w:rPr>
                        <w:sz w:val="20"/>
                      </w:rPr>
                      <w:t>EIS</w:t>
                    </w:r>
                  </w:p>
                </w:tc>
                <w:tc>
                  <w:tcPr>
                    <w:tcW w:w="1134" w:type="dxa"/>
                    <w:vAlign w:val="center"/>
                    <w:hideMark/>
                  </w:tcPr>
                  <w:p>
                    <w:pPr>
                      <w:jc w:val="center"/>
                      <w:rPr>
                        <w:sz w:val="20"/>
                      </w:rPr>
                    </w:pPr>
                    <w:r>
                      <w:rPr>
                        <w:sz w:val="20"/>
                      </w:rPr>
                      <w:t>0 (2023)</w:t>
                    </w:r>
                  </w:p>
                </w:tc>
                <w:tc>
                  <w:tcPr>
                    <w:tcW w:w="1134" w:type="dxa"/>
                    <w:vAlign w:val="center"/>
                    <w:hideMark/>
                  </w:tcPr>
                  <w:p>
                    <w:pPr>
                      <w:jc w:val="center"/>
                      <w:rPr>
                        <w:sz w:val="20"/>
                      </w:rPr>
                    </w:pPr>
                    <w:r>
                      <w:rPr>
                        <w:sz w:val="20"/>
                      </w:rPr>
                      <w:t>1 (2025)</w:t>
                    </w:r>
                  </w:p>
                </w:tc>
              </w:tr>
              <w:tr>
                <w:trPr>
                  <w:trHeight w:val="478"/>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rPr>
                        <w:sz w:val="20"/>
                      </w:rPr>
                    </w:pPr>
                  </w:p>
                </w:tc>
                <w:tc>
                  <w:tcPr>
                    <w:tcW w:w="709" w:type="dxa"/>
                    <w:vMerge/>
                    <w:vAlign w:val="center"/>
                    <w:hideMark/>
                  </w:tcPr>
                  <w:p>
                    <w:pPr>
                      <w:rPr>
                        <w:sz w:val="20"/>
                      </w:rPr>
                    </w:pPr>
                  </w:p>
                </w:tc>
                <w:tc>
                  <w:tcPr>
                    <w:tcW w:w="709" w:type="dxa"/>
                    <w:vMerge/>
                    <w:vAlign w:val="center"/>
                    <w:hideMark/>
                  </w:tcPr>
                  <w:p>
                    <w:pPr>
                      <w:rPr>
                        <w:sz w:val="20"/>
                      </w:rPr>
                    </w:pPr>
                  </w:p>
                </w:tc>
                <w:tc>
                  <w:tcPr>
                    <w:tcW w:w="1417" w:type="dxa"/>
                    <w:vAlign w:val="center"/>
                    <w:hideMark/>
                  </w:tcPr>
                  <w:p>
                    <w:pPr>
                      <w:rPr>
                        <w:sz w:val="20"/>
                      </w:rPr>
                    </w:pPr>
                    <w:r>
                      <w:rPr>
                        <w:sz w:val="20"/>
                      </w:rPr>
                      <w:t>P-15-01-04-02</w:t>
                    </w:r>
                  </w:p>
                </w:tc>
                <w:tc>
                  <w:tcPr>
                    <w:tcW w:w="4111" w:type="dxa"/>
                    <w:vAlign w:val="center"/>
                    <w:hideMark/>
                  </w:tcPr>
                  <w:p>
                    <w:pPr>
                      <w:rPr>
                        <w:sz w:val="20"/>
                      </w:rPr>
                    </w:pPr>
                    <w:r>
                      <w:rPr>
                        <w:sz w:val="20"/>
                      </w:rPr>
                      <w:t>Suorganizuotų verslo misijų / vizitų Šiauliuose ir užsienyje, užsienio ir šalies tikslinėms auditorijoms, skaičius (vnt.)</w:t>
                    </w:r>
                  </w:p>
                </w:tc>
                <w:tc>
                  <w:tcPr>
                    <w:tcW w:w="1134" w:type="dxa"/>
                    <w:vAlign w:val="center"/>
                    <w:hideMark/>
                  </w:tcPr>
                  <w:p>
                    <w:pPr>
                      <w:jc w:val="center"/>
                      <w:rPr>
                        <w:sz w:val="20"/>
                      </w:rPr>
                    </w:pPr>
                    <w:r>
                      <w:rPr>
                        <w:sz w:val="20"/>
                      </w:rPr>
                      <w:t>EIS</w:t>
                    </w:r>
                  </w:p>
                </w:tc>
                <w:tc>
                  <w:tcPr>
                    <w:tcW w:w="1134" w:type="dxa"/>
                    <w:vAlign w:val="center"/>
                    <w:hideMark/>
                  </w:tcPr>
                  <w:p>
                    <w:pPr>
                      <w:jc w:val="center"/>
                      <w:rPr>
                        <w:sz w:val="20"/>
                      </w:rPr>
                    </w:pPr>
                    <w:r>
                      <w:rPr>
                        <w:sz w:val="20"/>
                      </w:rPr>
                      <w:t>0 (2023)</w:t>
                    </w:r>
                  </w:p>
                </w:tc>
                <w:tc>
                  <w:tcPr>
                    <w:tcW w:w="1134" w:type="dxa"/>
                    <w:vAlign w:val="center"/>
                    <w:hideMark/>
                  </w:tcPr>
                  <w:p>
                    <w:pPr>
                      <w:jc w:val="center"/>
                      <w:rPr>
                        <w:sz w:val="20"/>
                      </w:rPr>
                    </w:pPr>
                    <w:r>
                      <w:rPr>
                        <w:sz w:val="20"/>
                      </w:rPr>
                      <w:t>9 (2033)</w:t>
                    </w:r>
                  </w:p>
                </w:tc>
              </w:tr>
              <w:tr>
                <w:trPr>
                  <w:trHeight w:val="629"/>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rPr>
                        <w:sz w:val="20"/>
                      </w:rPr>
                    </w:pPr>
                  </w:p>
                </w:tc>
                <w:tc>
                  <w:tcPr>
                    <w:tcW w:w="709" w:type="dxa"/>
                    <w:vMerge/>
                    <w:vAlign w:val="center"/>
                    <w:hideMark/>
                  </w:tcPr>
                  <w:p>
                    <w:pPr>
                      <w:rPr>
                        <w:sz w:val="20"/>
                      </w:rPr>
                    </w:pPr>
                  </w:p>
                </w:tc>
                <w:tc>
                  <w:tcPr>
                    <w:tcW w:w="709" w:type="dxa"/>
                    <w:vMerge/>
                    <w:vAlign w:val="center"/>
                    <w:hideMark/>
                  </w:tcPr>
                  <w:p>
                    <w:pPr>
                      <w:rPr>
                        <w:sz w:val="20"/>
                      </w:rPr>
                    </w:pPr>
                  </w:p>
                </w:tc>
                <w:tc>
                  <w:tcPr>
                    <w:tcW w:w="1417" w:type="dxa"/>
                    <w:vAlign w:val="center"/>
                    <w:hideMark/>
                  </w:tcPr>
                  <w:p>
                    <w:pPr>
                      <w:rPr>
                        <w:sz w:val="20"/>
                      </w:rPr>
                    </w:pPr>
                    <w:r>
                      <w:rPr>
                        <w:sz w:val="20"/>
                      </w:rPr>
                      <w:t>P-15-01-04-03</w:t>
                    </w:r>
                  </w:p>
                </w:tc>
                <w:tc>
                  <w:tcPr>
                    <w:tcW w:w="4111" w:type="dxa"/>
                    <w:vAlign w:val="center"/>
                    <w:hideMark/>
                  </w:tcPr>
                  <w:p>
                    <w:pPr>
                      <w:rPr>
                        <w:sz w:val="20"/>
                      </w:rPr>
                    </w:pPr>
                    <w:r>
                      <w:rPr>
                        <w:sz w:val="20"/>
                      </w:rPr>
                      <w:t>Ikimokyklinio ugdymo įstaigų ir bendrojo ugdymo įstaigų, kuriose ugdoma anglų kalba, skaičius (vnt. / vnt.)</w:t>
                    </w:r>
                  </w:p>
                </w:tc>
                <w:tc>
                  <w:tcPr>
                    <w:tcW w:w="1134" w:type="dxa"/>
                    <w:vAlign w:val="center"/>
                    <w:hideMark/>
                  </w:tcPr>
                  <w:p>
                    <w:pPr>
                      <w:jc w:val="center"/>
                      <w:rPr>
                        <w:sz w:val="20"/>
                      </w:rPr>
                    </w:pPr>
                    <w:r>
                      <w:rPr>
                        <w:sz w:val="20"/>
                      </w:rPr>
                      <w:t>ŠS</w:t>
                    </w:r>
                  </w:p>
                </w:tc>
                <w:tc>
                  <w:tcPr>
                    <w:tcW w:w="1134" w:type="dxa"/>
                    <w:vAlign w:val="center"/>
                    <w:hideMark/>
                  </w:tcPr>
                  <w:p>
                    <w:pPr>
                      <w:jc w:val="center"/>
                      <w:rPr>
                        <w:sz w:val="20"/>
                      </w:rPr>
                    </w:pPr>
                    <w:r>
                      <w:rPr>
                        <w:sz w:val="20"/>
                      </w:rPr>
                      <w:t>2/1 (2023)</w:t>
                    </w:r>
                  </w:p>
                </w:tc>
                <w:tc>
                  <w:tcPr>
                    <w:tcW w:w="1134" w:type="dxa"/>
                    <w:vAlign w:val="center"/>
                    <w:hideMark/>
                  </w:tcPr>
                  <w:p>
                    <w:pPr>
                      <w:jc w:val="center"/>
                      <w:rPr>
                        <w:sz w:val="20"/>
                      </w:rPr>
                    </w:pPr>
                    <w:r>
                      <w:rPr>
                        <w:sz w:val="20"/>
                      </w:rPr>
                      <w:t>4/2 (2033)</w:t>
                    </w:r>
                  </w:p>
                </w:tc>
              </w:tr>
              <w:tr>
                <w:trPr>
                  <w:trHeight w:val="625"/>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rPr>
                        <w:sz w:val="20"/>
                      </w:rPr>
                    </w:pPr>
                  </w:p>
                </w:tc>
                <w:tc>
                  <w:tcPr>
                    <w:tcW w:w="709" w:type="dxa"/>
                    <w:vMerge/>
                    <w:vAlign w:val="center"/>
                    <w:hideMark/>
                  </w:tcPr>
                  <w:p>
                    <w:pPr>
                      <w:rPr>
                        <w:sz w:val="20"/>
                      </w:rPr>
                    </w:pPr>
                  </w:p>
                </w:tc>
                <w:tc>
                  <w:tcPr>
                    <w:tcW w:w="709" w:type="dxa"/>
                    <w:vMerge/>
                    <w:vAlign w:val="center"/>
                    <w:hideMark/>
                  </w:tcPr>
                  <w:p>
                    <w:pPr>
                      <w:rPr>
                        <w:sz w:val="20"/>
                      </w:rPr>
                    </w:pPr>
                  </w:p>
                </w:tc>
                <w:tc>
                  <w:tcPr>
                    <w:tcW w:w="1417" w:type="dxa"/>
                    <w:vAlign w:val="center"/>
                    <w:hideMark/>
                  </w:tcPr>
                  <w:p>
                    <w:pPr>
                      <w:rPr>
                        <w:sz w:val="20"/>
                      </w:rPr>
                    </w:pPr>
                    <w:r>
                      <w:rPr>
                        <w:sz w:val="20"/>
                      </w:rPr>
                      <w:t>P-15-01-04-04</w:t>
                    </w:r>
                  </w:p>
                </w:tc>
                <w:tc>
                  <w:tcPr>
                    <w:tcW w:w="4111" w:type="dxa"/>
                    <w:vAlign w:val="center"/>
                    <w:hideMark/>
                  </w:tcPr>
                  <w:p>
                    <w:pPr>
                      <w:rPr>
                        <w:sz w:val="20"/>
                      </w:rPr>
                    </w:pPr>
                    <w:r>
                      <w:rPr>
                        <w:sz w:val="20"/>
                      </w:rPr>
                      <w:t>Potencialių, aukštą pridėtinę vertę kuriančių investuotojų, kuriems pritaikytos mokestinės lengvatos, skaičius (vnt.)</w:t>
                    </w:r>
                  </w:p>
                </w:tc>
                <w:tc>
                  <w:tcPr>
                    <w:tcW w:w="1134" w:type="dxa"/>
                    <w:vAlign w:val="center"/>
                    <w:hideMark/>
                  </w:tcPr>
                  <w:p>
                    <w:pPr>
                      <w:jc w:val="center"/>
                      <w:rPr>
                        <w:sz w:val="20"/>
                      </w:rPr>
                    </w:pPr>
                    <w:r>
                      <w:rPr>
                        <w:sz w:val="20"/>
                      </w:rPr>
                      <w:t>EIS</w:t>
                    </w:r>
                  </w:p>
                </w:tc>
                <w:tc>
                  <w:tcPr>
                    <w:tcW w:w="1134" w:type="dxa"/>
                    <w:vAlign w:val="center"/>
                    <w:hideMark/>
                  </w:tcPr>
                  <w:p>
                    <w:pPr>
                      <w:jc w:val="center"/>
                      <w:rPr>
                        <w:sz w:val="20"/>
                      </w:rPr>
                    </w:pPr>
                    <w:r>
                      <w:rPr>
                        <w:sz w:val="20"/>
                      </w:rPr>
                      <w:t>0 (2023)</w:t>
                    </w:r>
                  </w:p>
                </w:tc>
                <w:tc>
                  <w:tcPr>
                    <w:tcW w:w="1134" w:type="dxa"/>
                    <w:vAlign w:val="center"/>
                    <w:hideMark/>
                  </w:tcPr>
                  <w:p>
                    <w:pPr>
                      <w:jc w:val="center"/>
                      <w:rPr>
                        <w:sz w:val="20"/>
                      </w:rPr>
                    </w:pPr>
                    <w:r>
                      <w:rPr>
                        <w:sz w:val="20"/>
                      </w:rPr>
                      <w:t>2 (2033)</w:t>
                    </w:r>
                  </w:p>
                </w:tc>
              </w:tr>
              <w:tr>
                <w:trPr>
                  <w:trHeight w:val="520"/>
                  <w:jc w:val="center"/>
                </w:trPr>
                <w:tc>
                  <w:tcPr>
                    <w:tcW w:w="988" w:type="dxa"/>
                    <w:vMerge w:val="restart"/>
                    <w:noWrap/>
                    <w:vAlign w:val="center"/>
                    <w:hideMark/>
                  </w:tcPr>
                  <w:p>
                    <w:pPr>
                      <w:rPr>
                        <w:sz w:val="20"/>
                      </w:rPr>
                    </w:pPr>
                    <w:r>
                      <w:rPr>
                        <w:sz w:val="20"/>
                      </w:rPr>
                      <w:t>15-01-05</w:t>
                    </w:r>
                  </w:p>
                </w:tc>
                <w:tc>
                  <w:tcPr>
                    <w:tcW w:w="2126" w:type="dxa"/>
                    <w:vMerge w:val="restart"/>
                    <w:vAlign w:val="center"/>
                    <w:hideMark/>
                  </w:tcPr>
                  <w:p>
                    <w:pPr>
                      <w:rPr>
                        <w:sz w:val="20"/>
                      </w:rPr>
                    </w:pPr>
                    <w:r>
                      <w:rPr>
                        <w:sz w:val="20"/>
                      </w:rPr>
                      <w:t>Pritraukti ir išlaikyti specialistus, emigravusius šiauliečius į Šiaulių miestą</w:t>
                    </w:r>
                  </w:p>
                </w:tc>
                <w:tc>
                  <w:tcPr>
                    <w:tcW w:w="850" w:type="dxa"/>
                    <w:vMerge w:val="restart"/>
                    <w:vAlign w:val="center"/>
                    <w:hideMark/>
                  </w:tcPr>
                  <w:p>
                    <w:pPr>
                      <w:jc w:val="center"/>
                      <w:rPr>
                        <w:sz w:val="20"/>
                      </w:rPr>
                    </w:pPr>
                    <w:r>
                      <w:rPr>
                        <w:sz w:val="20"/>
                      </w:rPr>
                      <w:t>EIS</w:t>
                    </w:r>
                  </w:p>
                </w:tc>
                <w:tc>
                  <w:tcPr>
                    <w:tcW w:w="709" w:type="dxa"/>
                    <w:vMerge w:val="restart"/>
                    <w:vAlign w:val="center"/>
                    <w:hideMark/>
                  </w:tcPr>
                  <w:p>
                    <w:pPr>
                      <w:jc w:val="center"/>
                      <w:rPr>
                        <w:sz w:val="20"/>
                      </w:rPr>
                    </w:pPr>
                    <w:r>
                      <w:rPr>
                        <w:sz w:val="20"/>
                      </w:rPr>
                      <w:t>2025</w:t>
                    </w:r>
                  </w:p>
                </w:tc>
                <w:tc>
                  <w:tcPr>
                    <w:tcW w:w="709" w:type="dxa"/>
                    <w:vMerge w:val="restart"/>
                    <w:vAlign w:val="center"/>
                    <w:hideMark/>
                  </w:tcPr>
                  <w:p>
                    <w:pPr>
                      <w:jc w:val="center"/>
                      <w:rPr>
                        <w:sz w:val="20"/>
                      </w:rPr>
                    </w:pPr>
                    <w:r>
                      <w:rPr>
                        <w:sz w:val="20"/>
                      </w:rPr>
                      <w:t>2033</w:t>
                    </w:r>
                  </w:p>
                </w:tc>
                <w:tc>
                  <w:tcPr>
                    <w:tcW w:w="1417" w:type="dxa"/>
                    <w:vAlign w:val="center"/>
                    <w:hideMark/>
                  </w:tcPr>
                  <w:p>
                    <w:pPr>
                      <w:rPr>
                        <w:sz w:val="20"/>
                      </w:rPr>
                    </w:pPr>
                    <w:r>
                      <w:rPr>
                        <w:sz w:val="20"/>
                      </w:rPr>
                      <w:t>P-15-01-05-01</w:t>
                    </w:r>
                  </w:p>
                </w:tc>
                <w:tc>
                  <w:tcPr>
                    <w:tcW w:w="4111" w:type="dxa"/>
                    <w:vAlign w:val="center"/>
                    <w:hideMark/>
                  </w:tcPr>
                  <w:p>
                    <w:pPr>
                      <w:rPr>
                        <w:sz w:val="20"/>
                      </w:rPr>
                    </w:pPr>
                    <w:r>
                      <w:rPr>
                        <w:sz w:val="20"/>
                      </w:rPr>
                      <w:t xml:space="preserve">Pritrauktų ir išlaikytų aukštos kvalifikacijos specialistų skaičius (asm.) </w:t>
                    </w:r>
                  </w:p>
                </w:tc>
                <w:tc>
                  <w:tcPr>
                    <w:tcW w:w="1134" w:type="dxa"/>
                    <w:vAlign w:val="center"/>
                    <w:hideMark/>
                  </w:tcPr>
                  <w:p>
                    <w:pPr>
                      <w:jc w:val="center"/>
                      <w:rPr>
                        <w:sz w:val="20"/>
                      </w:rPr>
                    </w:pPr>
                    <w:r>
                      <w:rPr>
                        <w:sz w:val="20"/>
                      </w:rPr>
                      <w:t>EIS</w:t>
                    </w:r>
                  </w:p>
                </w:tc>
                <w:tc>
                  <w:tcPr>
                    <w:tcW w:w="1134" w:type="dxa"/>
                    <w:vAlign w:val="center"/>
                    <w:hideMark/>
                  </w:tcPr>
                  <w:p>
                    <w:pPr>
                      <w:jc w:val="center"/>
                      <w:rPr>
                        <w:sz w:val="20"/>
                      </w:rPr>
                    </w:pPr>
                    <w:r>
                      <w:rPr>
                        <w:sz w:val="20"/>
                      </w:rPr>
                      <w:t>8 (2023)</w:t>
                    </w:r>
                  </w:p>
                </w:tc>
                <w:tc>
                  <w:tcPr>
                    <w:tcW w:w="1134" w:type="dxa"/>
                    <w:vAlign w:val="center"/>
                    <w:hideMark/>
                  </w:tcPr>
                  <w:p>
                    <w:pPr>
                      <w:jc w:val="center"/>
                      <w:rPr>
                        <w:sz w:val="20"/>
                      </w:rPr>
                    </w:pPr>
                    <w:r>
                      <w:rPr>
                        <w:sz w:val="20"/>
                      </w:rPr>
                      <w:t>86 (2033)</w:t>
                    </w:r>
                  </w:p>
                </w:tc>
              </w:tr>
              <w:tr>
                <w:trPr>
                  <w:trHeight w:val="520"/>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rPr>
                        <w:sz w:val="20"/>
                      </w:rPr>
                    </w:pPr>
                  </w:p>
                </w:tc>
                <w:tc>
                  <w:tcPr>
                    <w:tcW w:w="709" w:type="dxa"/>
                    <w:vMerge/>
                    <w:vAlign w:val="center"/>
                    <w:hideMark/>
                  </w:tcPr>
                  <w:p>
                    <w:pPr>
                      <w:rPr>
                        <w:sz w:val="20"/>
                      </w:rPr>
                    </w:pPr>
                  </w:p>
                </w:tc>
                <w:tc>
                  <w:tcPr>
                    <w:tcW w:w="709" w:type="dxa"/>
                    <w:vMerge/>
                    <w:vAlign w:val="center"/>
                    <w:hideMark/>
                  </w:tcPr>
                  <w:p>
                    <w:pPr>
                      <w:rPr>
                        <w:sz w:val="20"/>
                      </w:rPr>
                    </w:pPr>
                  </w:p>
                </w:tc>
                <w:tc>
                  <w:tcPr>
                    <w:tcW w:w="1417" w:type="dxa"/>
                    <w:vAlign w:val="center"/>
                    <w:hideMark/>
                  </w:tcPr>
                  <w:p>
                    <w:pPr>
                      <w:rPr>
                        <w:sz w:val="20"/>
                      </w:rPr>
                    </w:pPr>
                    <w:r>
                      <w:rPr>
                        <w:sz w:val="20"/>
                      </w:rPr>
                      <w:t>P-15-01-05-02</w:t>
                    </w:r>
                  </w:p>
                </w:tc>
                <w:tc>
                  <w:tcPr>
                    <w:tcW w:w="4111" w:type="dxa"/>
                    <w:vAlign w:val="center"/>
                    <w:hideMark/>
                  </w:tcPr>
                  <w:p>
                    <w:pPr>
                      <w:rPr>
                        <w:sz w:val="20"/>
                      </w:rPr>
                    </w:pPr>
                    <w:r>
                      <w:rPr>
                        <w:sz w:val="20"/>
                      </w:rPr>
                      <w:t>Šiaulių miesto ambasadorių užsienyje skaičius (vnt.)</w:t>
                    </w:r>
                  </w:p>
                </w:tc>
                <w:tc>
                  <w:tcPr>
                    <w:tcW w:w="1134" w:type="dxa"/>
                    <w:vAlign w:val="center"/>
                    <w:hideMark/>
                  </w:tcPr>
                  <w:p>
                    <w:pPr>
                      <w:jc w:val="center"/>
                      <w:rPr>
                        <w:sz w:val="20"/>
                      </w:rPr>
                    </w:pPr>
                    <w:r>
                      <w:rPr>
                        <w:sz w:val="20"/>
                      </w:rPr>
                      <w:t>Vicemeras (-ai)</w:t>
                    </w:r>
                  </w:p>
                </w:tc>
                <w:tc>
                  <w:tcPr>
                    <w:tcW w:w="1134" w:type="dxa"/>
                    <w:vAlign w:val="center"/>
                    <w:hideMark/>
                  </w:tcPr>
                  <w:p>
                    <w:pPr>
                      <w:jc w:val="center"/>
                      <w:rPr>
                        <w:sz w:val="20"/>
                      </w:rPr>
                    </w:pPr>
                    <w:r>
                      <w:rPr>
                        <w:sz w:val="20"/>
                      </w:rPr>
                      <w:t>8 (2023)</w:t>
                    </w:r>
                  </w:p>
                </w:tc>
                <w:tc>
                  <w:tcPr>
                    <w:tcW w:w="1134" w:type="dxa"/>
                    <w:vAlign w:val="center"/>
                    <w:hideMark/>
                  </w:tcPr>
                  <w:p>
                    <w:pPr>
                      <w:jc w:val="center"/>
                      <w:rPr>
                        <w:sz w:val="20"/>
                      </w:rPr>
                    </w:pPr>
                    <w:r>
                      <w:rPr>
                        <w:sz w:val="20"/>
                      </w:rPr>
                      <w:t>16 (2033)</w:t>
                    </w:r>
                  </w:p>
                </w:tc>
              </w:tr>
              <w:tr>
                <w:trPr>
                  <w:trHeight w:val="660"/>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rPr>
                        <w:sz w:val="20"/>
                      </w:rPr>
                    </w:pPr>
                  </w:p>
                </w:tc>
                <w:tc>
                  <w:tcPr>
                    <w:tcW w:w="709" w:type="dxa"/>
                    <w:vMerge/>
                    <w:vAlign w:val="center"/>
                    <w:hideMark/>
                  </w:tcPr>
                  <w:p>
                    <w:pPr>
                      <w:rPr>
                        <w:sz w:val="20"/>
                      </w:rPr>
                    </w:pPr>
                  </w:p>
                </w:tc>
                <w:tc>
                  <w:tcPr>
                    <w:tcW w:w="709" w:type="dxa"/>
                    <w:vMerge/>
                    <w:vAlign w:val="center"/>
                    <w:hideMark/>
                  </w:tcPr>
                  <w:p>
                    <w:pPr>
                      <w:rPr>
                        <w:sz w:val="20"/>
                      </w:rPr>
                    </w:pPr>
                  </w:p>
                </w:tc>
                <w:tc>
                  <w:tcPr>
                    <w:tcW w:w="1417" w:type="dxa"/>
                    <w:vAlign w:val="center"/>
                    <w:hideMark/>
                  </w:tcPr>
                  <w:p>
                    <w:pPr>
                      <w:rPr>
                        <w:sz w:val="20"/>
                      </w:rPr>
                    </w:pPr>
                    <w:r>
                      <w:rPr>
                        <w:sz w:val="20"/>
                      </w:rPr>
                      <w:t>P-15-01-05-03</w:t>
                    </w:r>
                  </w:p>
                </w:tc>
                <w:tc>
                  <w:tcPr>
                    <w:tcW w:w="4111" w:type="dxa"/>
                    <w:vAlign w:val="center"/>
                    <w:hideMark/>
                  </w:tcPr>
                  <w:p>
                    <w:pPr>
                      <w:rPr>
                        <w:sz w:val="20"/>
                      </w:rPr>
                    </w:pPr>
                    <w:r>
                      <w:rPr>
                        <w:sz w:val="20"/>
                      </w:rPr>
                      <w:t xml:space="preserve">Suorganizuotų nuotolinių ir fizinių susitikimų su Šiaulių miesto diasporos atstovais skaičius (vnt.) </w:t>
                    </w:r>
                  </w:p>
                </w:tc>
                <w:tc>
                  <w:tcPr>
                    <w:tcW w:w="1134" w:type="dxa"/>
                    <w:vAlign w:val="center"/>
                    <w:hideMark/>
                  </w:tcPr>
                  <w:p>
                    <w:pPr>
                      <w:jc w:val="center"/>
                      <w:rPr>
                        <w:sz w:val="20"/>
                      </w:rPr>
                    </w:pPr>
                    <w:r>
                      <w:rPr>
                        <w:sz w:val="20"/>
                      </w:rPr>
                      <w:t>Vicemeras (-ai)</w:t>
                    </w:r>
                  </w:p>
                </w:tc>
                <w:tc>
                  <w:tcPr>
                    <w:tcW w:w="1134" w:type="dxa"/>
                    <w:vAlign w:val="center"/>
                    <w:hideMark/>
                  </w:tcPr>
                  <w:p>
                    <w:pPr>
                      <w:jc w:val="center"/>
                      <w:rPr>
                        <w:sz w:val="20"/>
                      </w:rPr>
                    </w:pPr>
                    <w:r>
                      <w:rPr>
                        <w:sz w:val="20"/>
                      </w:rPr>
                      <w:t>1 (2023)</w:t>
                    </w:r>
                  </w:p>
                </w:tc>
                <w:tc>
                  <w:tcPr>
                    <w:tcW w:w="1134" w:type="dxa"/>
                    <w:vAlign w:val="center"/>
                    <w:hideMark/>
                  </w:tcPr>
                  <w:p>
                    <w:pPr>
                      <w:jc w:val="center"/>
                      <w:rPr>
                        <w:sz w:val="20"/>
                      </w:rPr>
                    </w:pPr>
                    <w:r>
                      <w:rPr>
                        <w:sz w:val="20"/>
                      </w:rPr>
                      <w:t>18 (2033)</w:t>
                    </w:r>
                  </w:p>
                </w:tc>
              </w:tr>
              <w:tr>
                <w:trPr>
                  <w:trHeight w:val="530"/>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rPr>
                        <w:sz w:val="20"/>
                      </w:rPr>
                    </w:pPr>
                  </w:p>
                </w:tc>
                <w:tc>
                  <w:tcPr>
                    <w:tcW w:w="709" w:type="dxa"/>
                    <w:vMerge/>
                    <w:vAlign w:val="center"/>
                    <w:hideMark/>
                  </w:tcPr>
                  <w:p>
                    <w:pPr>
                      <w:rPr>
                        <w:sz w:val="20"/>
                      </w:rPr>
                    </w:pPr>
                  </w:p>
                </w:tc>
                <w:tc>
                  <w:tcPr>
                    <w:tcW w:w="709" w:type="dxa"/>
                    <w:vMerge/>
                    <w:vAlign w:val="center"/>
                    <w:hideMark/>
                  </w:tcPr>
                  <w:p>
                    <w:pPr>
                      <w:rPr>
                        <w:sz w:val="20"/>
                      </w:rPr>
                    </w:pPr>
                  </w:p>
                </w:tc>
                <w:tc>
                  <w:tcPr>
                    <w:tcW w:w="1417" w:type="dxa"/>
                    <w:vAlign w:val="center"/>
                    <w:hideMark/>
                  </w:tcPr>
                  <w:p>
                    <w:pPr>
                      <w:rPr>
                        <w:sz w:val="20"/>
                      </w:rPr>
                    </w:pPr>
                    <w:r>
                      <w:rPr>
                        <w:sz w:val="20"/>
                      </w:rPr>
                      <w:t>P-15-01-05-04</w:t>
                    </w:r>
                  </w:p>
                </w:tc>
                <w:tc>
                  <w:tcPr>
                    <w:tcW w:w="4111" w:type="dxa"/>
                    <w:vAlign w:val="center"/>
                    <w:hideMark/>
                  </w:tcPr>
                  <w:p>
                    <w:pPr>
                      <w:rPr>
                        <w:sz w:val="20"/>
                      </w:rPr>
                    </w:pPr>
                    <w:r>
                      <w:rPr>
                        <w:sz w:val="20"/>
                      </w:rPr>
                      <w:t>Sukurtas pirmo būsto finansavimo mechanizmas jaunoms šeimoms Šiaulių mieste (vnt.)</w:t>
                    </w:r>
                  </w:p>
                </w:tc>
                <w:tc>
                  <w:tcPr>
                    <w:tcW w:w="1134" w:type="dxa"/>
                    <w:vAlign w:val="center"/>
                    <w:hideMark/>
                  </w:tcPr>
                  <w:p>
                    <w:pPr>
                      <w:jc w:val="center"/>
                      <w:rPr>
                        <w:sz w:val="20"/>
                      </w:rPr>
                    </w:pPr>
                    <w:r>
                      <w:rPr>
                        <w:sz w:val="20"/>
                      </w:rPr>
                      <w:t>Vicemeras (-ai)</w:t>
                    </w:r>
                  </w:p>
                </w:tc>
                <w:tc>
                  <w:tcPr>
                    <w:tcW w:w="1134" w:type="dxa"/>
                    <w:vAlign w:val="center"/>
                    <w:hideMark/>
                  </w:tcPr>
                  <w:p>
                    <w:pPr>
                      <w:jc w:val="center"/>
                      <w:rPr>
                        <w:sz w:val="20"/>
                      </w:rPr>
                    </w:pPr>
                    <w:r>
                      <w:rPr>
                        <w:sz w:val="20"/>
                      </w:rPr>
                      <w:t>0 (2023)</w:t>
                    </w:r>
                  </w:p>
                </w:tc>
                <w:tc>
                  <w:tcPr>
                    <w:tcW w:w="1134" w:type="dxa"/>
                    <w:vAlign w:val="center"/>
                    <w:hideMark/>
                  </w:tcPr>
                  <w:p>
                    <w:pPr>
                      <w:jc w:val="center"/>
                      <w:rPr>
                        <w:sz w:val="20"/>
                      </w:rPr>
                    </w:pPr>
                    <w:r>
                      <w:rPr>
                        <w:sz w:val="20"/>
                      </w:rPr>
                      <w:t>1 (2027)</w:t>
                    </w:r>
                  </w:p>
                </w:tc>
              </w:tr>
              <w:tr>
                <w:trPr>
                  <w:trHeight w:val="780"/>
                  <w:jc w:val="center"/>
                </w:trPr>
                <w:tc>
                  <w:tcPr>
                    <w:tcW w:w="988" w:type="dxa"/>
                    <w:vMerge w:val="restart"/>
                    <w:shd w:val="clear" w:color="auto" w:fill="FCE4D6"/>
                    <w:noWrap/>
                    <w:vAlign w:val="center"/>
                    <w:hideMark/>
                  </w:tcPr>
                  <w:p>
                    <w:pPr>
                      <w:rPr>
                        <w:b/>
                        <w:bCs/>
                        <w:sz w:val="20"/>
                      </w:rPr>
                    </w:pPr>
                    <w:r>
                      <w:rPr>
                        <w:b/>
                        <w:bCs/>
                        <w:sz w:val="20"/>
                      </w:rPr>
                      <w:t>15-02</w:t>
                    </w:r>
                  </w:p>
                </w:tc>
                <w:tc>
                  <w:tcPr>
                    <w:tcW w:w="2126" w:type="dxa"/>
                    <w:vMerge w:val="restart"/>
                    <w:shd w:val="clear" w:color="auto" w:fill="FCE4D6"/>
                    <w:vAlign w:val="center"/>
                    <w:hideMark/>
                  </w:tcPr>
                  <w:p>
                    <w:pPr>
                      <w:rPr>
                        <w:b/>
                        <w:bCs/>
                        <w:sz w:val="20"/>
                      </w:rPr>
                    </w:pPr>
                    <w:r>
                      <w:rPr>
                        <w:b/>
                        <w:bCs/>
                        <w:sz w:val="20"/>
                      </w:rPr>
                      <w:t>Stiprinti miesto patrauklumą plėtojant turizmo sektorių</w:t>
                    </w:r>
                  </w:p>
                </w:tc>
                <w:tc>
                  <w:tcPr>
                    <w:tcW w:w="850" w:type="dxa"/>
                    <w:vMerge w:val="restart"/>
                    <w:shd w:val="clear" w:color="auto" w:fill="FCE4D6"/>
                    <w:vAlign w:val="center"/>
                    <w:hideMark/>
                  </w:tcPr>
                  <w:p>
                    <w:pPr>
                      <w:jc w:val="center"/>
                      <w:rPr>
                        <w:sz w:val="20"/>
                      </w:rPr>
                    </w:pPr>
                    <w:r>
                      <w:rPr>
                        <w:sz w:val="20"/>
                      </w:rPr>
                      <w:t>KS</w:t>
                    </w:r>
                  </w:p>
                </w:tc>
                <w:tc>
                  <w:tcPr>
                    <w:tcW w:w="709" w:type="dxa"/>
                    <w:vMerge w:val="restart"/>
                    <w:shd w:val="clear" w:color="auto" w:fill="FCE4D6"/>
                    <w:vAlign w:val="center"/>
                    <w:hideMark/>
                  </w:tcPr>
                  <w:p>
                    <w:pPr>
                      <w:jc w:val="center"/>
                      <w:rPr>
                        <w:sz w:val="20"/>
                      </w:rPr>
                    </w:pPr>
                    <w:r>
                      <w:rPr>
                        <w:sz w:val="20"/>
                      </w:rPr>
                      <w:t>2025</w:t>
                    </w:r>
                  </w:p>
                </w:tc>
                <w:tc>
                  <w:tcPr>
                    <w:tcW w:w="709" w:type="dxa"/>
                    <w:vMerge w:val="restart"/>
                    <w:shd w:val="clear" w:color="auto" w:fill="FCE4D6"/>
                    <w:vAlign w:val="center"/>
                    <w:hideMark/>
                  </w:tcPr>
                  <w:p>
                    <w:pPr>
                      <w:jc w:val="center"/>
                      <w:rPr>
                        <w:sz w:val="20"/>
                      </w:rPr>
                    </w:pPr>
                    <w:r>
                      <w:rPr>
                        <w:sz w:val="20"/>
                      </w:rPr>
                      <w:t>2033</w:t>
                    </w:r>
                  </w:p>
                </w:tc>
                <w:tc>
                  <w:tcPr>
                    <w:tcW w:w="1417" w:type="dxa"/>
                    <w:shd w:val="clear" w:color="auto" w:fill="FCE4D6"/>
                    <w:vAlign w:val="center"/>
                    <w:hideMark/>
                  </w:tcPr>
                  <w:p>
                    <w:pPr>
                      <w:rPr>
                        <w:b/>
                        <w:bCs/>
                        <w:sz w:val="20"/>
                      </w:rPr>
                    </w:pPr>
                    <w:r>
                      <w:rPr>
                        <w:b/>
                        <w:bCs/>
                        <w:sz w:val="20"/>
                      </w:rPr>
                      <w:t>R-15-02-01</w:t>
                    </w:r>
                  </w:p>
                </w:tc>
                <w:tc>
                  <w:tcPr>
                    <w:tcW w:w="4111" w:type="dxa"/>
                    <w:shd w:val="clear" w:color="auto" w:fill="FCE4D6"/>
                    <w:vAlign w:val="center"/>
                    <w:hideMark/>
                  </w:tcPr>
                  <w:p>
                    <w:pPr>
                      <w:rPr>
                        <w:sz w:val="20"/>
                      </w:rPr>
                    </w:pPr>
                    <w:r>
                      <w:rPr>
                        <w:sz w:val="20"/>
                      </w:rPr>
                      <w:t>Turistų informacijos centro lankytojų ir interneto svetainių, socialinių tinklų vartotojų skaičius (tūkst. asm. per metus)</w:t>
                    </w:r>
                  </w:p>
                </w:tc>
                <w:tc>
                  <w:tcPr>
                    <w:tcW w:w="1134" w:type="dxa"/>
                    <w:shd w:val="clear" w:color="auto" w:fill="FCE4D6"/>
                    <w:vAlign w:val="center"/>
                    <w:hideMark/>
                  </w:tcPr>
                  <w:p>
                    <w:pPr>
                      <w:jc w:val="center"/>
                      <w:rPr>
                        <w:sz w:val="20"/>
                      </w:rPr>
                    </w:pPr>
                    <w:r>
                      <w:rPr>
                        <w:sz w:val="20"/>
                      </w:rPr>
                      <w:t>TIC</w:t>
                    </w:r>
                  </w:p>
                </w:tc>
                <w:tc>
                  <w:tcPr>
                    <w:tcW w:w="1134" w:type="dxa"/>
                    <w:shd w:val="clear" w:color="auto" w:fill="FCE4D6"/>
                    <w:vAlign w:val="center"/>
                    <w:hideMark/>
                  </w:tcPr>
                  <w:p>
                    <w:pPr>
                      <w:jc w:val="center"/>
                      <w:rPr>
                        <w:sz w:val="20"/>
                      </w:rPr>
                    </w:pPr>
                    <w:r>
                      <w:rPr>
                        <w:sz w:val="20"/>
                      </w:rPr>
                      <w:t>37,5 / 244,4 (2023)</w:t>
                    </w:r>
                  </w:p>
                </w:tc>
                <w:tc>
                  <w:tcPr>
                    <w:tcW w:w="1134" w:type="dxa"/>
                    <w:shd w:val="clear" w:color="auto" w:fill="FCE4D6"/>
                    <w:vAlign w:val="center"/>
                    <w:hideMark/>
                  </w:tcPr>
                  <w:p>
                    <w:pPr>
                      <w:jc w:val="center"/>
                      <w:rPr>
                        <w:sz w:val="20"/>
                      </w:rPr>
                    </w:pPr>
                    <w:r>
                      <w:rPr>
                        <w:sz w:val="20"/>
                      </w:rPr>
                      <w:t>50,4 / 361 (2033)</w:t>
                    </w:r>
                  </w:p>
                </w:tc>
              </w:tr>
              <w:tr>
                <w:trPr>
                  <w:trHeight w:val="260"/>
                  <w:jc w:val="center"/>
                </w:trPr>
                <w:tc>
                  <w:tcPr>
                    <w:tcW w:w="988" w:type="dxa"/>
                    <w:vMerge/>
                    <w:shd w:val="clear" w:color="auto" w:fill="FCE4D6"/>
                    <w:vAlign w:val="center"/>
                    <w:hideMark/>
                  </w:tcPr>
                  <w:p>
                    <w:pPr>
                      <w:rPr>
                        <w:b/>
                        <w:bCs/>
                        <w:sz w:val="20"/>
                      </w:rPr>
                    </w:pPr>
                  </w:p>
                </w:tc>
                <w:tc>
                  <w:tcPr>
                    <w:tcW w:w="2126" w:type="dxa"/>
                    <w:vMerge/>
                    <w:shd w:val="clear" w:color="auto" w:fill="FCE4D6"/>
                    <w:vAlign w:val="center"/>
                    <w:hideMark/>
                  </w:tcPr>
                  <w:p>
                    <w:pPr>
                      <w:rPr>
                        <w:b/>
                        <w:bCs/>
                        <w:sz w:val="20"/>
                      </w:rPr>
                    </w:pPr>
                  </w:p>
                </w:tc>
                <w:tc>
                  <w:tcPr>
                    <w:tcW w:w="850" w:type="dxa"/>
                    <w:vMerge/>
                    <w:shd w:val="clear" w:color="auto" w:fill="FCE4D6"/>
                    <w:vAlign w:val="center"/>
                    <w:hideMark/>
                  </w:tcPr>
                  <w:p>
                    <w:pPr>
                      <w:rPr>
                        <w:sz w:val="20"/>
                      </w:rPr>
                    </w:pPr>
                  </w:p>
                </w:tc>
                <w:tc>
                  <w:tcPr>
                    <w:tcW w:w="709" w:type="dxa"/>
                    <w:vMerge/>
                    <w:shd w:val="clear" w:color="auto" w:fill="FCE4D6"/>
                    <w:vAlign w:val="center"/>
                    <w:hideMark/>
                  </w:tcPr>
                  <w:p>
                    <w:pPr>
                      <w:rPr>
                        <w:sz w:val="20"/>
                      </w:rPr>
                    </w:pPr>
                  </w:p>
                </w:tc>
                <w:tc>
                  <w:tcPr>
                    <w:tcW w:w="709" w:type="dxa"/>
                    <w:vMerge/>
                    <w:shd w:val="clear" w:color="auto" w:fill="FCE4D6"/>
                    <w:vAlign w:val="center"/>
                    <w:hideMark/>
                  </w:tcPr>
                  <w:p>
                    <w:pPr>
                      <w:rPr>
                        <w:sz w:val="20"/>
                      </w:rPr>
                    </w:pPr>
                  </w:p>
                </w:tc>
                <w:tc>
                  <w:tcPr>
                    <w:tcW w:w="1417" w:type="dxa"/>
                    <w:shd w:val="clear" w:color="auto" w:fill="FCE4D6"/>
                    <w:vAlign w:val="center"/>
                    <w:hideMark/>
                  </w:tcPr>
                  <w:p>
                    <w:pPr>
                      <w:rPr>
                        <w:b/>
                        <w:bCs/>
                        <w:sz w:val="20"/>
                      </w:rPr>
                    </w:pPr>
                    <w:r>
                      <w:rPr>
                        <w:b/>
                        <w:bCs/>
                        <w:sz w:val="20"/>
                      </w:rPr>
                      <w:t>R-15-02-02</w:t>
                    </w:r>
                  </w:p>
                </w:tc>
                <w:tc>
                  <w:tcPr>
                    <w:tcW w:w="4111" w:type="dxa"/>
                    <w:shd w:val="clear" w:color="auto" w:fill="FCE4D6"/>
                    <w:vAlign w:val="center"/>
                    <w:hideMark/>
                  </w:tcPr>
                  <w:p>
                    <w:pPr>
                      <w:rPr>
                        <w:sz w:val="20"/>
                      </w:rPr>
                    </w:pPr>
                    <w:r>
                      <w:rPr>
                        <w:sz w:val="20"/>
                      </w:rPr>
                      <w:t>Vietų skaičius apgyvendinimo įstaigose (vnt.)</w:t>
                    </w:r>
                  </w:p>
                </w:tc>
                <w:tc>
                  <w:tcPr>
                    <w:tcW w:w="1134" w:type="dxa"/>
                    <w:shd w:val="clear" w:color="auto" w:fill="FCE4D6"/>
                    <w:vAlign w:val="center"/>
                    <w:hideMark/>
                  </w:tcPr>
                  <w:p>
                    <w:pPr>
                      <w:jc w:val="center"/>
                      <w:rPr>
                        <w:sz w:val="20"/>
                      </w:rPr>
                    </w:pPr>
                    <w:r>
                      <w:rPr>
                        <w:sz w:val="20"/>
                      </w:rPr>
                      <w:t>VDA (TIC)</w:t>
                    </w:r>
                  </w:p>
                </w:tc>
                <w:tc>
                  <w:tcPr>
                    <w:tcW w:w="1134" w:type="dxa"/>
                    <w:shd w:val="clear" w:color="auto" w:fill="FCE4D6"/>
                    <w:vAlign w:val="center"/>
                    <w:hideMark/>
                  </w:tcPr>
                  <w:p>
                    <w:pPr>
                      <w:jc w:val="center"/>
                      <w:rPr>
                        <w:sz w:val="20"/>
                      </w:rPr>
                    </w:pPr>
                    <w:r>
                      <w:rPr>
                        <w:sz w:val="20"/>
                      </w:rPr>
                      <w:t>1776 (2022)</w:t>
                    </w:r>
                  </w:p>
                </w:tc>
                <w:tc>
                  <w:tcPr>
                    <w:tcW w:w="1134" w:type="dxa"/>
                    <w:shd w:val="clear" w:color="auto" w:fill="FCE4D6"/>
                    <w:vAlign w:val="center"/>
                    <w:hideMark/>
                  </w:tcPr>
                  <w:p>
                    <w:pPr>
                      <w:jc w:val="center"/>
                      <w:rPr>
                        <w:sz w:val="20"/>
                      </w:rPr>
                    </w:pPr>
                    <w:r>
                      <w:rPr>
                        <w:sz w:val="20"/>
                      </w:rPr>
                      <w:t>2400 (2033)</w:t>
                    </w:r>
                  </w:p>
                </w:tc>
              </w:tr>
              <w:tr>
                <w:trPr>
                  <w:trHeight w:val="444"/>
                  <w:jc w:val="center"/>
                </w:trPr>
                <w:tc>
                  <w:tcPr>
                    <w:tcW w:w="988" w:type="dxa"/>
                    <w:vMerge/>
                    <w:shd w:val="clear" w:color="auto" w:fill="FCE4D6"/>
                    <w:vAlign w:val="center"/>
                    <w:hideMark/>
                  </w:tcPr>
                  <w:p>
                    <w:pPr>
                      <w:rPr>
                        <w:b/>
                        <w:bCs/>
                        <w:sz w:val="20"/>
                      </w:rPr>
                    </w:pPr>
                  </w:p>
                </w:tc>
                <w:tc>
                  <w:tcPr>
                    <w:tcW w:w="2126" w:type="dxa"/>
                    <w:vMerge/>
                    <w:shd w:val="clear" w:color="auto" w:fill="FCE4D6"/>
                    <w:vAlign w:val="center"/>
                    <w:hideMark/>
                  </w:tcPr>
                  <w:p>
                    <w:pPr>
                      <w:rPr>
                        <w:b/>
                        <w:bCs/>
                        <w:sz w:val="20"/>
                      </w:rPr>
                    </w:pPr>
                  </w:p>
                </w:tc>
                <w:tc>
                  <w:tcPr>
                    <w:tcW w:w="850" w:type="dxa"/>
                    <w:vMerge/>
                    <w:shd w:val="clear" w:color="auto" w:fill="FCE4D6"/>
                    <w:vAlign w:val="center"/>
                    <w:hideMark/>
                  </w:tcPr>
                  <w:p>
                    <w:pPr>
                      <w:rPr>
                        <w:sz w:val="20"/>
                      </w:rPr>
                    </w:pPr>
                  </w:p>
                </w:tc>
                <w:tc>
                  <w:tcPr>
                    <w:tcW w:w="709" w:type="dxa"/>
                    <w:vMerge/>
                    <w:shd w:val="clear" w:color="auto" w:fill="FCE4D6"/>
                    <w:vAlign w:val="center"/>
                    <w:hideMark/>
                  </w:tcPr>
                  <w:p>
                    <w:pPr>
                      <w:rPr>
                        <w:sz w:val="20"/>
                      </w:rPr>
                    </w:pPr>
                  </w:p>
                </w:tc>
                <w:tc>
                  <w:tcPr>
                    <w:tcW w:w="709" w:type="dxa"/>
                    <w:vMerge/>
                    <w:shd w:val="clear" w:color="auto" w:fill="FCE4D6"/>
                    <w:vAlign w:val="center"/>
                    <w:hideMark/>
                  </w:tcPr>
                  <w:p>
                    <w:pPr>
                      <w:rPr>
                        <w:sz w:val="20"/>
                      </w:rPr>
                    </w:pPr>
                  </w:p>
                </w:tc>
                <w:tc>
                  <w:tcPr>
                    <w:tcW w:w="1417" w:type="dxa"/>
                    <w:shd w:val="clear" w:color="auto" w:fill="FCE4D6"/>
                    <w:vAlign w:val="center"/>
                    <w:hideMark/>
                  </w:tcPr>
                  <w:p>
                    <w:pPr>
                      <w:rPr>
                        <w:b/>
                        <w:bCs/>
                        <w:sz w:val="20"/>
                      </w:rPr>
                    </w:pPr>
                    <w:r>
                      <w:rPr>
                        <w:b/>
                        <w:bCs/>
                        <w:sz w:val="20"/>
                      </w:rPr>
                      <w:t>R-15-02-03</w:t>
                    </w:r>
                  </w:p>
                </w:tc>
                <w:tc>
                  <w:tcPr>
                    <w:tcW w:w="4111" w:type="dxa"/>
                    <w:shd w:val="clear" w:color="auto" w:fill="FCE4D6"/>
                    <w:vAlign w:val="center"/>
                    <w:hideMark/>
                  </w:tcPr>
                  <w:p>
                    <w:pPr>
                      <w:rPr>
                        <w:sz w:val="20"/>
                      </w:rPr>
                    </w:pPr>
                    <w:r>
                      <w:rPr>
                        <w:sz w:val="20"/>
                      </w:rPr>
                      <w:t>Teigiamai Šiaulių miesto įvaizdį vertinančių miesto svečių dalis (proc.)</w:t>
                    </w:r>
                  </w:p>
                </w:tc>
                <w:tc>
                  <w:tcPr>
                    <w:tcW w:w="1134" w:type="dxa"/>
                    <w:shd w:val="clear" w:color="auto" w:fill="FCE4D6"/>
                    <w:vAlign w:val="center"/>
                    <w:hideMark/>
                  </w:tcPr>
                  <w:p>
                    <w:pPr>
                      <w:jc w:val="center"/>
                      <w:rPr>
                        <w:sz w:val="20"/>
                      </w:rPr>
                    </w:pPr>
                    <w:r>
                      <w:rPr>
                        <w:sz w:val="20"/>
                      </w:rPr>
                      <w:t>Tyrimas (EIS)</w:t>
                    </w:r>
                  </w:p>
                </w:tc>
                <w:tc>
                  <w:tcPr>
                    <w:tcW w:w="1134" w:type="dxa"/>
                    <w:shd w:val="clear" w:color="auto" w:fill="FCE4D6"/>
                    <w:vAlign w:val="center"/>
                    <w:hideMark/>
                  </w:tcPr>
                  <w:p>
                    <w:pPr>
                      <w:jc w:val="center"/>
                      <w:rPr>
                        <w:sz w:val="20"/>
                      </w:rPr>
                    </w:pPr>
                    <w:r>
                      <w:rPr>
                        <w:sz w:val="20"/>
                      </w:rPr>
                      <w:t>44,7 (2023)</w:t>
                    </w:r>
                  </w:p>
                </w:tc>
                <w:tc>
                  <w:tcPr>
                    <w:tcW w:w="1134" w:type="dxa"/>
                    <w:shd w:val="clear" w:color="auto" w:fill="FCE4D6"/>
                    <w:vAlign w:val="center"/>
                    <w:hideMark/>
                  </w:tcPr>
                  <w:p>
                    <w:pPr>
                      <w:jc w:val="center"/>
                      <w:rPr>
                        <w:sz w:val="20"/>
                      </w:rPr>
                    </w:pPr>
                    <w:r>
                      <w:rPr>
                        <w:sz w:val="20"/>
                      </w:rPr>
                      <w:t>55 (2033)</w:t>
                    </w:r>
                  </w:p>
                </w:tc>
              </w:tr>
              <w:tr>
                <w:trPr>
                  <w:trHeight w:val="642"/>
                  <w:jc w:val="center"/>
                </w:trPr>
                <w:tc>
                  <w:tcPr>
                    <w:tcW w:w="988" w:type="dxa"/>
                    <w:vMerge w:val="restart"/>
                    <w:noWrap/>
                    <w:vAlign w:val="center"/>
                    <w:hideMark/>
                  </w:tcPr>
                  <w:p>
                    <w:pPr>
                      <w:rPr>
                        <w:sz w:val="20"/>
                      </w:rPr>
                    </w:pPr>
                    <w:r>
                      <w:rPr>
                        <w:sz w:val="20"/>
                      </w:rPr>
                      <w:t>15-02-01</w:t>
                    </w:r>
                  </w:p>
                </w:tc>
                <w:tc>
                  <w:tcPr>
                    <w:tcW w:w="2126" w:type="dxa"/>
                    <w:vMerge w:val="restart"/>
                    <w:vAlign w:val="center"/>
                    <w:hideMark/>
                  </w:tcPr>
                  <w:p>
                    <w:pPr>
                      <w:rPr>
                        <w:sz w:val="20"/>
                      </w:rPr>
                    </w:pPr>
                    <w:r>
                      <w:rPr>
                        <w:sz w:val="20"/>
                      </w:rPr>
                      <w:t>Atnaujinti esamus ir sukurti naujus, unikalius turistų lankomus objektus, traukos vietas</w:t>
                    </w:r>
                  </w:p>
                </w:tc>
                <w:tc>
                  <w:tcPr>
                    <w:tcW w:w="850" w:type="dxa"/>
                    <w:vMerge w:val="restart"/>
                    <w:vAlign w:val="center"/>
                    <w:hideMark/>
                  </w:tcPr>
                  <w:p>
                    <w:pPr>
                      <w:jc w:val="center"/>
                      <w:rPr>
                        <w:sz w:val="20"/>
                      </w:rPr>
                    </w:pPr>
                    <w:r>
                      <w:rPr>
                        <w:sz w:val="20"/>
                      </w:rPr>
                      <w:t>KS</w:t>
                    </w:r>
                  </w:p>
                </w:tc>
                <w:tc>
                  <w:tcPr>
                    <w:tcW w:w="709" w:type="dxa"/>
                    <w:vMerge w:val="restart"/>
                    <w:vAlign w:val="center"/>
                    <w:hideMark/>
                  </w:tcPr>
                  <w:p>
                    <w:pPr>
                      <w:jc w:val="center"/>
                      <w:rPr>
                        <w:sz w:val="20"/>
                      </w:rPr>
                    </w:pPr>
                    <w:r>
                      <w:rPr>
                        <w:sz w:val="20"/>
                      </w:rPr>
                      <w:t>2025</w:t>
                    </w:r>
                  </w:p>
                </w:tc>
                <w:tc>
                  <w:tcPr>
                    <w:tcW w:w="709" w:type="dxa"/>
                    <w:vMerge w:val="restart"/>
                    <w:vAlign w:val="center"/>
                    <w:hideMark/>
                  </w:tcPr>
                  <w:p>
                    <w:pPr>
                      <w:jc w:val="center"/>
                      <w:rPr>
                        <w:sz w:val="20"/>
                      </w:rPr>
                    </w:pPr>
                    <w:r>
                      <w:rPr>
                        <w:sz w:val="20"/>
                      </w:rPr>
                      <w:t>2033</w:t>
                    </w:r>
                  </w:p>
                </w:tc>
                <w:tc>
                  <w:tcPr>
                    <w:tcW w:w="1417" w:type="dxa"/>
                    <w:vAlign w:val="center"/>
                    <w:hideMark/>
                  </w:tcPr>
                  <w:p>
                    <w:pPr>
                      <w:rPr>
                        <w:sz w:val="20"/>
                      </w:rPr>
                    </w:pPr>
                    <w:r>
                      <w:rPr>
                        <w:sz w:val="20"/>
                      </w:rPr>
                      <w:t>P-15-02-01-01</w:t>
                    </w:r>
                  </w:p>
                </w:tc>
                <w:tc>
                  <w:tcPr>
                    <w:tcW w:w="4111" w:type="dxa"/>
                    <w:vAlign w:val="center"/>
                    <w:hideMark/>
                  </w:tcPr>
                  <w:p>
                    <w:pPr>
                      <w:rPr>
                        <w:sz w:val="20"/>
                      </w:rPr>
                    </w:pPr>
                    <w:r>
                      <w:rPr>
                        <w:sz w:val="20"/>
                      </w:rPr>
                      <w:t>Įrengtų naujų turizmui ir rekreacijai pritaikytų reikšmingų traukos objektų skaičius (vnt.)</w:t>
                    </w:r>
                  </w:p>
                </w:tc>
                <w:tc>
                  <w:tcPr>
                    <w:tcW w:w="1134" w:type="dxa"/>
                    <w:vAlign w:val="center"/>
                    <w:hideMark/>
                  </w:tcPr>
                  <w:p>
                    <w:pPr>
                      <w:jc w:val="center"/>
                      <w:rPr>
                        <w:sz w:val="20"/>
                      </w:rPr>
                    </w:pPr>
                    <w:r>
                      <w:rPr>
                        <w:sz w:val="20"/>
                      </w:rPr>
                      <w:t>KS, TIC</w:t>
                    </w:r>
                  </w:p>
                </w:tc>
                <w:tc>
                  <w:tcPr>
                    <w:tcW w:w="1134" w:type="dxa"/>
                    <w:vAlign w:val="center"/>
                    <w:hideMark/>
                  </w:tcPr>
                  <w:p>
                    <w:pPr>
                      <w:jc w:val="center"/>
                      <w:rPr>
                        <w:sz w:val="20"/>
                      </w:rPr>
                    </w:pPr>
                    <w:r>
                      <w:rPr>
                        <w:sz w:val="20"/>
                      </w:rPr>
                      <w:t>0 (2023)</w:t>
                    </w:r>
                  </w:p>
                </w:tc>
                <w:tc>
                  <w:tcPr>
                    <w:tcW w:w="1134" w:type="dxa"/>
                    <w:vAlign w:val="center"/>
                    <w:hideMark/>
                  </w:tcPr>
                  <w:p>
                    <w:pPr>
                      <w:jc w:val="center"/>
                      <w:rPr>
                        <w:sz w:val="20"/>
                      </w:rPr>
                    </w:pPr>
                    <w:r>
                      <w:rPr>
                        <w:sz w:val="20"/>
                      </w:rPr>
                      <w:t>3 (2033)</w:t>
                    </w:r>
                  </w:p>
                </w:tc>
              </w:tr>
              <w:tr>
                <w:trPr>
                  <w:trHeight w:val="551"/>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jc w:val="center"/>
                      <w:rPr>
                        <w:sz w:val="20"/>
                      </w:rPr>
                    </w:pPr>
                  </w:p>
                </w:tc>
                <w:tc>
                  <w:tcPr>
                    <w:tcW w:w="709" w:type="dxa"/>
                    <w:vMerge/>
                    <w:vAlign w:val="center"/>
                    <w:hideMark/>
                  </w:tcPr>
                  <w:p>
                    <w:pPr>
                      <w:jc w:val="center"/>
                      <w:rPr>
                        <w:sz w:val="20"/>
                      </w:rPr>
                    </w:pPr>
                  </w:p>
                </w:tc>
                <w:tc>
                  <w:tcPr>
                    <w:tcW w:w="709" w:type="dxa"/>
                    <w:vMerge/>
                    <w:vAlign w:val="center"/>
                    <w:hideMark/>
                  </w:tcPr>
                  <w:p>
                    <w:pPr>
                      <w:jc w:val="center"/>
                      <w:rPr>
                        <w:sz w:val="20"/>
                      </w:rPr>
                    </w:pPr>
                  </w:p>
                </w:tc>
                <w:tc>
                  <w:tcPr>
                    <w:tcW w:w="1417" w:type="dxa"/>
                    <w:vAlign w:val="center"/>
                    <w:hideMark/>
                  </w:tcPr>
                  <w:p>
                    <w:pPr>
                      <w:rPr>
                        <w:sz w:val="20"/>
                      </w:rPr>
                    </w:pPr>
                    <w:r>
                      <w:rPr>
                        <w:sz w:val="20"/>
                      </w:rPr>
                      <w:t>P-15-02-01-02</w:t>
                    </w:r>
                  </w:p>
                </w:tc>
                <w:tc>
                  <w:tcPr>
                    <w:tcW w:w="4111" w:type="dxa"/>
                    <w:vAlign w:val="center"/>
                    <w:hideMark/>
                  </w:tcPr>
                  <w:p>
                    <w:pPr>
                      <w:rPr>
                        <w:sz w:val="20"/>
                      </w:rPr>
                    </w:pPr>
                    <w:r>
                      <w:rPr>
                        <w:sz w:val="20"/>
                      </w:rPr>
                      <w:t>Turizmui ir rekreacijai pritaikyti Talkšos ir Salduvės parkai (vnt.)</w:t>
                    </w:r>
                  </w:p>
                </w:tc>
                <w:tc>
                  <w:tcPr>
                    <w:tcW w:w="1134" w:type="dxa"/>
                    <w:vAlign w:val="center"/>
                    <w:hideMark/>
                  </w:tcPr>
                  <w:p>
                    <w:pPr>
                      <w:jc w:val="center"/>
                      <w:rPr>
                        <w:sz w:val="20"/>
                      </w:rPr>
                    </w:pPr>
                    <w:r>
                      <w:rPr>
                        <w:sz w:val="20"/>
                      </w:rPr>
                      <w:t>KS, TIC</w:t>
                    </w:r>
                  </w:p>
                </w:tc>
                <w:tc>
                  <w:tcPr>
                    <w:tcW w:w="1134" w:type="dxa"/>
                    <w:vAlign w:val="center"/>
                    <w:hideMark/>
                  </w:tcPr>
                  <w:p>
                    <w:pPr>
                      <w:jc w:val="center"/>
                      <w:rPr>
                        <w:sz w:val="20"/>
                      </w:rPr>
                    </w:pPr>
                    <w:r>
                      <w:rPr>
                        <w:sz w:val="20"/>
                      </w:rPr>
                      <w:t>0 (2023)</w:t>
                    </w:r>
                  </w:p>
                </w:tc>
                <w:tc>
                  <w:tcPr>
                    <w:tcW w:w="1134" w:type="dxa"/>
                    <w:vAlign w:val="center"/>
                    <w:hideMark/>
                  </w:tcPr>
                  <w:p>
                    <w:pPr>
                      <w:jc w:val="center"/>
                      <w:rPr>
                        <w:sz w:val="20"/>
                      </w:rPr>
                    </w:pPr>
                    <w:r>
                      <w:rPr>
                        <w:sz w:val="20"/>
                      </w:rPr>
                      <w:t>1 (2028)</w:t>
                    </w:r>
                  </w:p>
                </w:tc>
              </w:tr>
              <w:tr>
                <w:trPr>
                  <w:trHeight w:val="980"/>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jc w:val="center"/>
                      <w:rPr>
                        <w:sz w:val="20"/>
                      </w:rPr>
                    </w:pPr>
                  </w:p>
                </w:tc>
                <w:tc>
                  <w:tcPr>
                    <w:tcW w:w="709" w:type="dxa"/>
                    <w:vMerge/>
                    <w:vAlign w:val="center"/>
                    <w:hideMark/>
                  </w:tcPr>
                  <w:p>
                    <w:pPr>
                      <w:jc w:val="center"/>
                      <w:rPr>
                        <w:sz w:val="20"/>
                      </w:rPr>
                    </w:pPr>
                  </w:p>
                </w:tc>
                <w:tc>
                  <w:tcPr>
                    <w:tcW w:w="709" w:type="dxa"/>
                    <w:vMerge/>
                    <w:vAlign w:val="center"/>
                    <w:hideMark/>
                  </w:tcPr>
                  <w:p>
                    <w:pPr>
                      <w:jc w:val="center"/>
                      <w:rPr>
                        <w:sz w:val="20"/>
                      </w:rPr>
                    </w:pPr>
                  </w:p>
                </w:tc>
                <w:tc>
                  <w:tcPr>
                    <w:tcW w:w="1417" w:type="dxa"/>
                    <w:vAlign w:val="center"/>
                    <w:hideMark/>
                  </w:tcPr>
                  <w:p>
                    <w:pPr>
                      <w:rPr>
                        <w:sz w:val="20"/>
                      </w:rPr>
                    </w:pPr>
                    <w:r>
                      <w:rPr>
                        <w:sz w:val="20"/>
                      </w:rPr>
                      <w:t>P-15-02-01-03</w:t>
                    </w:r>
                  </w:p>
                </w:tc>
                <w:tc>
                  <w:tcPr>
                    <w:tcW w:w="4111" w:type="dxa"/>
                    <w:vAlign w:val="center"/>
                    <w:hideMark/>
                  </w:tcPr>
                  <w:p>
                    <w:pPr>
                      <w:rPr>
                        <w:sz w:val="20"/>
                      </w:rPr>
                    </w:pPr>
                    <w:r>
                      <w:rPr>
                        <w:sz w:val="20"/>
                      </w:rPr>
                      <w:t>Talkšos ir Rėkyvos ežerų prieigose partnerystės, bendradarbiavimo su verslu pagrindu sukurtų naujų aktyvaus laisvalaikio paslaugų skaičius (vnt.)</w:t>
                    </w:r>
                  </w:p>
                </w:tc>
                <w:tc>
                  <w:tcPr>
                    <w:tcW w:w="1134" w:type="dxa"/>
                    <w:vAlign w:val="center"/>
                    <w:hideMark/>
                  </w:tcPr>
                  <w:p>
                    <w:pPr>
                      <w:jc w:val="center"/>
                      <w:rPr>
                        <w:sz w:val="20"/>
                      </w:rPr>
                    </w:pPr>
                    <w:r>
                      <w:rPr>
                        <w:sz w:val="20"/>
                      </w:rPr>
                      <w:t>EIS, KS, TIC</w:t>
                    </w:r>
                  </w:p>
                </w:tc>
                <w:tc>
                  <w:tcPr>
                    <w:tcW w:w="1134" w:type="dxa"/>
                    <w:vAlign w:val="center"/>
                    <w:hideMark/>
                  </w:tcPr>
                  <w:p>
                    <w:pPr>
                      <w:jc w:val="center"/>
                      <w:rPr>
                        <w:sz w:val="20"/>
                      </w:rPr>
                    </w:pPr>
                    <w:r>
                      <w:rPr>
                        <w:sz w:val="20"/>
                      </w:rPr>
                      <w:t>0 (2023)</w:t>
                    </w:r>
                  </w:p>
                </w:tc>
                <w:tc>
                  <w:tcPr>
                    <w:tcW w:w="1134" w:type="dxa"/>
                    <w:vAlign w:val="center"/>
                    <w:hideMark/>
                  </w:tcPr>
                  <w:p>
                    <w:pPr>
                      <w:jc w:val="center"/>
                      <w:rPr>
                        <w:sz w:val="20"/>
                      </w:rPr>
                    </w:pPr>
                    <w:r>
                      <w:rPr>
                        <w:sz w:val="20"/>
                      </w:rPr>
                      <w:t>4 (2033)</w:t>
                    </w:r>
                  </w:p>
                </w:tc>
              </w:tr>
              <w:tr>
                <w:trPr>
                  <w:trHeight w:val="571"/>
                  <w:jc w:val="center"/>
                </w:trPr>
                <w:tc>
                  <w:tcPr>
                    <w:tcW w:w="988" w:type="dxa"/>
                    <w:vMerge w:val="restart"/>
                    <w:noWrap/>
                    <w:vAlign w:val="center"/>
                    <w:hideMark/>
                  </w:tcPr>
                  <w:p>
                    <w:pPr>
                      <w:rPr>
                        <w:sz w:val="20"/>
                      </w:rPr>
                    </w:pPr>
                    <w:r>
                      <w:rPr>
                        <w:sz w:val="20"/>
                      </w:rPr>
                      <w:t>15-02-02</w:t>
                    </w:r>
                  </w:p>
                </w:tc>
                <w:tc>
                  <w:tcPr>
                    <w:tcW w:w="2126" w:type="dxa"/>
                    <w:vMerge w:val="restart"/>
                    <w:vAlign w:val="center"/>
                    <w:hideMark/>
                  </w:tcPr>
                  <w:p>
                    <w:pPr>
                      <w:rPr>
                        <w:sz w:val="20"/>
                      </w:rPr>
                    </w:pPr>
                    <w:r>
                      <w:rPr>
                        <w:sz w:val="20"/>
                      </w:rPr>
                      <w:t>Plėtoti ir stiprinti prioritetines Šiaulių miesto ir regiono turizmo rūšis</w:t>
                    </w:r>
                  </w:p>
                </w:tc>
                <w:tc>
                  <w:tcPr>
                    <w:tcW w:w="850" w:type="dxa"/>
                    <w:vMerge w:val="restart"/>
                    <w:vAlign w:val="center"/>
                    <w:hideMark/>
                  </w:tcPr>
                  <w:p>
                    <w:pPr>
                      <w:jc w:val="center"/>
                      <w:rPr>
                        <w:sz w:val="20"/>
                      </w:rPr>
                    </w:pPr>
                    <w:r>
                      <w:rPr>
                        <w:sz w:val="20"/>
                      </w:rPr>
                      <w:t>KS</w:t>
                    </w:r>
                  </w:p>
                </w:tc>
                <w:tc>
                  <w:tcPr>
                    <w:tcW w:w="709" w:type="dxa"/>
                    <w:vMerge w:val="restart"/>
                    <w:vAlign w:val="center"/>
                    <w:hideMark/>
                  </w:tcPr>
                  <w:p>
                    <w:pPr>
                      <w:jc w:val="center"/>
                      <w:rPr>
                        <w:sz w:val="20"/>
                      </w:rPr>
                    </w:pPr>
                    <w:r>
                      <w:rPr>
                        <w:sz w:val="20"/>
                      </w:rPr>
                      <w:t>2025</w:t>
                    </w:r>
                  </w:p>
                </w:tc>
                <w:tc>
                  <w:tcPr>
                    <w:tcW w:w="709" w:type="dxa"/>
                    <w:vMerge w:val="restart"/>
                    <w:vAlign w:val="center"/>
                    <w:hideMark/>
                  </w:tcPr>
                  <w:p>
                    <w:pPr>
                      <w:jc w:val="center"/>
                      <w:rPr>
                        <w:sz w:val="20"/>
                      </w:rPr>
                    </w:pPr>
                    <w:r>
                      <w:rPr>
                        <w:sz w:val="20"/>
                      </w:rPr>
                      <w:t>2033</w:t>
                    </w:r>
                  </w:p>
                </w:tc>
                <w:tc>
                  <w:tcPr>
                    <w:tcW w:w="1417" w:type="dxa"/>
                    <w:vAlign w:val="center"/>
                    <w:hideMark/>
                  </w:tcPr>
                  <w:p>
                    <w:pPr>
                      <w:rPr>
                        <w:sz w:val="20"/>
                      </w:rPr>
                    </w:pPr>
                    <w:r>
                      <w:rPr>
                        <w:sz w:val="20"/>
                      </w:rPr>
                      <w:t>P-15-02-02-01</w:t>
                    </w:r>
                  </w:p>
                </w:tc>
                <w:tc>
                  <w:tcPr>
                    <w:tcW w:w="4111" w:type="dxa"/>
                    <w:vAlign w:val="center"/>
                    <w:hideMark/>
                  </w:tcPr>
                  <w:p>
                    <w:pPr>
                      <w:rPr>
                        <w:sz w:val="20"/>
                      </w:rPr>
                    </w:pPr>
                    <w:r>
                      <w:rPr>
                        <w:sz w:val="20"/>
                      </w:rPr>
                      <w:t>Naujų produktų, išvystytų bendradarbiaujant su kitomis savivaldybėmis, skaičius (vnt.)</w:t>
                    </w:r>
                  </w:p>
                </w:tc>
                <w:tc>
                  <w:tcPr>
                    <w:tcW w:w="1134" w:type="dxa"/>
                    <w:vAlign w:val="center"/>
                    <w:hideMark/>
                  </w:tcPr>
                  <w:p>
                    <w:pPr>
                      <w:jc w:val="center"/>
                      <w:rPr>
                        <w:sz w:val="20"/>
                      </w:rPr>
                    </w:pPr>
                    <w:r>
                      <w:rPr>
                        <w:sz w:val="20"/>
                      </w:rPr>
                      <w:t>TIC</w:t>
                    </w:r>
                  </w:p>
                </w:tc>
                <w:tc>
                  <w:tcPr>
                    <w:tcW w:w="1134" w:type="dxa"/>
                    <w:vAlign w:val="center"/>
                    <w:hideMark/>
                  </w:tcPr>
                  <w:p>
                    <w:pPr>
                      <w:jc w:val="center"/>
                      <w:rPr>
                        <w:sz w:val="20"/>
                      </w:rPr>
                    </w:pPr>
                    <w:r>
                      <w:rPr>
                        <w:sz w:val="20"/>
                      </w:rPr>
                      <w:t>0 (2023)</w:t>
                    </w:r>
                  </w:p>
                </w:tc>
                <w:tc>
                  <w:tcPr>
                    <w:tcW w:w="1134" w:type="dxa"/>
                    <w:vAlign w:val="center"/>
                    <w:hideMark/>
                  </w:tcPr>
                  <w:p>
                    <w:pPr>
                      <w:jc w:val="center"/>
                      <w:rPr>
                        <w:sz w:val="20"/>
                      </w:rPr>
                    </w:pPr>
                    <w:r>
                      <w:rPr>
                        <w:sz w:val="20"/>
                      </w:rPr>
                      <w:t>5 (2033)</w:t>
                    </w:r>
                  </w:p>
                </w:tc>
              </w:tr>
              <w:tr>
                <w:trPr>
                  <w:trHeight w:val="551"/>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jc w:val="center"/>
                      <w:rPr>
                        <w:sz w:val="20"/>
                      </w:rPr>
                    </w:pPr>
                  </w:p>
                </w:tc>
                <w:tc>
                  <w:tcPr>
                    <w:tcW w:w="709" w:type="dxa"/>
                    <w:vMerge/>
                    <w:vAlign w:val="center"/>
                    <w:hideMark/>
                  </w:tcPr>
                  <w:p>
                    <w:pPr>
                      <w:jc w:val="center"/>
                      <w:rPr>
                        <w:sz w:val="20"/>
                      </w:rPr>
                    </w:pPr>
                  </w:p>
                </w:tc>
                <w:tc>
                  <w:tcPr>
                    <w:tcW w:w="709" w:type="dxa"/>
                    <w:vMerge/>
                    <w:vAlign w:val="center"/>
                    <w:hideMark/>
                  </w:tcPr>
                  <w:p>
                    <w:pPr>
                      <w:jc w:val="center"/>
                      <w:rPr>
                        <w:sz w:val="20"/>
                      </w:rPr>
                    </w:pPr>
                  </w:p>
                </w:tc>
                <w:tc>
                  <w:tcPr>
                    <w:tcW w:w="1417" w:type="dxa"/>
                    <w:vAlign w:val="center"/>
                    <w:hideMark/>
                  </w:tcPr>
                  <w:p>
                    <w:pPr>
                      <w:rPr>
                        <w:sz w:val="20"/>
                      </w:rPr>
                    </w:pPr>
                    <w:r>
                      <w:rPr>
                        <w:sz w:val="20"/>
                      </w:rPr>
                      <w:t>P-15-02-02-02</w:t>
                    </w:r>
                  </w:p>
                </w:tc>
                <w:tc>
                  <w:tcPr>
                    <w:tcW w:w="4111" w:type="dxa"/>
                    <w:vAlign w:val="center"/>
                    <w:hideMark/>
                  </w:tcPr>
                  <w:p>
                    <w:pPr>
                      <w:rPr>
                        <w:sz w:val="20"/>
                      </w:rPr>
                    </w:pPr>
                    <w:r>
                      <w:rPr>
                        <w:sz w:val="20"/>
                      </w:rPr>
                      <w:t>Įvykdytų vietos ir užsienio turistų pasitenkinimo tyrimų skaičius (vnt.)</w:t>
                    </w:r>
                  </w:p>
                </w:tc>
                <w:tc>
                  <w:tcPr>
                    <w:tcW w:w="1134" w:type="dxa"/>
                    <w:vAlign w:val="center"/>
                    <w:hideMark/>
                  </w:tcPr>
                  <w:p>
                    <w:pPr>
                      <w:jc w:val="center"/>
                      <w:rPr>
                        <w:sz w:val="20"/>
                      </w:rPr>
                    </w:pPr>
                    <w:r>
                      <w:rPr>
                        <w:sz w:val="20"/>
                      </w:rPr>
                      <w:t>TIC</w:t>
                    </w:r>
                  </w:p>
                </w:tc>
                <w:tc>
                  <w:tcPr>
                    <w:tcW w:w="1134" w:type="dxa"/>
                    <w:vAlign w:val="center"/>
                    <w:hideMark/>
                  </w:tcPr>
                  <w:p>
                    <w:pPr>
                      <w:jc w:val="center"/>
                      <w:rPr>
                        <w:sz w:val="20"/>
                      </w:rPr>
                    </w:pPr>
                    <w:r>
                      <w:rPr>
                        <w:sz w:val="20"/>
                      </w:rPr>
                      <w:t>0 (2023)</w:t>
                    </w:r>
                  </w:p>
                </w:tc>
                <w:tc>
                  <w:tcPr>
                    <w:tcW w:w="1134" w:type="dxa"/>
                    <w:vAlign w:val="center"/>
                    <w:hideMark/>
                  </w:tcPr>
                  <w:p>
                    <w:pPr>
                      <w:jc w:val="center"/>
                      <w:rPr>
                        <w:sz w:val="20"/>
                      </w:rPr>
                    </w:pPr>
                    <w:r>
                      <w:rPr>
                        <w:sz w:val="20"/>
                      </w:rPr>
                      <w:t>4 (2033)</w:t>
                    </w:r>
                  </w:p>
                </w:tc>
              </w:tr>
              <w:tr>
                <w:trPr>
                  <w:trHeight w:val="559"/>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jc w:val="center"/>
                      <w:rPr>
                        <w:sz w:val="20"/>
                      </w:rPr>
                    </w:pPr>
                  </w:p>
                </w:tc>
                <w:tc>
                  <w:tcPr>
                    <w:tcW w:w="709" w:type="dxa"/>
                    <w:vMerge/>
                    <w:vAlign w:val="center"/>
                    <w:hideMark/>
                  </w:tcPr>
                  <w:p>
                    <w:pPr>
                      <w:jc w:val="center"/>
                      <w:rPr>
                        <w:sz w:val="20"/>
                      </w:rPr>
                    </w:pPr>
                  </w:p>
                </w:tc>
                <w:tc>
                  <w:tcPr>
                    <w:tcW w:w="709" w:type="dxa"/>
                    <w:vMerge/>
                    <w:vAlign w:val="center"/>
                    <w:hideMark/>
                  </w:tcPr>
                  <w:p>
                    <w:pPr>
                      <w:jc w:val="center"/>
                      <w:rPr>
                        <w:sz w:val="20"/>
                      </w:rPr>
                    </w:pPr>
                  </w:p>
                </w:tc>
                <w:tc>
                  <w:tcPr>
                    <w:tcW w:w="1417" w:type="dxa"/>
                    <w:vAlign w:val="center"/>
                    <w:hideMark/>
                  </w:tcPr>
                  <w:p>
                    <w:pPr>
                      <w:rPr>
                        <w:sz w:val="20"/>
                      </w:rPr>
                    </w:pPr>
                    <w:r>
                      <w:rPr>
                        <w:sz w:val="20"/>
                      </w:rPr>
                      <w:t>P-15-02-02-03</w:t>
                    </w:r>
                  </w:p>
                </w:tc>
                <w:tc>
                  <w:tcPr>
                    <w:tcW w:w="4111" w:type="dxa"/>
                    <w:vAlign w:val="center"/>
                    <w:hideMark/>
                  </w:tcPr>
                  <w:p>
                    <w:pPr>
                      <w:rPr>
                        <w:sz w:val="20"/>
                      </w:rPr>
                    </w:pPr>
                    <w:r>
                      <w:rPr>
                        <w:sz w:val="20"/>
                      </w:rPr>
                      <w:t>Vystomų prioritetinių turizmo rūšių skaičius (vnt.)</w:t>
                    </w:r>
                  </w:p>
                </w:tc>
                <w:tc>
                  <w:tcPr>
                    <w:tcW w:w="1134" w:type="dxa"/>
                    <w:vAlign w:val="center"/>
                    <w:hideMark/>
                  </w:tcPr>
                  <w:p>
                    <w:pPr>
                      <w:jc w:val="center"/>
                      <w:rPr>
                        <w:sz w:val="20"/>
                      </w:rPr>
                    </w:pPr>
                    <w:r>
                      <w:rPr>
                        <w:sz w:val="20"/>
                      </w:rPr>
                      <w:t>TIC</w:t>
                    </w:r>
                  </w:p>
                </w:tc>
                <w:tc>
                  <w:tcPr>
                    <w:tcW w:w="1134" w:type="dxa"/>
                    <w:vAlign w:val="center"/>
                    <w:hideMark/>
                  </w:tcPr>
                  <w:p>
                    <w:pPr>
                      <w:jc w:val="center"/>
                      <w:rPr>
                        <w:sz w:val="20"/>
                      </w:rPr>
                    </w:pPr>
                    <w:r>
                      <w:rPr>
                        <w:sz w:val="20"/>
                      </w:rPr>
                      <w:t>4 (2023)</w:t>
                    </w:r>
                  </w:p>
                </w:tc>
                <w:tc>
                  <w:tcPr>
                    <w:tcW w:w="1134" w:type="dxa"/>
                    <w:vAlign w:val="center"/>
                    <w:hideMark/>
                  </w:tcPr>
                  <w:p>
                    <w:pPr>
                      <w:jc w:val="center"/>
                      <w:rPr>
                        <w:sz w:val="20"/>
                      </w:rPr>
                    </w:pPr>
                    <w:r>
                      <w:rPr>
                        <w:sz w:val="20"/>
                      </w:rPr>
                      <w:t>5 (2026)</w:t>
                    </w:r>
                  </w:p>
                </w:tc>
              </w:tr>
              <w:tr>
                <w:trPr>
                  <w:trHeight w:val="520"/>
                  <w:jc w:val="center"/>
                </w:trPr>
                <w:tc>
                  <w:tcPr>
                    <w:tcW w:w="988" w:type="dxa"/>
                    <w:vMerge w:val="restart"/>
                    <w:noWrap/>
                    <w:vAlign w:val="center"/>
                    <w:hideMark/>
                  </w:tcPr>
                  <w:p>
                    <w:pPr>
                      <w:rPr>
                        <w:sz w:val="20"/>
                      </w:rPr>
                    </w:pPr>
                    <w:r>
                      <w:rPr>
                        <w:sz w:val="20"/>
                      </w:rPr>
                      <w:t>15-02-03</w:t>
                    </w:r>
                  </w:p>
                </w:tc>
                <w:tc>
                  <w:tcPr>
                    <w:tcW w:w="2126" w:type="dxa"/>
                    <w:vMerge w:val="restart"/>
                    <w:vAlign w:val="center"/>
                    <w:hideMark/>
                  </w:tcPr>
                  <w:p>
                    <w:pPr>
                      <w:rPr>
                        <w:sz w:val="20"/>
                      </w:rPr>
                    </w:pPr>
                    <w:r>
                      <w:rPr>
                        <w:sz w:val="20"/>
                      </w:rPr>
                      <w:t xml:space="preserve">Vykdyti turizmo ir laisvalaikio  sezoniškumą mažinančias priemones</w:t>
                    </w:r>
                  </w:p>
                </w:tc>
                <w:tc>
                  <w:tcPr>
                    <w:tcW w:w="850" w:type="dxa"/>
                    <w:vMerge w:val="restart"/>
                    <w:vAlign w:val="center"/>
                    <w:hideMark/>
                  </w:tcPr>
                  <w:p>
                    <w:pPr>
                      <w:jc w:val="center"/>
                      <w:rPr>
                        <w:sz w:val="20"/>
                      </w:rPr>
                    </w:pPr>
                    <w:r>
                      <w:rPr>
                        <w:sz w:val="20"/>
                      </w:rPr>
                      <w:t>Vicemeras (-ai)</w:t>
                    </w:r>
                  </w:p>
                </w:tc>
                <w:tc>
                  <w:tcPr>
                    <w:tcW w:w="709" w:type="dxa"/>
                    <w:vMerge w:val="restart"/>
                    <w:vAlign w:val="center"/>
                    <w:hideMark/>
                  </w:tcPr>
                  <w:p>
                    <w:pPr>
                      <w:jc w:val="center"/>
                      <w:rPr>
                        <w:sz w:val="20"/>
                      </w:rPr>
                    </w:pPr>
                    <w:r>
                      <w:rPr>
                        <w:sz w:val="20"/>
                      </w:rPr>
                      <w:t>2025</w:t>
                    </w:r>
                  </w:p>
                </w:tc>
                <w:tc>
                  <w:tcPr>
                    <w:tcW w:w="709" w:type="dxa"/>
                    <w:vMerge w:val="restart"/>
                    <w:vAlign w:val="center"/>
                    <w:hideMark/>
                  </w:tcPr>
                  <w:p>
                    <w:pPr>
                      <w:jc w:val="center"/>
                      <w:rPr>
                        <w:sz w:val="20"/>
                      </w:rPr>
                    </w:pPr>
                    <w:r>
                      <w:rPr>
                        <w:sz w:val="20"/>
                      </w:rPr>
                      <w:t>2033</w:t>
                    </w:r>
                  </w:p>
                </w:tc>
                <w:tc>
                  <w:tcPr>
                    <w:tcW w:w="1417" w:type="dxa"/>
                    <w:vAlign w:val="center"/>
                    <w:hideMark/>
                  </w:tcPr>
                  <w:p>
                    <w:pPr>
                      <w:rPr>
                        <w:sz w:val="20"/>
                      </w:rPr>
                    </w:pPr>
                    <w:r>
                      <w:rPr>
                        <w:sz w:val="20"/>
                      </w:rPr>
                      <w:t>P-15-02-03-01</w:t>
                    </w:r>
                  </w:p>
                </w:tc>
                <w:tc>
                  <w:tcPr>
                    <w:tcW w:w="4111" w:type="dxa"/>
                    <w:vAlign w:val="center"/>
                    <w:hideMark/>
                  </w:tcPr>
                  <w:p>
                    <w:pPr>
                      <w:rPr>
                        <w:sz w:val="20"/>
                      </w:rPr>
                    </w:pPr>
                    <w:r>
                      <w:rPr>
                        <w:sz w:val="20"/>
                      </w:rPr>
                      <w:t>Šaltuoju sezono metu veikiančių lauko pramogų skaičius (vnt. per metus)</w:t>
                    </w:r>
                  </w:p>
                </w:tc>
                <w:tc>
                  <w:tcPr>
                    <w:tcW w:w="1134" w:type="dxa"/>
                    <w:vAlign w:val="center"/>
                    <w:hideMark/>
                  </w:tcPr>
                  <w:p>
                    <w:pPr>
                      <w:jc w:val="center"/>
                      <w:rPr>
                        <w:sz w:val="20"/>
                      </w:rPr>
                    </w:pPr>
                    <w:r>
                      <w:rPr>
                        <w:sz w:val="20"/>
                      </w:rPr>
                      <w:t>Vicemeras (-ai)</w:t>
                    </w:r>
                  </w:p>
                </w:tc>
                <w:tc>
                  <w:tcPr>
                    <w:tcW w:w="1134" w:type="dxa"/>
                    <w:vAlign w:val="center"/>
                    <w:hideMark/>
                  </w:tcPr>
                  <w:p>
                    <w:pPr>
                      <w:jc w:val="center"/>
                      <w:rPr>
                        <w:sz w:val="20"/>
                      </w:rPr>
                    </w:pPr>
                    <w:r>
                      <w:rPr>
                        <w:sz w:val="20"/>
                      </w:rPr>
                      <w:t>0 (2023)</w:t>
                    </w:r>
                  </w:p>
                </w:tc>
                <w:tc>
                  <w:tcPr>
                    <w:tcW w:w="1134" w:type="dxa"/>
                    <w:vAlign w:val="center"/>
                    <w:hideMark/>
                  </w:tcPr>
                  <w:p>
                    <w:pPr>
                      <w:jc w:val="center"/>
                      <w:rPr>
                        <w:sz w:val="20"/>
                      </w:rPr>
                    </w:pPr>
                    <w:r>
                      <w:rPr>
                        <w:sz w:val="20"/>
                      </w:rPr>
                      <w:t>2 (2033)</w:t>
                    </w:r>
                  </w:p>
                </w:tc>
              </w:tr>
              <w:tr>
                <w:trPr>
                  <w:trHeight w:val="520"/>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rPr>
                        <w:sz w:val="20"/>
                      </w:rPr>
                    </w:pPr>
                  </w:p>
                </w:tc>
                <w:tc>
                  <w:tcPr>
                    <w:tcW w:w="709" w:type="dxa"/>
                    <w:vMerge/>
                    <w:vAlign w:val="center"/>
                    <w:hideMark/>
                  </w:tcPr>
                  <w:p>
                    <w:pPr>
                      <w:rPr>
                        <w:sz w:val="20"/>
                      </w:rPr>
                    </w:pPr>
                  </w:p>
                </w:tc>
                <w:tc>
                  <w:tcPr>
                    <w:tcW w:w="709" w:type="dxa"/>
                    <w:vMerge/>
                    <w:vAlign w:val="center"/>
                    <w:hideMark/>
                  </w:tcPr>
                  <w:p>
                    <w:pPr>
                      <w:rPr>
                        <w:sz w:val="20"/>
                      </w:rPr>
                    </w:pPr>
                  </w:p>
                </w:tc>
                <w:tc>
                  <w:tcPr>
                    <w:tcW w:w="1417" w:type="dxa"/>
                    <w:vAlign w:val="center"/>
                    <w:hideMark/>
                  </w:tcPr>
                  <w:p>
                    <w:pPr>
                      <w:rPr>
                        <w:sz w:val="20"/>
                      </w:rPr>
                    </w:pPr>
                    <w:r>
                      <w:rPr>
                        <w:sz w:val="20"/>
                      </w:rPr>
                      <w:t>P-15-02-03-02</w:t>
                    </w:r>
                  </w:p>
                </w:tc>
                <w:tc>
                  <w:tcPr>
                    <w:tcW w:w="4111" w:type="dxa"/>
                    <w:vAlign w:val="center"/>
                    <w:hideMark/>
                  </w:tcPr>
                  <w:p>
                    <w:pPr>
                      <w:rPr>
                        <w:sz w:val="20"/>
                      </w:rPr>
                    </w:pPr>
                    <w:r>
                      <w:rPr>
                        <w:sz w:val="20"/>
                      </w:rPr>
                      <w:t xml:space="preserve">Atliktas pilotinis tyrimas dėl Savivaldybės kultūros įstaigų darbo sekmadieniais (vnt.) </w:t>
                    </w:r>
                  </w:p>
                </w:tc>
                <w:tc>
                  <w:tcPr>
                    <w:tcW w:w="1134" w:type="dxa"/>
                    <w:vAlign w:val="center"/>
                    <w:hideMark/>
                  </w:tcPr>
                  <w:p>
                    <w:pPr>
                      <w:jc w:val="center"/>
                      <w:rPr>
                        <w:sz w:val="20"/>
                      </w:rPr>
                    </w:pPr>
                    <w:r>
                      <w:rPr>
                        <w:sz w:val="20"/>
                      </w:rPr>
                      <w:t>KS</w:t>
                    </w:r>
                  </w:p>
                </w:tc>
                <w:tc>
                  <w:tcPr>
                    <w:tcW w:w="1134" w:type="dxa"/>
                    <w:vAlign w:val="center"/>
                    <w:hideMark/>
                  </w:tcPr>
                  <w:p>
                    <w:pPr>
                      <w:jc w:val="center"/>
                      <w:rPr>
                        <w:sz w:val="20"/>
                      </w:rPr>
                    </w:pPr>
                    <w:r>
                      <w:rPr>
                        <w:sz w:val="20"/>
                      </w:rPr>
                      <w:t>0 (2023)</w:t>
                    </w:r>
                  </w:p>
                </w:tc>
                <w:tc>
                  <w:tcPr>
                    <w:tcW w:w="1134" w:type="dxa"/>
                    <w:vAlign w:val="center"/>
                    <w:hideMark/>
                  </w:tcPr>
                  <w:p>
                    <w:pPr>
                      <w:jc w:val="center"/>
                      <w:rPr>
                        <w:sz w:val="20"/>
                      </w:rPr>
                    </w:pPr>
                    <w:r>
                      <w:rPr>
                        <w:sz w:val="20"/>
                      </w:rPr>
                      <w:t>1 (2026)</w:t>
                    </w:r>
                  </w:p>
                </w:tc>
              </w:tr>
              <w:tr>
                <w:trPr>
                  <w:trHeight w:val="980"/>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rPr>
                        <w:sz w:val="20"/>
                      </w:rPr>
                    </w:pPr>
                  </w:p>
                </w:tc>
                <w:tc>
                  <w:tcPr>
                    <w:tcW w:w="709" w:type="dxa"/>
                    <w:vMerge/>
                    <w:vAlign w:val="center"/>
                    <w:hideMark/>
                  </w:tcPr>
                  <w:p>
                    <w:pPr>
                      <w:rPr>
                        <w:sz w:val="20"/>
                      </w:rPr>
                    </w:pPr>
                  </w:p>
                </w:tc>
                <w:tc>
                  <w:tcPr>
                    <w:tcW w:w="709" w:type="dxa"/>
                    <w:vMerge/>
                    <w:vAlign w:val="center"/>
                    <w:hideMark/>
                  </w:tcPr>
                  <w:p>
                    <w:pPr>
                      <w:rPr>
                        <w:sz w:val="20"/>
                      </w:rPr>
                    </w:pPr>
                  </w:p>
                </w:tc>
                <w:tc>
                  <w:tcPr>
                    <w:tcW w:w="1417" w:type="dxa"/>
                    <w:vAlign w:val="center"/>
                    <w:hideMark/>
                  </w:tcPr>
                  <w:p>
                    <w:pPr>
                      <w:rPr>
                        <w:sz w:val="20"/>
                      </w:rPr>
                    </w:pPr>
                    <w:r>
                      <w:rPr>
                        <w:sz w:val="20"/>
                      </w:rPr>
                      <w:t>P-15-02-03-03</w:t>
                    </w:r>
                  </w:p>
                </w:tc>
                <w:tc>
                  <w:tcPr>
                    <w:tcW w:w="4111" w:type="dxa"/>
                    <w:vAlign w:val="center"/>
                    <w:hideMark/>
                  </w:tcPr>
                  <w:p>
                    <w:pPr>
                      <w:rPr>
                        <w:sz w:val="20"/>
                      </w:rPr>
                    </w:pPr>
                    <w:r>
                      <w:rPr>
                        <w:sz w:val="20"/>
                      </w:rPr>
                      <w:t>Mieste veikiančių kultūros įstaigų organizuojamų nemokamų renginių pasiskirstymas šiltuoju / šaltuoju sezonu dalis (proc.)</w:t>
                    </w:r>
                  </w:p>
                </w:tc>
                <w:tc>
                  <w:tcPr>
                    <w:tcW w:w="1134" w:type="dxa"/>
                    <w:vAlign w:val="center"/>
                    <w:hideMark/>
                  </w:tcPr>
                  <w:p>
                    <w:pPr>
                      <w:jc w:val="center"/>
                      <w:rPr>
                        <w:sz w:val="20"/>
                      </w:rPr>
                    </w:pPr>
                    <w:r>
                      <w:rPr>
                        <w:sz w:val="20"/>
                      </w:rPr>
                      <w:t>KS</w:t>
                    </w:r>
                  </w:p>
                </w:tc>
                <w:tc>
                  <w:tcPr>
                    <w:tcW w:w="1134" w:type="dxa"/>
                    <w:vAlign w:val="center"/>
                    <w:hideMark/>
                  </w:tcPr>
                  <w:p>
                    <w:pPr>
                      <w:jc w:val="center"/>
                      <w:rPr>
                        <w:sz w:val="20"/>
                      </w:rPr>
                    </w:pPr>
                    <w:r>
                      <w:rPr>
                        <w:sz w:val="20"/>
                      </w:rPr>
                      <w:t>n.d. (2023)</w:t>
                    </w:r>
                  </w:p>
                </w:tc>
                <w:tc>
                  <w:tcPr>
                    <w:tcW w:w="1134" w:type="dxa"/>
                    <w:vAlign w:val="center"/>
                    <w:hideMark/>
                  </w:tcPr>
                  <w:p>
                    <w:pPr>
                      <w:jc w:val="center"/>
                      <w:rPr>
                        <w:sz w:val="20"/>
                      </w:rPr>
                    </w:pPr>
                    <w:r>
                      <w:rPr>
                        <w:sz w:val="20"/>
                      </w:rPr>
                      <w:t>65 / 35 (2033)</w:t>
                    </w:r>
                  </w:p>
                </w:tc>
              </w:tr>
              <w:tr>
                <w:trPr>
                  <w:trHeight w:val="530"/>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rPr>
                        <w:sz w:val="20"/>
                      </w:rPr>
                    </w:pPr>
                  </w:p>
                </w:tc>
                <w:tc>
                  <w:tcPr>
                    <w:tcW w:w="709" w:type="dxa"/>
                    <w:vMerge/>
                    <w:vAlign w:val="center"/>
                    <w:hideMark/>
                  </w:tcPr>
                  <w:p>
                    <w:pPr>
                      <w:rPr>
                        <w:sz w:val="20"/>
                      </w:rPr>
                    </w:pPr>
                  </w:p>
                </w:tc>
                <w:tc>
                  <w:tcPr>
                    <w:tcW w:w="709" w:type="dxa"/>
                    <w:vMerge/>
                    <w:vAlign w:val="center"/>
                    <w:hideMark/>
                  </w:tcPr>
                  <w:p>
                    <w:pPr>
                      <w:rPr>
                        <w:sz w:val="20"/>
                      </w:rPr>
                    </w:pPr>
                  </w:p>
                </w:tc>
                <w:tc>
                  <w:tcPr>
                    <w:tcW w:w="1417" w:type="dxa"/>
                    <w:vAlign w:val="center"/>
                    <w:hideMark/>
                  </w:tcPr>
                  <w:p>
                    <w:pPr>
                      <w:rPr>
                        <w:sz w:val="20"/>
                      </w:rPr>
                    </w:pPr>
                    <w:r>
                      <w:rPr>
                        <w:sz w:val="20"/>
                      </w:rPr>
                      <w:t>P-15-02-03-04</w:t>
                    </w:r>
                  </w:p>
                </w:tc>
                <w:tc>
                  <w:tcPr>
                    <w:tcW w:w="4111" w:type="dxa"/>
                    <w:vAlign w:val="center"/>
                    <w:hideMark/>
                  </w:tcPr>
                  <w:p>
                    <w:pPr>
                      <w:rPr>
                        <w:sz w:val="20"/>
                      </w:rPr>
                    </w:pPr>
                    <w:r>
                      <w:rPr>
                        <w:sz w:val="20"/>
                      </w:rPr>
                      <w:t>Sukurti vandens pramogų komplekso pritraukimo į Šiaulius modelį (vnt.)</w:t>
                    </w:r>
                  </w:p>
                </w:tc>
                <w:tc>
                  <w:tcPr>
                    <w:tcW w:w="1134" w:type="dxa"/>
                    <w:vAlign w:val="center"/>
                    <w:hideMark/>
                  </w:tcPr>
                  <w:p>
                    <w:pPr>
                      <w:jc w:val="center"/>
                      <w:rPr>
                        <w:sz w:val="20"/>
                      </w:rPr>
                    </w:pPr>
                    <w:r>
                      <w:rPr>
                        <w:sz w:val="20"/>
                      </w:rPr>
                      <w:t>Vicemeras (-ai)</w:t>
                    </w:r>
                  </w:p>
                </w:tc>
                <w:tc>
                  <w:tcPr>
                    <w:tcW w:w="1134" w:type="dxa"/>
                    <w:vAlign w:val="center"/>
                    <w:hideMark/>
                  </w:tcPr>
                  <w:p>
                    <w:pPr>
                      <w:jc w:val="center"/>
                      <w:rPr>
                        <w:sz w:val="20"/>
                      </w:rPr>
                    </w:pPr>
                    <w:r>
                      <w:rPr>
                        <w:sz w:val="20"/>
                      </w:rPr>
                      <w:t>0 (2023)</w:t>
                    </w:r>
                  </w:p>
                </w:tc>
                <w:tc>
                  <w:tcPr>
                    <w:tcW w:w="1134" w:type="dxa"/>
                    <w:vAlign w:val="center"/>
                    <w:hideMark/>
                  </w:tcPr>
                  <w:p>
                    <w:pPr>
                      <w:jc w:val="center"/>
                      <w:rPr>
                        <w:sz w:val="20"/>
                      </w:rPr>
                    </w:pPr>
                    <w:r>
                      <w:rPr>
                        <w:sz w:val="20"/>
                      </w:rPr>
                      <w:t>1 (2025)</w:t>
                    </w:r>
                  </w:p>
                </w:tc>
              </w:tr>
              <w:tr>
                <w:trPr>
                  <w:trHeight w:val="701"/>
                  <w:jc w:val="center"/>
                </w:trPr>
                <w:tc>
                  <w:tcPr>
                    <w:tcW w:w="988" w:type="dxa"/>
                    <w:vMerge w:val="restart"/>
                    <w:noWrap/>
                    <w:vAlign w:val="center"/>
                    <w:hideMark/>
                  </w:tcPr>
                  <w:p>
                    <w:pPr>
                      <w:rPr>
                        <w:sz w:val="20"/>
                      </w:rPr>
                    </w:pPr>
                    <w:r>
                      <w:rPr>
                        <w:sz w:val="20"/>
                      </w:rPr>
                      <w:t>15-02-04</w:t>
                    </w:r>
                  </w:p>
                </w:tc>
                <w:tc>
                  <w:tcPr>
                    <w:tcW w:w="2126" w:type="dxa"/>
                    <w:vMerge w:val="restart"/>
                    <w:vAlign w:val="center"/>
                    <w:hideMark/>
                  </w:tcPr>
                  <w:p>
                    <w:pPr>
                      <w:rPr>
                        <w:sz w:val="20"/>
                      </w:rPr>
                    </w:pPr>
                    <w:r>
                      <w:rPr>
                        <w:sz w:val="20"/>
                      </w:rPr>
                      <w:t>Didinti apgyvendinimo sektoriaus mieste apimtis</w:t>
                    </w:r>
                  </w:p>
                </w:tc>
                <w:tc>
                  <w:tcPr>
                    <w:tcW w:w="850" w:type="dxa"/>
                    <w:vMerge w:val="restart"/>
                    <w:vAlign w:val="center"/>
                    <w:hideMark/>
                  </w:tcPr>
                  <w:p>
                    <w:pPr>
                      <w:jc w:val="center"/>
                      <w:rPr>
                        <w:sz w:val="20"/>
                      </w:rPr>
                    </w:pPr>
                    <w:r>
                      <w:rPr>
                        <w:sz w:val="20"/>
                      </w:rPr>
                      <w:t>Vicemeras (-ai)</w:t>
                    </w:r>
                  </w:p>
                </w:tc>
                <w:tc>
                  <w:tcPr>
                    <w:tcW w:w="709" w:type="dxa"/>
                    <w:vMerge w:val="restart"/>
                    <w:vAlign w:val="center"/>
                    <w:hideMark/>
                  </w:tcPr>
                  <w:p>
                    <w:pPr>
                      <w:jc w:val="center"/>
                      <w:rPr>
                        <w:sz w:val="20"/>
                      </w:rPr>
                    </w:pPr>
                    <w:r>
                      <w:rPr>
                        <w:sz w:val="20"/>
                      </w:rPr>
                      <w:t>2025</w:t>
                    </w:r>
                  </w:p>
                </w:tc>
                <w:tc>
                  <w:tcPr>
                    <w:tcW w:w="709" w:type="dxa"/>
                    <w:vMerge w:val="restart"/>
                    <w:vAlign w:val="center"/>
                    <w:hideMark/>
                  </w:tcPr>
                  <w:p>
                    <w:pPr>
                      <w:jc w:val="center"/>
                      <w:rPr>
                        <w:sz w:val="20"/>
                      </w:rPr>
                    </w:pPr>
                    <w:r>
                      <w:rPr>
                        <w:sz w:val="20"/>
                      </w:rPr>
                      <w:t>2030</w:t>
                    </w:r>
                  </w:p>
                </w:tc>
                <w:tc>
                  <w:tcPr>
                    <w:tcW w:w="1417" w:type="dxa"/>
                    <w:vAlign w:val="center"/>
                    <w:hideMark/>
                  </w:tcPr>
                  <w:p>
                    <w:pPr>
                      <w:rPr>
                        <w:sz w:val="20"/>
                      </w:rPr>
                    </w:pPr>
                    <w:r>
                      <w:rPr>
                        <w:sz w:val="20"/>
                      </w:rPr>
                      <w:t>P-15-02-04-01</w:t>
                    </w:r>
                  </w:p>
                </w:tc>
                <w:tc>
                  <w:tcPr>
                    <w:tcW w:w="4111" w:type="dxa"/>
                    <w:vAlign w:val="center"/>
                    <w:hideMark/>
                  </w:tcPr>
                  <w:p>
                    <w:pPr>
                      <w:rPr>
                        <w:sz w:val="20"/>
                      </w:rPr>
                    </w:pPr>
                    <w:r>
                      <w:rPr>
                        <w:sz w:val="20"/>
                      </w:rPr>
                      <w:t>Parengtų apgyvendinimo įstaigos pritraukimo į miestą iniciatyvų skaičius (vnt.)</w:t>
                    </w:r>
                  </w:p>
                </w:tc>
                <w:tc>
                  <w:tcPr>
                    <w:tcW w:w="1134" w:type="dxa"/>
                    <w:vAlign w:val="center"/>
                    <w:hideMark/>
                  </w:tcPr>
                  <w:p>
                    <w:pPr>
                      <w:jc w:val="center"/>
                      <w:rPr>
                        <w:sz w:val="20"/>
                      </w:rPr>
                    </w:pPr>
                    <w:r>
                      <w:rPr>
                        <w:sz w:val="20"/>
                      </w:rPr>
                      <w:t>Vicemeras (-ai)</w:t>
                    </w:r>
                  </w:p>
                </w:tc>
                <w:tc>
                  <w:tcPr>
                    <w:tcW w:w="1134" w:type="dxa"/>
                    <w:vAlign w:val="center"/>
                    <w:hideMark/>
                  </w:tcPr>
                  <w:p>
                    <w:pPr>
                      <w:jc w:val="center"/>
                      <w:rPr>
                        <w:sz w:val="20"/>
                      </w:rPr>
                    </w:pPr>
                    <w:r>
                      <w:rPr>
                        <w:sz w:val="20"/>
                      </w:rPr>
                      <w:t>0 (2023)</w:t>
                    </w:r>
                  </w:p>
                </w:tc>
                <w:tc>
                  <w:tcPr>
                    <w:tcW w:w="1134" w:type="dxa"/>
                    <w:vAlign w:val="center"/>
                    <w:hideMark/>
                  </w:tcPr>
                  <w:p>
                    <w:pPr>
                      <w:jc w:val="center"/>
                      <w:rPr>
                        <w:sz w:val="20"/>
                      </w:rPr>
                    </w:pPr>
                    <w:r>
                      <w:rPr>
                        <w:sz w:val="20"/>
                      </w:rPr>
                      <w:t>3 (2030)</w:t>
                    </w:r>
                  </w:p>
                </w:tc>
              </w:tr>
              <w:tr>
                <w:trPr>
                  <w:trHeight w:val="878"/>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rPr>
                        <w:sz w:val="20"/>
                      </w:rPr>
                    </w:pPr>
                  </w:p>
                </w:tc>
                <w:tc>
                  <w:tcPr>
                    <w:tcW w:w="709" w:type="dxa"/>
                    <w:vMerge/>
                    <w:vAlign w:val="center"/>
                    <w:hideMark/>
                  </w:tcPr>
                  <w:p>
                    <w:pPr>
                      <w:rPr>
                        <w:sz w:val="20"/>
                      </w:rPr>
                    </w:pPr>
                  </w:p>
                </w:tc>
                <w:tc>
                  <w:tcPr>
                    <w:tcW w:w="709" w:type="dxa"/>
                    <w:vMerge/>
                    <w:vAlign w:val="center"/>
                    <w:hideMark/>
                  </w:tcPr>
                  <w:p>
                    <w:pPr>
                      <w:rPr>
                        <w:sz w:val="20"/>
                      </w:rPr>
                    </w:pPr>
                  </w:p>
                </w:tc>
                <w:tc>
                  <w:tcPr>
                    <w:tcW w:w="1417" w:type="dxa"/>
                    <w:vAlign w:val="center"/>
                    <w:hideMark/>
                  </w:tcPr>
                  <w:p>
                    <w:pPr>
                      <w:rPr>
                        <w:sz w:val="20"/>
                      </w:rPr>
                    </w:pPr>
                    <w:r>
                      <w:rPr>
                        <w:sz w:val="20"/>
                      </w:rPr>
                      <w:t>P-15-02-04-02</w:t>
                    </w:r>
                  </w:p>
                </w:tc>
                <w:tc>
                  <w:tcPr>
                    <w:tcW w:w="4111" w:type="dxa"/>
                    <w:vAlign w:val="center"/>
                    <w:hideMark/>
                  </w:tcPr>
                  <w:p>
                    <w:pPr>
                      <w:rPr>
                        <w:sz w:val="20"/>
                      </w:rPr>
                    </w:pPr>
                    <w:r>
                      <w:rPr>
                        <w:sz w:val="20"/>
                      </w:rPr>
                      <w:t>Parengta galimybių studija dėl tarptautinius standartus atitinkančio kempingo atsiradimo mieste (vnt.)</w:t>
                    </w:r>
                  </w:p>
                </w:tc>
                <w:tc>
                  <w:tcPr>
                    <w:tcW w:w="1134" w:type="dxa"/>
                    <w:vAlign w:val="center"/>
                    <w:hideMark/>
                  </w:tcPr>
                  <w:p>
                    <w:pPr>
                      <w:jc w:val="center"/>
                      <w:rPr>
                        <w:sz w:val="20"/>
                      </w:rPr>
                    </w:pPr>
                    <w:r>
                      <w:rPr>
                        <w:sz w:val="20"/>
                      </w:rPr>
                      <w:t>Vicemeras (-ai)</w:t>
                    </w:r>
                  </w:p>
                </w:tc>
                <w:tc>
                  <w:tcPr>
                    <w:tcW w:w="1134" w:type="dxa"/>
                    <w:vAlign w:val="center"/>
                    <w:hideMark/>
                  </w:tcPr>
                  <w:p>
                    <w:pPr>
                      <w:jc w:val="center"/>
                      <w:rPr>
                        <w:sz w:val="20"/>
                      </w:rPr>
                    </w:pPr>
                    <w:r>
                      <w:rPr>
                        <w:sz w:val="20"/>
                      </w:rPr>
                      <w:t>0 (2023)</w:t>
                    </w:r>
                  </w:p>
                </w:tc>
                <w:tc>
                  <w:tcPr>
                    <w:tcW w:w="1134" w:type="dxa"/>
                    <w:vAlign w:val="center"/>
                    <w:hideMark/>
                  </w:tcPr>
                  <w:p>
                    <w:pPr>
                      <w:jc w:val="center"/>
                      <w:rPr>
                        <w:sz w:val="20"/>
                      </w:rPr>
                    </w:pPr>
                    <w:r>
                      <w:rPr>
                        <w:sz w:val="20"/>
                      </w:rPr>
                      <w:t>1 (2026)</w:t>
                    </w:r>
                  </w:p>
                </w:tc>
              </w:tr>
              <w:tr>
                <w:trPr>
                  <w:trHeight w:val="520"/>
                  <w:jc w:val="center"/>
                </w:trPr>
                <w:tc>
                  <w:tcPr>
                    <w:tcW w:w="988" w:type="dxa"/>
                    <w:vMerge w:val="restart"/>
                    <w:shd w:val="clear" w:color="auto" w:fill="FCE4D6"/>
                    <w:noWrap/>
                    <w:vAlign w:val="center"/>
                    <w:hideMark/>
                  </w:tcPr>
                  <w:p>
                    <w:pPr>
                      <w:rPr>
                        <w:b/>
                        <w:bCs/>
                        <w:sz w:val="20"/>
                      </w:rPr>
                    </w:pPr>
                    <w:r>
                      <w:rPr>
                        <w:b/>
                        <w:bCs/>
                        <w:sz w:val="20"/>
                      </w:rPr>
                      <w:t>15-03</w:t>
                    </w:r>
                  </w:p>
                </w:tc>
                <w:tc>
                  <w:tcPr>
                    <w:tcW w:w="2126" w:type="dxa"/>
                    <w:vMerge w:val="restart"/>
                    <w:shd w:val="clear" w:color="auto" w:fill="FCE4D6"/>
                    <w:vAlign w:val="center"/>
                    <w:hideMark/>
                  </w:tcPr>
                  <w:p>
                    <w:pPr>
                      <w:rPr>
                        <w:b/>
                        <w:bCs/>
                        <w:sz w:val="20"/>
                      </w:rPr>
                    </w:pPr>
                    <w:r>
                      <w:rPr>
                        <w:b/>
                        <w:bCs/>
                        <w:sz w:val="20"/>
                      </w:rPr>
                      <w:t>Didinti Šiaulių miesto žinomumą ir teigiamą įvaizdį, stiprinant miesto identitetą ir rinkodarą</w:t>
                    </w:r>
                  </w:p>
                </w:tc>
                <w:tc>
                  <w:tcPr>
                    <w:tcW w:w="850" w:type="dxa"/>
                    <w:vMerge w:val="restart"/>
                    <w:shd w:val="clear" w:color="auto" w:fill="FCE4D6"/>
                    <w:vAlign w:val="center"/>
                    <w:hideMark/>
                  </w:tcPr>
                  <w:p>
                    <w:pPr>
                      <w:jc w:val="center"/>
                      <w:rPr>
                        <w:sz w:val="20"/>
                      </w:rPr>
                    </w:pPr>
                    <w:r>
                      <w:rPr>
                        <w:sz w:val="20"/>
                      </w:rPr>
                      <w:t>VRK</w:t>
                    </w:r>
                  </w:p>
                </w:tc>
                <w:tc>
                  <w:tcPr>
                    <w:tcW w:w="709" w:type="dxa"/>
                    <w:vMerge w:val="restart"/>
                    <w:shd w:val="clear" w:color="auto" w:fill="FCE4D6"/>
                    <w:vAlign w:val="center"/>
                    <w:hideMark/>
                  </w:tcPr>
                  <w:p>
                    <w:pPr>
                      <w:jc w:val="center"/>
                      <w:rPr>
                        <w:sz w:val="20"/>
                      </w:rPr>
                    </w:pPr>
                    <w:r>
                      <w:rPr>
                        <w:sz w:val="20"/>
                      </w:rPr>
                      <w:t>2025</w:t>
                    </w:r>
                  </w:p>
                </w:tc>
                <w:tc>
                  <w:tcPr>
                    <w:tcW w:w="709" w:type="dxa"/>
                    <w:vMerge w:val="restart"/>
                    <w:shd w:val="clear" w:color="auto" w:fill="FCE4D6"/>
                    <w:vAlign w:val="center"/>
                    <w:hideMark/>
                  </w:tcPr>
                  <w:p>
                    <w:pPr>
                      <w:jc w:val="center"/>
                      <w:rPr>
                        <w:sz w:val="20"/>
                      </w:rPr>
                    </w:pPr>
                    <w:r>
                      <w:rPr>
                        <w:sz w:val="20"/>
                      </w:rPr>
                      <w:t>2033</w:t>
                    </w:r>
                  </w:p>
                </w:tc>
                <w:tc>
                  <w:tcPr>
                    <w:tcW w:w="1417" w:type="dxa"/>
                    <w:shd w:val="clear" w:color="auto" w:fill="FCE4D6"/>
                    <w:vAlign w:val="center"/>
                    <w:hideMark/>
                  </w:tcPr>
                  <w:p>
                    <w:pPr>
                      <w:rPr>
                        <w:b/>
                        <w:bCs/>
                        <w:sz w:val="20"/>
                      </w:rPr>
                    </w:pPr>
                    <w:r>
                      <w:rPr>
                        <w:b/>
                        <w:bCs/>
                        <w:sz w:val="20"/>
                      </w:rPr>
                      <w:t>R-15-03-01</w:t>
                    </w:r>
                  </w:p>
                </w:tc>
                <w:tc>
                  <w:tcPr>
                    <w:tcW w:w="4111" w:type="dxa"/>
                    <w:shd w:val="clear" w:color="auto" w:fill="FCE4D6"/>
                    <w:vAlign w:val="center"/>
                    <w:hideMark/>
                  </w:tcPr>
                  <w:p>
                    <w:pPr>
                      <w:rPr>
                        <w:sz w:val="20"/>
                      </w:rPr>
                    </w:pPr>
                    <w:r>
                      <w:rPr>
                        <w:sz w:val="20"/>
                      </w:rPr>
                      <w:t>Bendras svetainės „www.siauliai.lt“ aktyvių vartotojų skaičius (tūkst. vnt. per metus)</w:t>
                    </w:r>
                  </w:p>
                </w:tc>
                <w:tc>
                  <w:tcPr>
                    <w:tcW w:w="1134" w:type="dxa"/>
                    <w:shd w:val="clear" w:color="auto" w:fill="FCE4D6"/>
                    <w:vAlign w:val="center"/>
                    <w:hideMark/>
                  </w:tcPr>
                  <w:p>
                    <w:pPr>
                      <w:jc w:val="center"/>
                      <w:rPr>
                        <w:sz w:val="20"/>
                      </w:rPr>
                    </w:pPr>
                    <w:r>
                      <w:rPr>
                        <w:sz w:val="20"/>
                      </w:rPr>
                      <w:t>ŠMSA (VRK)</w:t>
                    </w:r>
                  </w:p>
                </w:tc>
                <w:tc>
                  <w:tcPr>
                    <w:tcW w:w="1134" w:type="dxa"/>
                    <w:shd w:val="clear" w:color="auto" w:fill="FCE4D6"/>
                    <w:vAlign w:val="center"/>
                    <w:hideMark/>
                  </w:tcPr>
                  <w:p>
                    <w:pPr>
                      <w:jc w:val="center"/>
                      <w:rPr>
                        <w:sz w:val="20"/>
                      </w:rPr>
                    </w:pPr>
                    <w:r>
                      <w:rPr>
                        <w:sz w:val="20"/>
                      </w:rPr>
                      <w:t>351,2 (2023)</w:t>
                    </w:r>
                  </w:p>
                </w:tc>
                <w:tc>
                  <w:tcPr>
                    <w:tcW w:w="1134" w:type="dxa"/>
                    <w:shd w:val="clear" w:color="auto" w:fill="FCE4D6"/>
                    <w:vAlign w:val="center"/>
                    <w:hideMark/>
                  </w:tcPr>
                  <w:p>
                    <w:pPr>
                      <w:jc w:val="center"/>
                      <w:rPr>
                        <w:sz w:val="20"/>
                      </w:rPr>
                    </w:pPr>
                    <w:r>
                      <w:rPr>
                        <w:sz w:val="20"/>
                      </w:rPr>
                      <w:t>450 (2033)</w:t>
                    </w:r>
                  </w:p>
                </w:tc>
              </w:tr>
              <w:tr>
                <w:trPr>
                  <w:trHeight w:val="920"/>
                  <w:jc w:val="center"/>
                </w:trPr>
                <w:tc>
                  <w:tcPr>
                    <w:tcW w:w="988" w:type="dxa"/>
                    <w:vMerge/>
                    <w:shd w:val="clear" w:color="auto" w:fill="FCE4D6"/>
                    <w:vAlign w:val="center"/>
                    <w:hideMark/>
                  </w:tcPr>
                  <w:p>
                    <w:pPr>
                      <w:rPr>
                        <w:b/>
                        <w:bCs/>
                        <w:sz w:val="20"/>
                      </w:rPr>
                    </w:pPr>
                  </w:p>
                </w:tc>
                <w:tc>
                  <w:tcPr>
                    <w:tcW w:w="2126" w:type="dxa"/>
                    <w:vMerge/>
                    <w:shd w:val="clear" w:color="auto" w:fill="FCE4D6"/>
                    <w:vAlign w:val="center"/>
                    <w:hideMark/>
                  </w:tcPr>
                  <w:p>
                    <w:pPr>
                      <w:rPr>
                        <w:b/>
                        <w:bCs/>
                        <w:sz w:val="20"/>
                      </w:rPr>
                    </w:pPr>
                  </w:p>
                </w:tc>
                <w:tc>
                  <w:tcPr>
                    <w:tcW w:w="850" w:type="dxa"/>
                    <w:vMerge/>
                    <w:shd w:val="clear" w:color="auto" w:fill="FCE4D6"/>
                    <w:vAlign w:val="center"/>
                    <w:hideMark/>
                  </w:tcPr>
                  <w:p>
                    <w:pPr>
                      <w:rPr>
                        <w:sz w:val="20"/>
                      </w:rPr>
                    </w:pPr>
                  </w:p>
                </w:tc>
                <w:tc>
                  <w:tcPr>
                    <w:tcW w:w="709" w:type="dxa"/>
                    <w:vMerge/>
                    <w:shd w:val="clear" w:color="auto" w:fill="FCE4D6"/>
                    <w:vAlign w:val="center"/>
                    <w:hideMark/>
                  </w:tcPr>
                  <w:p>
                    <w:pPr>
                      <w:rPr>
                        <w:sz w:val="20"/>
                      </w:rPr>
                    </w:pPr>
                  </w:p>
                </w:tc>
                <w:tc>
                  <w:tcPr>
                    <w:tcW w:w="709" w:type="dxa"/>
                    <w:vMerge/>
                    <w:shd w:val="clear" w:color="auto" w:fill="FCE4D6"/>
                    <w:vAlign w:val="center"/>
                    <w:hideMark/>
                  </w:tcPr>
                  <w:p>
                    <w:pPr>
                      <w:rPr>
                        <w:sz w:val="20"/>
                      </w:rPr>
                    </w:pPr>
                  </w:p>
                </w:tc>
                <w:tc>
                  <w:tcPr>
                    <w:tcW w:w="1417" w:type="dxa"/>
                    <w:shd w:val="clear" w:color="auto" w:fill="FCE4D6"/>
                    <w:vAlign w:val="center"/>
                    <w:hideMark/>
                  </w:tcPr>
                  <w:p>
                    <w:pPr>
                      <w:rPr>
                        <w:b/>
                        <w:bCs/>
                        <w:sz w:val="20"/>
                      </w:rPr>
                    </w:pPr>
                    <w:r>
                      <w:rPr>
                        <w:b/>
                        <w:bCs/>
                        <w:sz w:val="20"/>
                      </w:rPr>
                      <w:t>R-15-03-02</w:t>
                    </w:r>
                  </w:p>
                </w:tc>
                <w:tc>
                  <w:tcPr>
                    <w:tcW w:w="4111" w:type="dxa"/>
                    <w:shd w:val="clear" w:color="auto" w:fill="FCE4D6"/>
                    <w:vAlign w:val="center"/>
                    <w:hideMark/>
                  </w:tcPr>
                  <w:p>
                    <w:pPr>
                      <w:rPr>
                        <w:sz w:val="20"/>
                      </w:rPr>
                    </w:pPr>
                    <w:r>
                      <w:rPr>
                        <w:sz w:val="20"/>
                      </w:rPr>
                      <w:t xml:space="preserve">Savivaldybės administracijos paskyrų  „Facebook“ / „Instagram“ socialiniuose tinkluose stebėtojų skaičius (tūkst. vnt. per metus)</w:t>
                    </w:r>
                  </w:p>
                </w:tc>
                <w:tc>
                  <w:tcPr>
                    <w:tcW w:w="1134" w:type="dxa"/>
                    <w:shd w:val="clear" w:color="auto" w:fill="FCE4D6"/>
                    <w:vAlign w:val="center"/>
                    <w:hideMark/>
                  </w:tcPr>
                  <w:p>
                    <w:pPr>
                      <w:jc w:val="center"/>
                      <w:rPr>
                        <w:sz w:val="20"/>
                      </w:rPr>
                    </w:pPr>
                    <w:r>
                      <w:rPr>
                        <w:sz w:val="20"/>
                      </w:rPr>
                      <w:t>ŠMSA (VRK)</w:t>
                    </w:r>
                  </w:p>
                </w:tc>
                <w:tc>
                  <w:tcPr>
                    <w:tcW w:w="1134" w:type="dxa"/>
                    <w:shd w:val="clear" w:color="auto" w:fill="FCE4D6"/>
                    <w:vAlign w:val="center"/>
                    <w:hideMark/>
                  </w:tcPr>
                  <w:p>
                    <w:pPr>
                      <w:jc w:val="center"/>
                      <w:rPr>
                        <w:sz w:val="20"/>
                      </w:rPr>
                    </w:pPr>
                    <w:r>
                      <w:rPr>
                        <w:sz w:val="20"/>
                      </w:rPr>
                      <w:t xml:space="preserve">21,4 / 1,7  (2023)</w:t>
                    </w:r>
                  </w:p>
                </w:tc>
                <w:tc>
                  <w:tcPr>
                    <w:tcW w:w="1134" w:type="dxa"/>
                    <w:shd w:val="clear" w:color="auto" w:fill="FCE4D6"/>
                    <w:vAlign w:val="center"/>
                    <w:hideMark/>
                  </w:tcPr>
                  <w:p>
                    <w:pPr>
                      <w:jc w:val="center"/>
                      <w:rPr>
                        <w:sz w:val="20"/>
                      </w:rPr>
                    </w:pPr>
                    <w:r>
                      <w:rPr>
                        <w:sz w:val="20"/>
                      </w:rPr>
                      <w:t>30 / 6 (2033)</w:t>
                    </w:r>
                  </w:p>
                </w:tc>
              </w:tr>
              <w:tr>
                <w:trPr>
                  <w:trHeight w:val="520"/>
                  <w:jc w:val="center"/>
                </w:trPr>
                <w:tc>
                  <w:tcPr>
                    <w:tcW w:w="988" w:type="dxa"/>
                    <w:vMerge/>
                    <w:shd w:val="clear" w:color="auto" w:fill="FCE4D6"/>
                    <w:vAlign w:val="center"/>
                    <w:hideMark/>
                  </w:tcPr>
                  <w:p>
                    <w:pPr>
                      <w:rPr>
                        <w:b/>
                        <w:bCs/>
                        <w:sz w:val="20"/>
                      </w:rPr>
                    </w:pPr>
                  </w:p>
                </w:tc>
                <w:tc>
                  <w:tcPr>
                    <w:tcW w:w="2126" w:type="dxa"/>
                    <w:vMerge/>
                    <w:shd w:val="clear" w:color="auto" w:fill="FCE4D6"/>
                    <w:vAlign w:val="center"/>
                    <w:hideMark/>
                  </w:tcPr>
                  <w:p>
                    <w:pPr>
                      <w:rPr>
                        <w:b/>
                        <w:bCs/>
                        <w:sz w:val="20"/>
                      </w:rPr>
                    </w:pPr>
                  </w:p>
                </w:tc>
                <w:tc>
                  <w:tcPr>
                    <w:tcW w:w="850" w:type="dxa"/>
                    <w:vMerge/>
                    <w:shd w:val="clear" w:color="auto" w:fill="FCE4D6"/>
                    <w:vAlign w:val="center"/>
                    <w:hideMark/>
                  </w:tcPr>
                  <w:p>
                    <w:pPr>
                      <w:rPr>
                        <w:sz w:val="20"/>
                      </w:rPr>
                    </w:pPr>
                  </w:p>
                </w:tc>
                <w:tc>
                  <w:tcPr>
                    <w:tcW w:w="709" w:type="dxa"/>
                    <w:vMerge/>
                    <w:shd w:val="clear" w:color="auto" w:fill="FCE4D6"/>
                    <w:vAlign w:val="center"/>
                    <w:hideMark/>
                  </w:tcPr>
                  <w:p>
                    <w:pPr>
                      <w:rPr>
                        <w:sz w:val="20"/>
                      </w:rPr>
                    </w:pPr>
                  </w:p>
                </w:tc>
                <w:tc>
                  <w:tcPr>
                    <w:tcW w:w="709" w:type="dxa"/>
                    <w:vMerge/>
                    <w:shd w:val="clear" w:color="auto" w:fill="FCE4D6"/>
                    <w:vAlign w:val="center"/>
                    <w:hideMark/>
                  </w:tcPr>
                  <w:p>
                    <w:pPr>
                      <w:rPr>
                        <w:sz w:val="20"/>
                      </w:rPr>
                    </w:pPr>
                  </w:p>
                </w:tc>
                <w:tc>
                  <w:tcPr>
                    <w:tcW w:w="1417" w:type="dxa"/>
                    <w:shd w:val="clear" w:color="auto" w:fill="FCE4D6"/>
                    <w:vAlign w:val="center"/>
                    <w:hideMark/>
                  </w:tcPr>
                  <w:p>
                    <w:pPr>
                      <w:rPr>
                        <w:b/>
                        <w:bCs/>
                        <w:sz w:val="20"/>
                      </w:rPr>
                    </w:pPr>
                    <w:r>
                      <w:rPr>
                        <w:b/>
                        <w:bCs/>
                        <w:sz w:val="20"/>
                      </w:rPr>
                      <w:t>R-15-03-03</w:t>
                    </w:r>
                  </w:p>
                </w:tc>
                <w:tc>
                  <w:tcPr>
                    <w:tcW w:w="4111" w:type="dxa"/>
                    <w:shd w:val="clear" w:color="auto" w:fill="FCE4D6"/>
                    <w:vAlign w:val="center"/>
                    <w:hideMark/>
                  </w:tcPr>
                  <w:p>
                    <w:pPr>
                      <w:rPr>
                        <w:sz w:val="20"/>
                      </w:rPr>
                    </w:pPr>
                    <w:r>
                      <w:rPr>
                        <w:sz w:val="20"/>
                      </w:rPr>
                      <w:t>Savivaldybės administracijos „YouTube“ kanalo prenumeratorių skaičius (vnt.)</w:t>
                    </w:r>
                  </w:p>
                </w:tc>
                <w:tc>
                  <w:tcPr>
                    <w:tcW w:w="1134" w:type="dxa"/>
                    <w:shd w:val="clear" w:color="auto" w:fill="FCE4D6"/>
                    <w:vAlign w:val="center"/>
                    <w:hideMark/>
                  </w:tcPr>
                  <w:p>
                    <w:pPr>
                      <w:jc w:val="center"/>
                      <w:rPr>
                        <w:sz w:val="20"/>
                      </w:rPr>
                    </w:pPr>
                    <w:r>
                      <w:rPr>
                        <w:sz w:val="20"/>
                      </w:rPr>
                      <w:t>ŠMSA (VRK)</w:t>
                    </w:r>
                  </w:p>
                </w:tc>
                <w:tc>
                  <w:tcPr>
                    <w:tcW w:w="1134" w:type="dxa"/>
                    <w:shd w:val="clear" w:color="auto" w:fill="FCE4D6"/>
                    <w:vAlign w:val="center"/>
                    <w:hideMark/>
                  </w:tcPr>
                  <w:p>
                    <w:pPr>
                      <w:jc w:val="center"/>
                      <w:rPr>
                        <w:sz w:val="20"/>
                      </w:rPr>
                    </w:pPr>
                    <w:r>
                      <w:rPr>
                        <w:sz w:val="20"/>
                      </w:rPr>
                      <w:t>560 (2023)</w:t>
                    </w:r>
                  </w:p>
                </w:tc>
                <w:tc>
                  <w:tcPr>
                    <w:tcW w:w="1134" w:type="dxa"/>
                    <w:shd w:val="clear" w:color="auto" w:fill="FCE4D6"/>
                    <w:vAlign w:val="center"/>
                    <w:hideMark/>
                  </w:tcPr>
                  <w:p>
                    <w:pPr>
                      <w:jc w:val="center"/>
                      <w:rPr>
                        <w:sz w:val="20"/>
                      </w:rPr>
                    </w:pPr>
                    <w:r>
                      <w:rPr>
                        <w:sz w:val="20"/>
                      </w:rPr>
                      <w:t>1120 (2033)</w:t>
                    </w:r>
                  </w:p>
                </w:tc>
              </w:tr>
              <w:tr>
                <w:trPr>
                  <w:trHeight w:val="790"/>
                  <w:jc w:val="center"/>
                </w:trPr>
                <w:tc>
                  <w:tcPr>
                    <w:tcW w:w="988" w:type="dxa"/>
                    <w:vMerge/>
                    <w:shd w:val="clear" w:color="auto" w:fill="FCE4D6"/>
                    <w:vAlign w:val="center"/>
                    <w:hideMark/>
                  </w:tcPr>
                  <w:p>
                    <w:pPr>
                      <w:rPr>
                        <w:b/>
                        <w:bCs/>
                        <w:sz w:val="20"/>
                      </w:rPr>
                    </w:pPr>
                  </w:p>
                </w:tc>
                <w:tc>
                  <w:tcPr>
                    <w:tcW w:w="2126" w:type="dxa"/>
                    <w:vMerge/>
                    <w:shd w:val="clear" w:color="auto" w:fill="FCE4D6"/>
                    <w:vAlign w:val="center"/>
                    <w:hideMark/>
                  </w:tcPr>
                  <w:p>
                    <w:pPr>
                      <w:rPr>
                        <w:b/>
                        <w:bCs/>
                        <w:sz w:val="20"/>
                      </w:rPr>
                    </w:pPr>
                  </w:p>
                </w:tc>
                <w:tc>
                  <w:tcPr>
                    <w:tcW w:w="850" w:type="dxa"/>
                    <w:vMerge/>
                    <w:shd w:val="clear" w:color="auto" w:fill="FCE4D6"/>
                    <w:vAlign w:val="center"/>
                    <w:hideMark/>
                  </w:tcPr>
                  <w:p>
                    <w:pPr>
                      <w:rPr>
                        <w:sz w:val="20"/>
                      </w:rPr>
                    </w:pPr>
                  </w:p>
                </w:tc>
                <w:tc>
                  <w:tcPr>
                    <w:tcW w:w="709" w:type="dxa"/>
                    <w:vMerge/>
                    <w:shd w:val="clear" w:color="auto" w:fill="FCE4D6"/>
                    <w:vAlign w:val="center"/>
                    <w:hideMark/>
                  </w:tcPr>
                  <w:p>
                    <w:pPr>
                      <w:rPr>
                        <w:sz w:val="20"/>
                      </w:rPr>
                    </w:pPr>
                  </w:p>
                </w:tc>
                <w:tc>
                  <w:tcPr>
                    <w:tcW w:w="709" w:type="dxa"/>
                    <w:vMerge/>
                    <w:shd w:val="clear" w:color="auto" w:fill="FCE4D6"/>
                    <w:vAlign w:val="center"/>
                    <w:hideMark/>
                  </w:tcPr>
                  <w:p>
                    <w:pPr>
                      <w:rPr>
                        <w:sz w:val="20"/>
                      </w:rPr>
                    </w:pPr>
                  </w:p>
                </w:tc>
                <w:tc>
                  <w:tcPr>
                    <w:tcW w:w="1417" w:type="dxa"/>
                    <w:shd w:val="clear" w:color="auto" w:fill="FCE4D6"/>
                    <w:vAlign w:val="center"/>
                    <w:hideMark/>
                  </w:tcPr>
                  <w:p>
                    <w:pPr>
                      <w:rPr>
                        <w:b/>
                        <w:bCs/>
                        <w:sz w:val="20"/>
                      </w:rPr>
                    </w:pPr>
                    <w:r>
                      <w:rPr>
                        <w:b/>
                        <w:bCs/>
                        <w:sz w:val="20"/>
                      </w:rPr>
                      <w:t>R-15-03-04</w:t>
                    </w:r>
                  </w:p>
                </w:tc>
                <w:tc>
                  <w:tcPr>
                    <w:tcW w:w="4111" w:type="dxa"/>
                    <w:shd w:val="clear" w:color="auto" w:fill="FCE4D6"/>
                    <w:vAlign w:val="center"/>
                    <w:hideMark/>
                  </w:tcPr>
                  <w:p>
                    <w:pPr>
                      <w:rPr>
                        <w:sz w:val="20"/>
                      </w:rPr>
                    </w:pPr>
                    <w:r>
                      <w:rPr>
                        <w:sz w:val="20"/>
                      </w:rPr>
                      <w:t>Teigiamai Šiaulių miesto įvaizdį vertinančių studentų, verslo atstovų, miesto svečių ir gyventojų dalis (proc.)</w:t>
                    </w:r>
                  </w:p>
                </w:tc>
                <w:tc>
                  <w:tcPr>
                    <w:tcW w:w="1134" w:type="dxa"/>
                    <w:shd w:val="clear" w:color="auto" w:fill="FCE4D6"/>
                    <w:vAlign w:val="center"/>
                    <w:hideMark/>
                  </w:tcPr>
                  <w:p>
                    <w:pPr>
                      <w:jc w:val="center"/>
                      <w:rPr>
                        <w:sz w:val="20"/>
                      </w:rPr>
                    </w:pPr>
                    <w:r>
                      <w:rPr>
                        <w:sz w:val="20"/>
                      </w:rPr>
                      <w:t>ŠMSA (EIS)</w:t>
                    </w:r>
                  </w:p>
                </w:tc>
                <w:tc>
                  <w:tcPr>
                    <w:tcW w:w="1134" w:type="dxa"/>
                    <w:shd w:val="clear" w:color="auto" w:fill="FCE4D6"/>
                    <w:vAlign w:val="center"/>
                    <w:hideMark/>
                  </w:tcPr>
                  <w:p>
                    <w:pPr>
                      <w:jc w:val="center"/>
                      <w:rPr>
                        <w:sz w:val="20"/>
                      </w:rPr>
                    </w:pPr>
                    <w:r>
                      <w:rPr>
                        <w:sz w:val="20"/>
                      </w:rPr>
                      <w:t>44,6 (2023)</w:t>
                    </w:r>
                  </w:p>
                </w:tc>
                <w:tc>
                  <w:tcPr>
                    <w:tcW w:w="1134" w:type="dxa"/>
                    <w:shd w:val="clear" w:color="auto" w:fill="FCE4D6"/>
                    <w:vAlign w:val="center"/>
                    <w:hideMark/>
                  </w:tcPr>
                  <w:p>
                    <w:pPr>
                      <w:jc w:val="center"/>
                      <w:rPr>
                        <w:sz w:val="20"/>
                      </w:rPr>
                    </w:pPr>
                    <w:r>
                      <w:rPr>
                        <w:sz w:val="20"/>
                      </w:rPr>
                      <w:t>55 (2033)</w:t>
                    </w:r>
                  </w:p>
                </w:tc>
              </w:tr>
              <w:tr>
                <w:trPr>
                  <w:trHeight w:val="607"/>
                  <w:jc w:val="center"/>
                </w:trPr>
                <w:tc>
                  <w:tcPr>
                    <w:tcW w:w="988" w:type="dxa"/>
                    <w:vMerge w:val="restart"/>
                    <w:noWrap/>
                    <w:vAlign w:val="center"/>
                    <w:hideMark/>
                  </w:tcPr>
                  <w:p>
                    <w:pPr>
                      <w:rPr>
                        <w:sz w:val="20"/>
                      </w:rPr>
                    </w:pPr>
                    <w:r>
                      <w:rPr>
                        <w:sz w:val="20"/>
                      </w:rPr>
                      <w:t>15-03-01</w:t>
                    </w:r>
                  </w:p>
                </w:tc>
                <w:tc>
                  <w:tcPr>
                    <w:tcW w:w="2126" w:type="dxa"/>
                    <w:vMerge w:val="restart"/>
                    <w:vAlign w:val="center"/>
                    <w:hideMark/>
                  </w:tcPr>
                  <w:p>
                    <w:pPr>
                      <w:rPr>
                        <w:sz w:val="20"/>
                      </w:rPr>
                    </w:pPr>
                    <w:r>
                      <w:rPr>
                        <w:sz w:val="20"/>
                      </w:rPr>
                      <w:t>Padidinti Šiaulių matomumą tarptautiniuose informacijos sklaidos kanaluose</w:t>
                    </w:r>
                  </w:p>
                </w:tc>
                <w:tc>
                  <w:tcPr>
                    <w:tcW w:w="850" w:type="dxa"/>
                    <w:vMerge w:val="restart"/>
                    <w:vAlign w:val="center"/>
                    <w:hideMark/>
                  </w:tcPr>
                  <w:p>
                    <w:pPr>
                      <w:jc w:val="center"/>
                      <w:rPr>
                        <w:sz w:val="20"/>
                      </w:rPr>
                    </w:pPr>
                    <w:r>
                      <w:rPr>
                        <w:sz w:val="20"/>
                      </w:rPr>
                      <w:t>Vicemeras (-ai)</w:t>
                    </w:r>
                  </w:p>
                </w:tc>
                <w:tc>
                  <w:tcPr>
                    <w:tcW w:w="709" w:type="dxa"/>
                    <w:vMerge w:val="restart"/>
                    <w:vAlign w:val="center"/>
                    <w:hideMark/>
                  </w:tcPr>
                  <w:p>
                    <w:pPr>
                      <w:jc w:val="center"/>
                      <w:rPr>
                        <w:sz w:val="20"/>
                      </w:rPr>
                    </w:pPr>
                    <w:r>
                      <w:rPr>
                        <w:sz w:val="20"/>
                      </w:rPr>
                      <w:t>2025</w:t>
                    </w:r>
                  </w:p>
                </w:tc>
                <w:tc>
                  <w:tcPr>
                    <w:tcW w:w="709" w:type="dxa"/>
                    <w:vMerge w:val="restart"/>
                    <w:vAlign w:val="center"/>
                    <w:hideMark/>
                  </w:tcPr>
                  <w:p>
                    <w:pPr>
                      <w:jc w:val="center"/>
                      <w:rPr>
                        <w:sz w:val="20"/>
                      </w:rPr>
                    </w:pPr>
                    <w:r>
                      <w:rPr>
                        <w:sz w:val="20"/>
                      </w:rPr>
                      <w:t>2033</w:t>
                    </w:r>
                  </w:p>
                </w:tc>
                <w:tc>
                  <w:tcPr>
                    <w:tcW w:w="1417" w:type="dxa"/>
                    <w:vAlign w:val="center"/>
                    <w:hideMark/>
                  </w:tcPr>
                  <w:p>
                    <w:pPr>
                      <w:jc w:val="center"/>
                      <w:rPr>
                        <w:sz w:val="20"/>
                      </w:rPr>
                    </w:pPr>
                    <w:r>
                      <w:rPr>
                        <w:sz w:val="20"/>
                      </w:rPr>
                      <w:t>P-15-03-01-01</w:t>
                    </w:r>
                  </w:p>
                </w:tc>
                <w:tc>
                  <w:tcPr>
                    <w:tcW w:w="4111" w:type="dxa"/>
                    <w:vAlign w:val="center"/>
                    <w:hideMark/>
                  </w:tcPr>
                  <w:p>
                    <w:pPr>
                      <w:rPr>
                        <w:sz w:val="20"/>
                      </w:rPr>
                    </w:pPr>
                    <w:r>
                      <w:rPr>
                        <w:sz w:val="20"/>
                      </w:rPr>
                      <w:t>Tarptautinių tinklų, asocijuotų struktūrų, į kurių veiklą įsitraukusi Šiaulių miesto savivaldybė, skaičius (vnt. per metus)</w:t>
                    </w:r>
                  </w:p>
                </w:tc>
                <w:tc>
                  <w:tcPr>
                    <w:tcW w:w="1134" w:type="dxa"/>
                    <w:vAlign w:val="center"/>
                    <w:hideMark/>
                  </w:tcPr>
                  <w:p>
                    <w:pPr>
                      <w:jc w:val="center"/>
                      <w:rPr>
                        <w:sz w:val="20"/>
                      </w:rPr>
                    </w:pPr>
                    <w:r>
                      <w:rPr>
                        <w:sz w:val="20"/>
                      </w:rPr>
                      <w:t>Vicemeras (-ai)</w:t>
                    </w:r>
                  </w:p>
                </w:tc>
                <w:tc>
                  <w:tcPr>
                    <w:tcW w:w="1134" w:type="dxa"/>
                    <w:vAlign w:val="center"/>
                    <w:hideMark/>
                  </w:tcPr>
                  <w:p>
                    <w:pPr>
                      <w:jc w:val="center"/>
                      <w:rPr>
                        <w:sz w:val="20"/>
                      </w:rPr>
                    </w:pPr>
                    <w:r>
                      <w:rPr>
                        <w:sz w:val="20"/>
                      </w:rPr>
                      <w:t>0 (2023)</w:t>
                    </w:r>
                  </w:p>
                </w:tc>
                <w:tc>
                  <w:tcPr>
                    <w:tcW w:w="1134" w:type="dxa"/>
                    <w:vAlign w:val="center"/>
                    <w:hideMark/>
                  </w:tcPr>
                  <w:p>
                    <w:pPr>
                      <w:jc w:val="center"/>
                      <w:rPr>
                        <w:sz w:val="20"/>
                      </w:rPr>
                    </w:pPr>
                    <w:r>
                      <w:rPr>
                        <w:sz w:val="20"/>
                      </w:rPr>
                      <w:t>2 (2033)</w:t>
                    </w:r>
                  </w:p>
                </w:tc>
              </w:tr>
              <w:tr>
                <w:trPr>
                  <w:trHeight w:val="519"/>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jc w:val="center"/>
                      <w:rPr>
                        <w:sz w:val="20"/>
                      </w:rPr>
                    </w:pPr>
                  </w:p>
                </w:tc>
                <w:tc>
                  <w:tcPr>
                    <w:tcW w:w="709" w:type="dxa"/>
                    <w:vMerge/>
                    <w:vAlign w:val="center"/>
                    <w:hideMark/>
                  </w:tcPr>
                  <w:p>
                    <w:pPr>
                      <w:jc w:val="center"/>
                      <w:rPr>
                        <w:sz w:val="20"/>
                      </w:rPr>
                    </w:pPr>
                  </w:p>
                </w:tc>
                <w:tc>
                  <w:tcPr>
                    <w:tcW w:w="709" w:type="dxa"/>
                    <w:vMerge/>
                    <w:vAlign w:val="center"/>
                    <w:hideMark/>
                  </w:tcPr>
                  <w:p>
                    <w:pPr>
                      <w:jc w:val="center"/>
                      <w:rPr>
                        <w:sz w:val="20"/>
                      </w:rPr>
                    </w:pPr>
                  </w:p>
                </w:tc>
                <w:tc>
                  <w:tcPr>
                    <w:tcW w:w="1417" w:type="dxa"/>
                    <w:vAlign w:val="center"/>
                    <w:hideMark/>
                  </w:tcPr>
                  <w:p>
                    <w:pPr>
                      <w:jc w:val="center"/>
                      <w:rPr>
                        <w:sz w:val="20"/>
                      </w:rPr>
                    </w:pPr>
                    <w:r>
                      <w:rPr>
                        <w:sz w:val="20"/>
                      </w:rPr>
                      <w:t>P-15-03-01-02</w:t>
                    </w:r>
                  </w:p>
                </w:tc>
                <w:tc>
                  <w:tcPr>
                    <w:tcW w:w="4111" w:type="dxa"/>
                    <w:vAlign w:val="center"/>
                    <w:hideMark/>
                  </w:tcPr>
                  <w:p>
                    <w:pPr>
                      <w:rPr>
                        <w:sz w:val="20"/>
                      </w:rPr>
                    </w:pPr>
                    <w:r>
                      <w:rPr>
                        <w:sz w:val="20"/>
                      </w:rPr>
                      <w:t>Tarptautinių standartų, indeksų, pagal kuriuos vertinama Šiaulių miesto savivaldybė, skaičius (vnt. per metus)</w:t>
                    </w:r>
                  </w:p>
                </w:tc>
                <w:tc>
                  <w:tcPr>
                    <w:tcW w:w="1134" w:type="dxa"/>
                    <w:vAlign w:val="center"/>
                    <w:hideMark/>
                  </w:tcPr>
                  <w:p>
                    <w:pPr>
                      <w:jc w:val="center"/>
                      <w:rPr>
                        <w:sz w:val="20"/>
                      </w:rPr>
                    </w:pPr>
                    <w:r>
                      <w:rPr>
                        <w:sz w:val="20"/>
                      </w:rPr>
                      <w:t>Vicemeras (-ai)</w:t>
                    </w:r>
                  </w:p>
                </w:tc>
                <w:tc>
                  <w:tcPr>
                    <w:tcW w:w="1134" w:type="dxa"/>
                    <w:vAlign w:val="center"/>
                    <w:hideMark/>
                  </w:tcPr>
                  <w:p>
                    <w:pPr>
                      <w:jc w:val="center"/>
                      <w:rPr>
                        <w:sz w:val="20"/>
                      </w:rPr>
                    </w:pPr>
                    <w:r>
                      <w:rPr>
                        <w:sz w:val="20"/>
                      </w:rPr>
                      <w:t>0 (2023)</w:t>
                    </w:r>
                  </w:p>
                </w:tc>
                <w:tc>
                  <w:tcPr>
                    <w:tcW w:w="1134" w:type="dxa"/>
                    <w:vAlign w:val="center"/>
                    <w:hideMark/>
                  </w:tcPr>
                  <w:p>
                    <w:pPr>
                      <w:jc w:val="center"/>
                      <w:rPr>
                        <w:sz w:val="20"/>
                      </w:rPr>
                    </w:pPr>
                    <w:r>
                      <w:rPr>
                        <w:sz w:val="20"/>
                      </w:rPr>
                      <w:t>2 (2033)</w:t>
                    </w:r>
                  </w:p>
                </w:tc>
              </w:tr>
              <w:tr>
                <w:trPr>
                  <w:trHeight w:val="571"/>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jc w:val="center"/>
                      <w:rPr>
                        <w:sz w:val="20"/>
                      </w:rPr>
                    </w:pPr>
                  </w:p>
                </w:tc>
                <w:tc>
                  <w:tcPr>
                    <w:tcW w:w="709" w:type="dxa"/>
                    <w:vMerge/>
                    <w:vAlign w:val="center"/>
                    <w:hideMark/>
                  </w:tcPr>
                  <w:p>
                    <w:pPr>
                      <w:jc w:val="center"/>
                      <w:rPr>
                        <w:sz w:val="20"/>
                      </w:rPr>
                    </w:pPr>
                  </w:p>
                </w:tc>
                <w:tc>
                  <w:tcPr>
                    <w:tcW w:w="709" w:type="dxa"/>
                    <w:vMerge/>
                    <w:vAlign w:val="center"/>
                    <w:hideMark/>
                  </w:tcPr>
                  <w:p>
                    <w:pPr>
                      <w:jc w:val="center"/>
                      <w:rPr>
                        <w:sz w:val="20"/>
                      </w:rPr>
                    </w:pPr>
                  </w:p>
                </w:tc>
                <w:tc>
                  <w:tcPr>
                    <w:tcW w:w="1417" w:type="dxa"/>
                    <w:vAlign w:val="center"/>
                    <w:hideMark/>
                  </w:tcPr>
                  <w:p>
                    <w:pPr>
                      <w:jc w:val="center"/>
                      <w:rPr>
                        <w:sz w:val="20"/>
                      </w:rPr>
                    </w:pPr>
                    <w:r>
                      <w:rPr>
                        <w:sz w:val="20"/>
                      </w:rPr>
                      <w:t>P-15-03-01-03</w:t>
                    </w:r>
                  </w:p>
                </w:tc>
                <w:tc>
                  <w:tcPr>
                    <w:tcW w:w="4111" w:type="dxa"/>
                    <w:vAlign w:val="center"/>
                    <w:hideMark/>
                  </w:tcPr>
                  <w:p>
                    <w:pPr>
                      <w:rPr>
                        <w:sz w:val="20"/>
                      </w:rPr>
                    </w:pPr>
                    <w:r>
                      <w:rPr>
                        <w:sz w:val="20"/>
                      </w:rPr>
                      <w:t>Mokamų</w:t>
                    </w:r>
                    <w:r>
                      <w:rPr>
                        <w:b/>
                        <w:bCs/>
                        <w:sz w:val="20"/>
                      </w:rPr>
                      <w:t xml:space="preserve"> </w:t>
                    </w:r>
                    <w:r>
                      <w:rPr>
                        <w:sz w:val="20"/>
                      </w:rPr>
                      <w:t>užsienio informacijos kanaluose paviešintų turinio vienetų (straipsnių, reklamų maketų, TV laidų, reportažų ir kt.) skaičius (vnt.)</w:t>
                    </w:r>
                  </w:p>
                </w:tc>
                <w:tc>
                  <w:tcPr>
                    <w:tcW w:w="1134" w:type="dxa"/>
                    <w:vAlign w:val="center"/>
                    <w:hideMark/>
                  </w:tcPr>
                  <w:p>
                    <w:pPr>
                      <w:jc w:val="center"/>
                      <w:rPr>
                        <w:sz w:val="20"/>
                      </w:rPr>
                    </w:pPr>
                    <w:r>
                      <w:rPr>
                        <w:sz w:val="20"/>
                      </w:rPr>
                      <w:t>EIS, TIC, VRK</w:t>
                    </w:r>
                  </w:p>
                </w:tc>
                <w:tc>
                  <w:tcPr>
                    <w:tcW w:w="1134" w:type="dxa"/>
                    <w:vAlign w:val="center"/>
                    <w:hideMark/>
                  </w:tcPr>
                  <w:p>
                    <w:pPr>
                      <w:jc w:val="center"/>
                      <w:rPr>
                        <w:sz w:val="20"/>
                      </w:rPr>
                    </w:pPr>
                    <w:r>
                      <w:rPr>
                        <w:sz w:val="20"/>
                      </w:rPr>
                      <w:t>27 (2023)</w:t>
                    </w:r>
                  </w:p>
                </w:tc>
                <w:tc>
                  <w:tcPr>
                    <w:tcW w:w="1134" w:type="dxa"/>
                    <w:vAlign w:val="center"/>
                    <w:hideMark/>
                  </w:tcPr>
                  <w:p>
                    <w:pPr>
                      <w:jc w:val="center"/>
                      <w:rPr>
                        <w:sz w:val="20"/>
                      </w:rPr>
                    </w:pPr>
                    <w:r>
                      <w:rPr>
                        <w:sz w:val="20"/>
                      </w:rPr>
                      <w:t>225 (2033)</w:t>
                    </w:r>
                  </w:p>
                </w:tc>
              </w:tr>
              <w:tr>
                <w:trPr>
                  <w:trHeight w:val="625"/>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jc w:val="center"/>
                      <w:rPr>
                        <w:sz w:val="20"/>
                      </w:rPr>
                    </w:pPr>
                  </w:p>
                </w:tc>
                <w:tc>
                  <w:tcPr>
                    <w:tcW w:w="709" w:type="dxa"/>
                    <w:vMerge/>
                    <w:vAlign w:val="center"/>
                    <w:hideMark/>
                  </w:tcPr>
                  <w:p>
                    <w:pPr>
                      <w:jc w:val="center"/>
                      <w:rPr>
                        <w:sz w:val="20"/>
                      </w:rPr>
                    </w:pPr>
                  </w:p>
                </w:tc>
                <w:tc>
                  <w:tcPr>
                    <w:tcW w:w="709" w:type="dxa"/>
                    <w:vMerge/>
                    <w:vAlign w:val="center"/>
                    <w:hideMark/>
                  </w:tcPr>
                  <w:p>
                    <w:pPr>
                      <w:jc w:val="center"/>
                      <w:rPr>
                        <w:sz w:val="20"/>
                      </w:rPr>
                    </w:pPr>
                  </w:p>
                </w:tc>
                <w:tc>
                  <w:tcPr>
                    <w:tcW w:w="1417" w:type="dxa"/>
                    <w:vAlign w:val="center"/>
                    <w:hideMark/>
                  </w:tcPr>
                  <w:p>
                    <w:pPr>
                      <w:jc w:val="center"/>
                      <w:rPr>
                        <w:sz w:val="20"/>
                      </w:rPr>
                    </w:pPr>
                    <w:r>
                      <w:rPr>
                        <w:sz w:val="20"/>
                      </w:rPr>
                      <w:t>P-15-03-01-04</w:t>
                    </w:r>
                  </w:p>
                </w:tc>
                <w:tc>
                  <w:tcPr>
                    <w:tcW w:w="4111" w:type="dxa"/>
                    <w:vAlign w:val="center"/>
                    <w:hideMark/>
                  </w:tcPr>
                  <w:p>
                    <w:pPr>
                      <w:rPr>
                        <w:sz w:val="20"/>
                      </w:rPr>
                    </w:pPr>
                    <w:r>
                      <w:rPr>
                        <w:sz w:val="20"/>
                      </w:rPr>
                      <w:t>Tarptautinių turizmo, mokslo ir pan. reprezentacinių renginių, kuriuose pristatytos Šiaulių miesto galimybės, skaičius (vnt.)</w:t>
                    </w:r>
                  </w:p>
                </w:tc>
                <w:tc>
                  <w:tcPr>
                    <w:tcW w:w="1134" w:type="dxa"/>
                    <w:vAlign w:val="center"/>
                    <w:hideMark/>
                  </w:tcPr>
                  <w:p>
                    <w:pPr>
                      <w:jc w:val="center"/>
                      <w:rPr>
                        <w:sz w:val="20"/>
                      </w:rPr>
                    </w:pPr>
                    <w:r>
                      <w:rPr>
                        <w:sz w:val="20"/>
                      </w:rPr>
                      <w:t>TIC</w:t>
                    </w:r>
                  </w:p>
                </w:tc>
                <w:tc>
                  <w:tcPr>
                    <w:tcW w:w="1134" w:type="dxa"/>
                    <w:vAlign w:val="center"/>
                    <w:hideMark/>
                  </w:tcPr>
                  <w:p>
                    <w:pPr>
                      <w:jc w:val="center"/>
                      <w:rPr>
                        <w:sz w:val="20"/>
                      </w:rPr>
                    </w:pPr>
                    <w:r>
                      <w:rPr>
                        <w:sz w:val="20"/>
                      </w:rPr>
                      <w:t>5 (2023)</w:t>
                    </w:r>
                  </w:p>
                </w:tc>
                <w:tc>
                  <w:tcPr>
                    <w:tcW w:w="1134" w:type="dxa"/>
                    <w:vAlign w:val="center"/>
                    <w:hideMark/>
                  </w:tcPr>
                  <w:p>
                    <w:pPr>
                      <w:jc w:val="center"/>
                      <w:rPr>
                        <w:sz w:val="20"/>
                      </w:rPr>
                    </w:pPr>
                    <w:r>
                      <w:rPr>
                        <w:sz w:val="20"/>
                      </w:rPr>
                      <w:t>45 (2033)</w:t>
                    </w:r>
                  </w:p>
                </w:tc>
              </w:tr>
              <w:tr>
                <w:trPr>
                  <w:trHeight w:val="633"/>
                  <w:jc w:val="center"/>
                </w:trPr>
                <w:tc>
                  <w:tcPr>
                    <w:tcW w:w="988" w:type="dxa"/>
                    <w:vMerge w:val="restart"/>
                    <w:noWrap/>
                    <w:hideMark/>
                  </w:tcPr>
                  <w:p>
                    <w:pPr>
                      <w:rPr>
                        <w:sz w:val="20"/>
                      </w:rPr>
                    </w:pPr>
                    <w:r>
                      <w:rPr>
                        <w:sz w:val="20"/>
                      </w:rPr>
                      <w:t>15-03-02</w:t>
                    </w:r>
                  </w:p>
                </w:tc>
                <w:tc>
                  <w:tcPr>
                    <w:tcW w:w="2126" w:type="dxa"/>
                    <w:vMerge w:val="restart"/>
                    <w:hideMark/>
                  </w:tcPr>
                  <w:p>
                    <w:pPr>
                      <w:rPr>
                        <w:sz w:val="20"/>
                      </w:rPr>
                    </w:pPr>
                    <w:r>
                      <w:rPr>
                        <w:sz w:val="20"/>
                      </w:rPr>
                      <w:t>Stiprinti Šiaulių miesto lyderystę regiono ir šalies mastu</w:t>
                    </w:r>
                  </w:p>
                </w:tc>
                <w:tc>
                  <w:tcPr>
                    <w:tcW w:w="850" w:type="dxa"/>
                    <w:vMerge w:val="restart"/>
                    <w:hideMark/>
                  </w:tcPr>
                  <w:p>
                    <w:pPr>
                      <w:jc w:val="center"/>
                      <w:rPr>
                        <w:sz w:val="20"/>
                      </w:rPr>
                    </w:pPr>
                    <w:r>
                      <w:rPr>
                        <w:sz w:val="20"/>
                      </w:rPr>
                      <w:t>Vicemeras (-ai)</w:t>
                    </w:r>
                  </w:p>
                </w:tc>
                <w:tc>
                  <w:tcPr>
                    <w:tcW w:w="709" w:type="dxa"/>
                    <w:vMerge w:val="restart"/>
                    <w:hideMark/>
                  </w:tcPr>
                  <w:p>
                    <w:pPr>
                      <w:jc w:val="center"/>
                      <w:rPr>
                        <w:sz w:val="20"/>
                      </w:rPr>
                    </w:pPr>
                    <w:r>
                      <w:rPr>
                        <w:sz w:val="20"/>
                      </w:rPr>
                      <w:t>2025</w:t>
                    </w:r>
                  </w:p>
                </w:tc>
                <w:tc>
                  <w:tcPr>
                    <w:tcW w:w="709" w:type="dxa"/>
                    <w:vMerge w:val="restart"/>
                    <w:hideMark/>
                  </w:tcPr>
                  <w:p>
                    <w:pPr>
                      <w:jc w:val="center"/>
                      <w:rPr>
                        <w:sz w:val="20"/>
                      </w:rPr>
                    </w:pPr>
                    <w:r>
                      <w:rPr>
                        <w:sz w:val="20"/>
                      </w:rPr>
                      <w:t>2033</w:t>
                    </w:r>
                  </w:p>
                </w:tc>
                <w:tc>
                  <w:tcPr>
                    <w:tcW w:w="1417" w:type="dxa"/>
                    <w:hideMark/>
                  </w:tcPr>
                  <w:p>
                    <w:pPr>
                      <w:rPr>
                        <w:sz w:val="20"/>
                      </w:rPr>
                    </w:pPr>
                    <w:r>
                      <w:rPr>
                        <w:sz w:val="20"/>
                      </w:rPr>
                      <w:t>P-15-03-02-01</w:t>
                    </w:r>
                  </w:p>
                </w:tc>
                <w:tc>
                  <w:tcPr>
                    <w:tcW w:w="4111" w:type="dxa"/>
                    <w:hideMark/>
                  </w:tcPr>
                  <w:p>
                    <w:pPr>
                      <w:rPr>
                        <w:sz w:val="20"/>
                      </w:rPr>
                    </w:pPr>
                    <w:r>
                      <w:rPr>
                        <w:sz w:val="20"/>
                      </w:rPr>
                      <w:t>Įkurtas už miesto komunikaciją ir rinkodarą atsakingas padalinys / institucija ar kitas alternatyvus organas (vnt.)</w:t>
                    </w:r>
                  </w:p>
                </w:tc>
                <w:tc>
                  <w:tcPr>
                    <w:tcW w:w="1134" w:type="dxa"/>
                    <w:hideMark/>
                  </w:tcPr>
                  <w:p>
                    <w:pPr>
                      <w:jc w:val="center"/>
                      <w:rPr>
                        <w:sz w:val="20"/>
                      </w:rPr>
                    </w:pPr>
                    <w:r>
                      <w:rPr>
                        <w:sz w:val="20"/>
                      </w:rPr>
                      <w:t>Vicemeras (-ai)</w:t>
                    </w:r>
                  </w:p>
                </w:tc>
                <w:tc>
                  <w:tcPr>
                    <w:tcW w:w="1134" w:type="dxa"/>
                    <w:hideMark/>
                  </w:tcPr>
                  <w:p>
                    <w:pPr>
                      <w:jc w:val="center"/>
                      <w:rPr>
                        <w:sz w:val="20"/>
                      </w:rPr>
                    </w:pPr>
                    <w:r>
                      <w:rPr>
                        <w:sz w:val="20"/>
                      </w:rPr>
                      <w:t>0 (2023)</w:t>
                    </w:r>
                  </w:p>
                </w:tc>
                <w:tc>
                  <w:tcPr>
                    <w:tcW w:w="1134" w:type="dxa"/>
                    <w:hideMark/>
                  </w:tcPr>
                  <w:p>
                    <w:pPr>
                      <w:jc w:val="center"/>
                      <w:rPr>
                        <w:sz w:val="20"/>
                      </w:rPr>
                    </w:pPr>
                    <w:r>
                      <w:rPr>
                        <w:sz w:val="20"/>
                      </w:rPr>
                      <w:t>1 (2026)</w:t>
                    </w:r>
                  </w:p>
                </w:tc>
              </w:tr>
              <w:tr>
                <w:trPr>
                  <w:trHeight w:val="520"/>
                  <w:jc w:val="center"/>
                </w:trPr>
                <w:tc>
                  <w:tcPr>
                    <w:tcW w:w="988" w:type="dxa"/>
                    <w:vMerge/>
                    <w:hideMark/>
                  </w:tcPr>
                  <w:p>
                    <w:pPr>
                      <w:rPr>
                        <w:sz w:val="20"/>
                      </w:rPr>
                    </w:pPr>
                  </w:p>
                </w:tc>
                <w:tc>
                  <w:tcPr>
                    <w:tcW w:w="2126" w:type="dxa"/>
                    <w:vMerge/>
                    <w:hideMark/>
                  </w:tcPr>
                  <w:p>
                    <w:pPr>
                      <w:rPr>
                        <w:sz w:val="20"/>
                      </w:rPr>
                    </w:pPr>
                  </w:p>
                </w:tc>
                <w:tc>
                  <w:tcPr>
                    <w:tcW w:w="850" w:type="dxa"/>
                    <w:vMerge/>
                    <w:hideMark/>
                  </w:tcPr>
                  <w:p>
                    <w:pPr>
                      <w:rPr>
                        <w:sz w:val="20"/>
                      </w:rPr>
                    </w:pPr>
                  </w:p>
                </w:tc>
                <w:tc>
                  <w:tcPr>
                    <w:tcW w:w="709" w:type="dxa"/>
                    <w:vMerge/>
                    <w:hideMark/>
                  </w:tcPr>
                  <w:p>
                    <w:pPr>
                      <w:rPr>
                        <w:sz w:val="20"/>
                      </w:rPr>
                    </w:pPr>
                  </w:p>
                </w:tc>
                <w:tc>
                  <w:tcPr>
                    <w:tcW w:w="709" w:type="dxa"/>
                    <w:vMerge/>
                    <w:hideMark/>
                  </w:tcPr>
                  <w:p>
                    <w:pPr>
                      <w:rPr>
                        <w:sz w:val="20"/>
                      </w:rPr>
                    </w:pPr>
                  </w:p>
                </w:tc>
                <w:tc>
                  <w:tcPr>
                    <w:tcW w:w="1417" w:type="dxa"/>
                    <w:hideMark/>
                  </w:tcPr>
                  <w:p>
                    <w:pPr>
                      <w:rPr>
                        <w:sz w:val="20"/>
                      </w:rPr>
                    </w:pPr>
                    <w:r>
                      <w:rPr>
                        <w:sz w:val="20"/>
                      </w:rPr>
                      <w:t>P-15-03-02-02</w:t>
                    </w:r>
                  </w:p>
                </w:tc>
                <w:tc>
                  <w:tcPr>
                    <w:tcW w:w="4111" w:type="dxa"/>
                    <w:hideMark/>
                  </w:tcPr>
                  <w:p>
                    <w:pPr>
                      <w:rPr>
                        <w:sz w:val="20"/>
                      </w:rPr>
                    </w:pPr>
                    <w:r>
                      <w:rPr>
                        <w:sz w:val="20"/>
                      </w:rPr>
                      <w:t>Parengta miesto identiteto, rinkodaros ir turizmo strategija (vnt.)</w:t>
                    </w:r>
                  </w:p>
                </w:tc>
                <w:tc>
                  <w:tcPr>
                    <w:tcW w:w="1134" w:type="dxa"/>
                    <w:hideMark/>
                  </w:tcPr>
                  <w:p>
                    <w:pPr>
                      <w:jc w:val="center"/>
                      <w:rPr>
                        <w:sz w:val="20"/>
                      </w:rPr>
                    </w:pPr>
                    <w:r>
                      <w:rPr>
                        <w:sz w:val="20"/>
                      </w:rPr>
                      <w:t>Vicemeras (-ai)</w:t>
                    </w:r>
                  </w:p>
                </w:tc>
                <w:tc>
                  <w:tcPr>
                    <w:tcW w:w="1134" w:type="dxa"/>
                    <w:hideMark/>
                  </w:tcPr>
                  <w:p>
                    <w:pPr>
                      <w:jc w:val="center"/>
                      <w:rPr>
                        <w:sz w:val="20"/>
                      </w:rPr>
                    </w:pPr>
                    <w:r>
                      <w:rPr>
                        <w:sz w:val="20"/>
                      </w:rPr>
                      <w:t>0 (2023)</w:t>
                    </w:r>
                  </w:p>
                </w:tc>
                <w:tc>
                  <w:tcPr>
                    <w:tcW w:w="1134" w:type="dxa"/>
                    <w:hideMark/>
                  </w:tcPr>
                  <w:p>
                    <w:pPr>
                      <w:jc w:val="center"/>
                      <w:rPr>
                        <w:sz w:val="20"/>
                      </w:rPr>
                    </w:pPr>
                    <w:r>
                      <w:rPr>
                        <w:sz w:val="20"/>
                      </w:rPr>
                      <w:t>1 (2026)</w:t>
                    </w:r>
                  </w:p>
                </w:tc>
              </w:tr>
              <w:tr>
                <w:trPr>
                  <w:trHeight w:val="693"/>
                  <w:jc w:val="center"/>
                </w:trPr>
                <w:tc>
                  <w:tcPr>
                    <w:tcW w:w="988" w:type="dxa"/>
                    <w:vMerge/>
                    <w:hideMark/>
                  </w:tcPr>
                  <w:p>
                    <w:pPr>
                      <w:rPr>
                        <w:sz w:val="20"/>
                      </w:rPr>
                    </w:pPr>
                  </w:p>
                </w:tc>
                <w:tc>
                  <w:tcPr>
                    <w:tcW w:w="2126" w:type="dxa"/>
                    <w:vMerge/>
                    <w:hideMark/>
                  </w:tcPr>
                  <w:p>
                    <w:pPr>
                      <w:rPr>
                        <w:sz w:val="20"/>
                      </w:rPr>
                    </w:pPr>
                  </w:p>
                </w:tc>
                <w:tc>
                  <w:tcPr>
                    <w:tcW w:w="850" w:type="dxa"/>
                    <w:vMerge/>
                    <w:hideMark/>
                  </w:tcPr>
                  <w:p>
                    <w:pPr>
                      <w:rPr>
                        <w:sz w:val="20"/>
                      </w:rPr>
                    </w:pPr>
                  </w:p>
                </w:tc>
                <w:tc>
                  <w:tcPr>
                    <w:tcW w:w="709" w:type="dxa"/>
                    <w:vMerge/>
                    <w:hideMark/>
                  </w:tcPr>
                  <w:p>
                    <w:pPr>
                      <w:rPr>
                        <w:sz w:val="20"/>
                      </w:rPr>
                    </w:pPr>
                  </w:p>
                </w:tc>
                <w:tc>
                  <w:tcPr>
                    <w:tcW w:w="709" w:type="dxa"/>
                    <w:vMerge/>
                    <w:hideMark/>
                  </w:tcPr>
                  <w:p>
                    <w:pPr>
                      <w:rPr>
                        <w:sz w:val="20"/>
                      </w:rPr>
                    </w:pPr>
                  </w:p>
                </w:tc>
                <w:tc>
                  <w:tcPr>
                    <w:tcW w:w="1417" w:type="dxa"/>
                    <w:hideMark/>
                  </w:tcPr>
                  <w:p>
                    <w:pPr>
                      <w:rPr>
                        <w:sz w:val="20"/>
                      </w:rPr>
                    </w:pPr>
                    <w:r>
                      <w:rPr>
                        <w:sz w:val="20"/>
                      </w:rPr>
                      <w:t>P-15-03-02-03</w:t>
                    </w:r>
                  </w:p>
                </w:tc>
                <w:tc>
                  <w:tcPr>
                    <w:tcW w:w="4111" w:type="dxa"/>
                    <w:hideMark/>
                  </w:tcPr>
                  <w:p>
                    <w:pPr>
                      <w:rPr>
                        <w:sz w:val="20"/>
                      </w:rPr>
                    </w:pPr>
                    <w:r>
                      <w:rPr>
                        <w:sz w:val="20"/>
                      </w:rPr>
                      <w:t>Nacionalinių tinklų, asocijuotų struktūrų, į kurių veiklą įsitraukusi Šiaulių miesto savivaldybė, skaičius (vnt. per metus)</w:t>
                    </w:r>
                  </w:p>
                </w:tc>
                <w:tc>
                  <w:tcPr>
                    <w:tcW w:w="1134" w:type="dxa"/>
                    <w:hideMark/>
                  </w:tcPr>
                  <w:p>
                    <w:pPr>
                      <w:jc w:val="center"/>
                      <w:rPr>
                        <w:sz w:val="20"/>
                      </w:rPr>
                    </w:pPr>
                    <w:r>
                      <w:rPr>
                        <w:sz w:val="20"/>
                      </w:rPr>
                      <w:t>Vicemeras (-ai)</w:t>
                    </w:r>
                  </w:p>
                </w:tc>
                <w:tc>
                  <w:tcPr>
                    <w:tcW w:w="1134" w:type="dxa"/>
                    <w:hideMark/>
                  </w:tcPr>
                  <w:p>
                    <w:pPr>
                      <w:jc w:val="center"/>
                      <w:rPr>
                        <w:sz w:val="20"/>
                      </w:rPr>
                    </w:pPr>
                    <w:r>
                      <w:rPr>
                        <w:sz w:val="20"/>
                      </w:rPr>
                      <w:t>4 (2023)</w:t>
                    </w:r>
                  </w:p>
                </w:tc>
                <w:tc>
                  <w:tcPr>
                    <w:tcW w:w="1134" w:type="dxa"/>
                    <w:hideMark/>
                  </w:tcPr>
                  <w:p>
                    <w:pPr>
                      <w:jc w:val="center"/>
                      <w:rPr>
                        <w:sz w:val="20"/>
                      </w:rPr>
                    </w:pPr>
                    <w:r>
                      <w:rPr>
                        <w:sz w:val="20"/>
                      </w:rPr>
                      <w:t>6 (2033)</w:t>
                    </w:r>
                  </w:p>
                </w:tc>
              </w:tr>
              <w:tr>
                <w:trPr>
                  <w:trHeight w:val="600"/>
                  <w:jc w:val="center"/>
                </w:trPr>
                <w:tc>
                  <w:tcPr>
                    <w:tcW w:w="988" w:type="dxa"/>
                    <w:vMerge/>
                    <w:hideMark/>
                  </w:tcPr>
                  <w:p>
                    <w:pPr>
                      <w:rPr>
                        <w:sz w:val="20"/>
                      </w:rPr>
                    </w:pPr>
                  </w:p>
                </w:tc>
                <w:tc>
                  <w:tcPr>
                    <w:tcW w:w="2126" w:type="dxa"/>
                    <w:vMerge/>
                    <w:hideMark/>
                  </w:tcPr>
                  <w:p>
                    <w:pPr>
                      <w:rPr>
                        <w:sz w:val="20"/>
                      </w:rPr>
                    </w:pPr>
                  </w:p>
                </w:tc>
                <w:tc>
                  <w:tcPr>
                    <w:tcW w:w="850" w:type="dxa"/>
                    <w:vMerge/>
                    <w:hideMark/>
                  </w:tcPr>
                  <w:p>
                    <w:pPr>
                      <w:rPr>
                        <w:sz w:val="20"/>
                      </w:rPr>
                    </w:pPr>
                  </w:p>
                </w:tc>
                <w:tc>
                  <w:tcPr>
                    <w:tcW w:w="709" w:type="dxa"/>
                    <w:vMerge/>
                    <w:hideMark/>
                  </w:tcPr>
                  <w:p>
                    <w:pPr>
                      <w:rPr>
                        <w:sz w:val="20"/>
                      </w:rPr>
                    </w:pPr>
                  </w:p>
                </w:tc>
                <w:tc>
                  <w:tcPr>
                    <w:tcW w:w="709" w:type="dxa"/>
                    <w:vMerge/>
                    <w:hideMark/>
                  </w:tcPr>
                  <w:p>
                    <w:pPr>
                      <w:rPr>
                        <w:sz w:val="20"/>
                      </w:rPr>
                    </w:pPr>
                  </w:p>
                </w:tc>
                <w:tc>
                  <w:tcPr>
                    <w:tcW w:w="1417" w:type="dxa"/>
                    <w:hideMark/>
                  </w:tcPr>
                  <w:p>
                    <w:pPr>
                      <w:rPr>
                        <w:sz w:val="20"/>
                      </w:rPr>
                    </w:pPr>
                    <w:r>
                      <w:rPr>
                        <w:sz w:val="20"/>
                      </w:rPr>
                      <w:t>P-15-03-02-04</w:t>
                    </w:r>
                  </w:p>
                </w:tc>
                <w:tc>
                  <w:tcPr>
                    <w:tcW w:w="4111" w:type="dxa"/>
                    <w:hideMark/>
                  </w:tcPr>
                  <w:p>
                    <w:pPr>
                      <w:rPr>
                        <w:sz w:val="20"/>
                      </w:rPr>
                    </w:pPr>
                    <w:r>
                      <w:rPr>
                        <w:sz w:val="20"/>
                      </w:rPr>
                      <w:t xml:space="preserve">Tarptautinių ir nacionalinių pripažinimų, apdovanojimų už miesto vykdomas veiklas, iniciatyvas, skaičius (vnt.) </w:t>
                    </w:r>
                  </w:p>
                </w:tc>
                <w:tc>
                  <w:tcPr>
                    <w:tcW w:w="1134" w:type="dxa"/>
                    <w:hideMark/>
                  </w:tcPr>
                  <w:p>
                    <w:pPr>
                      <w:jc w:val="center"/>
                      <w:rPr>
                        <w:sz w:val="20"/>
                      </w:rPr>
                    </w:pPr>
                    <w:r>
                      <w:rPr>
                        <w:sz w:val="20"/>
                      </w:rPr>
                      <w:t>Vicemeras (-ai)</w:t>
                    </w:r>
                  </w:p>
                </w:tc>
                <w:tc>
                  <w:tcPr>
                    <w:tcW w:w="1134" w:type="dxa"/>
                    <w:hideMark/>
                  </w:tcPr>
                  <w:p>
                    <w:pPr>
                      <w:jc w:val="center"/>
                      <w:rPr>
                        <w:sz w:val="20"/>
                      </w:rPr>
                    </w:pPr>
                    <w:r>
                      <w:rPr>
                        <w:sz w:val="20"/>
                      </w:rPr>
                      <w:t>2 (2023)</w:t>
                    </w:r>
                  </w:p>
                </w:tc>
                <w:tc>
                  <w:tcPr>
                    <w:tcW w:w="1134" w:type="dxa"/>
                    <w:hideMark/>
                  </w:tcPr>
                  <w:p>
                    <w:pPr>
                      <w:jc w:val="center"/>
                      <w:rPr>
                        <w:sz w:val="20"/>
                      </w:rPr>
                    </w:pPr>
                    <w:r>
                      <w:rPr>
                        <w:sz w:val="20"/>
                      </w:rPr>
                      <w:t>15(2033)</w:t>
                    </w:r>
                  </w:p>
                </w:tc>
              </w:tr>
              <w:tr>
                <w:trPr>
                  <w:trHeight w:val="650"/>
                  <w:jc w:val="center"/>
                </w:trPr>
                <w:tc>
                  <w:tcPr>
                    <w:tcW w:w="988" w:type="dxa"/>
                    <w:vMerge/>
                    <w:hideMark/>
                  </w:tcPr>
                  <w:p>
                    <w:pPr>
                      <w:rPr>
                        <w:sz w:val="20"/>
                      </w:rPr>
                    </w:pPr>
                  </w:p>
                </w:tc>
                <w:tc>
                  <w:tcPr>
                    <w:tcW w:w="2126" w:type="dxa"/>
                    <w:vMerge/>
                    <w:hideMark/>
                  </w:tcPr>
                  <w:p>
                    <w:pPr>
                      <w:rPr>
                        <w:sz w:val="20"/>
                      </w:rPr>
                    </w:pPr>
                  </w:p>
                </w:tc>
                <w:tc>
                  <w:tcPr>
                    <w:tcW w:w="850" w:type="dxa"/>
                    <w:vMerge/>
                    <w:hideMark/>
                  </w:tcPr>
                  <w:p>
                    <w:pPr>
                      <w:rPr>
                        <w:sz w:val="20"/>
                      </w:rPr>
                    </w:pPr>
                  </w:p>
                </w:tc>
                <w:tc>
                  <w:tcPr>
                    <w:tcW w:w="709" w:type="dxa"/>
                    <w:vMerge/>
                    <w:hideMark/>
                  </w:tcPr>
                  <w:p>
                    <w:pPr>
                      <w:rPr>
                        <w:sz w:val="20"/>
                      </w:rPr>
                    </w:pPr>
                  </w:p>
                </w:tc>
                <w:tc>
                  <w:tcPr>
                    <w:tcW w:w="709" w:type="dxa"/>
                    <w:vMerge/>
                    <w:hideMark/>
                  </w:tcPr>
                  <w:p>
                    <w:pPr>
                      <w:rPr>
                        <w:sz w:val="20"/>
                      </w:rPr>
                    </w:pPr>
                  </w:p>
                </w:tc>
                <w:tc>
                  <w:tcPr>
                    <w:tcW w:w="1417" w:type="dxa"/>
                    <w:hideMark/>
                  </w:tcPr>
                  <w:p>
                    <w:pPr>
                      <w:rPr>
                        <w:sz w:val="20"/>
                      </w:rPr>
                    </w:pPr>
                    <w:r>
                      <w:rPr>
                        <w:sz w:val="20"/>
                      </w:rPr>
                      <w:t>P-15-03-02-05</w:t>
                    </w:r>
                  </w:p>
                </w:tc>
                <w:tc>
                  <w:tcPr>
                    <w:tcW w:w="4111" w:type="dxa"/>
                    <w:hideMark/>
                  </w:tcPr>
                  <w:p>
                    <w:pPr>
                      <w:rPr>
                        <w:sz w:val="20"/>
                      </w:rPr>
                    </w:pPr>
                    <w:r>
                      <w:rPr>
                        <w:sz w:val="20"/>
                      </w:rPr>
                      <w:t>Konkuravimo teise savivaldybės administracijos pateiktų ir laimėtų ambasadavimo renginių, rinkimų skaičius (vnt. / vnt.)</w:t>
                    </w:r>
                  </w:p>
                </w:tc>
                <w:tc>
                  <w:tcPr>
                    <w:tcW w:w="1134" w:type="dxa"/>
                    <w:hideMark/>
                  </w:tcPr>
                  <w:p>
                    <w:pPr>
                      <w:jc w:val="center"/>
                      <w:rPr>
                        <w:sz w:val="20"/>
                      </w:rPr>
                    </w:pPr>
                    <w:r>
                      <w:rPr>
                        <w:sz w:val="20"/>
                      </w:rPr>
                      <w:t>Vicemeras (-ai)</w:t>
                    </w:r>
                  </w:p>
                </w:tc>
                <w:tc>
                  <w:tcPr>
                    <w:tcW w:w="1134" w:type="dxa"/>
                    <w:hideMark/>
                  </w:tcPr>
                  <w:p>
                    <w:pPr>
                      <w:jc w:val="center"/>
                      <w:rPr>
                        <w:sz w:val="20"/>
                      </w:rPr>
                    </w:pPr>
                    <w:r>
                      <w:rPr>
                        <w:sz w:val="20"/>
                      </w:rPr>
                      <w:t>2/0(2024)</w:t>
                    </w:r>
                  </w:p>
                </w:tc>
                <w:tc>
                  <w:tcPr>
                    <w:tcW w:w="1134" w:type="dxa"/>
                    <w:hideMark/>
                  </w:tcPr>
                  <w:p>
                    <w:pPr>
                      <w:jc w:val="center"/>
                      <w:rPr>
                        <w:sz w:val="20"/>
                      </w:rPr>
                    </w:pPr>
                    <w:r>
                      <w:rPr>
                        <w:sz w:val="20"/>
                      </w:rPr>
                      <w:t>6/3 (2033)</w:t>
                    </w:r>
                  </w:p>
                </w:tc>
              </w:tr>
              <w:tr>
                <w:trPr>
                  <w:trHeight w:val="560"/>
                  <w:jc w:val="center"/>
                </w:trPr>
                <w:tc>
                  <w:tcPr>
                    <w:tcW w:w="988" w:type="dxa"/>
                    <w:vMerge w:val="restart"/>
                    <w:shd w:val="clear" w:color="auto" w:fill="FFD966"/>
                    <w:noWrap/>
                    <w:vAlign w:val="center"/>
                    <w:hideMark/>
                  </w:tcPr>
                  <w:p>
                    <w:pPr>
                      <w:rPr>
                        <w:b/>
                        <w:bCs/>
                        <w:sz w:val="20"/>
                      </w:rPr>
                    </w:pPr>
                    <w:r>
                      <w:rPr>
                        <w:b/>
                        <w:bCs/>
                        <w:sz w:val="20"/>
                      </w:rPr>
                      <w:t>16</w:t>
                    </w:r>
                  </w:p>
                </w:tc>
                <w:tc>
                  <w:tcPr>
                    <w:tcW w:w="2126" w:type="dxa"/>
                    <w:vMerge w:val="restart"/>
                    <w:shd w:val="clear" w:color="auto" w:fill="FFD966"/>
                    <w:vAlign w:val="center"/>
                    <w:hideMark/>
                  </w:tcPr>
                  <w:p>
                    <w:pPr>
                      <w:rPr>
                        <w:b/>
                        <w:bCs/>
                        <w:sz w:val="20"/>
                      </w:rPr>
                    </w:pPr>
                    <w:r>
                      <w:rPr>
                        <w:b/>
                        <w:bCs/>
                        <w:sz w:val="20"/>
                      </w:rPr>
                      <w:t>Užtikrinti socialinės apsaugos sistemą, mažinančią socialinę atskirtį ir didinančią socialinę integraciją</w:t>
                    </w:r>
                  </w:p>
                </w:tc>
                <w:tc>
                  <w:tcPr>
                    <w:tcW w:w="850" w:type="dxa"/>
                    <w:vMerge w:val="restart"/>
                    <w:shd w:val="clear" w:color="auto" w:fill="FFD966"/>
                    <w:noWrap/>
                    <w:vAlign w:val="center"/>
                    <w:hideMark/>
                  </w:tcPr>
                  <w:p>
                    <w:pPr>
                      <w:jc w:val="center"/>
                      <w:rPr>
                        <w:sz w:val="20"/>
                      </w:rPr>
                    </w:pPr>
                    <w:r>
                      <w:rPr>
                        <w:sz w:val="20"/>
                      </w:rPr>
                      <w:t>SPS</w:t>
                    </w:r>
                  </w:p>
                </w:tc>
                <w:tc>
                  <w:tcPr>
                    <w:tcW w:w="709" w:type="dxa"/>
                    <w:vMerge w:val="restart"/>
                    <w:shd w:val="clear" w:color="auto" w:fill="FFD966"/>
                    <w:noWrap/>
                    <w:vAlign w:val="center"/>
                    <w:hideMark/>
                  </w:tcPr>
                  <w:p>
                    <w:pPr>
                      <w:jc w:val="center"/>
                      <w:rPr>
                        <w:sz w:val="20"/>
                      </w:rPr>
                    </w:pPr>
                    <w:r>
                      <w:rPr>
                        <w:sz w:val="20"/>
                      </w:rPr>
                      <w:t>2025</w:t>
                    </w:r>
                  </w:p>
                </w:tc>
                <w:tc>
                  <w:tcPr>
                    <w:tcW w:w="709" w:type="dxa"/>
                    <w:vMerge w:val="restart"/>
                    <w:shd w:val="clear" w:color="auto" w:fill="FFD966"/>
                    <w:noWrap/>
                    <w:vAlign w:val="center"/>
                    <w:hideMark/>
                  </w:tcPr>
                  <w:p>
                    <w:pPr>
                      <w:jc w:val="center"/>
                      <w:rPr>
                        <w:sz w:val="20"/>
                      </w:rPr>
                    </w:pPr>
                    <w:r>
                      <w:rPr>
                        <w:sz w:val="20"/>
                      </w:rPr>
                      <w:t>2033</w:t>
                    </w:r>
                  </w:p>
                </w:tc>
                <w:tc>
                  <w:tcPr>
                    <w:tcW w:w="1417" w:type="dxa"/>
                    <w:shd w:val="clear" w:color="auto" w:fill="FFD966"/>
                    <w:noWrap/>
                    <w:vAlign w:val="center"/>
                    <w:hideMark/>
                  </w:tcPr>
                  <w:p>
                    <w:pPr>
                      <w:rPr>
                        <w:sz w:val="20"/>
                      </w:rPr>
                    </w:pPr>
                    <w:r>
                      <w:rPr>
                        <w:sz w:val="20"/>
                      </w:rPr>
                      <w:t>P-16-01</w:t>
                    </w:r>
                  </w:p>
                </w:tc>
                <w:tc>
                  <w:tcPr>
                    <w:tcW w:w="4111" w:type="dxa"/>
                    <w:shd w:val="clear" w:color="auto" w:fill="FFD966"/>
                    <w:vAlign w:val="center"/>
                    <w:hideMark/>
                  </w:tcPr>
                  <w:p>
                    <w:pPr>
                      <w:rPr>
                        <w:sz w:val="20"/>
                      </w:rPr>
                    </w:pPr>
                    <w:r>
                      <w:rPr>
                        <w:sz w:val="20"/>
                      </w:rPr>
                      <w:t>Socialinių paslaugų gavėjų dalis (proc.)</w:t>
                    </w:r>
                  </w:p>
                </w:tc>
                <w:tc>
                  <w:tcPr>
                    <w:tcW w:w="1134" w:type="dxa"/>
                    <w:shd w:val="clear" w:color="auto" w:fill="FFD966"/>
                    <w:noWrap/>
                    <w:vAlign w:val="center"/>
                    <w:hideMark/>
                  </w:tcPr>
                  <w:p>
                    <w:pPr>
                      <w:jc w:val="center"/>
                      <w:rPr>
                        <w:sz w:val="20"/>
                      </w:rPr>
                    </w:pPr>
                    <w:r>
                      <w:rPr>
                        <w:sz w:val="20"/>
                      </w:rPr>
                      <w:t>VDA (SPS)</w:t>
                    </w:r>
                  </w:p>
                </w:tc>
                <w:tc>
                  <w:tcPr>
                    <w:tcW w:w="1134" w:type="dxa"/>
                    <w:shd w:val="clear" w:color="auto" w:fill="FFD966"/>
                    <w:noWrap/>
                    <w:vAlign w:val="center"/>
                    <w:hideMark/>
                  </w:tcPr>
                  <w:p>
                    <w:pPr>
                      <w:jc w:val="center"/>
                      <w:rPr>
                        <w:sz w:val="20"/>
                      </w:rPr>
                    </w:pPr>
                    <w:r>
                      <w:rPr>
                        <w:sz w:val="20"/>
                      </w:rPr>
                      <w:t>25 (2023)</w:t>
                    </w:r>
                  </w:p>
                </w:tc>
                <w:tc>
                  <w:tcPr>
                    <w:tcW w:w="1134" w:type="dxa"/>
                    <w:shd w:val="clear" w:color="auto" w:fill="FFD966"/>
                    <w:vAlign w:val="center"/>
                    <w:hideMark/>
                  </w:tcPr>
                  <w:p>
                    <w:pPr>
                      <w:jc w:val="center"/>
                      <w:rPr>
                        <w:sz w:val="20"/>
                      </w:rPr>
                    </w:pPr>
                    <w:r>
                      <w:rPr>
                        <w:sz w:val="20"/>
                      </w:rPr>
                      <w:t>30 (2033)</w:t>
                    </w:r>
                  </w:p>
                </w:tc>
              </w:tr>
              <w:tr>
                <w:trPr>
                  <w:trHeight w:val="362"/>
                  <w:jc w:val="center"/>
                </w:trPr>
                <w:tc>
                  <w:tcPr>
                    <w:tcW w:w="988" w:type="dxa"/>
                    <w:vMerge/>
                    <w:shd w:val="clear" w:color="auto" w:fill="FFD966"/>
                    <w:vAlign w:val="center"/>
                    <w:hideMark/>
                  </w:tcPr>
                  <w:p>
                    <w:pPr>
                      <w:rPr>
                        <w:b/>
                        <w:bCs/>
                        <w:sz w:val="20"/>
                      </w:rPr>
                    </w:pPr>
                  </w:p>
                </w:tc>
                <w:tc>
                  <w:tcPr>
                    <w:tcW w:w="2126" w:type="dxa"/>
                    <w:vMerge/>
                    <w:shd w:val="clear" w:color="auto" w:fill="FFD966"/>
                    <w:vAlign w:val="center"/>
                    <w:hideMark/>
                  </w:tcPr>
                  <w:p>
                    <w:pPr>
                      <w:rPr>
                        <w:b/>
                        <w:bCs/>
                        <w:sz w:val="20"/>
                      </w:rPr>
                    </w:pPr>
                  </w:p>
                </w:tc>
                <w:tc>
                  <w:tcPr>
                    <w:tcW w:w="850" w:type="dxa"/>
                    <w:vMerge/>
                    <w:shd w:val="clear" w:color="auto" w:fill="FFD966"/>
                    <w:vAlign w:val="center"/>
                    <w:hideMark/>
                  </w:tcPr>
                  <w:p>
                    <w:pPr>
                      <w:rPr>
                        <w:sz w:val="20"/>
                      </w:rPr>
                    </w:pPr>
                  </w:p>
                </w:tc>
                <w:tc>
                  <w:tcPr>
                    <w:tcW w:w="709" w:type="dxa"/>
                    <w:vMerge/>
                    <w:shd w:val="clear" w:color="auto" w:fill="FFD966"/>
                    <w:vAlign w:val="center"/>
                    <w:hideMark/>
                  </w:tcPr>
                  <w:p>
                    <w:pPr>
                      <w:rPr>
                        <w:sz w:val="20"/>
                      </w:rPr>
                    </w:pPr>
                  </w:p>
                </w:tc>
                <w:tc>
                  <w:tcPr>
                    <w:tcW w:w="709" w:type="dxa"/>
                    <w:vMerge/>
                    <w:shd w:val="clear" w:color="auto" w:fill="FFD966"/>
                    <w:vAlign w:val="center"/>
                    <w:hideMark/>
                  </w:tcPr>
                  <w:p>
                    <w:pPr>
                      <w:rPr>
                        <w:sz w:val="20"/>
                      </w:rPr>
                    </w:pPr>
                  </w:p>
                </w:tc>
                <w:tc>
                  <w:tcPr>
                    <w:tcW w:w="1417" w:type="dxa"/>
                    <w:tcBorders>
                      <w:bottom w:val="single" w:sz="4" w:space="0" w:color="auto"/>
                    </w:tcBorders>
                    <w:shd w:val="clear" w:color="auto" w:fill="FFD966"/>
                    <w:noWrap/>
                    <w:vAlign w:val="center"/>
                    <w:hideMark/>
                  </w:tcPr>
                  <w:p>
                    <w:pPr>
                      <w:rPr>
                        <w:sz w:val="20"/>
                      </w:rPr>
                    </w:pPr>
                    <w:r>
                      <w:rPr>
                        <w:sz w:val="20"/>
                      </w:rPr>
                      <w:t>P-16-02</w:t>
                    </w:r>
                  </w:p>
                </w:tc>
                <w:tc>
                  <w:tcPr>
                    <w:tcW w:w="4111" w:type="dxa"/>
                    <w:shd w:val="clear" w:color="auto" w:fill="FFD966"/>
                    <w:vAlign w:val="center"/>
                    <w:hideMark/>
                  </w:tcPr>
                  <w:p>
                    <w:pPr>
                      <w:rPr>
                        <w:sz w:val="20"/>
                      </w:rPr>
                    </w:pPr>
                    <w:r>
                      <w:rPr>
                        <w:sz w:val="20"/>
                      </w:rPr>
                      <w:t>Socialinio saugumo indeksas (balas)</w:t>
                    </w:r>
                  </w:p>
                </w:tc>
                <w:tc>
                  <w:tcPr>
                    <w:tcW w:w="1134" w:type="dxa"/>
                    <w:shd w:val="clear" w:color="auto" w:fill="FFD966"/>
                    <w:noWrap/>
                    <w:vAlign w:val="center"/>
                    <w:hideMark/>
                  </w:tcPr>
                  <w:p>
                    <w:pPr>
                      <w:jc w:val="center"/>
                      <w:rPr>
                        <w:sz w:val="20"/>
                      </w:rPr>
                    </w:pPr>
                    <w:r>
                      <w:rPr>
                        <w:sz w:val="20"/>
                      </w:rPr>
                      <w:t>SGI (SPS)</w:t>
                    </w:r>
                  </w:p>
                </w:tc>
                <w:tc>
                  <w:tcPr>
                    <w:tcW w:w="1134" w:type="dxa"/>
                    <w:shd w:val="clear" w:color="auto" w:fill="FFD966"/>
                    <w:noWrap/>
                    <w:vAlign w:val="center"/>
                    <w:hideMark/>
                  </w:tcPr>
                  <w:p>
                    <w:pPr>
                      <w:jc w:val="center"/>
                      <w:rPr>
                        <w:sz w:val="20"/>
                      </w:rPr>
                    </w:pPr>
                    <w:r>
                      <w:rPr>
                        <w:sz w:val="20"/>
                      </w:rPr>
                      <w:t>5 (2022)</w:t>
                    </w:r>
                  </w:p>
                </w:tc>
                <w:tc>
                  <w:tcPr>
                    <w:tcW w:w="1134" w:type="dxa"/>
                    <w:shd w:val="clear" w:color="auto" w:fill="FFD966"/>
                    <w:vAlign w:val="center"/>
                    <w:hideMark/>
                  </w:tcPr>
                  <w:p>
                    <w:pPr>
                      <w:jc w:val="center"/>
                      <w:rPr>
                        <w:sz w:val="20"/>
                      </w:rPr>
                    </w:pPr>
                    <w:r>
                      <w:rPr>
                        <w:sz w:val="20"/>
                      </w:rPr>
                      <w:t>6,2 (2033)</w:t>
                    </w:r>
                  </w:p>
                </w:tc>
              </w:tr>
              <w:tr>
                <w:trPr>
                  <w:trHeight w:val="551"/>
                  <w:jc w:val="center"/>
                </w:trPr>
                <w:tc>
                  <w:tcPr>
                    <w:tcW w:w="988" w:type="dxa"/>
                    <w:vMerge/>
                    <w:shd w:val="clear" w:color="auto" w:fill="FCE4D6"/>
                    <w:noWrap/>
                    <w:vAlign w:val="center"/>
                  </w:tcPr>
                  <w:p>
                    <w:pPr>
                      <w:rPr>
                        <w:b/>
                        <w:bCs/>
                        <w:sz w:val="20"/>
                      </w:rPr>
                    </w:pPr>
                  </w:p>
                </w:tc>
                <w:tc>
                  <w:tcPr>
                    <w:tcW w:w="2126" w:type="dxa"/>
                    <w:vMerge/>
                    <w:shd w:val="clear" w:color="auto" w:fill="FCE4D6"/>
                    <w:vAlign w:val="center"/>
                  </w:tcPr>
                  <w:p>
                    <w:pPr>
                      <w:rPr>
                        <w:b/>
                        <w:bCs/>
                        <w:sz w:val="20"/>
                      </w:rPr>
                    </w:pPr>
                  </w:p>
                </w:tc>
                <w:tc>
                  <w:tcPr>
                    <w:tcW w:w="850" w:type="dxa"/>
                    <w:vMerge/>
                    <w:shd w:val="clear" w:color="auto" w:fill="FCE4D6"/>
                    <w:noWrap/>
                    <w:vAlign w:val="center"/>
                  </w:tcPr>
                  <w:p>
                    <w:pPr>
                      <w:jc w:val="center"/>
                      <w:rPr>
                        <w:sz w:val="20"/>
                      </w:rPr>
                    </w:pPr>
                  </w:p>
                </w:tc>
                <w:tc>
                  <w:tcPr>
                    <w:tcW w:w="709" w:type="dxa"/>
                    <w:vMerge/>
                    <w:shd w:val="clear" w:color="auto" w:fill="FCE4D6"/>
                    <w:noWrap/>
                    <w:vAlign w:val="center"/>
                  </w:tcPr>
                  <w:p>
                    <w:pPr>
                      <w:jc w:val="center"/>
                      <w:rPr>
                        <w:sz w:val="20"/>
                      </w:rPr>
                    </w:pPr>
                  </w:p>
                </w:tc>
                <w:tc>
                  <w:tcPr>
                    <w:tcW w:w="709" w:type="dxa"/>
                    <w:vMerge/>
                    <w:shd w:val="clear" w:color="auto" w:fill="FCE4D6"/>
                    <w:noWrap/>
                    <w:vAlign w:val="center"/>
                  </w:tcPr>
                  <w:p>
                    <w:pPr>
                      <w:jc w:val="center"/>
                      <w:rPr>
                        <w:sz w:val="20"/>
                      </w:rPr>
                    </w:pPr>
                  </w:p>
                </w:tc>
                <w:tc>
                  <w:tcPr>
                    <w:tcW w:w="1417" w:type="dxa"/>
                    <w:tcBorders>
                      <w:top w:val="single" w:sz="4" w:space="0" w:color="auto"/>
                      <w:left w:val="single" w:sz="4" w:space="0" w:color="auto"/>
                      <w:bottom w:val="single" w:sz="4" w:space="0" w:color="auto"/>
                      <w:right w:val="single" w:sz="4" w:space="0" w:color="auto"/>
                    </w:tcBorders>
                    <w:shd w:val="clear" w:color="000000" w:fill="FFD966"/>
                    <w:noWrap/>
                    <w:vAlign w:val="center"/>
                  </w:tcPr>
                  <w:p>
                    <w:pPr>
                      <w:rPr>
                        <w:sz w:val="20"/>
                      </w:rPr>
                    </w:pPr>
                    <w:r>
                      <w:rPr>
                        <w:rFonts w:eastAsia="MS Mincho"/>
                        <w:color w:val="000000"/>
                        <w:kern w:val="2"/>
                        <w:sz w:val="20"/>
                      </w:rPr>
                      <w:t>P-16-03</w:t>
                    </w:r>
                  </w:p>
                </w:tc>
                <w:tc>
                  <w:tcPr>
                    <w:tcW w:w="4111" w:type="dxa"/>
                    <w:tcBorders>
                      <w:top w:val="nil"/>
                      <w:left w:val="nil"/>
                      <w:bottom w:val="nil"/>
                      <w:right w:val="single" w:sz="4" w:space="0" w:color="auto"/>
                    </w:tcBorders>
                    <w:shd w:val="clear" w:color="000000" w:fill="FFD966"/>
                    <w:vAlign w:val="center"/>
                  </w:tcPr>
                  <w:p>
                    <w:pPr>
                      <w:rPr>
                        <w:sz w:val="20"/>
                      </w:rPr>
                    </w:pPr>
                    <w:r>
                      <w:rPr>
                        <w:rFonts w:eastAsia="MS Mincho"/>
                        <w:color w:val="000000"/>
                        <w:kern w:val="2"/>
                        <w:sz w:val="20"/>
                      </w:rPr>
                      <w:t>Demografinės senatvės koeficientas (asm.)</w:t>
                    </w:r>
                  </w:p>
                </w:tc>
                <w:tc>
                  <w:tcPr>
                    <w:tcW w:w="1134" w:type="dxa"/>
                    <w:tcBorders>
                      <w:top w:val="nil"/>
                      <w:left w:val="single" w:sz="4" w:space="0" w:color="auto"/>
                      <w:bottom w:val="nil"/>
                      <w:right w:val="single" w:sz="4" w:space="0" w:color="auto"/>
                    </w:tcBorders>
                    <w:shd w:val="clear" w:color="000000" w:fill="FFD966"/>
                    <w:noWrap/>
                    <w:vAlign w:val="center"/>
                  </w:tcPr>
                  <w:p>
                    <w:pPr>
                      <w:jc w:val="center"/>
                      <w:rPr>
                        <w:sz w:val="20"/>
                      </w:rPr>
                    </w:pPr>
                    <w:r>
                      <w:rPr>
                        <w:rFonts w:eastAsia="MS Mincho"/>
                        <w:color w:val="000000"/>
                        <w:kern w:val="2"/>
                        <w:sz w:val="20"/>
                      </w:rPr>
                      <w:t>VDA (SPS)</w:t>
                    </w:r>
                  </w:p>
                </w:tc>
                <w:tc>
                  <w:tcPr>
                    <w:tcW w:w="1134" w:type="dxa"/>
                    <w:tcBorders>
                      <w:top w:val="nil"/>
                      <w:left w:val="nil"/>
                      <w:bottom w:val="nil"/>
                      <w:right w:val="single" w:sz="4" w:space="0" w:color="auto"/>
                    </w:tcBorders>
                    <w:shd w:val="clear" w:color="000000" w:fill="FFD966"/>
                    <w:noWrap/>
                    <w:vAlign w:val="center"/>
                  </w:tcPr>
                  <w:p>
                    <w:pPr>
                      <w:jc w:val="center"/>
                      <w:rPr>
                        <w:sz w:val="20"/>
                      </w:rPr>
                    </w:pPr>
                    <w:r>
                      <w:rPr>
                        <w:rFonts w:eastAsia="MS Mincho"/>
                        <w:color w:val="000000"/>
                        <w:kern w:val="2"/>
                        <w:sz w:val="20"/>
                      </w:rPr>
                      <w:t>138 (2023)</w:t>
                    </w:r>
                  </w:p>
                </w:tc>
                <w:tc>
                  <w:tcPr>
                    <w:tcW w:w="1134" w:type="dxa"/>
                    <w:tcBorders>
                      <w:top w:val="nil"/>
                      <w:left w:val="nil"/>
                      <w:bottom w:val="nil"/>
                      <w:right w:val="single" w:sz="8" w:space="0" w:color="auto"/>
                    </w:tcBorders>
                    <w:shd w:val="clear" w:color="000000" w:fill="FFD966"/>
                    <w:noWrap/>
                    <w:vAlign w:val="center"/>
                  </w:tcPr>
                  <w:p>
                    <w:pPr>
                      <w:jc w:val="center"/>
                      <w:rPr>
                        <w:sz w:val="20"/>
                      </w:rPr>
                    </w:pPr>
                    <w:r>
                      <w:rPr>
                        <w:rFonts w:eastAsia="MS Mincho"/>
                        <w:kern w:val="2"/>
                        <w:sz w:val="20"/>
                      </w:rPr>
                      <w:t>141 (2033)</w:t>
                    </w:r>
                  </w:p>
                </w:tc>
              </w:tr>
              <w:tr>
                <w:trPr>
                  <w:trHeight w:val="700"/>
                  <w:jc w:val="center"/>
                </w:trPr>
                <w:tc>
                  <w:tcPr>
                    <w:tcW w:w="988" w:type="dxa"/>
                    <w:shd w:val="clear" w:color="auto" w:fill="FCE4D6"/>
                    <w:noWrap/>
                    <w:vAlign w:val="center"/>
                    <w:hideMark/>
                  </w:tcPr>
                  <w:p>
                    <w:pPr>
                      <w:rPr>
                        <w:b/>
                        <w:bCs/>
                        <w:sz w:val="20"/>
                      </w:rPr>
                    </w:pPr>
                    <w:r>
                      <w:rPr>
                        <w:b/>
                        <w:bCs/>
                        <w:sz w:val="20"/>
                      </w:rPr>
                      <w:t>16-01</w:t>
                    </w:r>
                  </w:p>
                </w:tc>
                <w:tc>
                  <w:tcPr>
                    <w:tcW w:w="2126" w:type="dxa"/>
                    <w:shd w:val="clear" w:color="auto" w:fill="FCE4D6"/>
                    <w:vAlign w:val="center"/>
                    <w:hideMark/>
                  </w:tcPr>
                  <w:p>
                    <w:pPr>
                      <w:rPr>
                        <w:b/>
                        <w:bCs/>
                        <w:sz w:val="20"/>
                      </w:rPr>
                    </w:pPr>
                    <w:r>
                      <w:rPr>
                        <w:b/>
                        <w:bCs/>
                        <w:sz w:val="20"/>
                      </w:rPr>
                      <w:t>Užtikrinti nuoseklų ir efektyvų socialinių paslaugų teikimą</w:t>
                    </w:r>
                  </w:p>
                </w:tc>
                <w:tc>
                  <w:tcPr>
                    <w:tcW w:w="850" w:type="dxa"/>
                    <w:shd w:val="clear" w:color="auto" w:fill="FCE4D6"/>
                    <w:noWrap/>
                    <w:vAlign w:val="center"/>
                    <w:hideMark/>
                  </w:tcPr>
                  <w:p>
                    <w:pPr>
                      <w:jc w:val="center"/>
                      <w:rPr>
                        <w:sz w:val="20"/>
                      </w:rPr>
                    </w:pPr>
                    <w:r>
                      <w:rPr>
                        <w:sz w:val="20"/>
                      </w:rPr>
                      <w:t>SPS</w:t>
                    </w:r>
                  </w:p>
                </w:tc>
                <w:tc>
                  <w:tcPr>
                    <w:tcW w:w="709" w:type="dxa"/>
                    <w:shd w:val="clear" w:color="auto" w:fill="FCE4D6"/>
                    <w:noWrap/>
                    <w:vAlign w:val="center"/>
                    <w:hideMark/>
                  </w:tcPr>
                  <w:p>
                    <w:pPr>
                      <w:jc w:val="center"/>
                      <w:rPr>
                        <w:sz w:val="20"/>
                      </w:rPr>
                    </w:pPr>
                    <w:r>
                      <w:rPr>
                        <w:sz w:val="20"/>
                      </w:rPr>
                      <w:t>2025</w:t>
                    </w:r>
                  </w:p>
                </w:tc>
                <w:tc>
                  <w:tcPr>
                    <w:tcW w:w="709" w:type="dxa"/>
                    <w:shd w:val="clear" w:color="auto" w:fill="FCE4D6"/>
                    <w:noWrap/>
                    <w:vAlign w:val="center"/>
                    <w:hideMark/>
                  </w:tcPr>
                  <w:p>
                    <w:pPr>
                      <w:jc w:val="center"/>
                      <w:rPr>
                        <w:sz w:val="20"/>
                      </w:rPr>
                    </w:pPr>
                    <w:r>
                      <w:rPr>
                        <w:sz w:val="20"/>
                      </w:rPr>
                      <w:t>2033</w:t>
                    </w:r>
                  </w:p>
                </w:tc>
                <w:tc>
                  <w:tcPr>
                    <w:tcW w:w="1417" w:type="dxa"/>
                    <w:tcBorders>
                      <w:top w:val="single" w:sz="4" w:space="0" w:color="auto"/>
                    </w:tcBorders>
                    <w:shd w:val="clear" w:color="auto" w:fill="FCE4D6"/>
                    <w:noWrap/>
                    <w:vAlign w:val="center"/>
                    <w:hideMark/>
                  </w:tcPr>
                  <w:p>
                    <w:pPr>
                      <w:rPr>
                        <w:sz w:val="20"/>
                      </w:rPr>
                    </w:pPr>
                    <w:r>
                      <w:rPr>
                        <w:sz w:val="20"/>
                      </w:rPr>
                      <w:t>R-16-01-01</w:t>
                    </w:r>
                  </w:p>
                </w:tc>
                <w:tc>
                  <w:tcPr>
                    <w:tcW w:w="4111" w:type="dxa"/>
                    <w:shd w:val="clear" w:color="auto" w:fill="FCE4D6"/>
                    <w:vAlign w:val="center"/>
                    <w:hideMark/>
                  </w:tcPr>
                  <w:p>
                    <w:pPr>
                      <w:rPr>
                        <w:sz w:val="20"/>
                      </w:rPr>
                    </w:pPr>
                    <w:r>
                      <w:rPr>
                        <w:sz w:val="20"/>
                      </w:rPr>
                      <w:t>Teikiamų socialinių paslaugų rūšių (bendrųjų socialinių paslaugų, socialinės priežiūros paslaugų, socialinės globos paslaugų) skaičius (vnt. per metus)</w:t>
                    </w:r>
                  </w:p>
                </w:tc>
                <w:tc>
                  <w:tcPr>
                    <w:tcW w:w="1134" w:type="dxa"/>
                    <w:shd w:val="clear" w:color="auto" w:fill="FCE4D6"/>
                    <w:noWrap/>
                    <w:vAlign w:val="center"/>
                    <w:hideMark/>
                  </w:tcPr>
                  <w:p>
                    <w:pPr>
                      <w:jc w:val="center"/>
                      <w:rPr>
                        <w:sz w:val="20"/>
                      </w:rPr>
                    </w:pPr>
                    <w:r>
                      <w:rPr>
                        <w:sz w:val="20"/>
                      </w:rPr>
                      <w:t>ŠMSA (SPS)</w:t>
                    </w:r>
                  </w:p>
                </w:tc>
                <w:tc>
                  <w:tcPr>
                    <w:tcW w:w="1134" w:type="dxa"/>
                    <w:shd w:val="clear" w:color="auto" w:fill="FCE4D6"/>
                    <w:noWrap/>
                    <w:vAlign w:val="center"/>
                    <w:hideMark/>
                  </w:tcPr>
                  <w:p>
                    <w:pPr>
                      <w:jc w:val="center"/>
                      <w:rPr>
                        <w:sz w:val="20"/>
                      </w:rPr>
                    </w:pPr>
                    <w:r>
                      <w:rPr>
                        <w:sz w:val="20"/>
                      </w:rPr>
                      <w:t>20 (2023)</w:t>
                    </w:r>
                  </w:p>
                </w:tc>
                <w:tc>
                  <w:tcPr>
                    <w:tcW w:w="1134" w:type="dxa"/>
                    <w:shd w:val="clear" w:color="auto" w:fill="FCE4D6"/>
                    <w:noWrap/>
                    <w:vAlign w:val="center"/>
                    <w:hideMark/>
                  </w:tcPr>
                  <w:p>
                    <w:pPr>
                      <w:jc w:val="center"/>
                      <w:rPr>
                        <w:sz w:val="20"/>
                      </w:rPr>
                    </w:pPr>
                    <w:r>
                      <w:rPr>
                        <w:sz w:val="20"/>
                      </w:rPr>
                      <w:t>25 (2033)</w:t>
                    </w:r>
                  </w:p>
                </w:tc>
              </w:tr>
              <w:tr>
                <w:trPr>
                  <w:trHeight w:val="693"/>
                  <w:jc w:val="center"/>
                </w:trPr>
                <w:tc>
                  <w:tcPr>
                    <w:tcW w:w="988" w:type="dxa"/>
                    <w:vMerge w:val="restart"/>
                    <w:noWrap/>
                    <w:vAlign w:val="center"/>
                    <w:hideMark/>
                  </w:tcPr>
                  <w:p>
                    <w:pPr>
                      <w:rPr>
                        <w:sz w:val="20"/>
                      </w:rPr>
                    </w:pPr>
                    <w:r>
                      <w:rPr>
                        <w:sz w:val="20"/>
                      </w:rPr>
                      <w:t>16-01-01</w:t>
                    </w:r>
                  </w:p>
                </w:tc>
                <w:tc>
                  <w:tcPr>
                    <w:tcW w:w="2126" w:type="dxa"/>
                    <w:vMerge w:val="restart"/>
                    <w:vAlign w:val="center"/>
                    <w:hideMark/>
                  </w:tcPr>
                  <w:p>
                    <w:pPr>
                      <w:rPr>
                        <w:sz w:val="20"/>
                      </w:rPr>
                    </w:pPr>
                    <w:r>
                      <w:rPr>
                        <w:sz w:val="20"/>
                      </w:rPr>
                      <w:t>Skatinti NVO ir privačių tiekėjų įsitraukimą į socialinių paslaugų teikimą ir stiprinti jų kompetencijas</w:t>
                    </w:r>
                  </w:p>
                </w:tc>
                <w:tc>
                  <w:tcPr>
                    <w:tcW w:w="850" w:type="dxa"/>
                    <w:vMerge w:val="restart"/>
                    <w:noWrap/>
                    <w:vAlign w:val="center"/>
                    <w:hideMark/>
                  </w:tcPr>
                  <w:p>
                    <w:pPr>
                      <w:jc w:val="center"/>
                      <w:rPr>
                        <w:sz w:val="20"/>
                      </w:rPr>
                    </w:pPr>
                    <w:r>
                      <w:rPr>
                        <w:sz w:val="20"/>
                      </w:rPr>
                      <w:t>SPS</w:t>
                    </w:r>
                  </w:p>
                </w:tc>
                <w:tc>
                  <w:tcPr>
                    <w:tcW w:w="709" w:type="dxa"/>
                    <w:vMerge w:val="restart"/>
                    <w:noWrap/>
                    <w:vAlign w:val="center"/>
                    <w:hideMark/>
                  </w:tcPr>
                  <w:p>
                    <w:pPr>
                      <w:jc w:val="center"/>
                      <w:rPr>
                        <w:sz w:val="20"/>
                      </w:rPr>
                    </w:pPr>
                    <w:r>
                      <w:rPr>
                        <w:sz w:val="20"/>
                      </w:rPr>
                      <w:t>2025</w:t>
                    </w:r>
                  </w:p>
                </w:tc>
                <w:tc>
                  <w:tcPr>
                    <w:tcW w:w="709" w:type="dxa"/>
                    <w:vMerge w:val="restart"/>
                    <w:noWrap/>
                    <w:vAlign w:val="center"/>
                    <w:hideMark/>
                  </w:tcPr>
                  <w:p>
                    <w:pPr>
                      <w:jc w:val="center"/>
                      <w:rPr>
                        <w:sz w:val="20"/>
                      </w:rPr>
                    </w:pPr>
                    <w:r>
                      <w:rPr>
                        <w:sz w:val="20"/>
                      </w:rPr>
                      <w:t>2033</w:t>
                    </w:r>
                  </w:p>
                </w:tc>
                <w:tc>
                  <w:tcPr>
                    <w:tcW w:w="1417" w:type="dxa"/>
                    <w:noWrap/>
                    <w:vAlign w:val="center"/>
                    <w:hideMark/>
                  </w:tcPr>
                  <w:p>
                    <w:pPr>
                      <w:rPr>
                        <w:sz w:val="20"/>
                      </w:rPr>
                    </w:pPr>
                    <w:r>
                      <w:rPr>
                        <w:sz w:val="20"/>
                      </w:rPr>
                      <w:t>P-16-01-01-01</w:t>
                    </w:r>
                  </w:p>
                </w:tc>
                <w:tc>
                  <w:tcPr>
                    <w:tcW w:w="4111" w:type="dxa"/>
                    <w:vAlign w:val="center"/>
                    <w:hideMark/>
                  </w:tcPr>
                  <w:p>
                    <w:pPr>
                      <w:rPr>
                        <w:sz w:val="20"/>
                      </w:rPr>
                    </w:pPr>
                    <w:r>
                      <w:rPr>
                        <w:sz w:val="20"/>
                      </w:rPr>
                      <w:t>Asmenų, gavusių socialines paslaugas ne valstybiniame / savivaldybiniame sektoriuje, dalis nuo visų gavusių šias paslaugas (proc.)</w:t>
                    </w:r>
                  </w:p>
                </w:tc>
                <w:tc>
                  <w:tcPr>
                    <w:tcW w:w="1134" w:type="dxa"/>
                    <w:noWrap/>
                    <w:vAlign w:val="center"/>
                    <w:hideMark/>
                  </w:tcPr>
                  <w:p>
                    <w:pPr>
                      <w:jc w:val="center"/>
                      <w:rPr>
                        <w:sz w:val="20"/>
                      </w:rPr>
                    </w:pPr>
                    <w:r>
                      <w:rPr>
                        <w:sz w:val="20"/>
                      </w:rPr>
                      <w:t>SPS</w:t>
                    </w:r>
                  </w:p>
                </w:tc>
                <w:tc>
                  <w:tcPr>
                    <w:tcW w:w="1134" w:type="dxa"/>
                    <w:noWrap/>
                    <w:vAlign w:val="center"/>
                    <w:hideMark/>
                  </w:tcPr>
                  <w:p>
                    <w:pPr>
                      <w:jc w:val="center"/>
                      <w:rPr>
                        <w:sz w:val="20"/>
                      </w:rPr>
                    </w:pPr>
                    <w:r>
                      <w:rPr>
                        <w:sz w:val="20"/>
                      </w:rPr>
                      <w:t>71 (2023)</w:t>
                    </w:r>
                  </w:p>
                </w:tc>
                <w:tc>
                  <w:tcPr>
                    <w:tcW w:w="1134" w:type="dxa"/>
                    <w:noWrap/>
                    <w:vAlign w:val="center"/>
                    <w:hideMark/>
                  </w:tcPr>
                  <w:p>
                    <w:pPr>
                      <w:jc w:val="center"/>
                      <w:rPr>
                        <w:sz w:val="20"/>
                      </w:rPr>
                    </w:pPr>
                    <w:r>
                      <w:rPr>
                        <w:sz w:val="20"/>
                      </w:rPr>
                      <w:t>80 (2033)</w:t>
                    </w:r>
                  </w:p>
                </w:tc>
              </w:tr>
              <w:tr>
                <w:trPr>
                  <w:trHeight w:val="1108"/>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jc w:val="center"/>
                      <w:rPr>
                        <w:sz w:val="20"/>
                      </w:rPr>
                    </w:pPr>
                  </w:p>
                </w:tc>
                <w:tc>
                  <w:tcPr>
                    <w:tcW w:w="709" w:type="dxa"/>
                    <w:vMerge/>
                    <w:vAlign w:val="center"/>
                    <w:hideMark/>
                  </w:tcPr>
                  <w:p>
                    <w:pPr>
                      <w:jc w:val="center"/>
                      <w:rPr>
                        <w:sz w:val="20"/>
                      </w:rPr>
                    </w:pPr>
                  </w:p>
                </w:tc>
                <w:tc>
                  <w:tcPr>
                    <w:tcW w:w="709" w:type="dxa"/>
                    <w:vMerge/>
                    <w:vAlign w:val="center"/>
                    <w:hideMark/>
                  </w:tcPr>
                  <w:p>
                    <w:pPr>
                      <w:jc w:val="center"/>
                      <w:rPr>
                        <w:sz w:val="20"/>
                      </w:rPr>
                    </w:pPr>
                  </w:p>
                </w:tc>
                <w:tc>
                  <w:tcPr>
                    <w:tcW w:w="1417" w:type="dxa"/>
                    <w:noWrap/>
                    <w:vAlign w:val="center"/>
                    <w:hideMark/>
                  </w:tcPr>
                  <w:p>
                    <w:pPr>
                      <w:rPr>
                        <w:sz w:val="20"/>
                      </w:rPr>
                    </w:pPr>
                    <w:r>
                      <w:rPr>
                        <w:sz w:val="20"/>
                      </w:rPr>
                      <w:t>P-16-01-01-02</w:t>
                    </w:r>
                  </w:p>
                </w:tc>
                <w:tc>
                  <w:tcPr>
                    <w:tcW w:w="4111" w:type="dxa"/>
                    <w:vAlign w:val="center"/>
                    <w:hideMark/>
                  </w:tcPr>
                  <w:p>
                    <w:pPr>
                      <w:rPr>
                        <w:sz w:val="20"/>
                      </w:rPr>
                    </w:pPr>
                    <w:r>
                      <w:rPr>
                        <w:sz w:val="20"/>
                      </w:rPr>
                      <w:t>Finansavimo sutarčių, dėl socialinių paslaugų teikimo su akredituotas socialines paslaugas teikiančiomis ar socialinės globos licencijas turinčiomis NVO ir privačiais teikėjais, dalis nuo visų sudarytų finansavimo sutarčių (proc.)</w:t>
                    </w:r>
                  </w:p>
                </w:tc>
                <w:tc>
                  <w:tcPr>
                    <w:tcW w:w="1134" w:type="dxa"/>
                    <w:noWrap/>
                    <w:vAlign w:val="center"/>
                    <w:hideMark/>
                  </w:tcPr>
                  <w:p>
                    <w:pPr>
                      <w:jc w:val="center"/>
                      <w:rPr>
                        <w:sz w:val="20"/>
                      </w:rPr>
                    </w:pPr>
                    <w:r>
                      <w:rPr>
                        <w:sz w:val="20"/>
                      </w:rPr>
                      <w:t>SPS</w:t>
                    </w:r>
                  </w:p>
                </w:tc>
                <w:tc>
                  <w:tcPr>
                    <w:tcW w:w="1134" w:type="dxa"/>
                    <w:noWrap/>
                    <w:vAlign w:val="center"/>
                    <w:hideMark/>
                  </w:tcPr>
                  <w:p>
                    <w:pPr>
                      <w:jc w:val="center"/>
                      <w:rPr>
                        <w:sz w:val="20"/>
                      </w:rPr>
                    </w:pPr>
                    <w:r>
                      <w:rPr>
                        <w:sz w:val="20"/>
                      </w:rPr>
                      <w:t>74 (2023)</w:t>
                    </w:r>
                  </w:p>
                </w:tc>
                <w:tc>
                  <w:tcPr>
                    <w:tcW w:w="1134" w:type="dxa"/>
                    <w:noWrap/>
                    <w:vAlign w:val="center"/>
                    <w:hideMark/>
                  </w:tcPr>
                  <w:p>
                    <w:pPr>
                      <w:jc w:val="center"/>
                      <w:rPr>
                        <w:sz w:val="20"/>
                      </w:rPr>
                    </w:pPr>
                    <w:r>
                      <w:rPr>
                        <w:sz w:val="20"/>
                      </w:rPr>
                      <w:t>82 (2033)</w:t>
                    </w:r>
                  </w:p>
                </w:tc>
              </w:tr>
              <w:tr>
                <w:trPr>
                  <w:trHeight w:val="520"/>
                  <w:jc w:val="center"/>
                </w:trPr>
                <w:tc>
                  <w:tcPr>
                    <w:tcW w:w="988" w:type="dxa"/>
                    <w:vMerge w:val="restart"/>
                    <w:noWrap/>
                    <w:vAlign w:val="center"/>
                    <w:hideMark/>
                  </w:tcPr>
                  <w:p>
                    <w:pPr>
                      <w:rPr>
                        <w:sz w:val="20"/>
                      </w:rPr>
                    </w:pPr>
                    <w:r>
                      <w:rPr>
                        <w:sz w:val="20"/>
                      </w:rPr>
                      <w:t>16-01-02</w:t>
                    </w:r>
                  </w:p>
                </w:tc>
                <w:tc>
                  <w:tcPr>
                    <w:tcW w:w="2126" w:type="dxa"/>
                    <w:vMerge w:val="restart"/>
                    <w:vAlign w:val="center"/>
                    <w:hideMark/>
                  </w:tcPr>
                  <w:p>
                    <w:pPr>
                      <w:rPr>
                        <w:sz w:val="20"/>
                      </w:rPr>
                    </w:pPr>
                    <w:r>
                      <w:rPr>
                        <w:sz w:val="20"/>
                      </w:rPr>
                      <w:t>Didinti socialinės srities specialistų teikiamų paslaugų prieinamumą</w:t>
                    </w:r>
                  </w:p>
                </w:tc>
                <w:tc>
                  <w:tcPr>
                    <w:tcW w:w="850" w:type="dxa"/>
                    <w:vMerge w:val="restart"/>
                    <w:noWrap/>
                    <w:vAlign w:val="center"/>
                    <w:hideMark/>
                  </w:tcPr>
                  <w:p>
                    <w:pPr>
                      <w:jc w:val="center"/>
                      <w:rPr>
                        <w:sz w:val="20"/>
                      </w:rPr>
                    </w:pPr>
                    <w:r>
                      <w:rPr>
                        <w:sz w:val="20"/>
                      </w:rPr>
                      <w:t>SPS</w:t>
                    </w:r>
                  </w:p>
                </w:tc>
                <w:tc>
                  <w:tcPr>
                    <w:tcW w:w="709" w:type="dxa"/>
                    <w:vMerge w:val="restart"/>
                    <w:noWrap/>
                    <w:vAlign w:val="center"/>
                    <w:hideMark/>
                  </w:tcPr>
                  <w:p>
                    <w:pPr>
                      <w:jc w:val="center"/>
                      <w:rPr>
                        <w:sz w:val="20"/>
                      </w:rPr>
                    </w:pPr>
                    <w:r>
                      <w:rPr>
                        <w:sz w:val="20"/>
                      </w:rPr>
                      <w:t>2025</w:t>
                    </w:r>
                  </w:p>
                </w:tc>
                <w:tc>
                  <w:tcPr>
                    <w:tcW w:w="709" w:type="dxa"/>
                    <w:vMerge w:val="restart"/>
                    <w:noWrap/>
                    <w:vAlign w:val="center"/>
                    <w:hideMark/>
                  </w:tcPr>
                  <w:p>
                    <w:pPr>
                      <w:jc w:val="center"/>
                      <w:rPr>
                        <w:sz w:val="20"/>
                      </w:rPr>
                    </w:pPr>
                    <w:r>
                      <w:rPr>
                        <w:sz w:val="20"/>
                      </w:rPr>
                      <w:t>2033</w:t>
                    </w:r>
                  </w:p>
                </w:tc>
                <w:tc>
                  <w:tcPr>
                    <w:tcW w:w="1417" w:type="dxa"/>
                    <w:noWrap/>
                    <w:vAlign w:val="center"/>
                    <w:hideMark/>
                  </w:tcPr>
                  <w:p>
                    <w:pPr>
                      <w:rPr>
                        <w:sz w:val="20"/>
                      </w:rPr>
                    </w:pPr>
                    <w:r>
                      <w:rPr>
                        <w:sz w:val="20"/>
                      </w:rPr>
                      <w:t>P-16-01-02-01</w:t>
                    </w:r>
                  </w:p>
                </w:tc>
                <w:tc>
                  <w:tcPr>
                    <w:tcW w:w="4111" w:type="dxa"/>
                    <w:vAlign w:val="center"/>
                    <w:hideMark/>
                  </w:tcPr>
                  <w:p>
                    <w:pPr>
                      <w:rPr>
                        <w:sz w:val="20"/>
                      </w:rPr>
                    </w:pPr>
                    <w:r>
                      <w:rPr>
                        <w:sz w:val="20"/>
                      </w:rPr>
                      <w:t>Pritrauktų reikiamos kvalifikacijos socialinės srities specialistų skaičius (asm.)</w:t>
                    </w:r>
                  </w:p>
                </w:tc>
                <w:tc>
                  <w:tcPr>
                    <w:tcW w:w="1134" w:type="dxa"/>
                    <w:noWrap/>
                    <w:vAlign w:val="center"/>
                    <w:hideMark/>
                  </w:tcPr>
                  <w:p>
                    <w:pPr>
                      <w:jc w:val="center"/>
                      <w:rPr>
                        <w:sz w:val="20"/>
                      </w:rPr>
                    </w:pPr>
                    <w:r>
                      <w:rPr>
                        <w:sz w:val="20"/>
                      </w:rPr>
                      <w:t>SPS</w:t>
                    </w:r>
                  </w:p>
                </w:tc>
                <w:tc>
                  <w:tcPr>
                    <w:tcW w:w="1134" w:type="dxa"/>
                    <w:noWrap/>
                    <w:vAlign w:val="center"/>
                    <w:hideMark/>
                  </w:tcPr>
                  <w:p>
                    <w:pPr>
                      <w:jc w:val="center"/>
                      <w:rPr>
                        <w:sz w:val="20"/>
                      </w:rPr>
                    </w:pPr>
                    <w:r>
                      <w:rPr>
                        <w:sz w:val="20"/>
                      </w:rPr>
                      <w:t>3 (2023)</w:t>
                    </w:r>
                  </w:p>
                </w:tc>
                <w:tc>
                  <w:tcPr>
                    <w:tcW w:w="1134" w:type="dxa"/>
                    <w:noWrap/>
                    <w:vAlign w:val="center"/>
                    <w:hideMark/>
                  </w:tcPr>
                  <w:p>
                    <w:pPr>
                      <w:jc w:val="center"/>
                      <w:rPr>
                        <w:sz w:val="20"/>
                      </w:rPr>
                    </w:pPr>
                    <w:r>
                      <w:rPr>
                        <w:sz w:val="20"/>
                      </w:rPr>
                      <w:t>15 (2033)</w:t>
                    </w:r>
                  </w:p>
                </w:tc>
              </w:tr>
              <w:tr>
                <w:trPr>
                  <w:trHeight w:val="743"/>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rPr>
                        <w:sz w:val="20"/>
                      </w:rPr>
                    </w:pPr>
                  </w:p>
                </w:tc>
                <w:tc>
                  <w:tcPr>
                    <w:tcW w:w="709" w:type="dxa"/>
                    <w:vMerge/>
                    <w:vAlign w:val="center"/>
                    <w:hideMark/>
                  </w:tcPr>
                  <w:p>
                    <w:pPr>
                      <w:rPr>
                        <w:sz w:val="20"/>
                      </w:rPr>
                    </w:pPr>
                  </w:p>
                </w:tc>
                <w:tc>
                  <w:tcPr>
                    <w:tcW w:w="709" w:type="dxa"/>
                    <w:vMerge/>
                    <w:vAlign w:val="center"/>
                    <w:hideMark/>
                  </w:tcPr>
                  <w:p>
                    <w:pPr>
                      <w:rPr>
                        <w:sz w:val="20"/>
                      </w:rPr>
                    </w:pPr>
                  </w:p>
                </w:tc>
                <w:tc>
                  <w:tcPr>
                    <w:tcW w:w="1417" w:type="dxa"/>
                    <w:noWrap/>
                    <w:vAlign w:val="center"/>
                    <w:hideMark/>
                  </w:tcPr>
                  <w:p>
                    <w:pPr>
                      <w:rPr>
                        <w:sz w:val="20"/>
                      </w:rPr>
                    </w:pPr>
                    <w:r>
                      <w:rPr>
                        <w:sz w:val="20"/>
                      </w:rPr>
                      <w:t>P-16-01-02-02</w:t>
                    </w:r>
                  </w:p>
                </w:tc>
                <w:tc>
                  <w:tcPr>
                    <w:tcW w:w="4111" w:type="dxa"/>
                    <w:vAlign w:val="center"/>
                    <w:hideMark/>
                  </w:tcPr>
                  <w:p>
                    <w:pPr>
                      <w:rPr>
                        <w:sz w:val="20"/>
                      </w:rPr>
                    </w:pPr>
                    <w:r>
                      <w:rPr>
                        <w:sz w:val="20"/>
                      </w:rPr>
                      <w:t>Partnerysčių ir (ar) bendradarbiavimo sutarčių su socialinės srities specialistus rengiančiomis mokymo įstaigomis skaičius (vnt.)</w:t>
                    </w:r>
                  </w:p>
                </w:tc>
                <w:tc>
                  <w:tcPr>
                    <w:tcW w:w="1134" w:type="dxa"/>
                    <w:noWrap/>
                    <w:vAlign w:val="center"/>
                    <w:hideMark/>
                  </w:tcPr>
                  <w:p>
                    <w:pPr>
                      <w:jc w:val="center"/>
                      <w:rPr>
                        <w:sz w:val="20"/>
                      </w:rPr>
                    </w:pPr>
                    <w:r>
                      <w:rPr>
                        <w:sz w:val="20"/>
                      </w:rPr>
                      <w:t>SPS</w:t>
                    </w:r>
                  </w:p>
                </w:tc>
                <w:tc>
                  <w:tcPr>
                    <w:tcW w:w="1134" w:type="dxa"/>
                    <w:noWrap/>
                    <w:vAlign w:val="center"/>
                    <w:hideMark/>
                  </w:tcPr>
                  <w:p>
                    <w:pPr>
                      <w:jc w:val="center"/>
                      <w:rPr>
                        <w:sz w:val="20"/>
                      </w:rPr>
                    </w:pPr>
                    <w:r>
                      <w:rPr>
                        <w:sz w:val="20"/>
                      </w:rPr>
                      <w:t>2 (2023)</w:t>
                    </w:r>
                  </w:p>
                </w:tc>
                <w:tc>
                  <w:tcPr>
                    <w:tcW w:w="1134" w:type="dxa"/>
                    <w:noWrap/>
                    <w:vAlign w:val="center"/>
                    <w:hideMark/>
                  </w:tcPr>
                  <w:p>
                    <w:pPr>
                      <w:jc w:val="center"/>
                      <w:rPr>
                        <w:sz w:val="20"/>
                      </w:rPr>
                    </w:pPr>
                    <w:r>
                      <w:rPr>
                        <w:sz w:val="20"/>
                      </w:rPr>
                      <w:t>5 (2033)</w:t>
                    </w:r>
                  </w:p>
                </w:tc>
              </w:tr>
              <w:tr>
                <w:trPr>
                  <w:trHeight w:val="500"/>
                  <w:jc w:val="center"/>
                </w:trPr>
                <w:tc>
                  <w:tcPr>
                    <w:tcW w:w="988" w:type="dxa"/>
                    <w:vMerge w:val="restart"/>
                    <w:noWrap/>
                    <w:vAlign w:val="center"/>
                    <w:hideMark/>
                  </w:tcPr>
                  <w:p>
                    <w:pPr>
                      <w:rPr>
                        <w:sz w:val="20"/>
                      </w:rPr>
                    </w:pPr>
                    <w:r>
                      <w:rPr>
                        <w:sz w:val="20"/>
                      </w:rPr>
                      <w:t>16-01-03</w:t>
                    </w:r>
                  </w:p>
                </w:tc>
                <w:tc>
                  <w:tcPr>
                    <w:tcW w:w="2126" w:type="dxa"/>
                    <w:vMerge w:val="restart"/>
                    <w:vAlign w:val="center"/>
                    <w:hideMark/>
                  </w:tcPr>
                  <w:p>
                    <w:pPr>
                      <w:rPr>
                        <w:sz w:val="20"/>
                      </w:rPr>
                    </w:pPr>
                    <w:r>
                      <w:rPr>
                        <w:sz w:val="20"/>
                      </w:rPr>
                      <w:t>Didinti socialinės priežiūros, globos paslaugų plėtrą ir prieinamumą asmenims, turintiems negalią</w:t>
                    </w:r>
                  </w:p>
                </w:tc>
                <w:tc>
                  <w:tcPr>
                    <w:tcW w:w="850" w:type="dxa"/>
                    <w:vMerge w:val="restart"/>
                    <w:noWrap/>
                    <w:vAlign w:val="center"/>
                    <w:hideMark/>
                  </w:tcPr>
                  <w:p>
                    <w:pPr>
                      <w:jc w:val="center"/>
                      <w:rPr>
                        <w:sz w:val="20"/>
                      </w:rPr>
                    </w:pPr>
                    <w:r>
                      <w:rPr>
                        <w:sz w:val="20"/>
                      </w:rPr>
                      <w:t>SPS</w:t>
                    </w:r>
                  </w:p>
                </w:tc>
                <w:tc>
                  <w:tcPr>
                    <w:tcW w:w="709" w:type="dxa"/>
                    <w:vMerge w:val="restart"/>
                    <w:noWrap/>
                    <w:vAlign w:val="center"/>
                    <w:hideMark/>
                  </w:tcPr>
                  <w:p>
                    <w:pPr>
                      <w:jc w:val="center"/>
                      <w:rPr>
                        <w:sz w:val="20"/>
                      </w:rPr>
                    </w:pPr>
                    <w:r>
                      <w:rPr>
                        <w:sz w:val="20"/>
                      </w:rPr>
                      <w:t>2025</w:t>
                    </w:r>
                  </w:p>
                </w:tc>
                <w:tc>
                  <w:tcPr>
                    <w:tcW w:w="709" w:type="dxa"/>
                    <w:vMerge w:val="restart"/>
                    <w:noWrap/>
                    <w:vAlign w:val="center"/>
                    <w:hideMark/>
                  </w:tcPr>
                  <w:p>
                    <w:pPr>
                      <w:jc w:val="center"/>
                      <w:rPr>
                        <w:sz w:val="20"/>
                      </w:rPr>
                    </w:pPr>
                    <w:r>
                      <w:rPr>
                        <w:sz w:val="20"/>
                      </w:rPr>
                      <w:t>2033</w:t>
                    </w:r>
                  </w:p>
                </w:tc>
                <w:tc>
                  <w:tcPr>
                    <w:tcW w:w="1417" w:type="dxa"/>
                    <w:noWrap/>
                    <w:vAlign w:val="center"/>
                    <w:hideMark/>
                  </w:tcPr>
                  <w:p>
                    <w:pPr>
                      <w:rPr>
                        <w:sz w:val="20"/>
                      </w:rPr>
                    </w:pPr>
                    <w:r>
                      <w:rPr>
                        <w:sz w:val="20"/>
                      </w:rPr>
                      <w:t>P-16-01-03-01</w:t>
                    </w:r>
                  </w:p>
                </w:tc>
                <w:tc>
                  <w:tcPr>
                    <w:tcW w:w="4111" w:type="dxa"/>
                    <w:vAlign w:val="center"/>
                    <w:hideMark/>
                  </w:tcPr>
                  <w:p>
                    <w:pPr>
                      <w:rPr>
                        <w:sz w:val="20"/>
                      </w:rPr>
                    </w:pPr>
                    <w:r>
                      <w:rPr>
                        <w:sz w:val="20"/>
                      </w:rPr>
                      <w:t xml:space="preserve">Socialines paslaugas pradėję gauti asmenys (grupinio gyvenimo  namuose / apgyvendinimo apsaugotame būste / socialinėse dirbtuvėse)  (asm.)</w:t>
                    </w:r>
                  </w:p>
                </w:tc>
                <w:tc>
                  <w:tcPr>
                    <w:tcW w:w="1134" w:type="dxa"/>
                    <w:vAlign w:val="center"/>
                    <w:hideMark/>
                  </w:tcPr>
                  <w:p>
                    <w:pPr>
                      <w:jc w:val="center"/>
                      <w:rPr>
                        <w:sz w:val="20"/>
                      </w:rPr>
                    </w:pPr>
                    <w:r>
                      <w:rPr>
                        <w:sz w:val="20"/>
                      </w:rPr>
                      <w:t>SPS</w:t>
                    </w:r>
                  </w:p>
                </w:tc>
                <w:tc>
                  <w:tcPr>
                    <w:tcW w:w="1134" w:type="dxa"/>
                    <w:vAlign w:val="center"/>
                    <w:hideMark/>
                  </w:tcPr>
                  <w:p>
                    <w:pPr>
                      <w:jc w:val="center"/>
                      <w:rPr>
                        <w:sz w:val="20"/>
                      </w:rPr>
                    </w:pPr>
                    <w:r>
                      <w:rPr>
                        <w:sz w:val="20"/>
                      </w:rPr>
                      <w:t>40 (2024)</w:t>
                    </w:r>
                  </w:p>
                </w:tc>
                <w:tc>
                  <w:tcPr>
                    <w:tcW w:w="1134" w:type="dxa"/>
                    <w:noWrap/>
                    <w:vAlign w:val="center"/>
                    <w:hideMark/>
                  </w:tcPr>
                  <w:p>
                    <w:pPr>
                      <w:jc w:val="center"/>
                      <w:rPr>
                        <w:sz w:val="20"/>
                      </w:rPr>
                    </w:pPr>
                    <w:r>
                      <w:rPr>
                        <w:sz w:val="20"/>
                      </w:rPr>
                      <w:t>105 (2033)</w:t>
                    </w:r>
                  </w:p>
                </w:tc>
              </w:tr>
              <w:tr>
                <w:trPr>
                  <w:trHeight w:val="780"/>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rPr>
                        <w:sz w:val="20"/>
                      </w:rPr>
                    </w:pPr>
                  </w:p>
                </w:tc>
                <w:tc>
                  <w:tcPr>
                    <w:tcW w:w="709" w:type="dxa"/>
                    <w:vMerge/>
                    <w:vAlign w:val="center"/>
                    <w:hideMark/>
                  </w:tcPr>
                  <w:p>
                    <w:pPr>
                      <w:rPr>
                        <w:sz w:val="20"/>
                      </w:rPr>
                    </w:pPr>
                  </w:p>
                </w:tc>
                <w:tc>
                  <w:tcPr>
                    <w:tcW w:w="709" w:type="dxa"/>
                    <w:vMerge/>
                    <w:vAlign w:val="center"/>
                    <w:hideMark/>
                  </w:tcPr>
                  <w:p>
                    <w:pPr>
                      <w:rPr>
                        <w:sz w:val="20"/>
                      </w:rPr>
                    </w:pPr>
                  </w:p>
                </w:tc>
                <w:tc>
                  <w:tcPr>
                    <w:tcW w:w="1417" w:type="dxa"/>
                    <w:noWrap/>
                    <w:vAlign w:val="center"/>
                    <w:hideMark/>
                  </w:tcPr>
                  <w:p>
                    <w:pPr>
                      <w:rPr>
                        <w:sz w:val="20"/>
                      </w:rPr>
                    </w:pPr>
                    <w:r>
                      <w:rPr>
                        <w:sz w:val="20"/>
                      </w:rPr>
                      <w:t>P-16-01-03-02</w:t>
                    </w:r>
                  </w:p>
                </w:tc>
                <w:tc>
                  <w:tcPr>
                    <w:tcW w:w="4111" w:type="dxa"/>
                    <w:vAlign w:val="center"/>
                    <w:hideMark/>
                  </w:tcPr>
                  <w:p>
                    <w:pPr>
                      <w:rPr>
                        <w:sz w:val="20"/>
                      </w:rPr>
                    </w:pPr>
                    <w:r>
                      <w:rPr>
                        <w:sz w:val="20"/>
                      </w:rPr>
                      <w:t>Vidutinė laukimo eilėje trukmė nuo apgyvendinimo apsaugotame būste paslaugų paskyrimo iki jos gavimo dienos (d.)</w:t>
                    </w:r>
                  </w:p>
                </w:tc>
                <w:tc>
                  <w:tcPr>
                    <w:tcW w:w="1134" w:type="dxa"/>
                    <w:vAlign w:val="center"/>
                    <w:hideMark/>
                  </w:tcPr>
                  <w:p>
                    <w:pPr>
                      <w:jc w:val="center"/>
                      <w:rPr>
                        <w:sz w:val="20"/>
                      </w:rPr>
                    </w:pPr>
                    <w:r>
                      <w:rPr>
                        <w:sz w:val="20"/>
                      </w:rPr>
                      <w:t>SPS</w:t>
                    </w:r>
                  </w:p>
                </w:tc>
                <w:tc>
                  <w:tcPr>
                    <w:tcW w:w="1134" w:type="dxa"/>
                    <w:vAlign w:val="center"/>
                    <w:hideMark/>
                  </w:tcPr>
                  <w:p>
                    <w:pPr>
                      <w:jc w:val="center"/>
                      <w:rPr>
                        <w:sz w:val="20"/>
                      </w:rPr>
                    </w:pPr>
                    <w:r>
                      <w:rPr>
                        <w:sz w:val="20"/>
                      </w:rPr>
                      <w:t>30 (2023)</w:t>
                    </w:r>
                  </w:p>
                </w:tc>
                <w:tc>
                  <w:tcPr>
                    <w:tcW w:w="1134" w:type="dxa"/>
                    <w:noWrap/>
                    <w:vAlign w:val="center"/>
                    <w:hideMark/>
                  </w:tcPr>
                  <w:p>
                    <w:pPr>
                      <w:jc w:val="center"/>
                      <w:rPr>
                        <w:sz w:val="20"/>
                      </w:rPr>
                    </w:pPr>
                    <w:r>
                      <w:rPr>
                        <w:sz w:val="20"/>
                      </w:rPr>
                      <w:t>5 (2033)</w:t>
                    </w:r>
                  </w:p>
                </w:tc>
              </w:tr>
              <w:tr>
                <w:trPr>
                  <w:trHeight w:val="603"/>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rPr>
                        <w:sz w:val="20"/>
                      </w:rPr>
                    </w:pPr>
                  </w:p>
                </w:tc>
                <w:tc>
                  <w:tcPr>
                    <w:tcW w:w="709" w:type="dxa"/>
                    <w:vMerge/>
                    <w:vAlign w:val="center"/>
                    <w:hideMark/>
                  </w:tcPr>
                  <w:p>
                    <w:pPr>
                      <w:rPr>
                        <w:sz w:val="20"/>
                      </w:rPr>
                    </w:pPr>
                  </w:p>
                </w:tc>
                <w:tc>
                  <w:tcPr>
                    <w:tcW w:w="709" w:type="dxa"/>
                    <w:vMerge/>
                    <w:vAlign w:val="center"/>
                    <w:hideMark/>
                  </w:tcPr>
                  <w:p>
                    <w:pPr>
                      <w:rPr>
                        <w:sz w:val="20"/>
                      </w:rPr>
                    </w:pPr>
                  </w:p>
                </w:tc>
                <w:tc>
                  <w:tcPr>
                    <w:tcW w:w="1417" w:type="dxa"/>
                    <w:noWrap/>
                    <w:vAlign w:val="center"/>
                    <w:hideMark/>
                  </w:tcPr>
                  <w:p>
                    <w:pPr>
                      <w:rPr>
                        <w:sz w:val="20"/>
                      </w:rPr>
                    </w:pPr>
                    <w:r>
                      <w:rPr>
                        <w:sz w:val="20"/>
                      </w:rPr>
                      <w:t>P-16-01-03-03</w:t>
                    </w:r>
                  </w:p>
                </w:tc>
                <w:tc>
                  <w:tcPr>
                    <w:tcW w:w="4111" w:type="dxa"/>
                    <w:vAlign w:val="center"/>
                    <w:hideMark/>
                  </w:tcPr>
                  <w:p>
                    <w:pPr>
                      <w:rPr>
                        <w:sz w:val="20"/>
                      </w:rPr>
                    </w:pPr>
                    <w:r>
                      <w:rPr>
                        <w:sz w:val="20"/>
                      </w:rPr>
                      <w:t>Vidutinė laukimo eilėje trukmė nuo dienos socialinės globos grupinio gyvenimo namuose paskyrimo iki jos gavimo dienos (d.)</w:t>
                    </w:r>
                  </w:p>
                </w:tc>
                <w:tc>
                  <w:tcPr>
                    <w:tcW w:w="1134" w:type="dxa"/>
                    <w:vAlign w:val="center"/>
                    <w:hideMark/>
                  </w:tcPr>
                  <w:p>
                    <w:pPr>
                      <w:jc w:val="center"/>
                      <w:rPr>
                        <w:sz w:val="20"/>
                      </w:rPr>
                    </w:pPr>
                    <w:r>
                      <w:rPr>
                        <w:sz w:val="20"/>
                      </w:rPr>
                      <w:t>SPS</w:t>
                    </w:r>
                  </w:p>
                </w:tc>
                <w:tc>
                  <w:tcPr>
                    <w:tcW w:w="1134" w:type="dxa"/>
                    <w:vAlign w:val="center"/>
                    <w:hideMark/>
                  </w:tcPr>
                  <w:p>
                    <w:pPr>
                      <w:jc w:val="center"/>
                      <w:rPr>
                        <w:sz w:val="20"/>
                      </w:rPr>
                    </w:pPr>
                    <w:r>
                      <w:rPr>
                        <w:sz w:val="20"/>
                      </w:rPr>
                      <w:t>0 (2023)</w:t>
                    </w:r>
                  </w:p>
                </w:tc>
                <w:tc>
                  <w:tcPr>
                    <w:tcW w:w="1134" w:type="dxa"/>
                    <w:noWrap/>
                    <w:vAlign w:val="center"/>
                    <w:hideMark/>
                  </w:tcPr>
                  <w:p>
                    <w:pPr>
                      <w:jc w:val="center"/>
                      <w:rPr>
                        <w:sz w:val="20"/>
                      </w:rPr>
                    </w:pPr>
                    <w:r>
                      <w:rPr>
                        <w:sz w:val="20"/>
                      </w:rPr>
                      <w:t>10 (2033)</w:t>
                    </w:r>
                  </w:p>
                </w:tc>
              </w:tr>
              <w:tr>
                <w:trPr>
                  <w:trHeight w:val="605"/>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rPr>
                        <w:sz w:val="20"/>
                      </w:rPr>
                    </w:pPr>
                  </w:p>
                </w:tc>
                <w:tc>
                  <w:tcPr>
                    <w:tcW w:w="709" w:type="dxa"/>
                    <w:vMerge/>
                    <w:vAlign w:val="center"/>
                    <w:hideMark/>
                  </w:tcPr>
                  <w:p>
                    <w:pPr>
                      <w:rPr>
                        <w:sz w:val="20"/>
                      </w:rPr>
                    </w:pPr>
                  </w:p>
                </w:tc>
                <w:tc>
                  <w:tcPr>
                    <w:tcW w:w="709" w:type="dxa"/>
                    <w:vMerge/>
                    <w:vAlign w:val="center"/>
                    <w:hideMark/>
                  </w:tcPr>
                  <w:p>
                    <w:pPr>
                      <w:rPr>
                        <w:sz w:val="20"/>
                      </w:rPr>
                    </w:pPr>
                  </w:p>
                </w:tc>
                <w:tc>
                  <w:tcPr>
                    <w:tcW w:w="1417" w:type="dxa"/>
                    <w:noWrap/>
                    <w:vAlign w:val="center"/>
                    <w:hideMark/>
                  </w:tcPr>
                  <w:p>
                    <w:pPr>
                      <w:rPr>
                        <w:sz w:val="20"/>
                      </w:rPr>
                    </w:pPr>
                    <w:r>
                      <w:rPr>
                        <w:sz w:val="20"/>
                      </w:rPr>
                      <w:t>P-16-01-03-04</w:t>
                    </w:r>
                  </w:p>
                </w:tc>
                <w:tc>
                  <w:tcPr>
                    <w:tcW w:w="4111" w:type="dxa"/>
                    <w:vAlign w:val="center"/>
                    <w:hideMark/>
                  </w:tcPr>
                  <w:p>
                    <w:pPr>
                      <w:rPr>
                        <w:sz w:val="20"/>
                      </w:rPr>
                    </w:pPr>
                    <w:r>
                      <w:rPr>
                        <w:sz w:val="20"/>
                      </w:rPr>
                      <w:t>Vidutinė laukimo eilėje trukmė nuo socialinių dirbtuvių paslaugos paskyrimo dienos iki jos gavimo dienos (d.)</w:t>
                    </w:r>
                  </w:p>
                </w:tc>
                <w:tc>
                  <w:tcPr>
                    <w:tcW w:w="1134" w:type="dxa"/>
                    <w:vAlign w:val="center"/>
                    <w:hideMark/>
                  </w:tcPr>
                  <w:p>
                    <w:pPr>
                      <w:jc w:val="center"/>
                      <w:rPr>
                        <w:sz w:val="20"/>
                      </w:rPr>
                    </w:pPr>
                    <w:r>
                      <w:rPr>
                        <w:sz w:val="20"/>
                      </w:rPr>
                      <w:t>SPS</w:t>
                    </w:r>
                  </w:p>
                </w:tc>
                <w:tc>
                  <w:tcPr>
                    <w:tcW w:w="1134" w:type="dxa"/>
                    <w:vAlign w:val="center"/>
                    <w:hideMark/>
                  </w:tcPr>
                  <w:p>
                    <w:pPr>
                      <w:jc w:val="center"/>
                      <w:rPr>
                        <w:sz w:val="20"/>
                      </w:rPr>
                    </w:pPr>
                    <w:r>
                      <w:rPr>
                        <w:sz w:val="20"/>
                      </w:rPr>
                      <w:t>30 (2023)</w:t>
                    </w:r>
                  </w:p>
                </w:tc>
                <w:tc>
                  <w:tcPr>
                    <w:tcW w:w="1134" w:type="dxa"/>
                    <w:noWrap/>
                    <w:vAlign w:val="center"/>
                    <w:hideMark/>
                  </w:tcPr>
                  <w:p>
                    <w:pPr>
                      <w:jc w:val="center"/>
                      <w:rPr>
                        <w:sz w:val="20"/>
                      </w:rPr>
                    </w:pPr>
                    <w:r>
                      <w:rPr>
                        <w:sz w:val="20"/>
                      </w:rPr>
                      <w:t>10 (2033)</w:t>
                    </w:r>
                  </w:p>
                </w:tc>
              </w:tr>
              <w:tr>
                <w:trPr>
                  <w:trHeight w:val="822"/>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rPr>
                        <w:sz w:val="20"/>
                      </w:rPr>
                    </w:pPr>
                  </w:p>
                </w:tc>
                <w:tc>
                  <w:tcPr>
                    <w:tcW w:w="709" w:type="dxa"/>
                    <w:vMerge/>
                    <w:vAlign w:val="center"/>
                    <w:hideMark/>
                  </w:tcPr>
                  <w:p>
                    <w:pPr>
                      <w:rPr>
                        <w:sz w:val="20"/>
                      </w:rPr>
                    </w:pPr>
                  </w:p>
                </w:tc>
                <w:tc>
                  <w:tcPr>
                    <w:tcW w:w="709" w:type="dxa"/>
                    <w:vMerge/>
                    <w:vAlign w:val="center"/>
                    <w:hideMark/>
                  </w:tcPr>
                  <w:p>
                    <w:pPr>
                      <w:rPr>
                        <w:sz w:val="20"/>
                      </w:rPr>
                    </w:pPr>
                  </w:p>
                </w:tc>
                <w:tc>
                  <w:tcPr>
                    <w:tcW w:w="1417" w:type="dxa"/>
                    <w:noWrap/>
                    <w:vAlign w:val="center"/>
                    <w:hideMark/>
                  </w:tcPr>
                  <w:p>
                    <w:pPr>
                      <w:rPr>
                        <w:sz w:val="20"/>
                      </w:rPr>
                    </w:pPr>
                    <w:r>
                      <w:rPr>
                        <w:sz w:val="20"/>
                      </w:rPr>
                      <w:t>P-16-01-03-05</w:t>
                    </w:r>
                  </w:p>
                </w:tc>
                <w:tc>
                  <w:tcPr>
                    <w:tcW w:w="4111" w:type="dxa"/>
                    <w:vAlign w:val="center"/>
                    <w:hideMark/>
                  </w:tcPr>
                  <w:p>
                    <w:pPr>
                      <w:rPr>
                        <w:sz w:val="20"/>
                      </w:rPr>
                    </w:pPr>
                    <w:r>
                      <w:rPr>
                        <w:sz w:val="20"/>
                      </w:rPr>
                      <w:t>Patenkintų prašymų apsaugoto būsto, socialinės globos paslaugoms grupinio gyvenimo namuose ir socialinėse dirbtuvėse gauti dalis nuo visų pateiktų prašymų (proc.)</w:t>
                    </w:r>
                  </w:p>
                </w:tc>
                <w:tc>
                  <w:tcPr>
                    <w:tcW w:w="1134" w:type="dxa"/>
                    <w:vAlign w:val="center"/>
                    <w:hideMark/>
                  </w:tcPr>
                  <w:p>
                    <w:pPr>
                      <w:jc w:val="center"/>
                      <w:rPr>
                        <w:sz w:val="20"/>
                      </w:rPr>
                    </w:pPr>
                    <w:r>
                      <w:rPr>
                        <w:sz w:val="20"/>
                      </w:rPr>
                      <w:t>SPS</w:t>
                    </w:r>
                  </w:p>
                </w:tc>
                <w:tc>
                  <w:tcPr>
                    <w:tcW w:w="1134" w:type="dxa"/>
                    <w:vAlign w:val="center"/>
                    <w:hideMark/>
                  </w:tcPr>
                  <w:p>
                    <w:pPr>
                      <w:jc w:val="center"/>
                      <w:rPr>
                        <w:sz w:val="20"/>
                      </w:rPr>
                    </w:pPr>
                    <w:r>
                      <w:rPr>
                        <w:sz w:val="20"/>
                      </w:rPr>
                      <w:t>0 (2023)</w:t>
                    </w:r>
                  </w:p>
                </w:tc>
                <w:tc>
                  <w:tcPr>
                    <w:tcW w:w="1134" w:type="dxa"/>
                    <w:noWrap/>
                    <w:vAlign w:val="center"/>
                    <w:hideMark/>
                  </w:tcPr>
                  <w:p>
                    <w:pPr>
                      <w:jc w:val="center"/>
                      <w:rPr>
                        <w:sz w:val="20"/>
                      </w:rPr>
                    </w:pPr>
                    <w:r>
                      <w:rPr>
                        <w:sz w:val="20"/>
                      </w:rPr>
                      <w:t>100 (2033)</w:t>
                    </w:r>
                  </w:p>
                </w:tc>
              </w:tr>
              <w:tr>
                <w:trPr>
                  <w:trHeight w:val="941"/>
                  <w:jc w:val="center"/>
                </w:trPr>
                <w:tc>
                  <w:tcPr>
                    <w:tcW w:w="988" w:type="dxa"/>
                    <w:vMerge w:val="restart"/>
                    <w:noWrap/>
                    <w:vAlign w:val="center"/>
                    <w:hideMark/>
                  </w:tcPr>
                  <w:p>
                    <w:pPr>
                      <w:rPr>
                        <w:sz w:val="20"/>
                      </w:rPr>
                    </w:pPr>
                    <w:r>
                      <w:rPr>
                        <w:sz w:val="20"/>
                      </w:rPr>
                      <w:t>16-01-04</w:t>
                    </w:r>
                  </w:p>
                </w:tc>
                <w:tc>
                  <w:tcPr>
                    <w:tcW w:w="2126" w:type="dxa"/>
                    <w:vMerge w:val="restart"/>
                    <w:vAlign w:val="center"/>
                    <w:hideMark/>
                  </w:tcPr>
                  <w:p>
                    <w:pPr>
                      <w:rPr>
                        <w:sz w:val="20"/>
                      </w:rPr>
                    </w:pPr>
                    <w:r>
                      <w:rPr>
                        <w:sz w:val="20"/>
                      </w:rPr>
                      <w:t>Plėtoti prevencines socialines paslaugas, siekiant padėti asmenims (šeimoms) išvengti galimų socialinių problemų ir / ar socialinės rizikos atsiradimo ir sudaryti sąlygas asmeniui (šeimai) stiprinti gebėjimus savarankiškai spręsti socialines problemas</w:t>
                    </w:r>
                  </w:p>
                </w:tc>
                <w:tc>
                  <w:tcPr>
                    <w:tcW w:w="850" w:type="dxa"/>
                    <w:vMerge w:val="restart"/>
                    <w:noWrap/>
                    <w:vAlign w:val="center"/>
                    <w:hideMark/>
                  </w:tcPr>
                  <w:p>
                    <w:pPr>
                      <w:jc w:val="center"/>
                      <w:rPr>
                        <w:sz w:val="20"/>
                      </w:rPr>
                    </w:pPr>
                    <w:r>
                      <w:rPr>
                        <w:sz w:val="20"/>
                      </w:rPr>
                      <w:t>SPS</w:t>
                    </w:r>
                  </w:p>
                </w:tc>
                <w:tc>
                  <w:tcPr>
                    <w:tcW w:w="709" w:type="dxa"/>
                    <w:vMerge w:val="restart"/>
                    <w:noWrap/>
                    <w:vAlign w:val="center"/>
                    <w:hideMark/>
                  </w:tcPr>
                  <w:p>
                    <w:pPr>
                      <w:jc w:val="center"/>
                      <w:rPr>
                        <w:sz w:val="20"/>
                      </w:rPr>
                    </w:pPr>
                    <w:r>
                      <w:rPr>
                        <w:sz w:val="20"/>
                      </w:rPr>
                      <w:t>2025</w:t>
                    </w:r>
                  </w:p>
                </w:tc>
                <w:tc>
                  <w:tcPr>
                    <w:tcW w:w="709" w:type="dxa"/>
                    <w:vMerge w:val="restart"/>
                    <w:noWrap/>
                    <w:vAlign w:val="center"/>
                    <w:hideMark/>
                  </w:tcPr>
                  <w:p>
                    <w:pPr>
                      <w:jc w:val="center"/>
                      <w:rPr>
                        <w:sz w:val="20"/>
                      </w:rPr>
                    </w:pPr>
                    <w:r>
                      <w:rPr>
                        <w:sz w:val="20"/>
                      </w:rPr>
                      <w:t>2033</w:t>
                    </w:r>
                  </w:p>
                </w:tc>
                <w:tc>
                  <w:tcPr>
                    <w:tcW w:w="1417" w:type="dxa"/>
                    <w:noWrap/>
                    <w:vAlign w:val="center"/>
                    <w:hideMark/>
                  </w:tcPr>
                  <w:p>
                    <w:pPr>
                      <w:rPr>
                        <w:sz w:val="20"/>
                      </w:rPr>
                    </w:pPr>
                    <w:r>
                      <w:rPr>
                        <w:sz w:val="20"/>
                      </w:rPr>
                      <w:t>P-16-01-04-01</w:t>
                    </w:r>
                  </w:p>
                </w:tc>
                <w:tc>
                  <w:tcPr>
                    <w:tcW w:w="4111" w:type="dxa"/>
                    <w:vAlign w:val="center"/>
                    <w:hideMark/>
                  </w:tcPr>
                  <w:p>
                    <w:pPr>
                      <w:rPr>
                        <w:sz w:val="20"/>
                      </w:rPr>
                    </w:pPr>
                    <w:r>
                      <w:rPr>
                        <w:sz w:val="20"/>
                      </w:rPr>
                      <w:t>Į darbo rinką integruotų darbo rinkai besirengiančio asmens statusą turinčių asmenų (ilgalaikių bedarbių) dalis nuo visų darbo rinkai besirengiančių ilgalaikių bedarbių (proc.)</w:t>
                    </w:r>
                  </w:p>
                </w:tc>
                <w:tc>
                  <w:tcPr>
                    <w:tcW w:w="1134" w:type="dxa"/>
                    <w:vAlign w:val="center"/>
                    <w:hideMark/>
                  </w:tcPr>
                  <w:p>
                    <w:pPr>
                      <w:jc w:val="center"/>
                      <w:rPr>
                        <w:sz w:val="20"/>
                      </w:rPr>
                    </w:pPr>
                    <w:r>
                      <w:rPr>
                        <w:sz w:val="20"/>
                      </w:rPr>
                      <w:t>SPS</w:t>
                    </w:r>
                  </w:p>
                </w:tc>
                <w:tc>
                  <w:tcPr>
                    <w:tcW w:w="1134" w:type="dxa"/>
                    <w:vAlign w:val="center"/>
                    <w:hideMark/>
                  </w:tcPr>
                  <w:p>
                    <w:pPr>
                      <w:jc w:val="center"/>
                      <w:rPr>
                        <w:sz w:val="20"/>
                      </w:rPr>
                    </w:pPr>
                    <w:r>
                      <w:rPr>
                        <w:sz w:val="20"/>
                      </w:rPr>
                      <w:t>4 (2023)</w:t>
                    </w:r>
                  </w:p>
                </w:tc>
                <w:tc>
                  <w:tcPr>
                    <w:tcW w:w="1134" w:type="dxa"/>
                    <w:noWrap/>
                    <w:vAlign w:val="center"/>
                    <w:hideMark/>
                  </w:tcPr>
                  <w:p>
                    <w:pPr>
                      <w:jc w:val="center"/>
                      <w:rPr>
                        <w:sz w:val="20"/>
                      </w:rPr>
                    </w:pPr>
                    <w:r>
                      <w:rPr>
                        <w:sz w:val="20"/>
                      </w:rPr>
                      <w:t>15 (2033)</w:t>
                    </w:r>
                  </w:p>
                </w:tc>
              </w:tr>
              <w:tr>
                <w:trPr>
                  <w:trHeight w:val="876"/>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rPr>
                        <w:sz w:val="20"/>
                      </w:rPr>
                    </w:pPr>
                  </w:p>
                </w:tc>
                <w:tc>
                  <w:tcPr>
                    <w:tcW w:w="709" w:type="dxa"/>
                    <w:vMerge/>
                    <w:vAlign w:val="center"/>
                    <w:hideMark/>
                  </w:tcPr>
                  <w:p>
                    <w:pPr>
                      <w:rPr>
                        <w:sz w:val="20"/>
                      </w:rPr>
                    </w:pPr>
                  </w:p>
                </w:tc>
                <w:tc>
                  <w:tcPr>
                    <w:tcW w:w="709" w:type="dxa"/>
                    <w:vMerge/>
                    <w:vAlign w:val="center"/>
                    <w:hideMark/>
                  </w:tcPr>
                  <w:p>
                    <w:pPr>
                      <w:rPr>
                        <w:sz w:val="20"/>
                      </w:rPr>
                    </w:pPr>
                  </w:p>
                </w:tc>
                <w:tc>
                  <w:tcPr>
                    <w:tcW w:w="1417" w:type="dxa"/>
                    <w:noWrap/>
                    <w:vAlign w:val="center"/>
                    <w:hideMark/>
                  </w:tcPr>
                  <w:p>
                    <w:pPr>
                      <w:rPr>
                        <w:sz w:val="20"/>
                      </w:rPr>
                    </w:pPr>
                    <w:r>
                      <w:rPr>
                        <w:sz w:val="20"/>
                      </w:rPr>
                      <w:t>P-16-01-04-02</w:t>
                    </w:r>
                  </w:p>
                </w:tc>
                <w:tc>
                  <w:tcPr>
                    <w:tcW w:w="4111" w:type="dxa"/>
                    <w:vAlign w:val="center"/>
                    <w:hideMark/>
                  </w:tcPr>
                  <w:p>
                    <w:pPr>
                      <w:rPr>
                        <w:sz w:val="20"/>
                      </w:rPr>
                    </w:pPr>
                    <w:r>
                      <w:rPr>
                        <w:sz w:val="20"/>
                      </w:rPr>
                      <w:t>Nukentėjusiems asmenims, kurie patyrė smurtą artimoje aplinkoje, patyčias, išgyvena krizę ir moterims ir mergaitėms, patyrusioms prievartą, suteiktų socialinių paslaugų skaičius (vnt.)</w:t>
                    </w:r>
                  </w:p>
                </w:tc>
                <w:tc>
                  <w:tcPr>
                    <w:tcW w:w="1134" w:type="dxa"/>
                    <w:vAlign w:val="center"/>
                    <w:hideMark/>
                  </w:tcPr>
                  <w:p>
                    <w:pPr>
                      <w:jc w:val="center"/>
                      <w:rPr>
                        <w:sz w:val="20"/>
                      </w:rPr>
                    </w:pPr>
                    <w:r>
                      <w:rPr>
                        <w:sz w:val="20"/>
                      </w:rPr>
                      <w:t>SPS</w:t>
                    </w:r>
                  </w:p>
                </w:tc>
                <w:tc>
                  <w:tcPr>
                    <w:tcW w:w="1134" w:type="dxa"/>
                    <w:vAlign w:val="center"/>
                    <w:hideMark/>
                  </w:tcPr>
                  <w:p>
                    <w:pPr>
                      <w:jc w:val="center"/>
                      <w:rPr>
                        <w:sz w:val="20"/>
                      </w:rPr>
                    </w:pPr>
                    <w:r>
                      <w:rPr>
                        <w:sz w:val="20"/>
                      </w:rPr>
                      <w:t>180 (2023)</w:t>
                    </w:r>
                  </w:p>
                </w:tc>
                <w:tc>
                  <w:tcPr>
                    <w:tcW w:w="1134" w:type="dxa"/>
                    <w:noWrap/>
                    <w:vAlign w:val="center"/>
                    <w:hideMark/>
                  </w:tcPr>
                  <w:p>
                    <w:pPr>
                      <w:jc w:val="center"/>
                      <w:rPr>
                        <w:sz w:val="20"/>
                      </w:rPr>
                    </w:pPr>
                    <w:r>
                      <w:rPr>
                        <w:sz w:val="20"/>
                      </w:rPr>
                      <w:t>250 (2033)</w:t>
                    </w:r>
                  </w:p>
                </w:tc>
              </w:tr>
              <w:tr>
                <w:trPr>
                  <w:trHeight w:val="968"/>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rPr>
                        <w:sz w:val="20"/>
                      </w:rPr>
                    </w:pPr>
                  </w:p>
                </w:tc>
                <w:tc>
                  <w:tcPr>
                    <w:tcW w:w="709" w:type="dxa"/>
                    <w:vMerge/>
                    <w:vAlign w:val="center"/>
                    <w:hideMark/>
                  </w:tcPr>
                  <w:p>
                    <w:pPr>
                      <w:rPr>
                        <w:sz w:val="20"/>
                      </w:rPr>
                    </w:pPr>
                  </w:p>
                </w:tc>
                <w:tc>
                  <w:tcPr>
                    <w:tcW w:w="709" w:type="dxa"/>
                    <w:vMerge/>
                    <w:vAlign w:val="center"/>
                    <w:hideMark/>
                  </w:tcPr>
                  <w:p>
                    <w:pPr>
                      <w:rPr>
                        <w:sz w:val="20"/>
                      </w:rPr>
                    </w:pPr>
                  </w:p>
                </w:tc>
                <w:tc>
                  <w:tcPr>
                    <w:tcW w:w="1417" w:type="dxa"/>
                    <w:noWrap/>
                    <w:vAlign w:val="center"/>
                    <w:hideMark/>
                  </w:tcPr>
                  <w:p>
                    <w:pPr>
                      <w:rPr>
                        <w:sz w:val="20"/>
                      </w:rPr>
                    </w:pPr>
                    <w:r>
                      <w:rPr>
                        <w:sz w:val="20"/>
                      </w:rPr>
                      <w:t>P-16-01-04-03</w:t>
                    </w:r>
                  </w:p>
                </w:tc>
                <w:tc>
                  <w:tcPr>
                    <w:tcW w:w="4111" w:type="dxa"/>
                    <w:vAlign w:val="center"/>
                    <w:hideMark/>
                  </w:tcPr>
                  <w:p>
                    <w:pPr>
                      <w:rPr>
                        <w:sz w:val="20"/>
                      </w:rPr>
                    </w:pPr>
                    <w:r>
                      <w:rPr>
                        <w:sz w:val="20"/>
                      </w:rPr>
                      <w:t>Smurto artimoje aplinkoje pavojų keliančių asmenų, savanoriškai dalyvaujančių Smurtinio elgesio artimoje aplinkoje keitimo programoje, skaičius (asm.)</w:t>
                    </w:r>
                  </w:p>
                </w:tc>
                <w:tc>
                  <w:tcPr>
                    <w:tcW w:w="1134" w:type="dxa"/>
                    <w:vAlign w:val="center"/>
                    <w:hideMark/>
                  </w:tcPr>
                  <w:p>
                    <w:pPr>
                      <w:jc w:val="center"/>
                      <w:rPr>
                        <w:sz w:val="20"/>
                      </w:rPr>
                    </w:pPr>
                    <w:r>
                      <w:rPr>
                        <w:sz w:val="20"/>
                      </w:rPr>
                      <w:t>SPS</w:t>
                    </w:r>
                  </w:p>
                </w:tc>
                <w:tc>
                  <w:tcPr>
                    <w:tcW w:w="1134" w:type="dxa"/>
                    <w:vAlign w:val="center"/>
                    <w:hideMark/>
                  </w:tcPr>
                  <w:p>
                    <w:pPr>
                      <w:jc w:val="center"/>
                      <w:rPr>
                        <w:sz w:val="20"/>
                      </w:rPr>
                    </w:pPr>
                    <w:r>
                      <w:rPr>
                        <w:sz w:val="20"/>
                      </w:rPr>
                      <w:t>0 (2023)</w:t>
                    </w:r>
                  </w:p>
                </w:tc>
                <w:tc>
                  <w:tcPr>
                    <w:tcW w:w="1134" w:type="dxa"/>
                    <w:noWrap/>
                    <w:vAlign w:val="center"/>
                    <w:hideMark/>
                  </w:tcPr>
                  <w:p>
                    <w:pPr>
                      <w:jc w:val="center"/>
                      <w:rPr>
                        <w:sz w:val="20"/>
                      </w:rPr>
                    </w:pPr>
                    <w:r>
                      <w:rPr>
                        <w:sz w:val="20"/>
                      </w:rPr>
                      <w:t>20 (2033)</w:t>
                    </w:r>
                  </w:p>
                </w:tc>
              </w:tr>
              <w:tr>
                <w:trPr>
                  <w:trHeight w:val="530"/>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rPr>
                        <w:sz w:val="20"/>
                      </w:rPr>
                    </w:pPr>
                  </w:p>
                </w:tc>
                <w:tc>
                  <w:tcPr>
                    <w:tcW w:w="709" w:type="dxa"/>
                    <w:vMerge/>
                    <w:vAlign w:val="center"/>
                    <w:hideMark/>
                  </w:tcPr>
                  <w:p>
                    <w:pPr>
                      <w:rPr>
                        <w:sz w:val="20"/>
                      </w:rPr>
                    </w:pPr>
                  </w:p>
                </w:tc>
                <w:tc>
                  <w:tcPr>
                    <w:tcW w:w="709" w:type="dxa"/>
                    <w:vMerge/>
                    <w:vAlign w:val="center"/>
                    <w:hideMark/>
                  </w:tcPr>
                  <w:p>
                    <w:pPr>
                      <w:rPr>
                        <w:sz w:val="20"/>
                      </w:rPr>
                    </w:pPr>
                  </w:p>
                </w:tc>
                <w:tc>
                  <w:tcPr>
                    <w:tcW w:w="1417" w:type="dxa"/>
                    <w:noWrap/>
                    <w:vAlign w:val="center"/>
                    <w:hideMark/>
                  </w:tcPr>
                  <w:p>
                    <w:pPr>
                      <w:rPr>
                        <w:sz w:val="20"/>
                      </w:rPr>
                    </w:pPr>
                    <w:r>
                      <w:rPr>
                        <w:sz w:val="20"/>
                      </w:rPr>
                      <w:t>P-16-01-04-04</w:t>
                    </w:r>
                  </w:p>
                </w:tc>
                <w:tc>
                  <w:tcPr>
                    <w:tcW w:w="4111" w:type="dxa"/>
                    <w:vAlign w:val="center"/>
                    <w:hideMark/>
                  </w:tcPr>
                  <w:p>
                    <w:pPr>
                      <w:rPr>
                        <w:sz w:val="20"/>
                      </w:rPr>
                    </w:pPr>
                    <w:r>
                      <w:rPr>
                        <w:sz w:val="20"/>
                      </w:rPr>
                      <w:t>Jaunuolių, gaunančių paslaugas atvirame jaunimo centre ar atviroje jaunimo erdvėje, skaičius (asm.)</w:t>
                    </w:r>
                  </w:p>
                </w:tc>
                <w:tc>
                  <w:tcPr>
                    <w:tcW w:w="1134" w:type="dxa"/>
                    <w:vAlign w:val="center"/>
                    <w:hideMark/>
                  </w:tcPr>
                  <w:p>
                    <w:pPr>
                      <w:jc w:val="center"/>
                      <w:rPr>
                        <w:sz w:val="20"/>
                      </w:rPr>
                    </w:pPr>
                    <w:r>
                      <w:rPr>
                        <w:sz w:val="20"/>
                      </w:rPr>
                      <w:t>SPS</w:t>
                    </w:r>
                  </w:p>
                </w:tc>
                <w:tc>
                  <w:tcPr>
                    <w:tcW w:w="1134" w:type="dxa"/>
                    <w:vAlign w:val="center"/>
                    <w:hideMark/>
                  </w:tcPr>
                  <w:p>
                    <w:pPr>
                      <w:jc w:val="center"/>
                      <w:rPr>
                        <w:sz w:val="20"/>
                      </w:rPr>
                    </w:pPr>
                    <w:r>
                      <w:rPr>
                        <w:sz w:val="20"/>
                      </w:rPr>
                      <w:t>5 (2023)</w:t>
                    </w:r>
                  </w:p>
                </w:tc>
                <w:tc>
                  <w:tcPr>
                    <w:tcW w:w="1134" w:type="dxa"/>
                    <w:noWrap/>
                    <w:vAlign w:val="center"/>
                    <w:hideMark/>
                  </w:tcPr>
                  <w:p>
                    <w:pPr>
                      <w:jc w:val="center"/>
                      <w:rPr>
                        <w:sz w:val="20"/>
                      </w:rPr>
                    </w:pPr>
                    <w:r>
                      <w:rPr>
                        <w:sz w:val="20"/>
                      </w:rPr>
                      <w:t>30 (2033)</w:t>
                    </w:r>
                  </w:p>
                </w:tc>
              </w:tr>
              <w:tr>
                <w:trPr>
                  <w:trHeight w:val="520"/>
                  <w:jc w:val="center"/>
                </w:trPr>
                <w:tc>
                  <w:tcPr>
                    <w:tcW w:w="988" w:type="dxa"/>
                    <w:vMerge w:val="restart"/>
                    <w:noWrap/>
                    <w:vAlign w:val="center"/>
                    <w:hideMark/>
                  </w:tcPr>
                  <w:p>
                    <w:pPr>
                      <w:rPr>
                        <w:sz w:val="20"/>
                      </w:rPr>
                    </w:pPr>
                    <w:r>
                      <w:rPr>
                        <w:sz w:val="20"/>
                      </w:rPr>
                      <w:t>16-01-05</w:t>
                    </w:r>
                  </w:p>
                </w:tc>
                <w:tc>
                  <w:tcPr>
                    <w:tcW w:w="2126" w:type="dxa"/>
                    <w:vMerge w:val="restart"/>
                    <w:vAlign w:val="center"/>
                    <w:hideMark/>
                  </w:tcPr>
                  <w:p>
                    <w:pPr>
                      <w:rPr>
                        <w:sz w:val="20"/>
                      </w:rPr>
                    </w:pPr>
                    <w:r>
                      <w:rPr>
                        <w:sz w:val="20"/>
                      </w:rPr>
                      <w:t>Plėtoti neinstitucinės globos paslaugas vaikams</w:t>
                    </w:r>
                  </w:p>
                </w:tc>
                <w:tc>
                  <w:tcPr>
                    <w:tcW w:w="850" w:type="dxa"/>
                    <w:vMerge w:val="restart"/>
                    <w:noWrap/>
                    <w:vAlign w:val="center"/>
                    <w:hideMark/>
                  </w:tcPr>
                  <w:p>
                    <w:pPr>
                      <w:jc w:val="center"/>
                      <w:rPr>
                        <w:sz w:val="20"/>
                      </w:rPr>
                    </w:pPr>
                    <w:r>
                      <w:rPr>
                        <w:sz w:val="20"/>
                      </w:rPr>
                      <w:t>SPS</w:t>
                    </w:r>
                  </w:p>
                </w:tc>
                <w:tc>
                  <w:tcPr>
                    <w:tcW w:w="709" w:type="dxa"/>
                    <w:vMerge w:val="restart"/>
                    <w:noWrap/>
                    <w:vAlign w:val="center"/>
                    <w:hideMark/>
                  </w:tcPr>
                  <w:p>
                    <w:pPr>
                      <w:jc w:val="center"/>
                      <w:rPr>
                        <w:sz w:val="20"/>
                      </w:rPr>
                    </w:pPr>
                    <w:r>
                      <w:rPr>
                        <w:sz w:val="20"/>
                      </w:rPr>
                      <w:t>2025</w:t>
                    </w:r>
                  </w:p>
                </w:tc>
                <w:tc>
                  <w:tcPr>
                    <w:tcW w:w="709" w:type="dxa"/>
                    <w:vMerge w:val="restart"/>
                    <w:noWrap/>
                    <w:vAlign w:val="center"/>
                    <w:hideMark/>
                  </w:tcPr>
                  <w:p>
                    <w:pPr>
                      <w:jc w:val="center"/>
                      <w:rPr>
                        <w:sz w:val="20"/>
                      </w:rPr>
                    </w:pPr>
                    <w:r>
                      <w:rPr>
                        <w:sz w:val="20"/>
                      </w:rPr>
                      <w:t>2033</w:t>
                    </w:r>
                  </w:p>
                </w:tc>
                <w:tc>
                  <w:tcPr>
                    <w:tcW w:w="1417" w:type="dxa"/>
                    <w:noWrap/>
                    <w:vAlign w:val="center"/>
                    <w:hideMark/>
                  </w:tcPr>
                  <w:p>
                    <w:pPr>
                      <w:rPr>
                        <w:sz w:val="20"/>
                      </w:rPr>
                    </w:pPr>
                    <w:r>
                      <w:rPr>
                        <w:sz w:val="20"/>
                      </w:rPr>
                      <w:t>P-16-01-05-01</w:t>
                    </w:r>
                  </w:p>
                </w:tc>
                <w:tc>
                  <w:tcPr>
                    <w:tcW w:w="4111" w:type="dxa"/>
                    <w:vAlign w:val="center"/>
                    <w:hideMark/>
                  </w:tcPr>
                  <w:p>
                    <w:pPr>
                      <w:rPr>
                        <w:sz w:val="20"/>
                      </w:rPr>
                    </w:pPr>
                    <w:r>
                      <w:rPr>
                        <w:sz w:val="20"/>
                      </w:rPr>
                      <w:t>Šeimų, globojančių vaikus, ir globojamų vaikų skaičius (vnt. / vnt. per metus)</w:t>
                    </w:r>
                  </w:p>
                </w:tc>
                <w:tc>
                  <w:tcPr>
                    <w:tcW w:w="1134" w:type="dxa"/>
                    <w:noWrap/>
                    <w:vAlign w:val="center"/>
                    <w:hideMark/>
                  </w:tcPr>
                  <w:p>
                    <w:pPr>
                      <w:jc w:val="center"/>
                      <w:rPr>
                        <w:sz w:val="20"/>
                      </w:rPr>
                    </w:pPr>
                    <w:r>
                      <w:rPr>
                        <w:sz w:val="20"/>
                      </w:rPr>
                      <w:t>SPS</w:t>
                    </w:r>
                  </w:p>
                </w:tc>
                <w:tc>
                  <w:tcPr>
                    <w:tcW w:w="1134" w:type="dxa"/>
                    <w:vAlign w:val="center"/>
                    <w:hideMark/>
                  </w:tcPr>
                  <w:p>
                    <w:pPr>
                      <w:jc w:val="center"/>
                      <w:rPr>
                        <w:sz w:val="20"/>
                      </w:rPr>
                    </w:pPr>
                    <w:r>
                      <w:rPr>
                        <w:sz w:val="20"/>
                      </w:rPr>
                      <w:t xml:space="preserve">213/274 </w:t>
                      <w:br/>
                      <w:t>(2023)</w:t>
                    </w:r>
                  </w:p>
                </w:tc>
                <w:tc>
                  <w:tcPr>
                    <w:tcW w:w="1134" w:type="dxa"/>
                    <w:vAlign w:val="center"/>
                    <w:hideMark/>
                  </w:tcPr>
                  <w:p>
                    <w:pPr>
                      <w:jc w:val="center"/>
                      <w:rPr>
                        <w:sz w:val="20"/>
                      </w:rPr>
                    </w:pPr>
                    <w:r>
                      <w:rPr>
                        <w:sz w:val="20"/>
                      </w:rPr>
                      <w:t>200/220 (2033)</w:t>
                    </w:r>
                  </w:p>
                </w:tc>
              </w:tr>
              <w:tr>
                <w:trPr>
                  <w:trHeight w:val="520"/>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rPr>
                        <w:sz w:val="20"/>
                      </w:rPr>
                    </w:pPr>
                  </w:p>
                </w:tc>
                <w:tc>
                  <w:tcPr>
                    <w:tcW w:w="709" w:type="dxa"/>
                    <w:vMerge/>
                    <w:vAlign w:val="center"/>
                    <w:hideMark/>
                  </w:tcPr>
                  <w:p>
                    <w:pPr>
                      <w:rPr>
                        <w:sz w:val="20"/>
                      </w:rPr>
                    </w:pPr>
                  </w:p>
                </w:tc>
                <w:tc>
                  <w:tcPr>
                    <w:tcW w:w="709" w:type="dxa"/>
                    <w:vMerge/>
                    <w:vAlign w:val="center"/>
                    <w:hideMark/>
                  </w:tcPr>
                  <w:p>
                    <w:pPr>
                      <w:rPr>
                        <w:sz w:val="20"/>
                      </w:rPr>
                    </w:pPr>
                  </w:p>
                </w:tc>
                <w:tc>
                  <w:tcPr>
                    <w:tcW w:w="1417" w:type="dxa"/>
                    <w:noWrap/>
                    <w:vAlign w:val="center"/>
                    <w:hideMark/>
                  </w:tcPr>
                  <w:p>
                    <w:pPr>
                      <w:rPr>
                        <w:sz w:val="20"/>
                      </w:rPr>
                    </w:pPr>
                    <w:r>
                      <w:rPr>
                        <w:sz w:val="20"/>
                      </w:rPr>
                      <w:t>P-16-01-05-02</w:t>
                    </w:r>
                  </w:p>
                </w:tc>
                <w:tc>
                  <w:tcPr>
                    <w:tcW w:w="4111" w:type="dxa"/>
                    <w:vAlign w:val="center"/>
                    <w:hideMark/>
                  </w:tcPr>
                  <w:p>
                    <w:pPr>
                      <w:rPr>
                        <w:sz w:val="20"/>
                      </w:rPr>
                    </w:pPr>
                    <w:r>
                      <w:rPr>
                        <w:sz w:val="20"/>
                      </w:rPr>
                      <w:t>Šeimynų, globojančių vaikus, ir globojamų vaikų skaičius (vnt. / vnt. per metus)</w:t>
                    </w:r>
                  </w:p>
                </w:tc>
                <w:tc>
                  <w:tcPr>
                    <w:tcW w:w="1134" w:type="dxa"/>
                    <w:noWrap/>
                    <w:vAlign w:val="center"/>
                    <w:hideMark/>
                  </w:tcPr>
                  <w:p>
                    <w:pPr>
                      <w:jc w:val="center"/>
                      <w:rPr>
                        <w:sz w:val="20"/>
                      </w:rPr>
                    </w:pPr>
                    <w:r>
                      <w:rPr>
                        <w:sz w:val="20"/>
                      </w:rPr>
                      <w:t>SPS</w:t>
                    </w:r>
                  </w:p>
                </w:tc>
                <w:tc>
                  <w:tcPr>
                    <w:tcW w:w="1134" w:type="dxa"/>
                    <w:noWrap/>
                    <w:vAlign w:val="center"/>
                    <w:hideMark/>
                  </w:tcPr>
                  <w:p>
                    <w:pPr>
                      <w:jc w:val="center"/>
                      <w:rPr>
                        <w:sz w:val="20"/>
                      </w:rPr>
                    </w:pPr>
                    <w:r>
                      <w:rPr>
                        <w:sz w:val="20"/>
                      </w:rPr>
                      <w:t>3/15 (2023)</w:t>
                    </w:r>
                  </w:p>
                </w:tc>
                <w:tc>
                  <w:tcPr>
                    <w:tcW w:w="1134" w:type="dxa"/>
                    <w:vAlign w:val="center"/>
                    <w:hideMark/>
                  </w:tcPr>
                  <w:p>
                    <w:pPr>
                      <w:jc w:val="center"/>
                      <w:rPr>
                        <w:sz w:val="20"/>
                      </w:rPr>
                    </w:pPr>
                    <w:r>
                      <w:rPr>
                        <w:sz w:val="20"/>
                      </w:rPr>
                      <w:t>5/25 (2033)</w:t>
                    </w:r>
                  </w:p>
                </w:tc>
              </w:tr>
              <w:tr>
                <w:trPr>
                  <w:trHeight w:val="520"/>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rPr>
                        <w:sz w:val="20"/>
                      </w:rPr>
                    </w:pPr>
                  </w:p>
                </w:tc>
                <w:tc>
                  <w:tcPr>
                    <w:tcW w:w="709" w:type="dxa"/>
                    <w:vMerge/>
                    <w:vAlign w:val="center"/>
                    <w:hideMark/>
                  </w:tcPr>
                  <w:p>
                    <w:pPr>
                      <w:rPr>
                        <w:sz w:val="20"/>
                      </w:rPr>
                    </w:pPr>
                  </w:p>
                </w:tc>
                <w:tc>
                  <w:tcPr>
                    <w:tcW w:w="709" w:type="dxa"/>
                    <w:vMerge/>
                    <w:vAlign w:val="center"/>
                    <w:hideMark/>
                  </w:tcPr>
                  <w:p>
                    <w:pPr>
                      <w:rPr>
                        <w:sz w:val="20"/>
                      </w:rPr>
                    </w:pPr>
                  </w:p>
                </w:tc>
                <w:tc>
                  <w:tcPr>
                    <w:tcW w:w="1417" w:type="dxa"/>
                    <w:noWrap/>
                    <w:vAlign w:val="center"/>
                    <w:hideMark/>
                  </w:tcPr>
                  <w:p>
                    <w:pPr>
                      <w:rPr>
                        <w:sz w:val="20"/>
                      </w:rPr>
                    </w:pPr>
                    <w:r>
                      <w:rPr>
                        <w:sz w:val="20"/>
                      </w:rPr>
                      <w:t>P-16-01-05-03</w:t>
                    </w:r>
                  </w:p>
                </w:tc>
                <w:tc>
                  <w:tcPr>
                    <w:tcW w:w="4111" w:type="dxa"/>
                    <w:vAlign w:val="center"/>
                    <w:hideMark/>
                  </w:tcPr>
                  <w:p>
                    <w:pPr>
                      <w:rPr>
                        <w:sz w:val="20"/>
                      </w:rPr>
                    </w:pPr>
                    <w:r>
                      <w:rPr>
                        <w:sz w:val="20"/>
                      </w:rPr>
                      <w:t>Budinčių globotojų globojamų vaikų, likusių be tėvų globos šeimoje, skaičius (asm. per metus)</w:t>
                    </w:r>
                  </w:p>
                </w:tc>
                <w:tc>
                  <w:tcPr>
                    <w:tcW w:w="1134" w:type="dxa"/>
                    <w:noWrap/>
                    <w:vAlign w:val="center"/>
                    <w:hideMark/>
                  </w:tcPr>
                  <w:p>
                    <w:pPr>
                      <w:jc w:val="center"/>
                      <w:rPr>
                        <w:sz w:val="20"/>
                      </w:rPr>
                    </w:pPr>
                    <w:r>
                      <w:rPr>
                        <w:sz w:val="20"/>
                      </w:rPr>
                      <w:t>SPS</w:t>
                    </w:r>
                  </w:p>
                </w:tc>
                <w:tc>
                  <w:tcPr>
                    <w:tcW w:w="1134" w:type="dxa"/>
                    <w:noWrap/>
                    <w:vAlign w:val="center"/>
                    <w:hideMark/>
                  </w:tcPr>
                  <w:p>
                    <w:pPr>
                      <w:jc w:val="center"/>
                      <w:rPr>
                        <w:sz w:val="20"/>
                      </w:rPr>
                    </w:pPr>
                    <w:r>
                      <w:rPr>
                        <w:sz w:val="20"/>
                      </w:rPr>
                      <w:t>28 (2023)</w:t>
                    </w:r>
                  </w:p>
                </w:tc>
                <w:tc>
                  <w:tcPr>
                    <w:tcW w:w="1134" w:type="dxa"/>
                    <w:noWrap/>
                    <w:vAlign w:val="center"/>
                    <w:hideMark/>
                  </w:tcPr>
                  <w:p>
                    <w:pPr>
                      <w:jc w:val="center"/>
                      <w:rPr>
                        <w:sz w:val="20"/>
                      </w:rPr>
                    </w:pPr>
                    <w:r>
                      <w:rPr>
                        <w:sz w:val="20"/>
                      </w:rPr>
                      <w:t>25 (2033)</w:t>
                    </w:r>
                  </w:p>
                </w:tc>
              </w:tr>
              <w:tr>
                <w:trPr>
                  <w:trHeight w:val="1187"/>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rPr>
                        <w:sz w:val="20"/>
                      </w:rPr>
                    </w:pPr>
                  </w:p>
                </w:tc>
                <w:tc>
                  <w:tcPr>
                    <w:tcW w:w="709" w:type="dxa"/>
                    <w:vMerge/>
                    <w:vAlign w:val="center"/>
                    <w:hideMark/>
                  </w:tcPr>
                  <w:p>
                    <w:pPr>
                      <w:rPr>
                        <w:sz w:val="20"/>
                      </w:rPr>
                    </w:pPr>
                  </w:p>
                </w:tc>
                <w:tc>
                  <w:tcPr>
                    <w:tcW w:w="709" w:type="dxa"/>
                    <w:vMerge/>
                    <w:vAlign w:val="center"/>
                    <w:hideMark/>
                  </w:tcPr>
                  <w:p>
                    <w:pPr>
                      <w:rPr>
                        <w:sz w:val="20"/>
                      </w:rPr>
                    </w:pPr>
                  </w:p>
                </w:tc>
                <w:tc>
                  <w:tcPr>
                    <w:tcW w:w="1417" w:type="dxa"/>
                    <w:noWrap/>
                    <w:vAlign w:val="center"/>
                    <w:hideMark/>
                  </w:tcPr>
                  <w:p>
                    <w:pPr>
                      <w:rPr>
                        <w:sz w:val="20"/>
                      </w:rPr>
                    </w:pPr>
                    <w:r>
                      <w:rPr>
                        <w:sz w:val="20"/>
                      </w:rPr>
                      <w:t>P-16-01-05-04</w:t>
                    </w:r>
                  </w:p>
                </w:tc>
                <w:tc>
                  <w:tcPr>
                    <w:tcW w:w="4111" w:type="dxa"/>
                    <w:vAlign w:val="center"/>
                    <w:hideMark/>
                  </w:tcPr>
                  <w:p>
                    <w:pPr>
                      <w:rPr>
                        <w:sz w:val="20"/>
                      </w:rPr>
                    </w:pPr>
                    <w:r>
                      <w:rPr>
                        <w:sz w:val="20"/>
                      </w:rPr>
                      <w:t>Nuolatinių globotojų, globojančių vaikus, likusius be tėvų globos šeimoje, kuriems užtikrintas emocinis ir fizinis saugumas bei visavertis, poreikius atitinkantis ugdymas ir priežiūra, skaičius (asm. per metus)</w:t>
                    </w:r>
                  </w:p>
                </w:tc>
                <w:tc>
                  <w:tcPr>
                    <w:tcW w:w="1134" w:type="dxa"/>
                    <w:noWrap/>
                    <w:vAlign w:val="center"/>
                    <w:hideMark/>
                  </w:tcPr>
                  <w:p>
                    <w:pPr>
                      <w:jc w:val="center"/>
                      <w:rPr>
                        <w:sz w:val="20"/>
                      </w:rPr>
                    </w:pPr>
                    <w:r>
                      <w:rPr>
                        <w:sz w:val="20"/>
                      </w:rPr>
                      <w:t>SPS</w:t>
                    </w:r>
                  </w:p>
                </w:tc>
                <w:tc>
                  <w:tcPr>
                    <w:tcW w:w="1134" w:type="dxa"/>
                    <w:noWrap/>
                    <w:vAlign w:val="center"/>
                    <w:hideMark/>
                  </w:tcPr>
                  <w:p>
                    <w:pPr>
                      <w:jc w:val="center"/>
                      <w:rPr>
                        <w:sz w:val="20"/>
                      </w:rPr>
                    </w:pPr>
                    <w:r>
                      <w:rPr>
                        <w:sz w:val="20"/>
                      </w:rPr>
                      <w:t>0 (2023)</w:t>
                    </w:r>
                  </w:p>
                </w:tc>
                <w:tc>
                  <w:tcPr>
                    <w:tcW w:w="1134" w:type="dxa"/>
                    <w:noWrap/>
                    <w:vAlign w:val="center"/>
                    <w:hideMark/>
                  </w:tcPr>
                  <w:p>
                    <w:pPr>
                      <w:jc w:val="center"/>
                      <w:rPr>
                        <w:sz w:val="20"/>
                      </w:rPr>
                    </w:pPr>
                    <w:r>
                      <w:rPr>
                        <w:sz w:val="20"/>
                      </w:rPr>
                      <w:t>8 (2033)</w:t>
                    </w:r>
                  </w:p>
                </w:tc>
              </w:tr>
              <w:tr>
                <w:trPr>
                  <w:trHeight w:val="553"/>
                  <w:jc w:val="center"/>
                </w:trPr>
                <w:tc>
                  <w:tcPr>
                    <w:tcW w:w="988" w:type="dxa"/>
                    <w:vMerge w:val="restart"/>
                    <w:noWrap/>
                    <w:vAlign w:val="center"/>
                    <w:hideMark/>
                  </w:tcPr>
                  <w:p>
                    <w:pPr>
                      <w:rPr>
                        <w:sz w:val="20"/>
                      </w:rPr>
                    </w:pPr>
                    <w:r>
                      <w:rPr>
                        <w:sz w:val="20"/>
                      </w:rPr>
                      <w:t>16-01-06</w:t>
                    </w:r>
                  </w:p>
                </w:tc>
                <w:tc>
                  <w:tcPr>
                    <w:tcW w:w="2126" w:type="dxa"/>
                    <w:vMerge w:val="restart"/>
                    <w:vAlign w:val="center"/>
                    <w:hideMark/>
                  </w:tcPr>
                  <w:p>
                    <w:pPr>
                      <w:rPr>
                        <w:sz w:val="20"/>
                      </w:rPr>
                    </w:pPr>
                    <w:r>
                      <w:rPr>
                        <w:sz w:val="20"/>
                      </w:rPr>
                      <w:t>Plėtoti socialinės globos paslaugas asmens namuose ir institucijoje</w:t>
                    </w:r>
                  </w:p>
                </w:tc>
                <w:tc>
                  <w:tcPr>
                    <w:tcW w:w="850" w:type="dxa"/>
                    <w:vMerge w:val="restart"/>
                    <w:noWrap/>
                    <w:vAlign w:val="center"/>
                    <w:hideMark/>
                  </w:tcPr>
                  <w:p>
                    <w:pPr>
                      <w:jc w:val="center"/>
                      <w:rPr>
                        <w:sz w:val="20"/>
                      </w:rPr>
                    </w:pPr>
                    <w:r>
                      <w:rPr>
                        <w:sz w:val="20"/>
                      </w:rPr>
                      <w:t>SPS</w:t>
                    </w:r>
                  </w:p>
                </w:tc>
                <w:tc>
                  <w:tcPr>
                    <w:tcW w:w="709" w:type="dxa"/>
                    <w:vMerge w:val="restart"/>
                    <w:noWrap/>
                    <w:vAlign w:val="center"/>
                    <w:hideMark/>
                  </w:tcPr>
                  <w:p>
                    <w:pPr>
                      <w:jc w:val="center"/>
                      <w:rPr>
                        <w:sz w:val="20"/>
                      </w:rPr>
                    </w:pPr>
                    <w:r>
                      <w:rPr>
                        <w:sz w:val="20"/>
                      </w:rPr>
                      <w:t>2025</w:t>
                    </w:r>
                  </w:p>
                </w:tc>
                <w:tc>
                  <w:tcPr>
                    <w:tcW w:w="709" w:type="dxa"/>
                    <w:vMerge w:val="restart"/>
                    <w:noWrap/>
                    <w:vAlign w:val="center"/>
                    <w:hideMark/>
                  </w:tcPr>
                  <w:p>
                    <w:pPr>
                      <w:jc w:val="center"/>
                      <w:rPr>
                        <w:sz w:val="20"/>
                      </w:rPr>
                    </w:pPr>
                    <w:r>
                      <w:rPr>
                        <w:sz w:val="20"/>
                      </w:rPr>
                      <w:t>2033</w:t>
                    </w:r>
                  </w:p>
                </w:tc>
                <w:tc>
                  <w:tcPr>
                    <w:tcW w:w="1417" w:type="dxa"/>
                    <w:noWrap/>
                    <w:vAlign w:val="center"/>
                    <w:hideMark/>
                  </w:tcPr>
                  <w:p>
                    <w:pPr>
                      <w:rPr>
                        <w:sz w:val="20"/>
                      </w:rPr>
                    </w:pPr>
                    <w:r>
                      <w:rPr>
                        <w:sz w:val="20"/>
                      </w:rPr>
                      <w:t>P-16-01-06-01</w:t>
                    </w:r>
                  </w:p>
                </w:tc>
                <w:tc>
                  <w:tcPr>
                    <w:tcW w:w="4111" w:type="dxa"/>
                    <w:vAlign w:val="center"/>
                    <w:hideMark/>
                  </w:tcPr>
                  <w:p>
                    <w:pPr>
                      <w:rPr>
                        <w:sz w:val="20"/>
                      </w:rPr>
                    </w:pPr>
                    <w:r>
                      <w:rPr>
                        <w:sz w:val="20"/>
                      </w:rPr>
                      <w:t>Naujai pradėjusių gauti dienos socialinės globos paslaugas institucijoje asmenų skaičius (asm. per metus)</w:t>
                    </w:r>
                  </w:p>
                </w:tc>
                <w:tc>
                  <w:tcPr>
                    <w:tcW w:w="1134" w:type="dxa"/>
                    <w:noWrap/>
                    <w:vAlign w:val="center"/>
                    <w:hideMark/>
                  </w:tcPr>
                  <w:p>
                    <w:pPr>
                      <w:jc w:val="center"/>
                      <w:rPr>
                        <w:sz w:val="20"/>
                      </w:rPr>
                    </w:pPr>
                    <w:r>
                      <w:rPr>
                        <w:sz w:val="20"/>
                      </w:rPr>
                      <w:t>SPS</w:t>
                    </w:r>
                  </w:p>
                </w:tc>
                <w:tc>
                  <w:tcPr>
                    <w:tcW w:w="1134" w:type="dxa"/>
                    <w:noWrap/>
                    <w:vAlign w:val="center"/>
                    <w:hideMark/>
                  </w:tcPr>
                  <w:p>
                    <w:pPr>
                      <w:jc w:val="center"/>
                      <w:rPr>
                        <w:sz w:val="20"/>
                      </w:rPr>
                    </w:pPr>
                    <w:r>
                      <w:rPr>
                        <w:sz w:val="20"/>
                      </w:rPr>
                      <w:t>6 (2024)</w:t>
                    </w:r>
                  </w:p>
                </w:tc>
                <w:tc>
                  <w:tcPr>
                    <w:tcW w:w="1134" w:type="dxa"/>
                    <w:noWrap/>
                    <w:vAlign w:val="center"/>
                    <w:hideMark/>
                  </w:tcPr>
                  <w:p>
                    <w:pPr>
                      <w:jc w:val="center"/>
                      <w:rPr>
                        <w:sz w:val="20"/>
                      </w:rPr>
                    </w:pPr>
                    <w:r>
                      <w:rPr>
                        <w:sz w:val="20"/>
                      </w:rPr>
                      <w:t>20 (2033)</w:t>
                    </w:r>
                  </w:p>
                </w:tc>
              </w:tr>
              <w:tr>
                <w:trPr>
                  <w:trHeight w:val="689"/>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rPr>
                        <w:sz w:val="20"/>
                      </w:rPr>
                    </w:pPr>
                  </w:p>
                </w:tc>
                <w:tc>
                  <w:tcPr>
                    <w:tcW w:w="709" w:type="dxa"/>
                    <w:vMerge/>
                    <w:vAlign w:val="center"/>
                    <w:hideMark/>
                  </w:tcPr>
                  <w:p>
                    <w:pPr>
                      <w:rPr>
                        <w:sz w:val="20"/>
                      </w:rPr>
                    </w:pPr>
                  </w:p>
                </w:tc>
                <w:tc>
                  <w:tcPr>
                    <w:tcW w:w="709" w:type="dxa"/>
                    <w:vMerge/>
                    <w:vAlign w:val="center"/>
                    <w:hideMark/>
                  </w:tcPr>
                  <w:p>
                    <w:pPr>
                      <w:rPr>
                        <w:sz w:val="20"/>
                      </w:rPr>
                    </w:pPr>
                  </w:p>
                </w:tc>
                <w:tc>
                  <w:tcPr>
                    <w:tcW w:w="1417" w:type="dxa"/>
                    <w:noWrap/>
                    <w:vAlign w:val="center"/>
                    <w:hideMark/>
                  </w:tcPr>
                  <w:p>
                    <w:pPr>
                      <w:rPr>
                        <w:sz w:val="20"/>
                      </w:rPr>
                    </w:pPr>
                    <w:r>
                      <w:rPr>
                        <w:sz w:val="20"/>
                      </w:rPr>
                      <w:t>P-16-01-06-02</w:t>
                    </w:r>
                  </w:p>
                </w:tc>
                <w:tc>
                  <w:tcPr>
                    <w:tcW w:w="4111" w:type="dxa"/>
                    <w:vAlign w:val="center"/>
                    <w:hideMark/>
                  </w:tcPr>
                  <w:p>
                    <w:pPr>
                      <w:rPr>
                        <w:sz w:val="20"/>
                      </w:rPr>
                    </w:pPr>
                    <w:r>
                      <w:rPr>
                        <w:sz w:val="20"/>
                      </w:rPr>
                      <w:t>Naujai pradėjusių gauti dienos socialinės globos paslaugas asmenų namuose skaičius (asm. per metus)</w:t>
                    </w:r>
                  </w:p>
                </w:tc>
                <w:tc>
                  <w:tcPr>
                    <w:tcW w:w="1134" w:type="dxa"/>
                    <w:noWrap/>
                    <w:vAlign w:val="center"/>
                    <w:hideMark/>
                  </w:tcPr>
                  <w:p>
                    <w:pPr>
                      <w:jc w:val="center"/>
                      <w:rPr>
                        <w:sz w:val="20"/>
                      </w:rPr>
                    </w:pPr>
                    <w:r>
                      <w:rPr>
                        <w:sz w:val="20"/>
                      </w:rPr>
                      <w:t>SPS</w:t>
                    </w:r>
                  </w:p>
                </w:tc>
                <w:tc>
                  <w:tcPr>
                    <w:tcW w:w="1134" w:type="dxa"/>
                    <w:noWrap/>
                    <w:vAlign w:val="center"/>
                    <w:hideMark/>
                  </w:tcPr>
                  <w:p>
                    <w:pPr>
                      <w:jc w:val="center"/>
                      <w:rPr>
                        <w:sz w:val="20"/>
                      </w:rPr>
                    </w:pPr>
                    <w:r>
                      <w:rPr>
                        <w:sz w:val="20"/>
                      </w:rPr>
                      <w:t>10 (2024)</w:t>
                    </w:r>
                  </w:p>
                </w:tc>
                <w:tc>
                  <w:tcPr>
                    <w:tcW w:w="1134" w:type="dxa"/>
                    <w:noWrap/>
                    <w:vAlign w:val="center"/>
                    <w:hideMark/>
                  </w:tcPr>
                  <w:p>
                    <w:pPr>
                      <w:jc w:val="center"/>
                      <w:rPr>
                        <w:sz w:val="20"/>
                      </w:rPr>
                    </w:pPr>
                    <w:r>
                      <w:rPr>
                        <w:sz w:val="20"/>
                      </w:rPr>
                      <w:t>30 (2033)</w:t>
                    </w:r>
                  </w:p>
                </w:tc>
              </w:tr>
              <w:tr>
                <w:trPr>
                  <w:trHeight w:val="451"/>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rPr>
                        <w:sz w:val="20"/>
                      </w:rPr>
                    </w:pPr>
                  </w:p>
                </w:tc>
                <w:tc>
                  <w:tcPr>
                    <w:tcW w:w="709" w:type="dxa"/>
                    <w:vMerge/>
                    <w:vAlign w:val="center"/>
                    <w:hideMark/>
                  </w:tcPr>
                  <w:p>
                    <w:pPr>
                      <w:rPr>
                        <w:sz w:val="20"/>
                      </w:rPr>
                    </w:pPr>
                  </w:p>
                </w:tc>
                <w:tc>
                  <w:tcPr>
                    <w:tcW w:w="709" w:type="dxa"/>
                    <w:vMerge/>
                    <w:vAlign w:val="center"/>
                    <w:hideMark/>
                  </w:tcPr>
                  <w:p>
                    <w:pPr>
                      <w:rPr>
                        <w:sz w:val="20"/>
                      </w:rPr>
                    </w:pPr>
                  </w:p>
                </w:tc>
                <w:tc>
                  <w:tcPr>
                    <w:tcW w:w="1417" w:type="dxa"/>
                    <w:noWrap/>
                    <w:vAlign w:val="center"/>
                    <w:hideMark/>
                  </w:tcPr>
                  <w:p>
                    <w:pPr>
                      <w:rPr>
                        <w:sz w:val="20"/>
                      </w:rPr>
                    </w:pPr>
                    <w:r>
                      <w:rPr>
                        <w:sz w:val="20"/>
                      </w:rPr>
                      <w:t>P-16-01-06-03</w:t>
                    </w:r>
                  </w:p>
                </w:tc>
                <w:tc>
                  <w:tcPr>
                    <w:tcW w:w="4111" w:type="dxa"/>
                    <w:vAlign w:val="center"/>
                    <w:hideMark/>
                  </w:tcPr>
                  <w:p>
                    <w:pPr>
                      <w:rPr>
                        <w:sz w:val="20"/>
                      </w:rPr>
                    </w:pPr>
                    <w:r>
                      <w:rPr>
                        <w:sz w:val="20"/>
                      </w:rPr>
                      <w:t xml:space="preserve">Asmenų, gaunančių laikino atokvėpio paslaugas, skaičius (asm. per metus) </w:t>
                    </w:r>
                  </w:p>
                </w:tc>
                <w:tc>
                  <w:tcPr>
                    <w:tcW w:w="1134" w:type="dxa"/>
                    <w:noWrap/>
                    <w:vAlign w:val="center"/>
                    <w:hideMark/>
                  </w:tcPr>
                  <w:p>
                    <w:pPr>
                      <w:jc w:val="center"/>
                      <w:rPr>
                        <w:sz w:val="20"/>
                      </w:rPr>
                    </w:pPr>
                    <w:r>
                      <w:rPr>
                        <w:sz w:val="20"/>
                      </w:rPr>
                      <w:t>SPS</w:t>
                    </w:r>
                  </w:p>
                </w:tc>
                <w:tc>
                  <w:tcPr>
                    <w:tcW w:w="1134" w:type="dxa"/>
                    <w:noWrap/>
                    <w:vAlign w:val="center"/>
                    <w:hideMark/>
                  </w:tcPr>
                  <w:p>
                    <w:pPr>
                      <w:jc w:val="center"/>
                      <w:rPr>
                        <w:sz w:val="20"/>
                      </w:rPr>
                    </w:pPr>
                    <w:r>
                      <w:rPr>
                        <w:sz w:val="20"/>
                      </w:rPr>
                      <w:t>25 (2023)</w:t>
                    </w:r>
                  </w:p>
                </w:tc>
                <w:tc>
                  <w:tcPr>
                    <w:tcW w:w="1134" w:type="dxa"/>
                    <w:noWrap/>
                    <w:vAlign w:val="center"/>
                    <w:hideMark/>
                  </w:tcPr>
                  <w:p>
                    <w:pPr>
                      <w:jc w:val="center"/>
                      <w:rPr>
                        <w:sz w:val="20"/>
                      </w:rPr>
                    </w:pPr>
                    <w:r>
                      <w:rPr>
                        <w:sz w:val="20"/>
                      </w:rPr>
                      <w:t>40 (2033)</w:t>
                    </w:r>
                  </w:p>
                </w:tc>
              </w:tr>
              <w:tr>
                <w:trPr>
                  <w:trHeight w:val="520"/>
                  <w:jc w:val="center"/>
                </w:trPr>
                <w:tc>
                  <w:tcPr>
                    <w:tcW w:w="988" w:type="dxa"/>
                    <w:vMerge w:val="restart"/>
                    <w:noWrap/>
                    <w:vAlign w:val="center"/>
                    <w:hideMark/>
                  </w:tcPr>
                  <w:p>
                    <w:pPr>
                      <w:rPr>
                        <w:sz w:val="20"/>
                      </w:rPr>
                    </w:pPr>
                    <w:r>
                      <w:rPr>
                        <w:sz w:val="20"/>
                      </w:rPr>
                      <w:t>16-01-07</w:t>
                    </w:r>
                  </w:p>
                </w:tc>
                <w:tc>
                  <w:tcPr>
                    <w:tcW w:w="2126" w:type="dxa"/>
                    <w:vMerge w:val="restart"/>
                    <w:vAlign w:val="center"/>
                    <w:hideMark/>
                  </w:tcPr>
                  <w:p>
                    <w:pPr>
                      <w:rPr>
                        <w:sz w:val="20"/>
                      </w:rPr>
                    </w:pPr>
                    <w:r>
                      <w:rPr>
                        <w:sz w:val="20"/>
                      </w:rPr>
                      <w:t>Didinti socialinio būsto prieinamumą</w:t>
                    </w:r>
                  </w:p>
                </w:tc>
                <w:tc>
                  <w:tcPr>
                    <w:tcW w:w="850" w:type="dxa"/>
                    <w:vMerge w:val="restart"/>
                    <w:noWrap/>
                    <w:vAlign w:val="center"/>
                    <w:hideMark/>
                  </w:tcPr>
                  <w:p>
                    <w:pPr>
                      <w:jc w:val="center"/>
                      <w:rPr>
                        <w:sz w:val="20"/>
                      </w:rPr>
                    </w:pPr>
                    <w:r>
                      <w:rPr>
                        <w:sz w:val="20"/>
                      </w:rPr>
                      <w:t>TVS</w:t>
                    </w:r>
                  </w:p>
                </w:tc>
                <w:tc>
                  <w:tcPr>
                    <w:tcW w:w="709" w:type="dxa"/>
                    <w:vMerge w:val="restart"/>
                    <w:noWrap/>
                    <w:vAlign w:val="center"/>
                    <w:hideMark/>
                  </w:tcPr>
                  <w:p>
                    <w:pPr>
                      <w:jc w:val="center"/>
                      <w:rPr>
                        <w:sz w:val="20"/>
                      </w:rPr>
                    </w:pPr>
                    <w:r>
                      <w:rPr>
                        <w:sz w:val="20"/>
                      </w:rPr>
                      <w:t>2025</w:t>
                    </w:r>
                  </w:p>
                </w:tc>
                <w:tc>
                  <w:tcPr>
                    <w:tcW w:w="709" w:type="dxa"/>
                    <w:vMerge w:val="restart"/>
                    <w:noWrap/>
                    <w:vAlign w:val="center"/>
                    <w:hideMark/>
                  </w:tcPr>
                  <w:p>
                    <w:pPr>
                      <w:jc w:val="center"/>
                      <w:rPr>
                        <w:sz w:val="20"/>
                      </w:rPr>
                    </w:pPr>
                    <w:r>
                      <w:rPr>
                        <w:sz w:val="20"/>
                      </w:rPr>
                      <w:t>2033</w:t>
                    </w:r>
                  </w:p>
                </w:tc>
                <w:tc>
                  <w:tcPr>
                    <w:tcW w:w="1417" w:type="dxa"/>
                    <w:noWrap/>
                    <w:vAlign w:val="center"/>
                    <w:hideMark/>
                  </w:tcPr>
                  <w:p>
                    <w:pPr>
                      <w:rPr>
                        <w:sz w:val="20"/>
                      </w:rPr>
                    </w:pPr>
                    <w:r>
                      <w:rPr>
                        <w:sz w:val="20"/>
                      </w:rPr>
                      <w:t>P-16-01-07-01</w:t>
                    </w:r>
                  </w:p>
                </w:tc>
                <w:tc>
                  <w:tcPr>
                    <w:tcW w:w="4111" w:type="dxa"/>
                    <w:vAlign w:val="center"/>
                    <w:hideMark/>
                  </w:tcPr>
                  <w:p>
                    <w:pPr>
                      <w:rPr>
                        <w:sz w:val="20"/>
                      </w:rPr>
                    </w:pPr>
                    <w:r>
                      <w:rPr>
                        <w:sz w:val="20"/>
                      </w:rPr>
                      <w:t>Suremontuotų savivaldybės administracijos butų skaičius (vnt.)</w:t>
                    </w:r>
                  </w:p>
                </w:tc>
                <w:tc>
                  <w:tcPr>
                    <w:tcW w:w="1134" w:type="dxa"/>
                    <w:vAlign w:val="center"/>
                    <w:hideMark/>
                  </w:tcPr>
                  <w:p>
                    <w:pPr>
                      <w:jc w:val="center"/>
                      <w:rPr>
                        <w:sz w:val="20"/>
                      </w:rPr>
                    </w:pPr>
                    <w:r>
                      <w:rPr>
                        <w:sz w:val="20"/>
                      </w:rPr>
                      <w:t>TVS</w:t>
                    </w:r>
                  </w:p>
                </w:tc>
                <w:tc>
                  <w:tcPr>
                    <w:tcW w:w="1134" w:type="dxa"/>
                    <w:vAlign w:val="center"/>
                    <w:hideMark/>
                  </w:tcPr>
                  <w:p>
                    <w:pPr>
                      <w:jc w:val="center"/>
                      <w:rPr>
                        <w:sz w:val="20"/>
                      </w:rPr>
                    </w:pPr>
                    <w:r>
                      <w:rPr>
                        <w:sz w:val="20"/>
                      </w:rPr>
                      <w:t>57 (2023)</w:t>
                    </w:r>
                  </w:p>
                </w:tc>
                <w:tc>
                  <w:tcPr>
                    <w:tcW w:w="1134" w:type="dxa"/>
                    <w:noWrap/>
                    <w:vAlign w:val="center"/>
                    <w:hideMark/>
                  </w:tcPr>
                  <w:p>
                    <w:pPr>
                      <w:jc w:val="center"/>
                      <w:rPr>
                        <w:sz w:val="20"/>
                      </w:rPr>
                    </w:pPr>
                    <w:r>
                      <w:rPr>
                        <w:sz w:val="20"/>
                      </w:rPr>
                      <w:t>597(2033)</w:t>
                    </w:r>
                  </w:p>
                </w:tc>
              </w:tr>
              <w:tr>
                <w:trPr>
                  <w:trHeight w:val="260"/>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rPr>
                        <w:sz w:val="20"/>
                      </w:rPr>
                    </w:pPr>
                  </w:p>
                </w:tc>
                <w:tc>
                  <w:tcPr>
                    <w:tcW w:w="709" w:type="dxa"/>
                    <w:vMerge/>
                    <w:vAlign w:val="center"/>
                    <w:hideMark/>
                  </w:tcPr>
                  <w:p>
                    <w:pPr>
                      <w:rPr>
                        <w:sz w:val="20"/>
                      </w:rPr>
                    </w:pPr>
                  </w:p>
                </w:tc>
                <w:tc>
                  <w:tcPr>
                    <w:tcW w:w="709" w:type="dxa"/>
                    <w:vMerge/>
                    <w:vAlign w:val="center"/>
                    <w:hideMark/>
                  </w:tcPr>
                  <w:p>
                    <w:pPr>
                      <w:rPr>
                        <w:sz w:val="20"/>
                      </w:rPr>
                    </w:pPr>
                  </w:p>
                </w:tc>
                <w:tc>
                  <w:tcPr>
                    <w:tcW w:w="1417" w:type="dxa"/>
                    <w:noWrap/>
                    <w:vAlign w:val="center"/>
                    <w:hideMark/>
                  </w:tcPr>
                  <w:p>
                    <w:pPr>
                      <w:rPr>
                        <w:sz w:val="20"/>
                      </w:rPr>
                    </w:pPr>
                    <w:r>
                      <w:rPr>
                        <w:sz w:val="20"/>
                      </w:rPr>
                      <w:t>P-16-01-07-02</w:t>
                    </w:r>
                  </w:p>
                </w:tc>
                <w:tc>
                  <w:tcPr>
                    <w:tcW w:w="4111" w:type="dxa"/>
                    <w:vAlign w:val="center"/>
                    <w:hideMark/>
                  </w:tcPr>
                  <w:p>
                    <w:pPr>
                      <w:rPr>
                        <w:sz w:val="20"/>
                      </w:rPr>
                    </w:pPr>
                    <w:r>
                      <w:rPr>
                        <w:sz w:val="20"/>
                      </w:rPr>
                      <w:t>Naujai įsigyto socialinio būsto apimtys (vnt.)</w:t>
                    </w:r>
                  </w:p>
                </w:tc>
                <w:tc>
                  <w:tcPr>
                    <w:tcW w:w="1134" w:type="dxa"/>
                    <w:vAlign w:val="center"/>
                    <w:hideMark/>
                  </w:tcPr>
                  <w:p>
                    <w:pPr>
                      <w:jc w:val="center"/>
                      <w:rPr>
                        <w:sz w:val="20"/>
                      </w:rPr>
                    </w:pPr>
                    <w:r>
                      <w:rPr>
                        <w:sz w:val="20"/>
                      </w:rPr>
                      <w:t>TVS</w:t>
                    </w:r>
                  </w:p>
                </w:tc>
                <w:tc>
                  <w:tcPr>
                    <w:tcW w:w="1134" w:type="dxa"/>
                    <w:vAlign w:val="center"/>
                    <w:hideMark/>
                  </w:tcPr>
                  <w:p>
                    <w:pPr>
                      <w:jc w:val="center"/>
                      <w:rPr>
                        <w:sz w:val="20"/>
                      </w:rPr>
                    </w:pPr>
                    <w:r>
                      <w:rPr>
                        <w:sz w:val="20"/>
                      </w:rPr>
                      <w:t>7 (2023)</w:t>
                    </w:r>
                  </w:p>
                </w:tc>
                <w:tc>
                  <w:tcPr>
                    <w:tcW w:w="1134" w:type="dxa"/>
                    <w:noWrap/>
                    <w:vAlign w:val="center"/>
                    <w:hideMark/>
                  </w:tcPr>
                  <w:p>
                    <w:pPr>
                      <w:jc w:val="center"/>
                      <w:rPr>
                        <w:sz w:val="20"/>
                      </w:rPr>
                    </w:pPr>
                    <w:r>
                      <w:rPr>
                        <w:sz w:val="20"/>
                      </w:rPr>
                      <w:t>60 (2033)</w:t>
                    </w:r>
                  </w:p>
                </w:tc>
              </w:tr>
              <w:tr>
                <w:trPr>
                  <w:trHeight w:val="455"/>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rPr>
                        <w:sz w:val="20"/>
                      </w:rPr>
                    </w:pPr>
                  </w:p>
                </w:tc>
                <w:tc>
                  <w:tcPr>
                    <w:tcW w:w="709" w:type="dxa"/>
                    <w:vMerge/>
                    <w:vAlign w:val="center"/>
                    <w:hideMark/>
                  </w:tcPr>
                  <w:p>
                    <w:pPr>
                      <w:rPr>
                        <w:sz w:val="20"/>
                      </w:rPr>
                    </w:pPr>
                  </w:p>
                </w:tc>
                <w:tc>
                  <w:tcPr>
                    <w:tcW w:w="709" w:type="dxa"/>
                    <w:vMerge/>
                    <w:vAlign w:val="center"/>
                    <w:hideMark/>
                  </w:tcPr>
                  <w:p>
                    <w:pPr>
                      <w:rPr>
                        <w:sz w:val="20"/>
                      </w:rPr>
                    </w:pPr>
                  </w:p>
                </w:tc>
                <w:tc>
                  <w:tcPr>
                    <w:tcW w:w="1417" w:type="dxa"/>
                    <w:noWrap/>
                    <w:vAlign w:val="center"/>
                    <w:hideMark/>
                  </w:tcPr>
                  <w:p>
                    <w:pPr>
                      <w:rPr>
                        <w:sz w:val="20"/>
                      </w:rPr>
                    </w:pPr>
                    <w:r>
                      <w:rPr>
                        <w:sz w:val="20"/>
                      </w:rPr>
                      <w:t>P-16-01-07-03</w:t>
                    </w:r>
                  </w:p>
                </w:tc>
                <w:tc>
                  <w:tcPr>
                    <w:tcW w:w="4111" w:type="dxa"/>
                    <w:vAlign w:val="center"/>
                    <w:hideMark/>
                  </w:tcPr>
                  <w:p>
                    <w:pPr>
                      <w:rPr>
                        <w:sz w:val="20"/>
                      </w:rPr>
                    </w:pPr>
                    <w:r>
                      <w:rPr>
                        <w:sz w:val="20"/>
                      </w:rPr>
                      <w:t xml:space="preserve">Į privatizuojamų objektų sąrašą įtrauktų socialinių būstų skaičius (vnt.) </w:t>
                    </w:r>
                  </w:p>
                </w:tc>
                <w:tc>
                  <w:tcPr>
                    <w:tcW w:w="1134" w:type="dxa"/>
                    <w:vAlign w:val="center"/>
                    <w:hideMark/>
                  </w:tcPr>
                  <w:p>
                    <w:pPr>
                      <w:jc w:val="center"/>
                      <w:rPr>
                        <w:sz w:val="20"/>
                      </w:rPr>
                    </w:pPr>
                    <w:r>
                      <w:rPr>
                        <w:sz w:val="20"/>
                      </w:rPr>
                      <w:t>TVS</w:t>
                    </w:r>
                  </w:p>
                </w:tc>
                <w:tc>
                  <w:tcPr>
                    <w:tcW w:w="1134" w:type="dxa"/>
                    <w:vAlign w:val="center"/>
                    <w:hideMark/>
                  </w:tcPr>
                  <w:p>
                    <w:pPr>
                      <w:jc w:val="center"/>
                      <w:rPr>
                        <w:sz w:val="20"/>
                      </w:rPr>
                    </w:pPr>
                    <w:r>
                      <w:rPr>
                        <w:sz w:val="20"/>
                      </w:rPr>
                      <w:t>23 (2023)</w:t>
                    </w:r>
                  </w:p>
                </w:tc>
                <w:tc>
                  <w:tcPr>
                    <w:tcW w:w="1134" w:type="dxa"/>
                    <w:noWrap/>
                    <w:vAlign w:val="center"/>
                    <w:hideMark/>
                  </w:tcPr>
                  <w:p>
                    <w:pPr>
                      <w:jc w:val="center"/>
                      <w:rPr>
                        <w:sz w:val="20"/>
                      </w:rPr>
                    </w:pPr>
                    <w:r>
                      <w:rPr>
                        <w:sz w:val="20"/>
                      </w:rPr>
                      <w:t>15 (2033)</w:t>
                    </w:r>
                  </w:p>
                </w:tc>
              </w:tr>
              <w:tr>
                <w:trPr>
                  <w:trHeight w:val="349"/>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rPr>
                        <w:sz w:val="20"/>
                      </w:rPr>
                    </w:pPr>
                  </w:p>
                </w:tc>
                <w:tc>
                  <w:tcPr>
                    <w:tcW w:w="709" w:type="dxa"/>
                    <w:vMerge/>
                    <w:vAlign w:val="center"/>
                    <w:hideMark/>
                  </w:tcPr>
                  <w:p>
                    <w:pPr>
                      <w:rPr>
                        <w:sz w:val="20"/>
                      </w:rPr>
                    </w:pPr>
                  </w:p>
                </w:tc>
                <w:tc>
                  <w:tcPr>
                    <w:tcW w:w="709" w:type="dxa"/>
                    <w:vMerge/>
                    <w:vAlign w:val="center"/>
                    <w:hideMark/>
                  </w:tcPr>
                  <w:p>
                    <w:pPr>
                      <w:rPr>
                        <w:sz w:val="20"/>
                      </w:rPr>
                    </w:pPr>
                  </w:p>
                </w:tc>
                <w:tc>
                  <w:tcPr>
                    <w:tcW w:w="1417" w:type="dxa"/>
                    <w:noWrap/>
                    <w:vAlign w:val="center"/>
                    <w:hideMark/>
                  </w:tcPr>
                  <w:p>
                    <w:pPr>
                      <w:rPr>
                        <w:sz w:val="20"/>
                      </w:rPr>
                    </w:pPr>
                    <w:r>
                      <w:rPr>
                        <w:sz w:val="20"/>
                      </w:rPr>
                      <w:t>P-16-01-07-04</w:t>
                    </w:r>
                  </w:p>
                </w:tc>
                <w:tc>
                  <w:tcPr>
                    <w:tcW w:w="4111" w:type="dxa"/>
                    <w:vAlign w:val="center"/>
                    <w:hideMark/>
                  </w:tcPr>
                  <w:p>
                    <w:pPr>
                      <w:rPr>
                        <w:sz w:val="20"/>
                      </w:rPr>
                    </w:pPr>
                    <w:r>
                      <w:rPr>
                        <w:sz w:val="20"/>
                      </w:rPr>
                      <w:t>Asmenų (šeimų), laukiančių socialinio būsto, skaičius metų pabaigoje (vnt.)</w:t>
                    </w:r>
                  </w:p>
                </w:tc>
                <w:tc>
                  <w:tcPr>
                    <w:tcW w:w="1134" w:type="dxa"/>
                    <w:noWrap/>
                    <w:vAlign w:val="center"/>
                    <w:hideMark/>
                  </w:tcPr>
                  <w:p>
                    <w:pPr>
                      <w:jc w:val="center"/>
                      <w:rPr>
                        <w:sz w:val="20"/>
                      </w:rPr>
                    </w:pPr>
                    <w:r>
                      <w:rPr>
                        <w:sz w:val="20"/>
                      </w:rPr>
                      <w:t>TVS</w:t>
                    </w:r>
                  </w:p>
                </w:tc>
                <w:tc>
                  <w:tcPr>
                    <w:tcW w:w="1134" w:type="dxa"/>
                    <w:noWrap/>
                    <w:vAlign w:val="center"/>
                    <w:hideMark/>
                  </w:tcPr>
                  <w:p>
                    <w:pPr>
                      <w:jc w:val="center"/>
                      <w:rPr>
                        <w:sz w:val="20"/>
                      </w:rPr>
                    </w:pPr>
                    <w:r>
                      <w:rPr>
                        <w:sz w:val="20"/>
                      </w:rPr>
                      <w:t>459 (2023)</w:t>
                    </w:r>
                  </w:p>
                </w:tc>
                <w:tc>
                  <w:tcPr>
                    <w:tcW w:w="1134" w:type="dxa"/>
                    <w:noWrap/>
                    <w:vAlign w:val="center"/>
                    <w:hideMark/>
                  </w:tcPr>
                  <w:p>
                    <w:pPr>
                      <w:jc w:val="center"/>
                      <w:rPr>
                        <w:sz w:val="20"/>
                      </w:rPr>
                    </w:pPr>
                    <w:r>
                      <w:rPr>
                        <w:sz w:val="20"/>
                      </w:rPr>
                      <w:t>300 (2033)</w:t>
                    </w:r>
                  </w:p>
                </w:tc>
              </w:tr>
              <w:tr>
                <w:trPr>
                  <w:trHeight w:val="925"/>
                  <w:jc w:val="center"/>
                </w:trPr>
                <w:tc>
                  <w:tcPr>
                    <w:tcW w:w="988" w:type="dxa"/>
                    <w:vMerge w:val="restart"/>
                    <w:shd w:val="clear" w:color="auto" w:fill="FCE4D6"/>
                    <w:noWrap/>
                    <w:vAlign w:val="center"/>
                    <w:hideMark/>
                  </w:tcPr>
                  <w:p>
                    <w:pPr>
                      <w:rPr>
                        <w:b/>
                        <w:bCs/>
                        <w:sz w:val="20"/>
                      </w:rPr>
                    </w:pPr>
                    <w:r>
                      <w:rPr>
                        <w:b/>
                        <w:bCs/>
                        <w:sz w:val="20"/>
                      </w:rPr>
                      <w:t>16-02</w:t>
                    </w:r>
                  </w:p>
                </w:tc>
                <w:tc>
                  <w:tcPr>
                    <w:tcW w:w="2126" w:type="dxa"/>
                    <w:vMerge w:val="restart"/>
                    <w:shd w:val="clear" w:color="auto" w:fill="FCE4D6"/>
                    <w:vAlign w:val="center"/>
                    <w:hideMark/>
                  </w:tcPr>
                  <w:p>
                    <w:pPr>
                      <w:rPr>
                        <w:b/>
                        <w:bCs/>
                        <w:sz w:val="20"/>
                      </w:rPr>
                    </w:pPr>
                    <w:r>
                      <w:rPr>
                        <w:b/>
                        <w:bCs/>
                        <w:sz w:val="20"/>
                      </w:rPr>
                      <w:t>Užtikrinti socialinių paslaugų prieinamumą ir kokybę, plečiant, atnaujinant ir modernizuojant socialinių paslaugų infrastruktūrą</w:t>
                    </w:r>
                  </w:p>
                </w:tc>
                <w:tc>
                  <w:tcPr>
                    <w:tcW w:w="850" w:type="dxa"/>
                    <w:vMerge w:val="restart"/>
                    <w:shd w:val="clear" w:color="auto" w:fill="FCE4D6"/>
                    <w:noWrap/>
                    <w:vAlign w:val="center"/>
                    <w:hideMark/>
                  </w:tcPr>
                  <w:p>
                    <w:pPr>
                      <w:jc w:val="center"/>
                      <w:rPr>
                        <w:sz w:val="20"/>
                      </w:rPr>
                    </w:pPr>
                    <w:r>
                      <w:rPr>
                        <w:sz w:val="20"/>
                      </w:rPr>
                      <w:t>SPS</w:t>
                    </w:r>
                  </w:p>
                </w:tc>
                <w:tc>
                  <w:tcPr>
                    <w:tcW w:w="709" w:type="dxa"/>
                    <w:vMerge w:val="restart"/>
                    <w:shd w:val="clear" w:color="auto" w:fill="FCE4D6"/>
                    <w:noWrap/>
                    <w:vAlign w:val="center"/>
                    <w:hideMark/>
                  </w:tcPr>
                  <w:p>
                    <w:pPr>
                      <w:jc w:val="center"/>
                      <w:rPr>
                        <w:sz w:val="20"/>
                      </w:rPr>
                    </w:pPr>
                    <w:r>
                      <w:rPr>
                        <w:sz w:val="20"/>
                      </w:rPr>
                      <w:t>2025</w:t>
                    </w:r>
                  </w:p>
                </w:tc>
                <w:tc>
                  <w:tcPr>
                    <w:tcW w:w="709" w:type="dxa"/>
                    <w:vMerge w:val="restart"/>
                    <w:shd w:val="clear" w:color="auto" w:fill="FCE4D6"/>
                    <w:noWrap/>
                    <w:vAlign w:val="center"/>
                    <w:hideMark/>
                  </w:tcPr>
                  <w:p>
                    <w:pPr>
                      <w:jc w:val="center"/>
                      <w:rPr>
                        <w:sz w:val="20"/>
                      </w:rPr>
                    </w:pPr>
                    <w:r>
                      <w:rPr>
                        <w:sz w:val="20"/>
                      </w:rPr>
                      <w:t>2033</w:t>
                    </w:r>
                  </w:p>
                </w:tc>
                <w:tc>
                  <w:tcPr>
                    <w:tcW w:w="1417" w:type="dxa"/>
                    <w:tcBorders>
                      <w:bottom w:val="single" w:sz="4" w:space="0" w:color="auto"/>
                    </w:tcBorders>
                    <w:shd w:val="clear" w:color="auto" w:fill="FCE4D6"/>
                    <w:noWrap/>
                    <w:vAlign w:val="center"/>
                    <w:hideMark/>
                  </w:tcPr>
                  <w:p>
                    <w:pPr>
                      <w:rPr>
                        <w:sz w:val="20"/>
                      </w:rPr>
                    </w:pPr>
                    <w:r>
                      <w:rPr>
                        <w:sz w:val="20"/>
                      </w:rPr>
                      <w:t>R-16-02-01</w:t>
                    </w:r>
                  </w:p>
                </w:tc>
                <w:tc>
                  <w:tcPr>
                    <w:tcW w:w="4111" w:type="dxa"/>
                    <w:tcBorders>
                      <w:bottom w:val="single" w:sz="4" w:space="0" w:color="auto"/>
                    </w:tcBorders>
                    <w:shd w:val="clear" w:color="auto" w:fill="FCE4D6"/>
                    <w:vAlign w:val="center"/>
                    <w:hideMark/>
                  </w:tcPr>
                  <w:p>
                    <w:pPr>
                      <w:rPr>
                        <w:sz w:val="20"/>
                      </w:rPr>
                    </w:pPr>
                    <w:r>
                      <w:rPr>
                        <w:sz w:val="20"/>
                      </w:rPr>
                      <w:t>Socialinių įstaigų pastatų, kurie yra geros būklės, skaičius nuo visų socialinių įstaigų pastatų (vnt. / vnt.)</w:t>
                    </w:r>
                  </w:p>
                </w:tc>
                <w:tc>
                  <w:tcPr>
                    <w:tcW w:w="1134" w:type="dxa"/>
                    <w:tcBorders>
                      <w:bottom w:val="single" w:sz="4" w:space="0" w:color="auto"/>
                    </w:tcBorders>
                    <w:shd w:val="clear" w:color="auto" w:fill="FCE4D6"/>
                    <w:vAlign w:val="center"/>
                    <w:hideMark/>
                  </w:tcPr>
                  <w:p>
                    <w:pPr>
                      <w:jc w:val="center"/>
                      <w:rPr>
                        <w:sz w:val="20"/>
                      </w:rPr>
                    </w:pPr>
                    <w:r>
                      <w:rPr>
                        <w:sz w:val="20"/>
                      </w:rPr>
                      <w:t>ŠMSA (SPS)</w:t>
                    </w:r>
                  </w:p>
                </w:tc>
                <w:tc>
                  <w:tcPr>
                    <w:tcW w:w="1134" w:type="dxa"/>
                    <w:tcBorders>
                      <w:bottom w:val="single" w:sz="4" w:space="0" w:color="auto"/>
                    </w:tcBorders>
                    <w:shd w:val="clear" w:color="auto" w:fill="FCE4D6"/>
                    <w:vAlign w:val="center"/>
                    <w:hideMark/>
                  </w:tcPr>
                  <w:p>
                    <w:pPr>
                      <w:jc w:val="center"/>
                      <w:rPr>
                        <w:sz w:val="20"/>
                      </w:rPr>
                    </w:pPr>
                    <w:r>
                      <w:rPr>
                        <w:sz w:val="20"/>
                      </w:rPr>
                      <w:t>11 / 13 (2023)</w:t>
                    </w:r>
                  </w:p>
                </w:tc>
                <w:tc>
                  <w:tcPr>
                    <w:tcW w:w="1134" w:type="dxa"/>
                    <w:tcBorders>
                      <w:bottom w:val="single" w:sz="4" w:space="0" w:color="auto"/>
                    </w:tcBorders>
                    <w:shd w:val="clear" w:color="auto" w:fill="FCE4D6"/>
                    <w:noWrap/>
                    <w:vAlign w:val="center"/>
                    <w:hideMark/>
                  </w:tcPr>
                  <w:p>
                    <w:pPr>
                      <w:jc w:val="center"/>
                      <w:rPr>
                        <w:sz w:val="20"/>
                      </w:rPr>
                    </w:pPr>
                    <w:r>
                      <w:rPr>
                        <w:sz w:val="20"/>
                      </w:rPr>
                      <w:t>19 / 19 (2033)</w:t>
                    </w:r>
                  </w:p>
                </w:tc>
              </w:tr>
              <w:tr>
                <w:trPr>
                  <w:trHeight w:val="824"/>
                  <w:jc w:val="center"/>
                </w:trPr>
                <w:tc>
                  <w:tcPr>
                    <w:tcW w:w="988" w:type="dxa"/>
                    <w:vMerge/>
                    <w:shd w:val="clear" w:color="auto" w:fill="FCE4D6"/>
                    <w:noWrap/>
                    <w:vAlign w:val="center"/>
                  </w:tcPr>
                  <w:p>
                    <w:pPr>
                      <w:rPr>
                        <w:b/>
                        <w:bCs/>
                        <w:sz w:val="20"/>
                      </w:rPr>
                    </w:pPr>
                  </w:p>
                </w:tc>
                <w:tc>
                  <w:tcPr>
                    <w:tcW w:w="2126" w:type="dxa"/>
                    <w:vMerge/>
                    <w:shd w:val="clear" w:color="auto" w:fill="FCE4D6"/>
                    <w:vAlign w:val="center"/>
                  </w:tcPr>
                  <w:p>
                    <w:pPr>
                      <w:rPr>
                        <w:b/>
                        <w:bCs/>
                        <w:sz w:val="20"/>
                      </w:rPr>
                    </w:pPr>
                  </w:p>
                </w:tc>
                <w:tc>
                  <w:tcPr>
                    <w:tcW w:w="850" w:type="dxa"/>
                    <w:vMerge/>
                    <w:shd w:val="clear" w:color="auto" w:fill="FCE4D6"/>
                    <w:noWrap/>
                    <w:vAlign w:val="center"/>
                  </w:tcPr>
                  <w:p>
                    <w:pPr>
                      <w:jc w:val="center"/>
                      <w:rPr>
                        <w:sz w:val="20"/>
                      </w:rPr>
                    </w:pPr>
                  </w:p>
                </w:tc>
                <w:tc>
                  <w:tcPr>
                    <w:tcW w:w="709" w:type="dxa"/>
                    <w:vMerge/>
                    <w:shd w:val="clear" w:color="auto" w:fill="FCE4D6"/>
                    <w:noWrap/>
                    <w:vAlign w:val="center"/>
                  </w:tcPr>
                  <w:p>
                    <w:pPr>
                      <w:jc w:val="center"/>
                      <w:rPr>
                        <w:sz w:val="20"/>
                      </w:rPr>
                    </w:pPr>
                  </w:p>
                </w:tc>
                <w:tc>
                  <w:tcPr>
                    <w:tcW w:w="709" w:type="dxa"/>
                    <w:vMerge/>
                    <w:shd w:val="clear" w:color="auto" w:fill="FCE4D6"/>
                    <w:noWrap/>
                    <w:vAlign w:val="center"/>
                  </w:tcPr>
                  <w:p>
                    <w:pPr>
                      <w:jc w:val="center"/>
                      <w:rPr>
                        <w:sz w:val="20"/>
                      </w:rPr>
                    </w:pPr>
                  </w:p>
                </w:tc>
                <w:tc>
                  <w:tcPr>
                    <w:tcW w:w="1417" w:type="dxa"/>
                    <w:tcBorders>
                      <w:top w:val="single" w:sz="4" w:space="0" w:color="auto"/>
                      <w:left w:val="single" w:sz="4" w:space="0" w:color="auto"/>
                      <w:bottom w:val="single" w:sz="4" w:space="0" w:color="auto"/>
                      <w:right w:val="single" w:sz="4" w:space="0" w:color="auto"/>
                    </w:tcBorders>
                    <w:shd w:val="clear" w:color="000000" w:fill="FCE4D6"/>
                    <w:noWrap/>
                    <w:vAlign w:val="center"/>
                  </w:tcPr>
                  <w:p>
                    <w:pPr>
                      <w:rPr>
                        <w:sz w:val="20"/>
                      </w:rPr>
                    </w:pPr>
                    <w:r>
                      <w:rPr>
                        <w:rFonts w:eastAsia="MS Mincho"/>
                        <w:color w:val="000000"/>
                        <w:kern w:val="2"/>
                        <w:sz w:val="20"/>
                      </w:rPr>
                      <w:t>R-16-02-02</w:t>
                    </w:r>
                  </w:p>
                </w:tc>
                <w:tc>
                  <w:tcPr>
                    <w:tcW w:w="4111" w:type="dxa"/>
                    <w:tcBorders>
                      <w:top w:val="single" w:sz="4" w:space="0" w:color="auto"/>
                      <w:left w:val="nil"/>
                      <w:bottom w:val="single" w:sz="4" w:space="0" w:color="auto"/>
                      <w:right w:val="single" w:sz="4" w:space="0" w:color="auto"/>
                    </w:tcBorders>
                    <w:shd w:val="clear" w:color="000000" w:fill="FCE4D6"/>
                    <w:vAlign w:val="center"/>
                  </w:tcPr>
                  <w:p>
                    <w:pPr>
                      <w:rPr>
                        <w:sz w:val="20"/>
                      </w:rPr>
                    </w:pPr>
                    <w:r>
                      <w:rPr>
                        <w:rFonts w:eastAsia="MS Mincho"/>
                        <w:color w:val="000000"/>
                        <w:kern w:val="2"/>
                        <w:sz w:val="20"/>
                      </w:rPr>
                      <w:t>Asmenų ir šeimų, laukiančių socialinio būsto nuomos, laukimo laikas (metai)</w:t>
                    </w:r>
                  </w:p>
                </w:tc>
                <w:tc>
                  <w:tcPr>
                    <w:tcW w:w="1134" w:type="dxa"/>
                    <w:tcBorders>
                      <w:top w:val="single" w:sz="4" w:space="0" w:color="auto"/>
                      <w:left w:val="single" w:sz="4" w:space="0" w:color="auto"/>
                      <w:bottom w:val="single" w:sz="4" w:space="0" w:color="auto"/>
                      <w:right w:val="single" w:sz="4" w:space="0" w:color="auto"/>
                    </w:tcBorders>
                    <w:shd w:val="clear" w:color="000000" w:fill="FCE4D6"/>
                    <w:vAlign w:val="center"/>
                  </w:tcPr>
                  <w:p>
                    <w:pPr>
                      <w:jc w:val="center"/>
                      <w:rPr>
                        <w:sz w:val="20"/>
                      </w:rPr>
                    </w:pPr>
                    <w:r>
                      <w:rPr>
                        <w:rFonts w:eastAsia="MS Mincho"/>
                        <w:color w:val="000000"/>
                        <w:kern w:val="2"/>
                        <w:sz w:val="20"/>
                      </w:rPr>
                      <w:t>ŠMSA (TVS)</w:t>
                    </w:r>
                  </w:p>
                </w:tc>
                <w:tc>
                  <w:tcPr>
                    <w:tcW w:w="1134" w:type="dxa"/>
                    <w:tcBorders>
                      <w:top w:val="single" w:sz="4" w:space="0" w:color="auto"/>
                      <w:left w:val="nil"/>
                      <w:bottom w:val="single" w:sz="4" w:space="0" w:color="auto"/>
                      <w:right w:val="single" w:sz="4" w:space="0" w:color="auto"/>
                    </w:tcBorders>
                    <w:shd w:val="clear" w:color="000000" w:fill="FCE4D6"/>
                    <w:vAlign w:val="center"/>
                  </w:tcPr>
                  <w:p>
                    <w:pPr>
                      <w:jc w:val="center"/>
                      <w:rPr>
                        <w:sz w:val="20"/>
                      </w:rPr>
                    </w:pPr>
                    <w:r>
                      <w:rPr>
                        <w:rFonts w:eastAsia="MS Mincho"/>
                        <w:color w:val="000000"/>
                        <w:kern w:val="2"/>
                        <w:sz w:val="20"/>
                      </w:rPr>
                      <w:t>7 (2023)</w:t>
                    </w:r>
                  </w:p>
                </w:tc>
                <w:tc>
                  <w:tcPr>
                    <w:tcW w:w="1134" w:type="dxa"/>
                    <w:tcBorders>
                      <w:top w:val="single" w:sz="4" w:space="0" w:color="auto"/>
                      <w:left w:val="nil"/>
                      <w:bottom w:val="single" w:sz="4" w:space="0" w:color="auto"/>
                      <w:right w:val="single" w:sz="4" w:space="0" w:color="auto"/>
                    </w:tcBorders>
                    <w:shd w:val="clear" w:color="000000" w:fill="FCE4D6"/>
                    <w:noWrap/>
                    <w:vAlign w:val="center"/>
                  </w:tcPr>
                  <w:p>
                    <w:pPr>
                      <w:jc w:val="center"/>
                      <w:rPr>
                        <w:sz w:val="20"/>
                      </w:rPr>
                    </w:pPr>
                    <w:r>
                      <w:rPr>
                        <w:rFonts w:eastAsia="MS Mincho"/>
                        <w:color w:val="000000"/>
                        <w:kern w:val="2"/>
                        <w:sz w:val="20"/>
                      </w:rPr>
                      <w:t>4 (2033)</w:t>
                    </w:r>
                  </w:p>
                </w:tc>
              </w:tr>
              <w:tr>
                <w:trPr>
                  <w:trHeight w:val="625"/>
                  <w:jc w:val="center"/>
                </w:trPr>
                <w:tc>
                  <w:tcPr>
                    <w:tcW w:w="988" w:type="dxa"/>
                    <w:noWrap/>
                    <w:vAlign w:val="center"/>
                    <w:hideMark/>
                  </w:tcPr>
                  <w:p>
                    <w:pPr>
                      <w:rPr>
                        <w:sz w:val="20"/>
                      </w:rPr>
                    </w:pPr>
                    <w:r>
                      <w:rPr>
                        <w:sz w:val="20"/>
                      </w:rPr>
                      <w:t>16-02-01</w:t>
                    </w:r>
                  </w:p>
                </w:tc>
                <w:tc>
                  <w:tcPr>
                    <w:tcW w:w="2126" w:type="dxa"/>
                    <w:tcBorders>
                      <w:bottom w:val="single" w:sz="4" w:space="0" w:color="auto"/>
                    </w:tcBorders>
                    <w:vAlign w:val="center"/>
                    <w:hideMark/>
                  </w:tcPr>
                  <w:p>
                    <w:pPr>
                      <w:rPr>
                        <w:sz w:val="20"/>
                      </w:rPr>
                    </w:pPr>
                    <w:r>
                      <w:rPr>
                        <w:sz w:val="20"/>
                      </w:rPr>
                      <w:t>Atnaujinti ir modernizuoti esamas socialines įstaigas</w:t>
                    </w:r>
                  </w:p>
                </w:tc>
                <w:tc>
                  <w:tcPr>
                    <w:tcW w:w="850" w:type="dxa"/>
                    <w:tcBorders>
                      <w:bottom w:val="single" w:sz="4" w:space="0" w:color="auto"/>
                    </w:tcBorders>
                    <w:noWrap/>
                    <w:vAlign w:val="center"/>
                    <w:hideMark/>
                  </w:tcPr>
                  <w:p>
                    <w:pPr>
                      <w:jc w:val="center"/>
                      <w:rPr>
                        <w:sz w:val="20"/>
                      </w:rPr>
                    </w:pPr>
                    <w:r>
                      <w:rPr>
                        <w:sz w:val="20"/>
                      </w:rPr>
                      <w:t>SPS</w:t>
                    </w:r>
                  </w:p>
                </w:tc>
                <w:tc>
                  <w:tcPr>
                    <w:tcW w:w="709" w:type="dxa"/>
                    <w:tcBorders>
                      <w:bottom w:val="single" w:sz="4" w:space="0" w:color="auto"/>
                    </w:tcBorders>
                    <w:noWrap/>
                    <w:vAlign w:val="center"/>
                    <w:hideMark/>
                  </w:tcPr>
                  <w:p>
                    <w:pPr>
                      <w:jc w:val="center"/>
                      <w:rPr>
                        <w:sz w:val="20"/>
                      </w:rPr>
                    </w:pPr>
                    <w:r>
                      <w:rPr>
                        <w:sz w:val="20"/>
                      </w:rPr>
                      <w:t>2025</w:t>
                    </w:r>
                  </w:p>
                </w:tc>
                <w:tc>
                  <w:tcPr>
                    <w:tcW w:w="709" w:type="dxa"/>
                    <w:tcBorders>
                      <w:bottom w:val="single" w:sz="4" w:space="0" w:color="auto"/>
                    </w:tcBorders>
                    <w:noWrap/>
                    <w:vAlign w:val="center"/>
                    <w:hideMark/>
                  </w:tcPr>
                  <w:p>
                    <w:pPr>
                      <w:jc w:val="center"/>
                      <w:rPr>
                        <w:sz w:val="20"/>
                      </w:rPr>
                    </w:pPr>
                    <w:r>
                      <w:rPr>
                        <w:sz w:val="20"/>
                      </w:rPr>
                      <w:t>2033</w:t>
                    </w:r>
                  </w:p>
                </w:tc>
                <w:tc>
                  <w:tcPr>
                    <w:tcW w:w="1417" w:type="dxa"/>
                    <w:tcBorders>
                      <w:bottom w:val="single" w:sz="4" w:space="0" w:color="auto"/>
                    </w:tcBorders>
                    <w:noWrap/>
                    <w:vAlign w:val="center"/>
                    <w:hideMark/>
                  </w:tcPr>
                  <w:p>
                    <w:pPr>
                      <w:rPr>
                        <w:sz w:val="20"/>
                      </w:rPr>
                    </w:pPr>
                    <w:r>
                      <w:rPr>
                        <w:sz w:val="20"/>
                      </w:rPr>
                      <w:t>P-16-02-01-01</w:t>
                    </w:r>
                  </w:p>
                </w:tc>
                <w:tc>
                  <w:tcPr>
                    <w:tcW w:w="4111" w:type="dxa"/>
                    <w:tcBorders>
                      <w:top w:val="single" w:sz="4" w:space="0" w:color="auto"/>
                      <w:bottom w:val="single" w:sz="4" w:space="0" w:color="auto"/>
                    </w:tcBorders>
                    <w:vAlign w:val="center"/>
                    <w:hideMark/>
                  </w:tcPr>
                  <w:p>
                    <w:pPr>
                      <w:rPr>
                        <w:sz w:val="20"/>
                      </w:rPr>
                    </w:pPr>
                    <w:r>
                      <w:rPr>
                        <w:sz w:val="20"/>
                      </w:rPr>
                      <w:t>Renovuotas Socialinių paslaugų centro pastatas (vnt.)</w:t>
                    </w:r>
                  </w:p>
                </w:tc>
                <w:tc>
                  <w:tcPr>
                    <w:tcW w:w="1134" w:type="dxa"/>
                    <w:tcBorders>
                      <w:top w:val="single" w:sz="4" w:space="0" w:color="auto"/>
                      <w:bottom w:val="single" w:sz="4" w:space="0" w:color="auto"/>
                    </w:tcBorders>
                    <w:vAlign w:val="center"/>
                    <w:hideMark/>
                  </w:tcPr>
                  <w:p>
                    <w:pPr>
                      <w:jc w:val="center"/>
                      <w:rPr>
                        <w:sz w:val="20"/>
                      </w:rPr>
                    </w:pPr>
                    <w:r>
                      <w:rPr>
                        <w:sz w:val="20"/>
                      </w:rPr>
                      <w:t>SPS</w:t>
                    </w:r>
                  </w:p>
                </w:tc>
                <w:tc>
                  <w:tcPr>
                    <w:tcW w:w="1134" w:type="dxa"/>
                    <w:tcBorders>
                      <w:top w:val="single" w:sz="4" w:space="0" w:color="auto"/>
                      <w:bottom w:val="single" w:sz="4" w:space="0" w:color="auto"/>
                    </w:tcBorders>
                    <w:vAlign w:val="center"/>
                    <w:hideMark/>
                  </w:tcPr>
                  <w:p>
                    <w:pPr>
                      <w:jc w:val="center"/>
                      <w:rPr>
                        <w:sz w:val="20"/>
                      </w:rPr>
                    </w:pPr>
                    <w:r>
                      <w:rPr>
                        <w:sz w:val="20"/>
                      </w:rPr>
                      <w:t>0 (2023)</w:t>
                    </w:r>
                  </w:p>
                </w:tc>
                <w:tc>
                  <w:tcPr>
                    <w:tcW w:w="1134" w:type="dxa"/>
                    <w:tcBorders>
                      <w:top w:val="single" w:sz="4" w:space="0" w:color="auto"/>
                      <w:bottom w:val="single" w:sz="4" w:space="0" w:color="auto"/>
                    </w:tcBorders>
                    <w:noWrap/>
                    <w:vAlign w:val="center"/>
                    <w:hideMark/>
                  </w:tcPr>
                  <w:p>
                    <w:pPr>
                      <w:jc w:val="center"/>
                      <w:rPr>
                        <w:sz w:val="20"/>
                      </w:rPr>
                    </w:pPr>
                    <w:r>
                      <w:rPr>
                        <w:sz w:val="20"/>
                      </w:rPr>
                      <w:t>1 (2029)</w:t>
                    </w:r>
                  </w:p>
                </w:tc>
              </w:tr>
              <w:tr>
                <w:trPr>
                  <w:trHeight w:val="361"/>
                  <w:jc w:val="center"/>
                </w:trPr>
                <w:tc>
                  <w:tcPr>
                    <w:tcW w:w="988" w:type="dxa"/>
                    <w:vMerge w:val="restart"/>
                    <w:noWrap/>
                    <w:vAlign w:val="center"/>
                    <w:hideMark/>
                  </w:tcPr>
                  <w:p>
                    <w:pPr>
                      <w:rPr>
                        <w:sz w:val="20"/>
                      </w:rPr>
                    </w:pPr>
                    <w:r>
                      <w:rPr>
                        <w:sz w:val="20"/>
                      </w:rPr>
                      <w:t>16-02-02</w:t>
                    </w:r>
                  </w:p>
                </w:tc>
                <w:tc>
                  <w:tcPr>
                    <w:tcW w:w="2126" w:type="dxa"/>
                    <w:vMerge w:val="restart"/>
                    <w:vAlign w:val="center"/>
                    <w:hideMark/>
                  </w:tcPr>
                  <w:p>
                    <w:pPr>
                      <w:rPr>
                        <w:sz w:val="20"/>
                      </w:rPr>
                    </w:pPr>
                    <w:r>
                      <w:rPr>
                        <w:sz w:val="20"/>
                      </w:rPr>
                      <w:t>Plėsti, statyti ir / ar įkurti naujas socialines įstaigas</w:t>
                    </w:r>
                  </w:p>
                </w:tc>
                <w:tc>
                  <w:tcPr>
                    <w:tcW w:w="850" w:type="dxa"/>
                    <w:vMerge w:val="restart"/>
                    <w:noWrap/>
                    <w:vAlign w:val="center"/>
                    <w:hideMark/>
                  </w:tcPr>
                  <w:p>
                    <w:pPr>
                      <w:jc w:val="center"/>
                      <w:rPr>
                        <w:sz w:val="20"/>
                      </w:rPr>
                    </w:pPr>
                    <w:r>
                      <w:rPr>
                        <w:sz w:val="20"/>
                      </w:rPr>
                      <w:t>SPS</w:t>
                    </w:r>
                  </w:p>
                </w:tc>
                <w:tc>
                  <w:tcPr>
                    <w:tcW w:w="709" w:type="dxa"/>
                    <w:vMerge w:val="restart"/>
                    <w:noWrap/>
                    <w:vAlign w:val="center"/>
                    <w:hideMark/>
                  </w:tcPr>
                  <w:p>
                    <w:pPr>
                      <w:jc w:val="center"/>
                      <w:rPr>
                        <w:sz w:val="20"/>
                      </w:rPr>
                    </w:pPr>
                    <w:r>
                      <w:rPr>
                        <w:sz w:val="20"/>
                      </w:rPr>
                      <w:t>2025</w:t>
                    </w:r>
                  </w:p>
                </w:tc>
                <w:tc>
                  <w:tcPr>
                    <w:tcW w:w="709" w:type="dxa"/>
                    <w:vMerge w:val="restart"/>
                    <w:noWrap/>
                    <w:vAlign w:val="center"/>
                    <w:hideMark/>
                  </w:tcPr>
                  <w:p>
                    <w:pPr>
                      <w:jc w:val="center"/>
                      <w:rPr>
                        <w:sz w:val="20"/>
                      </w:rPr>
                    </w:pPr>
                    <w:r>
                      <w:rPr>
                        <w:sz w:val="20"/>
                      </w:rPr>
                      <w:t>2033</w:t>
                    </w:r>
                  </w:p>
                </w:tc>
                <w:tc>
                  <w:tcPr>
                    <w:tcW w:w="1417" w:type="dxa"/>
                    <w:tcBorders>
                      <w:top w:val="single" w:sz="4" w:space="0" w:color="auto"/>
                    </w:tcBorders>
                    <w:noWrap/>
                    <w:vAlign w:val="center"/>
                    <w:hideMark/>
                  </w:tcPr>
                  <w:p>
                    <w:pPr>
                      <w:rPr>
                        <w:sz w:val="20"/>
                      </w:rPr>
                    </w:pPr>
                    <w:r>
                      <w:rPr>
                        <w:sz w:val="20"/>
                      </w:rPr>
                      <w:t>P-16-02-02-01</w:t>
                    </w:r>
                  </w:p>
                </w:tc>
                <w:tc>
                  <w:tcPr>
                    <w:tcW w:w="4111" w:type="dxa"/>
                    <w:tcBorders>
                      <w:top w:val="single" w:sz="4" w:space="0" w:color="auto"/>
                    </w:tcBorders>
                    <w:vAlign w:val="center"/>
                    <w:hideMark/>
                  </w:tcPr>
                  <w:p>
                    <w:pPr>
                      <w:rPr>
                        <w:sz w:val="20"/>
                      </w:rPr>
                    </w:pPr>
                    <w:r>
                      <w:rPr>
                        <w:sz w:val="20"/>
                      </w:rPr>
                      <w:t xml:space="preserve">Grupinio gyvenimo namų skaičius (vnt.) </w:t>
                    </w:r>
                  </w:p>
                </w:tc>
                <w:tc>
                  <w:tcPr>
                    <w:tcW w:w="1134" w:type="dxa"/>
                    <w:tcBorders>
                      <w:top w:val="single" w:sz="4" w:space="0" w:color="auto"/>
                    </w:tcBorders>
                    <w:vAlign w:val="center"/>
                    <w:hideMark/>
                  </w:tcPr>
                  <w:p>
                    <w:pPr>
                      <w:jc w:val="center"/>
                      <w:rPr>
                        <w:sz w:val="20"/>
                      </w:rPr>
                    </w:pPr>
                    <w:r>
                      <w:rPr>
                        <w:sz w:val="20"/>
                      </w:rPr>
                      <w:t>SPS</w:t>
                    </w:r>
                  </w:p>
                </w:tc>
                <w:tc>
                  <w:tcPr>
                    <w:tcW w:w="1134" w:type="dxa"/>
                    <w:tcBorders>
                      <w:top w:val="single" w:sz="4" w:space="0" w:color="auto"/>
                    </w:tcBorders>
                    <w:vAlign w:val="center"/>
                    <w:hideMark/>
                  </w:tcPr>
                  <w:p>
                    <w:pPr>
                      <w:jc w:val="center"/>
                      <w:rPr>
                        <w:sz w:val="20"/>
                      </w:rPr>
                    </w:pPr>
                    <w:r>
                      <w:rPr>
                        <w:sz w:val="20"/>
                      </w:rPr>
                      <w:t>4 (2024)</w:t>
                    </w:r>
                  </w:p>
                </w:tc>
                <w:tc>
                  <w:tcPr>
                    <w:tcW w:w="1134" w:type="dxa"/>
                    <w:tcBorders>
                      <w:top w:val="single" w:sz="4" w:space="0" w:color="auto"/>
                    </w:tcBorders>
                    <w:noWrap/>
                    <w:vAlign w:val="center"/>
                    <w:hideMark/>
                  </w:tcPr>
                  <w:p>
                    <w:pPr>
                      <w:jc w:val="center"/>
                      <w:rPr>
                        <w:sz w:val="20"/>
                      </w:rPr>
                    </w:pPr>
                    <w:r>
                      <w:rPr>
                        <w:sz w:val="20"/>
                      </w:rPr>
                      <w:t xml:space="preserve">6  (2033)</w:t>
                    </w:r>
                  </w:p>
                </w:tc>
              </w:tr>
              <w:tr>
                <w:trPr>
                  <w:trHeight w:val="260"/>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rPr>
                        <w:sz w:val="20"/>
                      </w:rPr>
                    </w:pPr>
                  </w:p>
                </w:tc>
                <w:tc>
                  <w:tcPr>
                    <w:tcW w:w="709" w:type="dxa"/>
                    <w:vMerge/>
                    <w:vAlign w:val="center"/>
                    <w:hideMark/>
                  </w:tcPr>
                  <w:p>
                    <w:pPr>
                      <w:rPr>
                        <w:sz w:val="20"/>
                      </w:rPr>
                    </w:pPr>
                  </w:p>
                </w:tc>
                <w:tc>
                  <w:tcPr>
                    <w:tcW w:w="709" w:type="dxa"/>
                    <w:vMerge/>
                    <w:vAlign w:val="center"/>
                    <w:hideMark/>
                  </w:tcPr>
                  <w:p>
                    <w:pPr>
                      <w:rPr>
                        <w:sz w:val="20"/>
                      </w:rPr>
                    </w:pPr>
                  </w:p>
                </w:tc>
                <w:tc>
                  <w:tcPr>
                    <w:tcW w:w="1417" w:type="dxa"/>
                    <w:tcBorders>
                      <w:bottom w:val="single" w:sz="4" w:space="0" w:color="auto"/>
                    </w:tcBorders>
                    <w:noWrap/>
                    <w:vAlign w:val="center"/>
                    <w:hideMark/>
                  </w:tcPr>
                  <w:p>
                    <w:pPr>
                      <w:rPr>
                        <w:sz w:val="20"/>
                      </w:rPr>
                    </w:pPr>
                    <w:r>
                      <w:rPr>
                        <w:sz w:val="20"/>
                      </w:rPr>
                      <w:t>P-16-02-02-02</w:t>
                    </w:r>
                  </w:p>
                </w:tc>
                <w:tc>
                  <w:tcPr>
                    <w:tcW w:w="4111" w:type="dxa"/>
                    <w:tcBorders>
                      <w:bottom w:val="single" w:sz="4" w:space="0" w:color="auto"/>
                    </w:tcBorders>
                    <w:vAlign w:val="center"/>
                    <w:hideMark/>
                  </w:tcPr>
                  <w:p>
                    <w:pPr>
                      <w:rPr>
                        <w:sz w:val="20"/>
                      </w:rPr>
                    </w:pPr>
                    <w:r>
                      <w:rPr>
                        <w:sz w:val="20"/>
                      </w:rPr>
                      <w:t xml:space="preserve">Įkurtas / pastatytas krizių centras (vnt.) </w:t>
                    </w:r>
                  </w:p>
                </w:tc>
                <w:tc>
                  <w:tcPr>
                    <w:tcW w:w="1134" w:type="dxa"/>
                    <w:tcBorders>
                      <w:bottom w:val="single" w:sz="4" w:space="0" w:color="auto"/>
                    </w:tcBorders>
                    <w:vAlign w:val="center"/>
                    <w:hideMark/>
                  </w:tcPr>
                  <w:p>
                    <w:pPr>
                      <w:jc w:val="center"/>
                      <w:rPr>
                        <w:sz w:val="20"/>
                      </w:rPr>
                    </w:pPr>
                    <w:r>
                      <w:rPr>
                        <w:sz w:val="20"/>
                      </w:rPr>
                      <w:t>SPS</w:t>
                    </w:r>
                  </w:p>
                </w:tc>
                <w:tc>
                  <w:tcPr>
                    <w:tcW w:w="1134" w:type="dxa"/>
                    <w:tcBorders>
                      <w:bottom w:val="single" w:sz="4" w:space="0" w:color="auto"/>
                    </w:tcBorders>
                    <w:vAlign w:val="center"/>
                    <w:hideMark/>
                  </w:tcPr>
                  <w:p>
                    <w:pPr>
                      <w:jc w:val="center"/>
                      <w:rPr>
                        <w:sz w:val="20"/>
                      </w:rPr>
                    </w:pPr>
                    <w:r>
                      <w:rPr>
                        <w:sz w:val="20"/>
                      </w:rPr>
                      <w:t>0 (2023)</w:t>
                    </w:r>
                  </w:p>
                </w:tc>
                <w:tc>
                  <w:tcPr>
                    <w:tcW w:w="1134" w:type="dxa"/>
                    <w:tcBorders>
                      <w:bottom w:val="single" w:sz="4" w:space="0" w:color="auto"/>
                    </w:tcBorders>
                    <w:noWrap/>
                    <w:vAlign w:val="center"/>
                    <w:hideMark/>
                  </w:tcPr>
                  <w:p>
                    <w:pPr>
                      <w:jc w:val="center"/>
                      <w:rPr>
                        <w:sz w:val="20"/>
                      </w:rPr>
                    </w:pPr>
                    <w:r>
                      <w:rPr>
                        <w:sz w:val="20"/>
                      </w:rPr>
                      <w:t>1 (2033)</w:t>
                    </w:r>
                  </w:p>
                </w:tc>
              </w:tr>
              <w:tr>
                <w:trPr>
                  <w:trHeight w:val="315"/>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rPr>
                        <w:sz w:val="20"/>
                      </w:rPr>
                    </w:pPr>
                  </w:p>
                </w:tc>
                <w:tc>
                  <w:tcPr>
                    <w:tcW w:w="709" w:type="dxa"/>
                    <w:vMerge/>
                    <w:vAlign w:val="center"/>
                    <w:hideMark/>
                  </w:tcPr>
                  <w:p>
                    <w:pPr>
                      <w:rPr>
                        <w:sz w:val="20"/>
                      </w:rPr>
                    </w:pPr>
                  </w:p>
                </w:tc>
                <w:tc>
                  <w:tcPr>
                    <w:tcW w:w="709" w:type="dxa"/>
                    <w:vMerge/>
                    <w:vAlign w:val="center"/>
                    <w:hideMark/>
                  </w:tcPr>
                  <w:p>
                    <w:pPr>
                      <w:rPr>
                        <w:sz w:val="20"/>
                      </w:rPr>
                    </w:pPr>
                  </w:p>
                </w:tc>
                <w:tc>
                  <w:tcPr>
                    <w:tcW w:w="1417" w:type="dxa"/>
                    <w:tcBorders>
                      <w:bottom w:val="single" w:sz="4" w:space="0" w:color="auto"/>
                    </w:tcBorders>
                    <w:noWrap/>
                    <w:vAlign w:val="center"/>
                    <w:hideMark/>
                  </w:tcPr>
                  <w:p>
                    <w:pPr>
                      <w:rPr>
                        <w:sz w:val="20"/>
                      </w:rPr>
                    </w:pPr>
                    <w:r>
                      <w:rPr>
                        <w:sz w:val="20"/>
                      </w:rPr>
                      <w:t>P-16-02-02-03</w:t>
                    </w:r>
                  </w:p>
                </w:tc>
                <w:tc>
                  <w:tcPr>
                    <w:tcW w:w="4111" w:type="dxa"/>
                    <w:tcBorders>
                      <w:bottom w:val="single" w:sz="4" w:space="0" w:color="auto"/>
                    </w:tcBorders>
                    <w:vAlign w:val="center"/>
                    <w:hideMark/>
                  </w:tcPr>
                  <w:p>
                    <w:pPr>
                      <w:rPr>
                        <w:sz w:val="20"/>
                      </w:rPr>
                    </w:pPr>
                    <w:r>
                      <w:rPr>
                        <w:sz w:val="20"/>
                      </w:rPr>
                      <w:t>Socialinių dirbtuvių skaičius (vnt.)</w:t>
                    </w:r>
                  </w:p>
                </w:tc>
                <w:tc>
                  <w:tcPr>
                    <w:tcW w:w="1134" w:type="dxa"/>
                    <w:tcBorders>
                      <w:bottom w:val="single" w:sz="4" w:space="0" w:color="auto"/>
                    </w:tcBorders>
                    <w:vAlign w:val="center"/>
                    <w:hideMark/>
                  </w:tcPr>
                  <w:p>
                    <w:pPr>
                      <w:jc w:val="center"/>
                      <w:rPr>
                        <w:sz w:val="20"/>
                      </w:rPr>
                    </w:pPr>
                    <w:r>
                      <w:rPr>
                        <w:sz w:val="20"/>
                      </w:rPr>
                      <w:t>SPS</w:t>
                    </w:r>
                  </w:p>
                </w:tc>
                <w:tc>
                  <w:tcPr>
                    <w:tcW w:w="1134" w:type="dxa"/>
                    <w:tcBorders>
                      <w:bottom w:val="single" w:sz="4" w:space="0" w:color="auto"/>
                    </w:tcBorders>
                    <w:vAlign w:val="center"/>
                    <w:hideMark/>
                  </w:tcPr>
                  <w:p>
                    <w:pPr>
                      <w:jc w:val="center"/>
                      <w:rPr>
                        <w:sz w:val="20"/>
                      </w:rPr>
                    </w:pPr>
                    <w:r>
                      <w:rPr>
                        <w:sz w:val="20"/>
                      </w:rPr>
                      <w:t>2 (2024)</w:t>
                    </w:r>
                  </w:p>
                </w:tc>
                <w:tc>
                  <w:tcPr>
                    <w:tcW w:w="1134" w:type="dxa"/>
                    <w:tcBorders>
                      <w:bottom w:val="single" w:sz="4" w:space="0" w:color="auto"/>
                    </w:tcBorders>
                    <w:noWrap/>
                    <w:vAlign w:val="center"/>
                    <w:hideMark/>
                  </w:tcPr>
                  <w:p>
                    <w:pPr>
                      <w:jc w:val="center"/>
                      <w:rPr>
                        <w:sz w:val="20"/>
                      </w:rPr>
                    </w:pPr>
                    <w:r>
                      <w:rPr>
                        <w:sz w:val="20"/>
                      </w:rPr>
                      <w:t>3 (2033)</w:t>
                    </w:r>
                  </w:p>
                </w:tc>
              </w:tr>
              <w:tr>
                <w:trPr>
                  <w:trHeight w:val="270"/>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rPr>
                        <w:sz w:val="20"/>
                      </w:rPr>
                    </w:pPr>
                  </w:p>
                </w:tc>
                <w:tc>
                  <w:tcPr>
                    <w:tcW w:w="709" w:type="dxa"/>
                    <w:vMerge/>
                    <w:vAlign w:val="center"/>
                    <w:hideMark/>
                  </w:tcPr>
                  <w:p>
                    <w:pPr>
                      <w:rPr>
                        <w:sz w:val="20"/>
                      </w:rPr>
                    </w:pPr>
                  </w:p>
                </w:tc>
                <w:tc>
                  <w:tcPr>
                    <w:tcW w:w="709" w:type="dxa"/>
                    <w:vMerge/>
                    <w:vAlign w:val="center"/>
                    <w:hideMark/>
                  </w:tcPr>
                  <w:p>
                    <w:pPr>
                      <w:rPr>
                        <w:sz w:val="20"/>
                      </w:rPr>
                    </w:pPr>
                  </w:p>
                </w:tc>
                <w:tc>
                  <w:tcPr>
                    <w:tcW w:w="1417" w:type="dxa"/>
                    <w:tcBorders>
                      <w:bottom w:val="single" w:sz="4" w:space="0" w:color="auto"/>
                    </w:tcBorders>
                    <w:noWrap/>
                    <w:vAlign w:val="center"/>
                    <w:hideMark/>
                  </w:tcPr>
                  <w:p>
                    <w:pPr>
                      <w:rPr>
                        <w:sz w:val="20"/>
                      </w:rPr>
                    </w:pPr>
                    <w:r>
                      <w:rPr>
                        <w:sz w:val="20"/>
                      </w:rPr>
                      <w:t>P-16-02-02-04</w:t>
                    </w:r>
                  </w:p>
                </w:tc>
                <w:tc>
                  <w:tcPr>
                    <w:tcW w:w="4111" w:type="dxa"/>
                    <w:tcBorders>
                      <w:bottom w:val="single" w:sz="4" w:space="0" w:color="auto"/>
                    </w:tcBorders>
                    <w:vAlign w:val="center"/>
                    <w:hideMark/>
                  </w:tcPr>
                  <w:p>
                    <w:pPr>
                      <w:rPr>
                        <w:sz w:val="20"/>
                      </w:rPr>
                    </w:pPr>
                    <w:r>
                      <w:rPr>
                        <w:sz w:val="20"/>
                      </w:rPr>
                      <w:t>Apsaugotų būstų skaičius (vnt.)</w:t>
                    </w:r>
                  </w:p>
                </w:tc>
                <w:tc>
                  <w:tcPr>
                    <w:tcW w:w="1134" w:type="dxa"/>
                    <w:tcBorders>
                      <w:bottom w:val="single" w:sz="4" w:space="0" w:color="auto"/>
                    </w:tcBorders>
                    <w:vAlign w:val="center"/>
                    <w:hideMark/>
                  </w:tcPr>
                  <w:p>
                    <w:pPr>
                      <w:jc w:val="center"/>
                      <w:rPr>
                        <w:sz w:val="20"/>
                      </w:rPr>
                    </w:pPr>
                    <w:r>
                      <w:rPr>
                        <w:sz w:val="20"/>
                      </w:rPr>
                      <w:t>SPS</w:t>
                    </w:r>
                  </w:p>
                </w:tc>
                <w:tc>
                  <w:tcPr>
                    <w:tcW w:w="1134" w:type="dxa"/>
                    <w:tcBorders>
                      <w:bottom w:val="single" w:sz="4" w:space="0" w:color="auto"/>
                    </w:tcBorders>
                    <w:vAlign w:val="center"/>
                    <w:hideMark/>
                  </w:tcPr>
                  <w:p>
                    <w:pPr>
                      <w:jc w:val="center"/>
                      <w:rPr>
                        <w:sz w:val="20"/>
                      </w:rPr>
                    </w:pPr>
                    <w:r>
                      <w:rPr>
                        <w:sz w:val="20"/>
                      </w:rPr>
                      <w:t>1 (2023)</w:t>
                    </w:r>
                  </w:p>
                </w:tc>
                <w:tc>
                  <w:tcPr>
                    <w:tcW w:w="1134" w:type="dxa"/>
                    <w:tcBorders>
                      <w:bottom w:val="single" w:sz="4" w:space="0" w:color="auto"/>
                    </w:tcBorders>
                    <w:noWrap/>
                    <w:vAlign w:val="center"/>
                    <w:hideMark/>
                  </w:tcPr>
                  <w:p>
                    <w:pPr>
                      <w:jc w:val="center"/>
                      <w:rPr>
                        <w:sz w:val="20"/>
                      </w:rPr>
                    </w:pPr>
                    <w:r>
                      <w:rPr>
                        <w:sz w:val="20"/>
                      </w:rPr>
                      <w:t>14 (2033)</w:t>
                    </w:r>
                  </w:p>
                </w:tc>
              </w:tr>
              <w:tr>
                <w:trPr>
                  <w:trHeight w:val="270"/>
                  <w:jc w:val="center"/>
                </w:trPr>
                <w:tc>
                  <w:tcPr>
                    <w:tcW w:w="988" w:type="dxa"/>
                    <w:vMerge w:val="restart"/>
                    <w:vAlign w:val="center"/>
                  </w:tcPr>
                  <w:p>
                    <w:pPr>
                      <w:rPr>
                        <w:sz w:val="20"/>
                      </w:rPr>
                    </w:pPr>
                    <w:r>
                      <w:rPr>
                        <w:sz w:val="20"/>
                      </w:rPr>
                      <w:t>16-02-03</w:t>
                    </w:r>
                  </w:p>
                </w:tc>
                <w:tc>
                  <w:tcPr>
                    <w:tcW w:w="2126" w:type="dxa"/>
                    <w:vMerge w:val="restart"/>
                    <w:vAlign w:val="center"/>
                  </w:tcPr>
                  <w:p>
                    <w:pPr>
                      <w:rPr>
                        <w:sz w:val="20"/>
                      </w:rPr>
                    </w:pPr>
                    <w:r>
                      <w:rPr>
                        <w:sz w:val="20"/>
                      </w:rPr>
                      <w:t>Didinti socialinio būsto prieinamumą</w:t>
                    </w:r>
                  </w:p>
                </w:tc>
                <w:tc>
                  <w:tcPr>
                    <w:tcW w:w="850" w:type="dxa"/>
                    <w:vMerge w:val="restart"/>
                    <w:vAlign w:val="center"/>
                  </w:tcPr>
                  <w:p>
                    <w:pPr>
                      <w:jc w:val="center"/>
                      <w:rPr>
                        <w:sz w:val="20"/>
                      </w:rPr>
                    </w:pPr>
                    <w:r>
                      <w:rPr>
                        <w:sz w:val="20"/>
                      </w:rPr>
                      <w:t>TVS</w:t>
                    </w:r>
                  </w:p>
                </w:tc>
                <w:tc>
                  <w:tcPr>
                    <w:tcW w:w="709" w:type="dxa"/>
                    <w:vMerge w:val="restart"/>
                    <w:vAlign w:val="center"/>
                  </w:tcPr>
                  <w:p>
                    <w:pPr>
                      <w:rPr>
                        <w:sz w:val="20"/>
                      </w:rPr>
                    </w:pPr>
                    <w:r>
                      <w:rPr>
                        <w:sz w:val="20"/>
                      </w:rPr>
                      <w:t>2025</w:t>
                    </w:r>
                  </w:p>
                </w:tc>
                <w:tc>
                  <w:tcPr>
                    <w:tcW w:w="709" w:type="dxa"/>
                    <w:vMerge w:val="restart"/>
                    <w:vAlign w:val="center"/>
                  </w:tcPr>
                  <w:p>
                    <w:pPr>
                      <w:rPr>
                        <w:sz w:val="20"/>
                      </w:rPr>
                    </w:pPr>
                    <w:r>
                      <w:rPr>
                        <w:sz w:val="20"/>
                      </w:rPr>
                      <w:t>2033</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center"/>
                  </w:tcPr>
                  <w:p>
                    <w:pPr>
                      <w:rPr>
                        <w:sz w:val="20"/>
                      </w:rPr>
                    </w:pPr>
                    <w:r>
                      <w:rPr>
                        <w:rFonts w:eastAsia="MS Mincho"/>
                        <w:color w:val="000000"/>
                        <w:kern w:val="2"/>
                        <w:sz w:val="20"/>
                      </w:rPr>
                      <w:t>P-16-02-03-01</w:t>
                    </w:r>
                  </w:p>
                </w:tc>
                <w:tc>
                  <w:tcPr>
                    <w:tcW w:w="4111" w:type="dxa"/>
                    <w:tcBorders>
                      <w:top w:val="single" w:sz="4" w:space="0" w:color="auto"/>
                      <w:left w:val="nil"/>
                      <w:bottom w:val="single" w:sz="4" w:space="0" w:color="auto"/>
                      <w:right w:val="single" w:sz="4" w:space="0" w:color="auto"/>
                    </w:tcBorders>
                    <w:shd w:val="clear" w:color="auto" w:fill="auto"/>
                    <w:vAlign w:val="center"/>
                  </w:tcPr>
                  <w:p>
                    <w:pPr>
                      <w:rPr>
                        <w:sz w:val="20"/>
                      </w:rPr>
                    </w:pPr>
                    <w:r>
                      <w:rPr>
                        <w:rFonts w:eastAsia="MS Mincho"/>
                        <w:color w:val="000000"/>
                        <w:kern w:val="2"/>
                        <w:sz w:val="20"/>
                      </w:rPr>
                      <w:t>Suremontuotų savivaldybės administracijos butų skaičius (vnt.)</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rPr>
                    </w:pPr>
                    <w:r>
                      <w:rPr>
                        <w:rFonts w:eastAsia="MS Mincho"/>
                        <w:color w:val="000000"/>
                        <w:kern w:val="2"/>
                        <w:sz w:val="20"/>
                      </w:rPr>
                      <w:t>TVS</w:t>
                    </w:r>
                  </w:p>
                </w:tc>
                <w:tc>
                  <w:tcPr>
                    <w:tcW w:w="1134" w:type="dxa"/>
                    <w:tcBorders>
                      <w:top w:val="single" w:sz="4" w:space="0" w:color="auto"/>
                      <w:left w:val="nil"/>
                      <w:bottom w:val="single" w:sz="4" w:space="0" w:color="auto"/>
                      <w:right w:val="single" w:sz="4" w:space="0" w:color="auto"/>
                    </w:tcBorders>
                    <w:shd w:val="clear" w:color="auto" w:fill="auto"/>
                    <w:vAlign w:val="center"/>
                  </w:tcPr>
                  <w:p>
                    <w:pPr>
                      <w:jc w:val="center"/>
                      <w:rPr>
                        <w:sz w:val="20"/>
                      </w:rPr>
                    </w:pPr>
                    <w:r>
                      <w:rPr>
                        <w:rFonts w:eastAsia="MS Mincho"/>
                        <w:color w:val="000000"/>
                        <w:kern w:val="2"/>
                        <w:sz w:val="20"/>
                      </w:rPr>
                      <w:t>57 (2023)</w:t>
                    </w:r>
                  </w:p>
                </w:tc>
                <w:tc>
                  <w:tcPr>
                    <w:tcW w:w="1134" w:type="dxa"/>
                    <w:tcBorders>
                      <w:top w:val="single" w:sz="4" w:space="0" w:color="auto"/>
                      <w:left w:val="nil"/>
                      <w:bottom w:val="single" w:sz="4" w:space="0" w:color="auto"/>
                      <w:right w:val="single" w:sz="4" w:space="0" w:color="auto"/>
                    </w:tcBorders>
                    <w:shd w:val="clear" w:color="auto" w:fill="auto"/>
                    <w:noWrap/>
                    <w:vAlign w:val="center"/>
                  </w:tcPr>
                  <w:p>
                    <w:pPr>
                      <w:jc w:val="center"/>
                      <w:rPr>
                        <w:sz w:val="20"/>
                      </w:rPr>
                    </w:pPr>
                    <w:r>
                      <w:rPr>
                        <w:rFonts w:eastAsia="MS Mincho"/>
                        <w:color w:val="000000"/>
                        <w:kern w:val="2"/>
                        <w:sz w:val="20"/>
                      </w:rPr>
                      <w:t>597(2033)</w:t>
                    </w:r>
                  </w:p>
                </w:tc>
              </w:tr>
              <w:tr>
                <w:trPr>
                  <w:trHeight w:val="270"/>
                  <w:jc w:val="center"/>
                </w:trPr>
                <w:tc>
                  <w:tcPr>
                    <w:tcW w:w="988" w:type="dxa"/>
                    <w:vMerge/>
                    <w:vAlign w:val="center"/>
                  </w:tcPr>
                  <w:p>
                    <w:pPr>
                      <w:rPr>
                        <w:sz w:val="20"/>
                      </w:rPr>
                    </w:pPr>
                  </w:p>
                </w:tc>
                <w:tc>
                  <w:tcPr>
                    <w:tcW w:w="2126" w:type="dxa"/>
                    <w:vMerge/>
                    <w:vAlign w:val="center"/>
                  </w:tcPr>
                  <w:p>
                    <w:pPr>
                      <w:rPr>
                        <w:sz w:val="20"/>
                      </w:rPr>
                    </w:pPr>
                  </w:p>
                </w:tc>
                <w:tc>
                  <w:tcPr>
                    <w:tcW w:w="850" w:type="dxa"/>
                    <w:vMerge/>
                    <w:vAlign w:val="center"/>
                  </w:tcPr>
                  <w:p>
                    <w:pPr>
                      <w:rPr>
                        <w:sz w:val="20"/>
                      </w:rPr>
                    </w:pPr>
                  </w:p>
                </w:tc>
                <w:tc>
                  <w:tcPr>
                    <w:tcW w:w="709" w:type="dxa"/>
                    <w:vMerge/>
                    <w:vAlign w:val="center"/>
                  </w:tcPr>
                  <w:p>
                    <w:pPr>
                      <w:rPr>
                        <w:sz w:val="20"/>
                      </w:rPr>
                    </w:pPr>
                  </w:p>
                </w:tc>
                <w:tc>
                  <w:tcPr>
                    <w:tcW w:w="709" w:type="dxa"/>
                    <w:vMerge/>
                    <w:vAlign w:val="center"/>
                  </w:tcPr>
                  <w:p>
                    <w:pPr>
                      <w:rPr>
                        <w:sz w:val="20"/>
                      </w:rPr>
                    </w:pPr>
                  </w:p>
                </w:tc>
                <w:tc>
                  <w:tcPr>
                    <w:tcW w:w="1417" w:type="dxa"/>
                    <w:tcBorders>
                      <w:top w:val="nil"/>
                      <w:left w:val="single" w:sz="4" w:space="0" w:color="auto"/>
                      <w:bottom w:val="single" w:sz="4" w:space="0" w:color="auto"/>
                      <w:right w:val="single" w:sz="4" w:space="0" w:color="auto"/>
                    </w:tcBorders>
                    <w:shd w:val="clear" w:color="auto" w:fill="auto"/>
                    <w:noWrap/>
                    <w:vAlign w:val="center"/>
                  </w:tcPr>
                  <w:p>
                    <w:pPr>
                      <w:rPr>
                        <w:sz w:val="20"/>
                      </w:rPr>
                    </w:pPr>
                    <w:r>
                      <w:rPr>
                        <w:rFonts w:eastAsia="MS Mincho"/>
                        <w:color w:val="000000"/>
                        <w:kern w:val="2"/>
                        <w:sz w:val="20"/>
                      </w:rPr>
                      <w:t>P-16-02-03-02</w:t>
                    </w:r>
                  </w:p>
                </w:tc>
                <w:tc>
                  <w:tcPr>
                    <w:tcW w:w="4111" w:type="dxa"/>
                    <w:tcBorders>
                      <w:top w:val="nil"/>
                      <w:left w:val="nil"/>
                      <w:bottom w:val="single" w:sz="4" w:space="0" w:color="auto"/>
                      <w:right w:val="single" w:sz="4" w:space="0" w:color="auto"/>
                    </w:tcBorders>
                    <w:shd w:val="clear" w:color="auto" w:fill="auto"/>
                    <w:vAlign w:val="center"/>
                  </w:tcPr>
                  <w:p>
                    <w:pPr>
                      <w:rPr>
                        <w:sz w:val="20"/>
                      </w:rPr>
                    </w:pPr>
                    <w:r>
                      <w:rPr>
                        <w:rFonts w:eastAsia="MS Mincho"/>
                        <w:kern w:val="2"/>
                        <w:sz w:val="20"/>
                      </w:rPr>
                      <w:t>Naujai įsigyto socialinio būsto apimtys (vnt.)</w:t>
                    </w:r>
                  </w:p>
                </w:tc>
                <w:tc>
                  <w:tcPr>
                    <w:tcW w:w="1134" w:type="dxa"/>
                    <w:tcBorders>
                      <w:top w:val="nil"/>
                      <w:left w:val="single" w:sz="4" w:space="0" w:color="auto"/>
                      <w:bottom w:val="single" w:sz="4" w:space="0" w:color="auto"/>
                      <w:right w:val="single" w:sz="4" w:space="0" w:color="auto"/>
                    </w:tcBorders>
                    <w:shd w:val="clear" w:color="auto" w:fill="auto"/>
                    <w:vAlign w:val="center"/>
                  </w:tcPr>
                  <w:p>
                    <w:pPr>
                      <w:jc w:val="center"/>
                      <w:rPr>
                        <w:sz w:val="20"/>
                      </w:rPr>
                    </w:pPr>
                    <w:r>
                      <w:rPr>
                        <w:rFonts w:eastAsia="MS Mincho"/>
                        <w:color w:val="000000"/>
                        <w:kern w:val="2"/>
                        <w:sz w:val="20"/>
                      </w:rPr>
                      <w:t>TVS</w:t>
                    </w:r>
                  </w:p>
                </w:tc>
                <w:tc>
                  <w:tcPr>
                    <w:tcW w:w="1134" w:type="dxa"/>
                    <w:tcBorders>
                      <w:top w:val="nil"/>
                      <w:left w:val="nil"/>
                      <w:bottom w:val="single" w:sz="4" w:space="0" w:color="auto"/>
                      <w:right w:val="single" w:sz="4" w:space="0" w:color="auto"/>
                    </w:tcBorders>
                    <w:shd w:val="clear" w:color="auto" w:fill="auto"/>
                    <w:vAlign w:val="center"/>
                  </w:tcPr>
                  <w:p>
                    <w:pPr>
                      <w:jc w:val="center"/>
                      <w:rPr>
                        <w:sz w:val="20"/>
                      </w:rPr>
                    </w:pPr>
                    <w:r>
                      <w:rPr>
                        <w:rFonts w:eastAsia="MS Mincho"/>
                        <w:color w:val="000000"/>
                        <w:kern w:val="2"/>
                        <w:sz w:val="20"/>
                      </w:rPr>
                      <w:t>7 (2023)</w:t>
                    </w:r>
                  </w:p>
                </w:tc>
                <w:tc>
                  <w:tcPr>
                    <w:tcW w:w="1134" w:type="dxa"/>
                    <w:tcBorders>
                      <w:top w:val="nil"/>
                      <w:left w:val="nil"/>
                      <w:bottom w:val="single" w:sz="4" w:space="0" w:color="auto"/>
                      <w:right w:val="single" w:sz="4" w:space="0" w:color="auto"/>
                    </w:tcBorders>
                    <w:shd w:val="clear" w:color="auto" w:fill="auto"/>
                    <w:noWrap/>
                    <w:vAlign w:val="center"/>
                  </w:tcPr>
                  <w:p>
                    <w:pPr>
                      <w:jc w:val="center"/>
                      <w:rPr>
                        <w:sz w:val="20"/>
                      </w:rPr>
                    </w:pPr>
                    <w:r>
                      <w:rPr>
                        <w:rFonts w:eastAsia="MS Mincho"/>
                        <w:color w:val="000000"/>
                        <w:kern w:val="2"/>
                        <w:sz w:val="20"/>
                      </w:rPr>
                      <w:t>60 (2033)</w:t>
                    </w:r>
                  </w:p>
                </w:tc>
              </w:tr>
              <w:tr>
                <w:trPr>
                  <w:trHeight w:val="270"/>
                  <w:jc w:val="center"/>
                </w:trPr>
                <w:tc>
                  <w:tcPr>
                    <w:tcW w:w="988" w:type="dxa"/>
                    <w:vMerge/>
                    <w:vAlign w:val="center"/>
                  </w:tcPr>
                  <w:p>
                    <w:pPr>
                      <w:rPr>
                        <w:sz w:val="20"/>
                      </w:rPr>
                    </w:pPr>
                  </w:p>
                </w:tc>
                <w:tc>
                  <w:tcPr>
                    <w:tcW w:w="2126" w:type="dxa"/>
                    <w:vMerge/>
                    <w:vAlign w:val="center"/>
                  </w:tcPr>
                  <w:p>
                    <w:pPr>
                      <w:rPr>
                        <w:sz w:val="20"/>
                      </w:rPr>
                    </w:pPr>
                  </w:p>
                </w:tc>
                <w:tc>
                  <w:tcPr>
                    <w:tcW w:w="850" w:type="dxa"/>
                    <w:vMerge/>
                    <w:vAlign w:val="center"/>
                  </w:tcPr>
                  <w:p>
                    <w:pPr>
                      <w:rPr>
                        <w:sz w:val="20"/>
                      </w:rPr>
                    </w:pPr>
                  </w:p>
                </w:tc>
                <w:tc>
                  <w:tcPr>
                    <w:tcW w:w="709" w:type="dxa"/>
                    <w:vMerge/>
                    <w:vAlign w:val="center"/>
                  </w:tcPr>
                  <w:p>
                    <w:pPr>
                      <w:rPr>
                        <w:sz w:val="20"/>
                      </w:rPr>
                    </w:pPr>
                  </w:p>
                </w:tc>
                <w:tc>
                  <w:tcPr>
                    <w:tcW w:w="709" w:type="dxa"/>
                    <w:vMerge/>
                    <w:vAlign w:val="center"/>
                  </w:tcPr>
                  <w:p>
                    <w:pPr>
                      <w:rPr>
                        <w:sz w:val="20"/>
                      </w:rPr>
                    </w:pPr>
                  </w:p>
                </w:tc>
                <w:tc>
                  <w:tcPr>
                    <w:tcW w:w="1417" w:type="dxa"/>
                    <w:tcBorders>
                      <w:top w:val="nil"/>
                      <w:left w:val="single" w:sz="4" w:space="0" w:color="auto"/>
                      <w:bottom w:val="single" w:sz="4" w:space="0" w:color="auto"/>
                      <w:right w:val="single" w:sz="4" w:space="0" w:color="auto"/>
                    </w:tcBorders>
                    <w:shd w:val="clear" w:color="auto" w:fill="auto"/>
                    <w:noWrap/>
                    <w:vAlign w:val="center"/>
                  </w:tcPr>
                  <w:p>
                    <w:pPr>
                      <w:rPr>
                        <w:sz w:val="20"/>
                      </w:rPr>
                    </w:pPr>
                    <w:r>
                      <w:rPr>
                        <w:rFonts w:eastAsia="MS Mincho"/>
                        <w:color w:val="000000"/>
                        <w:kern w:val="2"/>
                        <w:sz w:val="20"/>
                      </w:rPr>
                      <w:t>P-16-02-03-03</w:t>
                    </w:r>
                  </w:p>
                </w:tc>
                <w:tc>
                  <w:tcPr>
                    <w:tcW w:w="4111" w:type="dxa"/>
                    <w:tcBorders>
                      <w:top w:val="nil"/>
                      <w:left w:val="nil"/>
                      <w:bottom w:val="nil"/>
                      <w:right w:val="single" w:sz="4" w:space="0" w:color="auto"/>
                    </w:tcBorders>
                    <w:shd w:val="clear" w:color="auto" w:fill="auto"/>
                    <w:vAlign w:val="center"/>
                  </w:tcPr>
                  <w:p>
                    <w:pPr>
                      <w:rPr>
                        <w:sz w:val="20"/>
                      </w:rPr>
                    </w:pPr>
                    <w:r>
                      <w:rPr>
                        <w:rFonts w:eastAsia="MS Mincho"/>
                        <w:kern w:val="2"/>
                        <w:sz w:val="20"/>
                      </w:rPr>
                      <w:t xml:space="preserve">Į privatizuojamų objektų sąrašą įtrauktų socialinių būstų skaičius (vnt.) </w:t>
                    </w:r>
                  </w:p>
                </w:tc>
                <w:tc>
                  <w:tcPr>
                    <w:tcW w:w="1134" w:type="dxa"/>
                    <w:tcBorders>
                      <w:top w:val="nil"/>
                      <w:left w:val="single" w:sz="4" w:space="0" w:color="auto"/>
                      <w:bottom w:val="nil"/>
                      <w:right w:val="single" w:sz="4" w:space="0" w:color="auto"/>
                    </w:tcBorders>
                    <w:shd w:val="clear" w:color="auto" w:fill="auto"/>
                    <w:vAlign w:val="center"/>
                  </w:tcPr>
                  <w:p>
                    <w:pPr>
                      <w:jc w:val="center"/>
                      <w:rPr>
                        <w:sz w:val="20"/>
                      </w:rPr>
                    </w:pPr>
                    <w:r>
                      <w:rPr>
                        <w:rFonts w:eastAsia="MS Mincho"/>
                        <w:color w:val="000000"/>
                        <w:kern w:val="2"/>
                        <w:sz w:val="20"/>
                      </w:rPr>
                      <w:t>TVS</w:t>
                    </w:r>
                  </w:p>
                </w:tc>
                <w:tc>
                  <w:tcPr>
                    <w:tcW w:w="1134" w:type="dxa"/>
                    <w:tcBorders>
                      <w:top w:val="nil"/>
                      <w:left w:val="nil"/>
                      <w:bottom w:val="nil"/>
                      <w:right w:val="single" w:sz="4" w:space="0" w:color="auto"/>
                    </w:tcBorders>
                    <w:shd w:val="clear" w:color="auto" w:fill="auto"/>
                    <w:vAlign w:val="center"/>
                  </w:tcPr>
                  <w:p>
                    <w:pPr>
                      <w:jc w:val="center"/>
                      <w:rPr>
                        <w:sz w:val="20"/>
                      </w:rPr>
                    </w:pPr>
                    <w:r>
                      <w:rPr>
                        <w:rFonts w:eastAsia="MS Mincho"/>
                        <w:color w:val="000000"/>
                        <w:kern w:val="2"/>
                        <w:sz w:val="20"/>
                      </w:rPr>
                      <w:t>23 (2023)</w:t>
                    </w:r>
                  </w:p>
                </w:tc>
                <w:tc>
                  <w:tcPr>
                    <w:tcW w:w="1134" w:type="dxa"/>
                    <w:tcBorders>
                      <w:top w:val="nil"/>
                      <w:left w:val="nil"/>
                      <w:bottom w:val="nil"/>
                      <w:right w:val="single" w:sz="4" w:space="0" w:color="auto"/>
                    </w:tcBorders>
                    <w:shd w:val="clear" w:color="auto" w:fill="auto"/>
                    <w:noWrap/>
                    <w:vAlign w:val="center"/>
                  </w:tcPr>
                  <w:p>
                    <w:pPr>
                      <w:jc w:val="center"/>
                      <w:rPr>
                        <w:sz w:val="20"/>
                      </w:rPr>
                    </w:pPr>
                    <w:r>
                      <w:rPr>
                        <w:rFonts w:eastAsia="MS Mincho"/>
                        <w:kern w:val="2"/>
                        <w:sz w:val="20"/>
                      </w:rPr>
                      <w:t>15 (2033)</w:t>
                    </w:r>
                  </w:p>
                </w:tc>
              </w:tr>
              <w:tr>
                <w:trPr>
                  <w:trHeight w:val="270"/>
                  <w:jc w:val="center"/>
                </w:trPr>
                <w:tc>
                  <w:tcPr>
                    <w:tcW w:w="988" w:type="dxa"/>
                    <w:vMerge/>
                    <w:vAlign w:val="center"/>
                  </w:tcPr>
                  <w:p>
                    <w:pPr>
                      <w:rPr>
                        <w:sz w:val="20"/>
                      </w:rPr>
                    </w:pPr>
                  </w:p>
                </w:tc>
                <w:tc>
                  <w:tcPr>
                    <w:tcW w:w="2126" w:type="dxa"/>
                    <w:vMerge/>
                    <w:tcBorders>
                      <w:bottom w:val="single" w:sz="4" w:space="0" w:color="auto"/>
                    </w:tcBorders>
                    <w:vAlign w:val="center"/>
                  </w:tcPr>
                  <w:p>
                    <w:pPr>
                      <w:rPr>
                        <w:sz w:val="20"/>
                      </w:rPr>
                    </w:pPr>
                  </w:p>
                </w:tc>
                <w:tc>
                  <w:tcPr>
                    <w:tcW w:w="850" w:type="dxa"/>
                    <w:vMerge/>
                    <w:tcBorders>
                      <w:bottom w:val="single" w:sz="4" w:space="0" w:color="auto"/>
                    </w:tcBorders>
                    <w:vAlign w:val="center"/>
                  </w:tcPr>
                  <w:p>
                    <w:pPr>
                      <w:rPr>
                        <w:sz w:val="20"/>
                      </w:rPr>
                    </w:pPr>
                  </w:p>
                </w:tc>
                <w:tc>
                  <w:tcPr>
                    <w:tcW w:w="709" w:type="dxa"/>
                    <w:vMerge/>
                    <w:tcBorders>
                      <w:bottom w:val="single" w:sz="4" w:space="0" w:color="auto"/>
                    </w:tcBorders>
                    <w:vAlign w:val="center"/>
                  </w:tcPr>
                  <w:p>
                    <w:pPr>
                      <w:rPr>
                        <w:sz w:val="20"/>
                      </w:rPr>
                    </w:pPr>
                  </w:p>
                </w:tc>
                <w:tc>
                  <w:tcPr>
                    <w:tcW w:w="709" w:type="dxa"/>
                    <w:vMerge/>
                    <w:tcBorders>
                      <w:bottom w:val="single" w:sz="4" w:space="0" w:color="auto"/>
                    </w:tcBorders>
                    <w:vAlign w:val="center"/>
                  </w:tcPr>
                  <w:p>
                    <w:pPr>
                      <w:rPr>
                        <w:sz w:val="20"/>
                      </w:rPr>
                    </w:pPr>
                  </w:p>
                </w:tc>
                <w:tc>
                  <w:tcPr>
                    <w:tcW w:w="1417" w:type="dxa"/>
                    <w:tcBorders>
                      <w:top w:val="nil"/>
                      <w:left w:val="single" w:sz="4" w:space="0" w:color="auto"/>
                      <w:bottom w:val="single" w:sz="4" w:space="0" w:color="auto"/>
                      <w:right w:val="single" w:sz="4" w:space="0" w:color="auto"/>
                    </w:tcBorders>
                    <w:shd w:val="clear" w:color="auto" w:fill="auto"/>
                    <w:noWrap/>
                    <w:vAlign w:val="center"/>
                  </w:tcPr>
                  <w:p>
                    <w:pPr>
                      <w:rPr>
                        <w:sz w:val="20"/>
                      </w:rPr>
                    </w:pPr>
                    <w:r>
                      <w:rPr>
                        <w:rFonts w:eastAsia="MS Mincho"/>
                        <w:color w:val="000000"/>
                        <w:kern w:val="2"/>
                        <w:sz w:val="20"/>
                      </w:rPr>
                      <w:t>P-16-02-03-04</w:t>
                    </w:r>
                  </w:p>
                </w:tc>
                <w:tc>
                  <w:tcPr>
                    <w:tcW w:w="4111" w:type="dxa"/>
                    <w:tcBorders>
                      <w:top w:val="single" w:sz="4" w:space="0" w:color="auto"/>
                      <w:left w:val="nil"/>
                      <w:bottom w:val="single" w:sz="4" w:space="0" w:color="auto"/>
                      <w:right w:val="single" w:sz="4" w:space="0" w:color="auto"/>
                    </w:tcBorders>
                    <w:shd w:val="clear" w:color="auto" w:fill="auto"/>
                    <w:vAlign w:val="center"/>
                  </w:tcPr>
                  <w:p>
                    <w:pPr>
                      <w:rPr>
                        <w:sz w:val="20"/>
                      </w:rPr>
                    </w:pPr>
                    <w:r>
                      <w:rPr>
                        <w:rFonts w:eastAsia="MS Mincho"/>
                        <w:color w:val="000000"/>
                        <w:kern w:val="2"/>
                        <w:sz w:val="20"/>
                      </w:rPr>
                      <w:t>Asmenų (šeimų), laukiančių socialinio būsto, skaičius metų pabaigoje (vnt.)</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rPr>
                    </w:pPr>
                    <w:r>
                      <w:rPr>
                        <w:rFonts w:eastAsia="MS Mincho"/>
                        <w:color w:val="000000"/>
                        <w:kern w:val="2"/>
                        <w:sz w:val="20"/>
                      </w:rPr>
                      <w:t>TVS</w:t>
                    </w:r>
                  </w:p>
                </w:tc>
                <w:tc>
                  <w:tcPr>
                    <w:tcW w:w="1134" w:type="dxa"/>
                    <w:tcBorders>
                      <w:top w:val="single" w:sz="4" w:space="0" w:color="auto"/>
                      <w:left w:val="nil"/>
                      <w:bottom w:val="single" w:sz="4" w:space="0" w:color="auto"/>
                      <w:right w:val="single" w:sz="4" w:space="0" w:color="auto"/>
                    </w:tcBorders>
                    <w:shd w:val="clear" w:color="auto" w:fill="auto"/>
                    <w:vAlign w:val="center"/>
                  </w:tcPr>
                  <w:p>
                    <w:pPr>
                      <w:jc w:val="center"/>
                      <w:rPr>
                        <w:sz w:val="20"/>
                      </w:rPr>
                    </w:pPr>
                    <w:r>
                      <w:rPr>
                        <w:rFonts w:eastAsia="MS Mincho"/>
                        <w:color w:val="000000"/>
                        <w:kern w:val="2"/>
                        <w:sz w:val="20"/>
                      </w:rPr>
                      <w:t>459 (2023)</w:t>
                    </w:r>
                  </w:p>
                </w:tc>
                <w:tc>
                  <w:tcPr>
                    <w:tcW w:w="1134" w:type="dxa"/>
                    <w:tcBorders>
                      <w:top w:val="single" w:sz="4" w:space="0" w:color="auto"/>
                      <w:left w:val="nil"/>
                      <w:bottom w:val="single" w:sz="4" w:space="0" w:color="auto"/>
                      <w:right w:val="single" w:sz="4" w:space="0" w:color="auto"/>
                    </w:tcBorders>
                    <w:shd w:val="clear" w:color="auto" w:fill="auto"/>
                    <w:noWrap/>
                    <w:vAlign w:val="center"/>
                  </w:tcPr>
                  <w:p>
                    <w:pPr>
                      <w:jc w:val="center"/>
                      <w:rPr>
                        <w:sz w:val="20"/>
                      </w:rPr>
                    </w:pPr>
                    <w:r>
                      <w:rPr>
                        <w:rFonts w:eastAsia="MS Mincho"/>
                        <w:color w:val="000000"/>
                        <w:kern w:val="2"/>
                        <w:sz w:val="20"/>
                      </w:rPr>
                      <w:t>300 (2033)</w:t>
                    </w:r>
                  </w:p>
                </w:tc>
              </w:tr>
              <w:tr>
                <w:trPr>
                  <w:trHeight w:val="552"/>
                  <w:jc w:val="center"/>
                </w:trPr>
                <w:tc>
                  <w:tcPr>
                    <w:tcW w:w="988" w:type="dxa"/>
                    <w:vMerge w:val="restart"/>
                    <w:shd w:val="clear" w:color="auto" w:fill="FFD966"/>
                    <w:noWrap/>
                    <w:vAlign w:val="center"/>
                    <w:hideMark/>
                  </w:tcPr>
                  <w:p>
                    <w:pPr>
                      <w:rPr>
                        <w:b/>
                        <w:bCs/>
                        <w:sz w:val="20"/>
                      </w:rPr>
                    </w:pPr>
                    <w:r>
                      <w:rPr>
                        <w:b/>
                        <w:bCs/>
                        <w:sz w:val="20"/>
                      </w:rPr>
                      <w:t>17</w:t>
                    </w:r>
                  </w:p>
                </w:tc>
                <w:tc>
                  <w:tcPr>
                    <w:tcW w:w="2126" w:type="dxa"/>
                    <w:vMerge w:val="restart"/>
                    <w:tcBorders>
                      <w:top w:val="single" w:sz="4" w:space="0" w:color="auto"/>
                    </w:tcBorders>
                    <w:shd w:val="clear" w:color="auto" w:fill="FFD966"/>
                    <w:vAlign w:val="center"/>
                    <w:hideMark/>
                  </w:tcPr>
                  <w:p>
                    <w:pPr>
                      <w:rPr>
                        <w:b/>
                        <w:bCs/>
                        <w:sz w:val="20"/>
                      </w:rPr>
                    </w:pPr>
                    <w:r>
                      <w:rPr>
                        <w:b/>
                        <w:bCs/>
                        <w:sz w:val="20"/>
                      </w:rPr>
                      <w:t>Ugdyti fiziškai aktyvią ir sportuojančią bendruomenę</w:t>
                    </w:r>
                  </w:p>
                </w:tc>
                <w:tc>
                  <w:tcPr>
                    <w:tcW w:w="850" w:type="dxa"/>
                    <w:vMerge w:val="restart"/>
                    <w:tcBorders>
                      <w:top w:val="single" w:sz="4" w:space="0" w:color="auto"/>
                    </w:tcBorders>
                    <w:shd w:val="clear" w:color="auto" w:fill="FFD966"/>
                    <w:vAlign w:val="center"/>
                    <w:hideMark/>
                  </w:tcPr>
                  <w:p>
                    <w:pPr>
                      <w:jc w:val="center"/>
                      <w:rPr>
                        <w:sz w:val="20"/>
                      </w:rPr>
                    </w:pPr>
                    <w:r>
                      <w:rPr>
                        <w:sz w:val="20"/>
                      </w:rPr>
                      <w:t>SS</w:t>
                    </w:r>
                  </w:p>
                </w:tc>
                <w:tc>
                  <w:tcPr>
                    <w:tcW w:w="709" w:type="dxa"/>
                    <w:vMerge w:val="restart"/>
                    <w:tcBorders>
                      <w:top w:val="single" w:sz="4" w:space="0" w:color="auto"/>
                    </w:tcBorders>
                    <w:shd w:val="clear" w:color="auto" w:fill="FFD966"/>
                    <w:vAlign w:val="center"/>
                    <w:hideMark/>
                  </w:tcPr>
                  <w:p>
                    <w:pPr>
                      <w:jc w:val="center"/>
                      <w:rPr>
                        <w:sz w:val="20"/>
                      </w:rPr>
                    </w:pPr>
                    <w:r>
                      <w:rPr>
                        <w:sz w:val="20"/>
                      </w:rPr>
                      <w:t>2025</w:t>
                    </w:r>
                  </w:p>
                </w:tc>
                <w:tc>
                  <w:tcPr>
                    <w:tcW w:w="709" w:type="dxa"/>
                    <w:vMerge w:val="restart"/>
                    <w:tcBorders>
                      <w:top w:val="single" w:sz="4" w:space="0" w:color="auto"/>
                    </w:tcBorders>
                    <w:shd w:val="clear" w:color="auto" w:fill="FFD966"/>
                    <w:vAlign w:val="center"/>
                    <w:hideMark/>
                  </w:tcPr>
                  <w:p>
                    <w:pPr>
                      <w:jc w:val="center"/>
                      <w:rPr>
                        <w:sz w:val="20"/>
                      </w:rPr>
                    </w:pPr>
                    <w:r>
                      <w:rPr>
                        <w:sz w:val="20"/>
                      </w:rPr>
                      <w:t>2033</w:t>
                    </w:r>
                  </w:p>
                </w:tc>
                <w:tc>
                  <w:tcPr>
                    <w:tcW w:w="1417" w:type="dxa"/>
                    <w:tcBorders>
                      <w:top w:val="single" w:sz="4" w:space="0" w:color="auto"/>
                    </w:tcBorders>
                    <w:shd w:val="clear" w:color="auto" w:fill="FFD966"/>
                    <w:vAlign w:val="center"/>
                    <w:hideMark/>
                  </w:tcPr>
                  <w:p>
                    <w:pPr>
                      <w:rPr>
                        <w:sz w:val="20"/>
                      </w:rPr>
                    </w:pPr>
                    <w:r>
                      <w:rPr>
                        <w:sz w:val="20"/>
                      </w:rPr>
                      <w:t>P-17-01</w:t>
                    </w:r>
                  </w:p>
                </w:tc>
                <w:tc>
                  <w:tcPr>
                    <w:tcW w:w="4111" w:type="dxa"/>
                    <w:tcBorders>
                      <w:top w:val="single" w:sz="4" w:space="0" w:color="auto"/>
                    </w:tcBorders>
                    <w:shd w:val="clear" w:color="auto" w:fill="FFD966"/>
                    <w:vAlign w:val="center"/>
                    <w:hideMark/>
                  </w:tcPr>
                  <w:p>
                    <w:pPr>
                      <w:rPr>
                        <w:sz w:val="20"/>
                      </w:rPr>
                    </w:pPr>
                    <w:r>
                      <w:rPr>
                        <w:sz w:val="20"/>
                      </w:rPr>
                      <w:t>Sporto varžybų ir sveikatingumo renginių dalyvių skaičius (tūkst. asm.)</w:t>
                    </w:r>
                  </w:p>
                </w:tc>
                <w:tc>
                  <w:tcPr>
                    <w:tcW w:w="1134" w:type="dxa"/>
                    <w:tcBorders>
                      <w:top w:val="single" w:sz="4" w:space="0" w:color="auto"/>
                    </w:tcBorders>
                    <w:shd w:val="clear" w:color="auto" w:fill="FFD966"/>
                    <w:vAlign w:val="center"/>
                    <w:hideMark/>
                  </w:tcPr>
                  <w:p>
                    <w:pPr>
                      <w:jc w:val="center"/>
                      <w:rPr>
                        <w:sz w:val="20"/>
                      </w:rPr>
                    </w:pPr>
                    <w:r>
                      <w:rPr>
                        <w:sz w:val="20"/>
                      </w:rPr>
                      <w:t>VDA (SS)</w:t>
                    </w:r>
                  </w:p>
                </w:tc>
                <w:tc>
                  <w:tcPr>
                    <w:tcW w:w="1134" w:type="dxa"/>
                    <w:tcBorders>
                      <w:top w:val="single" w:sz="4" w:space="0" w:color="auto"/>
                    </w:tcBorders>
                    <w:shd w:val="clear" w:color="auto" w:fill="FFD966"/>
                    <w:vAlign w:val="center"/>
                    <w:hideMark/>
                  </w:tcPr>
                  <w:p>
                    <w:pPr>
                      <w:jc w:val="center"/>
                      <w:rPr>
                        <w:sz w:val="20"/>
                      </w:rPr>
                    </w:pPr>
                    <w:r>
                      <w:rPr>
                        <w:sz w:val="20"/>
                      </w:rPr>
                      <w:t>69,4 (2022)</w:t>
                    </w:r>
                  </w:p>
                </w:tc>
                <w:tc>
                  <w:tcPr>
                    <w:tcW w:w="1134" w:type="dxa"/>
                    <w:tcBorders>
                      <w:top w:val="single" w:sz="4" w:space="0" w:color="auto"/>
                    </w:tcBorders>
                    <w:shd w:val="clear" w:color="auto" w:fill="FFD966"/>
                    <w:vAlign w:val="center"/>
                    <w:hideMark/>
                  </w:tcPr>
                  <w:p>
                    <w:pPr>
                      <w:jc w:val="center"/>
                      <w:rPr>
                        <w:sz w:val="20"/>
                      </w:rPr>
                    </w:pPr>
                    <w:r>
                      <w:rPr>
                        <w:sz w:val="20"/>
                      </w:rPr>
                      <w:t>79,8 (2033)</w:t>
                    </w:r>
                  </w:p>
                </w:tc>
              </w:tr>
              <w:tr>
                <w:trPr>
                  <w:trHeight w:val="675"/>
                  <w:jc w:val="center"/>
                </w:trPr>
                <w:tc>
                  <w:tcPr>
                    <w:tcW w:w="988" w:type="dxa"/>
                    <w:vMerge/>
                    <w:shd w:val="clear" w:color="auto" w:fill="FFD966"/>
                    <w:vAlign w:val="center"/>
                    <w:hideMark/>
                  </w:tcPr>
                  <w:p>
                    <w:pPr>
                      <w:rPr>
                        <w:b/>
                        <w:bCs/>
                        <w:sz w:val="20"/>
                      </w:rPr>
                    </w:pPr>
                  </w:p>
                </w:tc>
                <w:tc>
                  <w:tcPr>
                    <w:tcW w:w="2126" w:type="dxa"/>
                    <w:vMerge/>
                    <w:shd w:val="clear" w:color="auto" w:fill="FFD966"/>
                    <w:vAlign w:val="center"/>
                    <w:hideMark/>
                  </w:tcPr>
                  <w:p>
                    <w:pPr>
                      <w:rPr>
                        <w:b/>
                        <w:bCs/>
                        <w:sz w:val="20"/>
                      </w:rPr>
                    </w:pPr>
                  </w:p>
                </w:tc>
                <w:tc>
                  <w:tcPr>
                    <w:tcW w:w="850" w:type="dxa"/>
                    <w:vMerge/>
                    <w:shd w:val="clear" w:color="auto" w:fill="FFD966"/>
                    <w:vAlign w:val="center"/>
                    <w:hideMark/>
                  </w:tcPr>
                  <w:p>
                    <w:pPr>
                      <w:rPr>
                        <w:sz w:val="20"/>
                      </w:rPr>
                    </w:pPr>
                  </w:p>
                </w:tc>
                <w:tc>
                  <w:tcPr>
                    <w:tcW w:w="709" w:type="dxa"/>
                    <w:vMerge/>
                    <w:shd w:val="clear" w:color="auto" w:fill="FFD966"/>
                    <w:vAlign w:val="center"/>
                    <w:hideMark/>
                  </w:tcPr>
                  <w:p>
                    <w:pPr>
                      <w:rPr>
                        <w:sz w:val="20"/>
                      </w:rPr>
                    </w:pPr>
                  </w:p>
                </w:tc>
                <w:tc>
                  <w:tcPr>
                    <w:tcW w:w="709" w:type="dxa"/>
                    <w:vMerge/>
                    <w:shd w:val="clear" w:color="auto" w:fill="FFD966"/>
                    <w:vAlign w:val="center"/>
                    <w:hideMark/>
                  </w:tcPr>
                  <w:p>
                    <w:pPr>
                      <w:rPr>
                        <w:sz w:val="20"/>
                      </w:rPr>
                    </w:pPr>
                  </w:p>
                </w:tc>
                <w:tc>
                  <w:tcPr>
                    <w:tcW w:w="1417" w:type="dxa"/>
                    <w:shd w:val="clear" w:color="auto" w:fill="FFD966"/>
                    <w:vAlign w:val="center"/>
                    <w:hideMark/>
                  </w:tcPr>
                  <w:p>
                    <w:pPr>
                      <w:rPr>
                        <w:sz w:val="20"/>
                      </w:rPr>
                    </w:pPr>
                    <w:r>
                      <w:rPr>
                        <w:sz w:val="20"/>
                      </w:rPr>
                      <w:t>P-17-02</w:t>
                    </w:r>
                  </w:p>
                </w:tc>
                <w:tc>
                  <w:tcPr>
                    <w:tcW w:w="4111" w:type="dxa"/>
                    <w:shd w:val="clear" w:color="auto" w:fill="FFD966"/>
                    <w:vAlign w:val="center"/>
                    <w:hideMark/>
                  </w:tcPr>
                  <w:p>
                    <w:pPr>
                      <w:rPr>
                        <w:sz w:val="20"/>
                      </w:rPr>
                    </w:pPr>
                    <w:r>
                      <w:rPr>
                        <w:sz w:val="20"/>
                      </w:rPr>
                      <w:t xml:space="preserve">Vasaros olimpinių žaidynių / paralimpinių žaidynių dalyvių skaičius  (asm.)</w:t>
                    </w:r>
                  </w:p>
                </w:tc>
                <w:tc>
                  <w:tcPr>
                    <w:tcW w:w="1134" w:type="dxa"/>
                    <w:shd w:val="clear" w:color="auto" w:fill="FFD966"/>
                    <w:vAlign w:val="center"/>
                    <w:hideMark/>
                  </w:tcPr>
                  <w:p>
                    <w:pPr>
                      <w:jc w:val="center"/>
                      <w:rPr>
                        <w:sz w:val="20"/>
                      </w:rPr>
                    </w:pPr>
                    <w:r>
                      <w:rPr>
                        <w:sz w:val="20"/>
                      </w:rPr>
                      <w:t>ŠMSA (SS)</w:t>
                    </w:r>
                  </w:p>
                </w:tc>
                <w:tc>
                  <w:tcPr>
                    <w:tcW w:w="1134" w:type="dxa"/>
                    <w:shd w:val="clear" w:color="auto" w:fill="FFD966"/>
                    <w:vAlign w:val="center"/>
                    <w:hideMark/>
                  </w:tcPr>
                  <w:p>
                    <w:pPr>
                      <w:jc w:val="center"/>
                      <w:rPr>
                        <w:sz w:val="20"/>
                      </w:rPr>
                    </w:pPr>
                    <w:r>
                      <w:rPr>
                        <w:sz w:val="20"/>
                      </w:rPr>
                      <w:t>7 / 3 (2016-2021)</w:t>
                    </w:r>
                  </w:p>
                </w:tc>
                <w:tc>
                  <w:tcPr>
                    <w:tcW w:w="1134" w:type="dxa"/>
                    <w:shd w:val="clear" w:color="auto" w:fill="FFD966"/>
                    <w:vAlign w:val="center"/>
                    <w:hideMark/>
                  </w:tcPr>
                  <w:p>
                    <w:pPr>
                      <w:jc w:val="center"/>
                      <w:rPr>
                        <w:sz w:val="20"/>
                      </w:rPr>
                    </w:pPr>
                    <w:r>
                      <w:rPr>
                        <w:sz w:val="20"/>
                      </w:rPr>
                      <w:t>12 / 10 (2028-2032)</w:t>
                    </w:r>
                  </w:p>
                </w:tc>
              </w:tr>
              <w:tr>
                <w:trPr>
                  <w:trHeight w:val="738"/>
                  <w:jc w:val="center"/>
                </w:trPr>
                <w:tc>
                  <w:tcPr>
                    <w:tcW w:w="988" w:type="dxa"/>
                    <w:vMerge w:val="restart"/>
                    <w:shd w:val="clear" w:color="auto" w:fill="FCE4D6"/>
                    <w:noWrap/>
                    <w:vAlign w:val="center"/>
                    <w:hideMark/>
                  </w:tcPr>
                  <w:p>
                    <w:pPr>
                      <w:rPr>
                        <w:b/>
                        <w:bCs/>
                        <w:sz w:val="20"/>
                      </w:rPr>
                    </w:pPr>
                    <w:r>
                      <w:rPr>
                        <w:b/>
                        <w:bCs/>
                        <w:sz w:val="20"/>
                      </w:rPr>
                      <w:t>17-01</w:t>
                    </w:r>
                  </w:p>
                </w:tc>
                <w:tc>
                  <w:tcPr>
                    <w:tcW w:w="2126" w:type="dxa"/>
                    <w:vMerge w:val="restart"/>
                    <w:shd w:val="clear" w:color="auto" w:fill="FCE4D6"/>
                    <w:vAlign w:val="center"/>
                    <w:hideMark/>
                  </w:tcPr>
                  <w:p>
                    <w:pPr>
                      <w:rPr>
                        <w:b/>
                        <w:bCs/>
                        <w:sz w:val="20"/>
                      </w:rPr>
                    </w:pPr>
                    <w:r>
                      <w:rPr>
                        <w:b/>
                        <w:bCs/>
                        <w:sz w:val="20"/>
                      </w:rPr>
                      <w:t>Skatinti gyventojų fizinio aktyvumo veiklas ir plėtoti aukšto meistriškumo sportininkų rengimo sistemą</w:t>
                    </w:r>
                  </w:p>
                </w:tc>
                <w:tc>
                  <w:tcPr>
                    <w:tcW w:w="850" w:type="dxa"/>
                    <w:vMerge w:val="restart"/>
                    <w:shd w:val="clear" w:color="auto" w:fill="FCE4D6"/>
                    <w:vAlign w:val="center"/>
                    <w:hideMark/>
                  </w:tcPr>
                  <w:p>
                    <w:pPr>
                      <w:jc w:val="center"/>
                      <w:rPr>
                        <w:sz w:val="20"/>
                      </w:rPr>
                    </w:pPr>
                    <w:r>
                      <w:rPr>
                        <w:sz w:val="20"/>
                      </w:rPr>
                      <w:t>SS</w:t>
                    </w:r>
                  </w:p>
                </w:tc>
                <w:tc>
                  <w:tcPr>
                    <w:tcW w:w="709" w:type="dxa"/>
                    <w:vMerge w:val="restart"/>
                    <w:shd w:val="clear" w:color="auto" w:fill="FCE4D6"/>
                    <w:vAlign w:val="center"/>
                    <w:hideMark/>
                  </w:tcPr>
                  <w:p>
                    <w:pPr>
                      <w:jc w:val="center"/>
                      <w:rPr>
                        <w:sz w:val="20"/>
                      </w:rPr>
                    </w:pPr>
                    <w:r>
                      <w:rPr>
                        <w:sz w:val="20"/>
                      </w:rPr>
                      <w:t>2025</w:t>
                    </w:r>
                  </w:p>
                </w:tc>
                <w:tc>
                  <w:tcPr>
                    <w:tcW w:w="709" w:type="dxa"/>
                    <w:vMerge w:val="restart"/>
                    <w:shd w:val="clear" w:color="auto" w:fill="FCE4D6"/>
                    <w:vAlign w:val="center"/>
                    <w:hideMark/>
                  </w:tcPr>
                  <w:p>
                    <w:pPr>
                      <w:jc w:val="center"/>
                      <w:rPr>
                        <w:sz w:val="20"/>
                      </w:rPr>
                    </w:pPr>
                    <w:r>
                      <w:rPr>
                        <w:sz w:val="20"/>
                      </w:rPr>
                      <w:t>2033</w:t>
                    </w:r>
                  </w:p>
                </w:tc>
                <w:tc>
                  <w:tcPr>
                    <w:tcW w:w="1417" w:type="dxa"/>
                    <w:shd w:val="clear" w:color="auto" w:fill="FCE4D6"/>
                    <w:vAlign w:val="center"/>
                    <w:hideMark/>
                  </w:tcPr>
                  <w:p>
                    <w:pPr>
                      <w:rPr>
                        <w:b/>
                        <w:bCs/>
                        <w:sz w:val="20"/>
                      </w:rPr>
                    </w:pPr>
                    <w:r>
                      <w:rPr>
                        <w:b/>
                        <w:bCs/>
                        <w:sz w:val="20"/>
                      </w:rPr>
                      <w:t>R-17-01-01</w:t>
                    </w:r>
                  </w:p>
                </w:tc>
                <w:tc>
                  <w:tcPr>
                    <w:tcW w:w="4111" w:type="dxa"/>
                    <w:shd w:val="clear" w:color="auto" w:fill="FCE4D6"/>
                    <w:vAlign w:val="center"/>
                    <w:hideMark/>
                  </w:tcPr>
                  <w:p>
                    <w:pPr>
                      <w:rPr>
                        <w:sz w:val="20"/>
                      </w:rPr>
                    </w:pPr>
                    <w:r>
                      <w:rPr>
                        <w:sz w:val="20"/>
                      </w:rPr>
                      <w:t>Sportuojančiųjų sporto klubuose ir ugdymo centruose dalis nuo gyventojų skaičiaus (proc.)</w:t>
                    </w:r>
                  </w:p>
                </w:tc>
                <w:tc>
                  <w:tcPr>
                    <w:tcW w:w="1134" w:type="dxa"/>
                    <w:shd w:val="clear" w:color="auto" w:fill="FCE4D6"/>
                    <w:vAlign w:val="center"/>
                    <w:hideMark/>
                  </w:tcPr>
                  <w:p>
                    <w:pPr>
                      <w:jc w:val="center"/>
                      <w:rPr>
                        <w:sz w:val="20"/>
                      </w:rPr>
                    </w:pPr>
                    <w:r>
                      <w:rPr>
                        <w:sz w:val="20"/>
                      </w:rPr>
                      <w:t>LSC (SS)</w:t>
                    </w:r>
                  </w:p>
                </w:tc>
                <w:tc>
                  <w:tcPr>
                    <w:tcW w:w="1134" w:type="dxa"/>
                    <w:shd w:val="clear" w:color="auto" w:fill="FCE4D6"/>
                    <w:vAlign w:val="center"/>
                    <w:hideMark/>
                  </w:tcPr>
                  <w:p>
                    <w:pPr>
                      <w:jc w:val="center"/>
                      <w:rPr>
                        <w:sz w:val="20"/>
                      </w:rPr>
                    </w:pPr>
                    <w:r>
                      <w:rPr>
                        <w:sz w:val="20"/>
                      </w:rPr>
                      <w:t>8,8 (2022)</w:t>
                    </w:r>
                  </w:p>
                </w:tc>
                <w:tc>
                  <w:tcPr>
                    <w:tcW w:w="1134" w:type="dxa"/>
                    <w:shd w:val="clear" w:color="auto" w:fill="FCE4D6"/>
                    <w:vAlign w:val="center"/>
                    <w:hideMark/>
                  </w:tcPr>
                  <w:p>
                    <w:pPr>
                      <w:jc w:val="center"/>
                      <w:rPr>
                        <w:sz w:val="20"/>
                      </w:rPr>
                    </w:pPr>
                    <w:r>
                      <w:rPr>
                        <w:sz w:val="20"/>
                      </w:rPr>
                      <w:t>10,5 (2033)</w:t>
                    </w:r>
                  </w:p>
                </w:tc>
              </w:tr>
              <w:tr>
                <w:trPr>
                  <w:trHeight w:val="560"/>
                  <w:jc w:val="center"/>
                </w:trPr>
                <w:tc>
                  <w:tcPr>
                    <w:tcW w:w="988" w:type="dxa"/>
                    <w:vMerge/>
                    <w:shd w:val="clear" w:color="auto" w:fill="FCE4D6"/>
                    <w:vAlign w:val="center"/>
                    <w:hideMark/>
                  </w:tcPr>
                  <w:p>
                    <w:pPr>
                      <w:rPr>
                        <w:b/>
                        <w:bCs/>
                        <w:sz w:val="20"/>
                      </w:rPr>
                    </w:pPr>
                  </w:p>
                </w:tc>
                <w:tc>
                  <w:tcPr>
                    <w:tcW w:w="2126" w:type="dxa"/>
                    <w:vMerge/>
                    <w:shd w:val="clear" w:color="auto" w:fill="FCE4D6"/>
                    <w:vAlign w:val="center"/>
                    <w:hideMark/>
                  </w:tcPr>
                  <w:p>
                    <w:pPr>
                      <w:rPr>
                        <w:b/>
                        <w:bCs/>
                        <w:sz w:val="20"/>
                      </w:rPr>
                    </w:pPr>
                  </w:p>
                </w:tc>
                <w:tc>
                  <w:tcPr>
                    <w:tcW w:w="850" w:type="dxa"/>
                    <w:vMerge/>
                    <w:shd w:val="clear" w:color="auto" w:fill="FCE4D6"/>
                    <w:vAlign w:val="center"/>
                    <w:hideMark/>
                  </w:tcPr>
                  <w:p>
                    <w:pPr>
                      <w:rPr>
                        <w:sz w:val="20"/>
                      </w:rPr>
                    </w:pPr>
                  </w:p>
                </w:tc>
                <w:tc>
                  <w:tcPr>
                    <w:tcW w:w="709" w:type="dxa"/>
                    <w:vMerge/>
                    <w:shd w:val="clear" w:color="auto" w:fill="FCE4D6"/>
                    <w:vAlign w:val="center"/>
                    <w:hideMark/>
                  </w:tcPr>
                  <w:p>
                    <w:pPr>
                      <w:rPr>
                        <w:sz w:val="20"/>
                      </w:rPr>
                    </w:pPr>
                  </w:p>
                </w:tc>
                <w:tc>
                  <w:tcPr>
                    <w:tcW w:w="709" w:type="dxa"/>
                    <w:vMerge/>
                    <w:shd w:val="clear" w:color="auto" w:fill="FCE4D6"/>
                    <w:vAlign w:val="center"/>
                    <w:hideMark/>
                  </w:tcPr>
                  <w:p>
                    <w:pPr>
                      <w:rPr>
                        <w:sz w:val="20"/>
                      </w:rPr>
                    </w:pPr>
                  </w:p>
                </w:tc>
                <w:tc>
                  <w:tcPr>
                    <w:tcW w:w="1417" w:type="dxa"/>
                    <w:shd w:val="clear" w:color="auto" w:fill="FCE4D6"/>
                    <w:vAlign w:val="center"/>
                    <w:hideMark/>
                  </w:tcPr>
                  <w:p>
                    <w:pPr>
                      <w:rPr>
                        <w:b/>
                        <w:bCs/>
                        <w:sz w:val="20"/>
                      </w:rPr>
                    </w:pPr>
                    <w:r>
                      <w:rPr>
                        <w:b/>
                        <w:bCs/>
                        <w:sz w:val="20"/>
                      </w:rPr>
                      <w:t>R-17-01-02</w:t>
                    </w:r>
                  </w:p>
                </w:tc>
                <w:tc>
                  <w:tcPr>
                    <w:tcW w:w="4111" w:type="dxa"/>
                    <w:shd w:val="clear" w:color="auto" w:fill="FCE4D6"/>
                    <w:vAlign w:val="center"/>
                    <w:hideMark/>
                  </w:tcPr>
                  <w:p>
                    <w:pPr>
                      <w:rPr>
                        <w:sz w:val="20"/>
                      </w:rPr>
                    </w:pPr>
                    <w:r>
                      <w:rPr>
                        <w:sz w:val="20"/>
                      </w:rPr>
                      <w:t>Europos ir pasaulio suaugusiųjų čempionatų olimpinių sporto šakų 1–3 v. laimėtojai (asm. per metus)</w:t>
                    </w:r>
                  </w:p>
                </w:tc>
                <w:tc>
                  <w:tcPr>
                    <w:tcW w:w="1134" w:type="dxa"/>
                    <w:shd w:val="clear" w:color="auto" w:fill="FCE4D6"/>
                    <w:vAlign w:val="center"/>
                    <w:hideMark/>
                  </w:tcPr>
                  <w:p>
                    <w:pPr>
                      <w:jc w:val="center"/>
                      <w:rPr>
                        <w:sz w:val="20"/>
                      </w:rPr>
                    </w:pPr>
                    <w:r>
                      <w:rPr>
                        <w:sz w:val="20"/>
                      </w:rPr>
                      <w:t>ŠMSA (SS)</w:t>
                    </w:r>
                  </w:p>
                </w:tc>
                <w:tc>
                  <w:tcPr>
                    <w:tcW w:w="1134" w:type="dxa"/>
                    <w:shd w:val="clear" w:color="auto" w:fill="FCE4D6"/>
                    <w:vAlign w:val="center"/>
                    <w:hideMark/>
                  </w:tcPr>
                  <w:p>
                    <w:pPr>
                      <w:jc w:val="center"/>
                      <w:rPr>
                        <w:sz w:val="20"/>
                      </w:rPr>
                    </w:pPr>
                    <w:r>
                      <w:rPr>
                        <w:sz w:val="20"/>
                      </w:rPr>
                      <w:t>13 (2023)</w:t>
                    </w:r>
                  </w:p>
                </w:tc>
                <w:tc>
                  <w:tcPr>
                    <w:tcW w:w="1134" w:type="dxa"/>
                    <w:shd w:val="clear" w:color="auto" w:fill="FCE4D6"/>
                    <w:vAlign w:val="center"/>
                    <w:hideMark/>
                  </w:tcPr>
                  <w:p>
                    <w:pPr>
                      <w:jc w:val="center"/>
                      <w:rPr>
                        <w:sz w:val="20"/>
                      </w:rPr>
                    </w:pPr>
                    <w:r>
                      <w:rPr>
                        <w:sz w:val="20"/>
                      </w:rPr>
                      <w:t>15 (2033)</w:t>
                    </w:r>
                  </w:p>
                </w:tc>
              </w:tr>
              <w:tr>
                <w:trPr>
                  <w:trHeight w:val="1170"/>
                  <w:jc w:val="center"/>
                </w:trPr>
                <w:tc>
                  <w:tcPr>
                    <w:tcW w:w="988" w:type="dxa"/>
                    <w:vMerge w:val="restart"/>
                    <w:noWrap/>
                    <w:vAlign w:val="center"/>
                    <w:hideMark/>
                  </w:tcPr>
                  <w:p>
                    <w:pPr>
                      <w:rPr>
                        <w:sz w:val="20"/>
                      </w:rPr>
                    </w:pPr>
                    <w:r>
                      <w:rPr>
                        <w:sz w:val="20"/>
                      </w:rPr>
                      <w:t>17-01-01</w:t>
                    </w:r>
                  </w:p>
                </w:tc>
                <w:tc>
                  <w:tcPr>
                    <w:tcW w:w="2126" w:type="dxa"/>
                    <w:vMerge w:val="restart"/>
                    <w:vAlign w:val="center"/>
                    <w:hideMark/>
                  </w:tcPr>
                  <w:p>
                    <w:pPr>
                      <w:rPr>
                        <w:sz w:val="20"/>
                      </w:rPr>
                    </w:pPr>
                    <w:r>
                      <w:rPr>
                        <w:sz w:val="20"/>
                      </w:rPr>
                      <w:t>Užtikrinti palankias ir motyvuojančias veiklos sąlygas sporto įstaigose ir organizacijose</w:t>
                    </w:r>
                  </w:p>
                </w:tc>
                <w:tc>
                  <w:tcPr>
                    <w:tcW w:w="850" w:type="dxa"/>
                    <w:vMerge w:val="restart"/>
                    <w:vAlign w:val="center"/>
                    <w:hideMark/>
                  </w:tcPr>
                  <w:p>
                    <w:pPr>
                      <w:jc w:val="center"/>
                      <w:rPr>
                        <w:sz w:val="20"/>
                      </w:rPr>
                    </w:pPr>
                    <w:r>
                      <w:rPr>
                        <w:sz w:val="20"/>
                      </w:rPr>
                      <w:t>SS</w:t>
                    </w:r>
                  </w:p>
                </w:tc>
                <w:tc>
                  <w:tcPr>
                    <w:tcW w:w="709" w:type="dxa"/>
                    <w:vMerge w:val="restart"/>
                    <w:vAlign w:val="center"/>
                    <w:hideMark/>
                  </w:tcPr>
                  <w:p>
                    <w:pPr>
                      <w:jc w:val="center"/>
                      <w:rPr>
                        <w:sz w:val="20"/>
                      </w:rPr>
                    </w:pPr>
                    <w:r>
                      <w:rPr>
                        <w:sz w:val="20"/>
                      </w:rPr>
                      <w:t>2025</w:t>
                    </w:r>
                  </w:p>
                </w:tc>
                <w:tc>
                  <w:tcPr>
                    <w:tcW w:w="709" w:type="dxa"/>
                    <w:vMerge w:val="restart"/>
                    <w:vAlign w:val="center"/>
                    <w:hideMark/>
                  </w:tcPr>
                  <w:p>
                    <w:pPr>
                      <w:jc w:val="center"/>
                      <w:rPr>
                        <w:sz w:val="20"/>
                      </w:rPr>
                    </w:pPr>
                    <w:r>
                      <w:rPr>
                        <w:sz w:val="20"/>
                      </w:rPr>
                      <w:t>2033</w:t>
                    </w:r>
                  </w:p>
                </w:tc>
                <w:tc>
                  <w:tcPr>
                    <w:tcW w:w="1417" w:type="dxa"/>
                    <w:vAlign w:val="center"/>
                    <w:hideMark/>
                  </w:tcPr>
                  <w:p>
                    <w:pPr>
                      <w:rPr>
                        <w:sz w:val="20"/>
                      </w:rPr>
                    </w:pPr>
                    <w:r>
                      <w:rPr>
                        <w:sz w:val="20"/>
                      </w:rPr>
                      <w:t>P-17-01-01-01</w:t>
                    </w:r>
                  </w:p>
                </w:tc>
                <w:tc>
                  <w:tcPr>
                    <w:tcW w:w="4111" w:type="dxa"/>
                    <w:vAlign w:val="center"/>
                    <w:hideMark/>
                  </w:tcPr>
                  <w:p>
                    <w:pPr>
                      <w:rPr>
                        <w:sz w:val="20"/>
                      </w:rPr>
                    </w:pPr>
                    <w:r>
                      <w:rPr>
                        <w:sz w:val="20"/>
                      </w:rPr>
                      <w:t>Užtikrintas sportininkų medicininis aptarnavimas, didinant Šiaulių lengvosios atletikos ir sveikatingumo centro, Medicinos skyriaus komplektaciją: gydytojų / kitų medicinos darbuotojų (vnt. / vnt.)</w:t>
                    </w:r>
                  </w:p>
                </w:tc>
                <w:tc>
                  <w:tcPr>
                    <w:tcW w:w="1134" w:type="dxa"/>
                    <w:vAlign w:val="center"/>
                    <w:hideMark/>
                  </w:tcPr>
                  <w:p>
                    <w:pPr>
                      <w:jc w:val="center"/>
                      <w:rPr>
                        <w:sz w:val="20"/>
                      </w:rPr>
                    </w:pPr>
                    <w:r>
                      <w:rPr>
                        <w:sz w:val="20"/>
                      </w:rPr>
                      <w:t>SS</w:t>
                    </w:r>
                  </w:p>
                </w:tc>
                <w:tc>
                  <w:tcPr>
                    <w:tcW w:w="1134" w:type="dxa"/>
                    <w:vAlign w:val="center"/>
                    <w:hideMark/>
                  </w:tcPr>
                  <w:p>
                    <w:pPr>
                      <w:jc w:val="center"/>
                      <w:rPr>
                        <w:sz w:val="20"/>
                      </w:rPr>
                    </w:pPr>
                    <w:r>
                      <w:rPr>
                        <w:sz w:val="20"/>
                      </w:rPr>
                      <w:t>1,25/3 (2023)</w:t>
                    </w:r>
                  </w:p>
                </w:tc>
                <w:tc>
                  <w:tcPr>
                    <w:tcW w:w="1134" w:type="dxa"/>
                    <w:vAlign w:val="center"/>
                    <w:hideMark/>
                  </w:tcPr>
                  <w:p>
                    <w:pPr>
                      <w:jc w:val="center"/>
                      <w:rPr>
                        <w:sz w:val="20"/>
                      </w:rPr>
                    </w:pPr>
                    <w:r>
                      <w:rPr>
                        <w:sz w:val="20"/>
                      </w:rPr>
                      <w:t>3/5 (2028)</w:t>
                    </w:r>
                  </w:p>
                </w:tc>
              </w:tr>
              <w:tr>
                <w:trPr>
                  <w:trHeight w:val="520"/>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rPr>
                        <w:sz w:val="20"/>
                      </w:rPr>
                    </w:pPr>
                  </w:p>
                </w:tc>
                <w:tc>
                  <w:tcPr>
                    <w:tcW w:w="709" w:type="dxa"/>
                    <w:vMerge/>
                    <w:vAlign w:val="center"/>
                    <w:hideMark/>
                  </w:tcPr>
                  <w:p>
                    <w:pPr>
                      <w:rPr>
                        <w:sz w:val="20"/>
                      </w:rPr>
                    </w:pPr>
                  </w:p>
                </w:tc>
                <w:tc>
                  <w:tcPr>
                    <w:tcW w:w="709" w:type="dxa"/>
                    <w:vMerge/>
                    <w:vAlign w:val="center"/>
                    <w:hideMark/>
                  </w:tcPr>
                  <w:p>
                    <w:pPr>
                      <w:rPr>
                        <w:sz w:val="20"/>
                      </w:rPr>
                    </w:pPr>
                  </w:p>
                </w:tc>
                <w:tc>
                  <w:tcPr>
                    <w:tcW w:w="1417" w:type="dxa"/>
                    <w:vAlign w:val="center"/>
                    <w:hideMark/>
                  </w:tcPr>
                  <w:p>
                    <w:pPr>
                      <w:rPr>
                        <w:sz w:val="20"/>
                      </w:rPr>
                    </w:pPr>
                    <w:r>
                      <w:rPr>
                        <w:sz w:val="20"/>
                      </w:rPr>
                      <w:t>P-17-01-01-02</w:t>
                    </w:r>
                  </w:p>
                </w:tc>
                <w:tc>
                  <w:tcPr>
                    <w:tcW w:w="4111" w:type="dxa"/>
                    <w:vAlign w:val="center"/>
                    <w:hideMark/>
                  </w:tcPr>
                  <w:p>
                    <w:pPr>
                      <w:rPr>
                        <w:sz w:val="20"/>
                      </w:rPr>
                    </w:pPr>
                    <w:r>
                      <w:rPr>
                        <w:sz w:val="20"/>
                      </w:rPr>
                      <w:t>Akredituotų, Savivaldybės sporto įstaigų ir organizacijų skaičius (vnt.)</w:t>
                    </w:r>
                  </w:p>
                </w:tc>
                <w:tc>
                  <w:tcPr>
                    <w:tcW w:w="1134" w:type="dxa"/>
                    <w:vAlign w:val="center"/>
                    <w:hideMark/>
                  </w:tcPr>
                  <w:p>
                    <w:pPr>
                      <w:jc w:val="center"/>
                      <w:rPr>
                        <w:sz w:val="20"/>
                      </w:rPr>
                    </w:pPr>
                    <w:r>
                      <w:rPr>
                        <w:sz w:val="20"/>
                      </w:rPr>
                      <w:t>SS</w:t>
                    </w:r>
                  </w:p>
                </w:tc>
                <w:tc>
                  <w:tcPr>
                    <w:tcW w:w="1134" w:type="dxa"/>
                    <w:vAlign w:val="center"/>
                    <w:hideMark/>
                  </w:tcPr>
                  <w:p>
                    <w:pPr>
                      <w:jc w:val="center"/>
                      <w:rPr>
                        <w:sz w:val="20"/>
                      </w:rPr>
                    </w:pPr>
                    <w:r>
                      <w:rPr>
                        <w:sz w:val="20"/>
                      </w:rPr>
                      <w:t>0 (2023)</w:t>
                    </w:r>
                  </w:p>
                </w:tc>
                <w:tc>
                  <w:tcPr>
                    <w:tcW w:w="1134" w:type="dxa"/>
                    <w:vAlign w:val="center"/>
                    <w:hideMark/>
                  </w:tcPr>
                  <w:p>
                    <w:pPr>
                      <w:jc w:val="center"/>
                      <w:rPr>
                        <w:sz w:val="20"/>
                      </w:rPr>
                    </w:pPr>
                    <w:r>
                      <w:rPr>
                        <w:sz w:val="20"/>
                      </w:rPr>
                      <w:t>12 (2029)</w:t>
                    </w:r>
                  </w:p>
                </w:tc>
              </w:tr>
              <w:tr>
                <w:trPr>
                  <w:trHeight w:val="697"/>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rPr>
                        <w:sz w:val="20"/>
                      </w:rPr>
                    </w:pPr>
                  </w:p>
                </w:tc>
                <w:tc>
                  <w:tcPr>
                    <w:tcW w:w="709" w:type="dxa"/>
                    <w:vMerge/>
                    <w:vAlign w:val="center"/>
                    <w:hideMark/>
                  </w:tcPr>
                  <w:p>
                    <w:pPr>
                      <w:rPr>
                        <w:sz w:val="20"/>
                      </w:rPr>
                    </w:pPr>
                  </w:p>
                </w:tc>
                <w:tc>
                  <w:tcPr>
                    <w:tcW w:w="709" w:type="dxa"/>
                    <w:vMerge/>
                    <w:vAlign w:val="center"/>
                    <w:hideMark/>
                  </w:tcPr>
                  <w:p>
                    <w:pPr>
                      <w:rPr>
                        <w:sz w:val="20"/>
                      </w:rPr>
                    </w:pPr>
                  </w:p>
                </w:tc>
                <w:tc>
                  <w:tcPr>
                    <w:tcW w:w="1417" w:type="dxa"/>
                    <w:vAlign w:val="center"/>
                    <w:hideMark/>
                  </w:tcPr>
                  <w:p>
                    <w:pPr>
                      <w:rPr>
                        <w:sz w:val="20"/>
                      </w:rPr>
                    </w:pPr>
                    <w:r>
                      <w:rPr>
                        <w:sz w:val="20"/>
                      </w:rPr>
                      <w:t>P-17-01-01-03</w:t>
                    </w:r>
                  </w:p>
                </w:tc>
                <w:tc>
                  <w:tcPr>
                    <w:tcW w:w="4111" w:type="dxa"/>
                    <w:vAlign w:val="center"/>
                    <w:hideMark/>
                  </w:tcPr>
                  <w:p>
                    <w:pPr>
                      <w:rPr>
                        <w:sz w:val="20"/>
                      </w:rPr>
                    </w:pPr>
                    <w:r>
                      <w:rPr>
                        <w:sz w:val="20"/>
                      </w:rPr>
                      <w:t>Sporto įstaigų ir organizacijų pritrauktų rėmėjų ir kitų išorinių finansavimo šaltinių lėšų suma (mln. Eur per metus)</w:t>
                    </w:r>
                  </w:p>
                </w:tc>
                <w:tc>
                  <w:tcPr>
                    <w:tcW w:w="1134" w:type="dxa"/>
                    <w:vAlign w:val="center"/>
                    <w:hideMark/>
                  </w:tcPr>
                  <w:p>
                    <w:pPr>
                      <w:jc w:val="center"/>
                      <w:rPr>
                        <w:sz w:val="20"/>
                      </w:rPr>
                    </w:pPr>
                    <w:r>
                      <w:rPr>
                        <w:sz w:val="20"/>
                      </w:rPr>
                      <w:t>SS</w:t>
                    </w:r>
                  </w:p>
                </w:tc>
                <w:tc>
                  <w:tcPr>
                    <w:tcW w:w="1134" w:type="dxa"/>
                    <w:vAlign w:val="center"/>
                    <w:hideMark/>
                  </w:tcPr>
                  <w:p>
                    <w:pPr>
                      <w:jc w:val="center"/>
                      <w:rPr>
                        <w:sz w:val="20"/>
                      </w:rPr>
                    </w:pPr>
                    <w:r>
                      <w:rPr>
                        <w:sz w:val="20"/>
                      </w:rPr>
                      <w:t>2,07 (2023)</w:t>
                    </w:r>
                  </w:p>
                </w:tc>
                <w:tc>
                  <w:tcPr>
                    <w:tcW w:w="1134" w:type="dxa"/>
                    <w:vAlign w:val="center"/>
                    <w:hideMark/>
                  </w:tcPr>
                  <w:p>
                    <w:pPr>
                      <w:jc w:val="center"/>
                      <w:rPr>
                        <w:sz w:val="20"/>
                      </w:rPr>
                    </w:pPr>
                    <w:r>
                      <w:rPr>
                        <w:sz w:val="20"/>
                      </w:rPr>
                      <w:t>3,06 (2033)</w:t>
                    </w:r>
                  </w:p>
                </w:tc>
              </w:tr>
              <w:tr>
                <w:trPr>
                  <w:trHeight w:val="756"/>
                  <w:jc w:val="center"/>
                </w:trPr>
                <w:tc>
                  <w:tcPr>
                    <w:tcW w:w="988" w:type="dxa"/>
                    <w:vMerge w:val="restart"/>
                    <w:noWrap/>
                    <w:vAlign w:val="center"/>
                    <w:hideMark/>
                  </w:tcPr>
                  <w:p>
                    <w:pPr>
                      <w:rPr>
                        <w:sz w:val="20"/>
                      </w:rPr>
                    </w:pPr>
                    <w:r>
                      <w:rPr>
                        <w:sz w:val="20"/>
                      </w:rPr>
                      <w:t>17-01-02</w:t>
                    </w:r>
                  </w:p>
                </w:tc>
                <w:tc>
                  <w:tcPr>
                    <w:tcW w:w="2126" w:type="dxa"/>
                    <w:vMerge w:val="restart"/>
                    <w:vAlign w:val="center"/>
                    <w:hideMark/>
                  </w:tcPr>
                  <w:p>
                    <w:pPr>
                      <w:rPr>
                        <w:sz w:val="20"/>
                      </w:rPr>
                    </w:pPr>
                    <w:r>
                      <w:rPr>
                        <w:sz w:val="20"/>
                      </w:rPr>
                      <w:t>Skatinti savarankišką fizinį aktyvumą įvairiose gyventojų grupėse</w:t>
                    </w:r>
                  </w:p>
                </w:tc>
                <w:tc>
                  <w:tcPr>
                    <w:tcW w:w="850" w:type="dxa"/>
                    <w:vMerge w:val="restart"/>
                    <w:vAlign w:val="center"/>
                    <w:hideMark/>
                  </w:tcPr>
                  <w:p>
                    <w:pPr>
                      <w:jc w:val="center"/>
                      <w:rPr>
                        <w:sz w:val="20"/>
                      </w:rPr>
                    </w:pPr>
                    <w:r>
                      <w:rPr>
                        <w:sz w:val="20"/>
                      </w:rPr>
                      <w:t>SS</w:t>
                    </w:r>
                  </w:p>
                </w:tc>
                <w:tc>
                  <w:tcPr>
                    <w:tcW w:w="709" w:type="dxa"/>
                    <w:vMerge w:val="restart"/>
                    <w:vAlign w:val="center"/>
                    <w:hideMark/>
                  </w:tcPr>
                  <w:p>
                    <w:pPr>
                      <w:jc w:val="center"/>
                      <w:rPr>
                        <w:sz w:val="20"/>
                      </w:rPr>
                    </w:pPr>
                    <w:r>
                      <w:rPr>
                        <w:sz w:val="20"/>
                      </w:rPr>
                      <w:t>2025</w:t>
                    </w:r>
                  </w:p>
                </w:tc>
                <w:tc>
                  <w:tcPr>
                    <w:tcW w:w="709" w:type="dxa"/>
                    <w:vMerge w:val="restart"/>
                    <w:vAlign w:val="center"/>
                    <w:hideMark/>
                  </w:tcPr>
                  <w:p>
                    <w:pPr>
                      <w:jc w:val="center"/>
                      <w:rPr>
                        <w:sz w:val="20"/>
                      </w:rPr>
                    </w:pPr>
                    <w:r>
                      <w:rPr>
                        <w:sz w:val="20"/>
                      </w:rPr>
                      <w:t>2033</w:t>
                    </w:r>
                  </w:p>
                </w:tc>
                <w:tc>
                  <w:tcPr>
                    <w:tcW w:w="1417" w:type="dxa"/>
                    <w:vAlign w:val="center"/>
                    <w:hideMark/>
                  </w:tcPr>
                  <w:p>
                    <w:pPr>
                      <w:rPr>
                        <w:sz w:val="20"/>
                      </w:rPr>
                    </w:pPr>
                    <w:r>
                      <w:rPr>
                        <w:sz w:val="20"/>
                      </w:rPr>
                      <w:t>P-17-01-02-01</w:t>
                    </w:r>
                  </w:p>
                </w:tc>
                <w:tc>
                  <w:tcPr>
                    <w:tcW w:w="4111" w:type="dxa"/>
                    <w:vAlign w:val="center"/>
                    <w:hideMark/>
                  </w:tcPr>
                  <w:p>
                    <w:pPr>
                      <w:rPr>
                        <w:sz w:val="20"/>
                      </w:rPr>
                    </w:pPr>
                    <w:r>
                      <w:rPr>
                        <w:sz w:val="20"/>
                      </w:rPr>
                      <w:t>Atliktas pilotinis tyrimas dėl Savivaldybės švietimo įstaigų uždaros sporto infrastruktūros atvėrimo bendruomenės sporto ir fizinio aktyvumo poreikiams tenkinti (vnt.)</w:t>
                    </w:r>
                  </w:p>
                </w:tc>
                <w:tc>
                  <w:tcPr>
                    <w:tcW w:w="1134" w:type="dxa"/>
                    <w:vAlign w:val="center"/>
                    <w:hideMark/>
                  </w:tcPr>
                  <w:p>
                    <w:pPr>
                      <w:jc w:val="center"/>
                      <w:rPr>
                        <w:sz w:val="20"/>
                      </w:rPr>
                    </w:pPr>
                    <w:r>
                      <w:rPr>
                        <w:sz w:val="20"/>
                      </w:rPr>
                      <w:t>SS, ŠS</w:t>
                    </w:r>
                  </w:p>
                </w:tc>
                <w:tc>
                  <w:tcPr>
                    <w:tcW w:w="1134" w:type="dxa"/>
                    <w:vAlign w:val="center"/>
                    <w:hideMark/>
                  </w:tcPr>
                  <w:p>
                    <w:pPr>
                      <w:jc w:val="center"/>
                      <w:rPr>
                        <w:sz w:val="20"/>
                      </w:rPr>
                    </w:pPr>
                    <w:r>
                      <w:rPr>
                        <w:sz w:val="20"/>
                      </w:rPr>
                      <w:t>0 (2023)</w:t>
                    </w:r>
                  </w:p>
                </w:tc>
                <w:tc>
                  <w:tcPr>
                    <w:tcW w:w="1134" w:type="dxa"/>
                    <w:vAlign w:val="center"/>
                    <w:hideMark/>
                  </w:tcPr>
                  <w:p>
                    <w:pPr>
                      <w:jc w:val="center"/>
                      <w:rPr>
                        <w:sz w:val="20"/>
                      </w:rPr>
                    </w:pPr>
                    <w:r>
                      <w:rPr>
                        <w:sz w:val="20"/>
                      </w:rPr>
                      <w:t>1 (2026)</w:t>
                    </w:r>
                  </w:p>
                </w:tc>
              </w:tr>
              <w:tr>
                <w:trPr>
                  <w:trHeight w:val="500"/>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rPr>
                        <w:sz w:val="20"/>
                      </w:rPr>
                    </w:pPr>
                  </w:p>
                </w:tc>
                <w:tc>
                  <w:tcPr>
                    <w:tcW w:w="709" w:type="dxa"/>
                    <w:vMerge/>
                    <w:vAlign w:val="center"/>
                    <w:hideMark/>
                  </w:tcPr>
                  <w:p>
                    <w:pPr>
                      <w:rPr>
                        <w:sz w:val="20"/>
                      </w:rPr>
                    </w:pPr>
                  </w:p>
                </w:tc>
                <w:tc>
                  <w:tcPr>
                    <w:tcW w:w="709" w:type="dxa"/>
                    <w:vMerge/>
                    <w:vAlign w:val="center"/>
                    <w:hideMark/>
                  </w:tcPr>
                  <w:p>
                    <w:pPr>
                      <w:rPr>
                        <w:sz w:val="20"/>
                      </w:rPr>
                    </w:pPr>
                  </w:p>
                </w:tc>
                <w:tc>
                  <w:tcPr>
                    <w:tcW w:w="1417" w:type="dxa"/>
                    <w:vAlign w:val="center"/>
                    <w:hideMark/>
                  </w:tcPr>
                  <w:p>
                    <w:pPr>
                      <w:rPr>
                        <w:sz w:val="20"/>
                      </w:rPr>
                    </w:pPr>
                    <w:r>
                      <w:rPr>
                        <w:sz w:val="20"/>
                      </w:rPr>
                      <w:t>P-17-01-02-02</w:t>
                    </w:r>
                  </w:p>
                </w:tc>
                <w:tc>
                  <w:tcPr>
                    <w:tcW w:w="4111" w:type="dxa"/>
                    <w:vAlign w:val="center"/>
                    <w:hideMark/>
                  </w:tcPr>
                  <w:p>
                    <w:pPr>
                      <w:rPr>
                        <w:color w:val="FF0000"/>
                        <w:sz w:val="20"/>
                      </w:rPr>
                    </w:pPr>
                    <w:r>
                      <w:rPr>
                        <w:sz w:val="20"/>
                      </w:rPr>
                      <w:t>Savivaldybės administracijos dalinai finansuojamų organizuotų fizinio aktyvumo užsiėmimų dalyvių dalis nuo bendro Šiaulių m. gyventojų skaičiaus (proc.)</w:t>
                    </w:r>
                  </w:p>
                </w:tc>
                <w:tc>
                  <w:tcPr>
                    <w:tcW w:w="1134" w:type="dxa"/>
                    <w:vAlign w:val="center"/>
                    <w:hideMark/>
                  </w:tcPr>
                  <w:p>
                    <w:pPr>
                      <w:jc w:val="center"/>
                      <w:rPr>
                        <w:sz w:val="20"/>
                      </w:rPr>
                    </w:pPr>
                    <w:r>
                      <w:rPr>
                        <w:sz w:val="20"/>
                      </w:rPr>
                      <w:t>SS</w:t>
                    </w:r>
                  </w:p>
                </w:tc>
                <w:tc>
                  <w:tcPr>
                    <w:tcW w:w="1134" w:type="dxa"/>
                    <w:vAlign w:val="center"/>
                    <w:hideMark/>
                  </w:tcPr>
                  <w:p>
                    <w:pPr>
                      <w:jc w:val="center"/>
                      <w:rPr>
                        <w:sz w:val="20"/>
                      </w:rPr>
                    </w:pPr>
                    <w:r>
                      <w:rPr>
                        <w:sz w:val="20"/>
                      </w:rPr>
                      <w:t>14,4 (2023)</w:t>
                    </w:r>
                  </w:p>
                </w:tc>
                <w:tc>
                  <w:tcPr>
                    <w:tcW w:w="1134" w:type="dxa"/>
                    <w:vAlign w:val="center"/>
                    <w:hideMark/>
                  </w:tcPr>
                  <w:p>
                    <w:pPr>
                      <w:jc w:val="center"/>
                      <w:rPr>
                        <w:sz w:val="20"/>
                      </w:rPr>
                    </w:pPr>
                    <w:r>
                      <w:rPr>
                        <w:sz w:val="20"/>
                      </w:rPr>
                      <w:t>17,3 (2033)</w:t>
                    </w:r>
                  </w:p>
                </w:tc>
              </w:tr>
              <w:tr>
                <w:trPr>
                  <w:trHeight w:val="780"/>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rPr>
                        <w:sz w:val="20"/>
                      </w:rPr>
                    </w:pPr>
                  </w:p>
                </w:tc>
                <w:tc>
                  <w:tcPr>
                    <w:tcW w:w="709" w:type="dxa"/>
                    <w:vMerge/>
                    <w:vAlign w:val="center"/>
                    <w:hideMark/>
                  </w:tcPr>
                  <w:p>
                    <w:pPr>
                      <w:rPr>
                        <w:sz w:val="20"/>
                      </w:rPr>
                    </w:pPr>
                  </w:p>
                </w:tc>
                <w:tc>
                  <w:tcPr>
                    <w:tcW w:w="709" w:type="dxa"/>
                    <w:vMerge/>
                    <w:vAlign w:val="center"/>
                    <w:hideMark/>
                  </w:tcPr>
                  <w:p>
                    <w:pPr>
                      <w:rPr>
                        <w:sz w:val="20"/>
                      </w:rPr>
                    </w:pPr>
                  </w:p>
                </w:tc>
                <w:tc>
                  <w:tcPr>
                    <w:tcW w:w="1417" w:type="dxa"/>
                    <w:vAlign w:val="center"/>
                    <w:hideMark/>
                  </w:tcPr>
                  <w:p>
                    <w:pPr>
                      <w:rPr>
                        <w:sz w:val="20"/>
                      </w:rPr>
                    </w:pPr>
                    <w:r>
                      <w:rPr>
                        <w:sz w:val="20"/>
                      </w:rPr>
                      <w:t>P-17-01-02-03</w:t>
                    </w:r>
                  </w:p>
                </w:tc>
                <w:tc>
                  <w:tcPr>
                    <w:tcW w:w="4111" w:type="dxa"/>
                    <w:vAlign w:val="center"/>
                    <w:hideMark/>
                  </w:tcPr>
                  <w:p>
                    <w:pPr>
                      <w:rPr>
                        <w:sz w:val="20"/>
                      </w:rPr>
                    </w:pPr>
                    <w:r>
                      <w:rPr>
                        <w:sz w:val="20"/>
                      </w:rPr>
                      <w:t>Savivaldybės administracijos dalinai finansuojamų organizuotų fizinio aktyvumo veiklose dalyvavusių negalią turinčių asmenų skaičius (asm. per metus)</w:t>
                    </w:r>
                  </w:p>
                </w:tc>
                <w:tc>
                  <w:tcPr>
                    <w:tcW w:w="1134" w:type="dxa"/>
                    <w:vAlign w:val="center"/>
                    <w:hideMark/>
                  </w:tcPr>
                  <w:p>
                    <w:pPr>
                      <w:jc w:val="center"/>
                      <w:rPr>
                        <w:sz w:val="20"/>
                      </w:rPr>
                    </w:pPr>
                    <w:r>
                      <w:rPr>
                        <w:sz w:val="20"/>
                      </w:rPr>
                      <w:t>SS</w:t>
                    </w:r>
                  </w:p>
                </w:tc>
                <w:tc>
                  <w:tcPr>
                    <w:tcW w:w="1134" w:type="dxa"/>
                    <w:vAlign w:val="center"/>
                    <w:hideMark/>
                  </w:tcPr>
                  <w:p>
                    <w:pPr>
                      <w:jc w:val="center"/>
                      <w:rPr>
                        <w:sz w:val="20"/>
                      </w:rPr>
                    </w:pPr>
                    <w:r>
                      <w:rPr>
                        <w:sz w:val="20"/>
                      </w:rPr>
                      <w:t>142 (2023)</w:t>
                    </w:r>
                  </w:p>
                </w:tc>
                <w:tc>
                  <w:tcPr>
                    <w:tcW w:w="1134" w:type="dxa"/>
                    <w:vAlign w:val="center"/>
                    <w:hideMark/>
                  </w:tcPr>
                  <w:p>
                    <w:pPr>
                      <w:jc w:val="center"/>
                      <w:rPr>
                        <w:sz w:val="20"/>
                      </w:rPr>
                    </w:pPr>
                    <w:r>
                      <w:rPr>
                        <w:sz w:val="20"/>
                      </w:rPr>
                      <w:t>185 (2033)</w:t>
                    </w:r>
                  </w:p>
                </w:tc>
              </w:tr>
              <w:tr>
                <w:trPr>
                  <w:trHeight w:val="530"/>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rPr>
                        <w:sz w:val="20"/>
                      </w:rPr>
                    </w:pPr>
                  </w:p>
                </w:tc>
                <w:tc>
                  <w:tcPr>
                    <w:tcW w:w="709" w:type="dxa"/>
                    <w:vMerge/>
                    <w:vAlign w:val="center"/>
                    <w:hideMark/>
                  </w:tcPr>
                  <w:p>
                    <w:pPr>
                      <w:rPr>
                        <w:sz w:val="20"/>
                      </w:rPr>
                    </w:pPr>
                  </w:p>
                </w:tc>
                <w:tc>
                  <w:tcPr>
                    <w:tcW w:w="709" w:type="dxa"/>
                    <w:vMerge/>
                    <w:vAlign w:val="center"/>
                    <w:hideMark/>
                  </w:tcPr>
                  <w:p>
                    <w:pPr>
                      <w:rPr>
                        <w:sz w:val="20"/>
                      </w:rPr>
                    </w:pPr>
                  </w:p>
                </w:tc>
                <w:tc>
                  <w:tcPr>
                    <w:tcW w:w="1417" w:type="dxa"/>
                    <w:vAlign w:val="center"/>
                    <w:hideMark/>
                  </w:tcPr>
                  <w:p>
                    <w:pPr>
                      <w:rPr>
                        <w:sz w:val="20"/>
                      </w:rPr>
                    </w:pPr>
                    <w:r>
                      <w:rPr>
                        <w:sz w:val="20"/>
                      </w:rPr>
                      <w:t>P-17-01-02-04</w:t>
                    </w:r>
                  </w:p>
                </w:tc>
                <w:tc>
                  <w:tcPr>
                    <w:tcW w:w="4111" w:type="dxa"/>
                    <w:vAlign w:val="center"/>
                    <w:hideMark/>
                  </w:tcPr>
                  <w:p>
                    <w:pPr>
                      <w:rPr>
                        <w:sz w:val="20"/>
                      </w:rPr>
                    </w:pPr>
                    <w:r>
                      <w:rPr>
                        <w:sz w:val="20"/>
                      </w:rPr>
                      <w:t>Socialinio tinklo specializuotos paskyros „Sporto miestas Šiauliai“ stebėtojų skaičius (tūkst. vnt.)</w:t>
                    </w:r>
                  </w:p>
                </w:tc>
                <w:tc>
                  <w:tcPr>
                    <w:tcW w:w="1134" w:type="dxa"/>
                    <w:vAlign w:val="center"/>
                    <w:hideMark/>
                  </w:tcPr>
                  <w:p>
                    <w:pPr>
                      <w:jc w:val="center"/>
                      <w:rPr>
                        <w:sz w:val="20"/>
                      </w:rPr>
                    </w:pPr>
                    <w:r>
                      <w:rPr>
                        <w:sz w:val="20"/>
                      </w:rPr>
                      <w:t>SS</w:t>
                    </w:r>
                  </w:p>
                </w:tc>
                <w:tc>
                  <w:tcPr>
                    <w:tcW w:w="1134" w:type="dxa"/>
                    <w:vAlign w:val="center"/>
                    <w:hideMark/>
                  </w:tcPr>
                  <w:p>
                    <w:pPr>
                      <w:jc w:val="center"/>
                      <w:rPr>
                        <w:sz w:val="20"/>
                      </w:rPr>
                    </w:pPr>
                    <w:r>
                      <w:rPr>
                        <w:sz w:val="20"/>
                      </w:rPr>
                      <w:t>3,3 (2023)</w:t>
                    </w:r>
                  </w:p>
                </w:tc>
                <w:tc>
                  <w:tcPr>
                    <w:tcW w:w="1134" w:type="dxa"/>
                    <w:vAlign w:val="center"/>
                    <w:hideMark/>
                  </w:tcPr>
                  <w:p>
                    <w:pPr>
                      <w:jc w:val="center"/>
                      <w:rPr>
                        <w:sz w:val="20"/>
                      </w:rPr>
                    </w:pPr>
                    <w:r>
                      <w:rPr>
                        <w:sz w:val="20"/>
                      </w:rPr>
                      <w:t>6,6 (2033)</w:t>
                    </w:r>
                  </w:p>
                </w:tc>
              </w:tr>
              <w:tr>
                <w:trPr>
                  <w:trHeight w:val="641"/>
                  <w:jc w:val="center"/>
                </w:trPr>
                <w:tc>
                  <w:tcPr>
                    <w:tcW w:w="988" w:type="dxa"/>
                    <w:vMerge w:val="restart"/>
                    <w:noWrap/>
                    <w:vAlign w:val="center"/>
                    <w:hideMark/>
                  </w:tcPr>
                  <w:p>
                    <w:pPr>
                      <w:rPr>
                        <w:sz w:val="20"/>
                      </w:rPr>
                    </w:pPr>
                    <w:r>
                      <w:rPr>
                        <w:sz w:val="20"/>
                      </w:rPr>
                      <w:t>17-01-03</w:t>
                    </w:r>
                  </w:p>
                </w:tc>
                <w:tc>
                  <w:tcPr>
                    <w:tcW w:w="2126" w:type="dxa"/>
                    <w:vMerge w:val="restart"/>
                    <w:vAlign w:val="center"/>
                    <w:hideMark/>
                  </w:tcPr>
                  <w:p>
                    <w:pPr>
                      <w:rPr>
                        <w:sz w:val="20"/>
                      </w:rPr>
                    </w:pPr>
                    <w:r>
                      <w:rPr>
                        <w:sz w:val="20"/>
                      </w:rPr>
                      <w:t>Plėtoti aukšto meistriškumo sportininkų rengimo sistemą</w:t>
                    </w:r>
                  </w:p>
                </w:tc>
                <w:tc>
                  <w:tcPr>
                    <w:tcW w:w="850" w:type="dxa"/>
                    <w:vMerge w:val="restart"/>
                    <w:vAlign w:val="center"/>
                    <w:hideMark/>
                  </w:tcPr>
                  <w:p>
                    <w:pPr>
                      <w:jc w:val="center"/>
                      <w:rPr>
                        <w:sz w:val="20"/>
                      </w:rPr>
                    </w:pPr>
                    <w:r>
                      <w:rPr>
                        <w:sz w:val="20"/>
                      </w:rPr>
                      <w:t>SS</w:t>
                    </w:r>
                  </w:p>
                </w:tc>
                <w:tc>
                  <w:tcPr>
                    <w:tcW w:w="709" w:type="dxa"/>
                    <w:vMerge w:val="restart"/>
                    <w:vAlign w:val="center"/>
                    <w:hideMark/>
                  </w:tcPr>
                  <w:p>
                    <w:pPr>
                      <w:jc w:val="center"/>
                      <w:rPr>
                        <w:sz w:val="20"/>
                      </w:rPr>
                    </w:pPr>
                  </w:p>
                </w:tc>
                <w:tc>
                  <w:tcPr>
                    <w:tcW w:w="709" w:type="dxa"/>
                    <w:vMerge w:val="restart"/>
                    <w:vAlign w:val="center"/>
                    <w:hideMark/>
                  </w:tcPr>
                  <w:p>
                    <w:pPr>
                      <w:jc w:val="center"/>
                      <w:rPr>
                        <w:sz w:val="20"/>
                      </w:rPr>
                    </w:pPr>
                  </w:p>
                </w:tc>
                <w:tc>
                  <w:tcPr>
                    <w:tcW w:w="1417" w:type="dxa"/>
                    <w:vAlign w:val="center"/>
                    <w:hideMark/>
                  </w:tcPr>
                  <w:p>
                    <w:pPr>
                      <w:rPr>
                        <w:sz w:val="20"/>
                      </w:rPr>
                    </w:pPr>
                    <w:r>
                      <w:rPr>
                        <w:sz w:val="20"/>
                      </w:rPr>
                      <w:t>P-17-01-03-01</w:t>
                    </w:r>
                  </w:p>
                </w:tc>
                <w:tc>
                  <w:tcPr>
                    <w:tcW w:w="4111" w:type="dxa"/>
                    <w:vAlign w:val="center"/>
                    <w:hideMark/>
                  </w:tcPr>
                  <w:p>
                    <w:pPr>
                      <w:rPr>
                        <w:sz w:val="20"/>
                      </w:rPr>
                    </w:pPr>
                    <w:r>
                      <w:rPr>
                        <w:sz w:val="20"/>
                      </w:rPr>
                      <w:t>Lietuvos čempionatuose laimėtų 1–3 vietų (suaugusiųjų žaidimų komandos) skaičius (vnt. per metus)</w:t>
                    </w:r>
                  </w:p>
                </w:tc>
                <w:tc>
                  <w:tcPr>
                    <w:tcW w:w="1134" w:type="dxa"/>
                    <w:vAlign w:val="center"/>
                    <w:hideMark/>
                  </w:tcPr>
                  <w:p>
                    <w:pPr>
                      <w:jc w:val="center"/>
                      <w:rPr>
                        <w:sz w:val="20"/>
                      </w:rPr>
                    </w:pPr>
                    <w:r>
                      <w:rPr>
                        <w:sz w:val="20"/>
                      </w:rPr>
                      <w:t>SS</w:t>
                    </w:r>
                  </w:p>
                </w:tc>
                <w:tc>
                  <w:tcPr>
                    <w:tcW w:w="1134" w:type="dxa"/>
                    <w:vAlign w:val="center"/>
                    <w:hideMark/>
                  </w:tcPr>
                  <w:p>
                    <w:pPr>
                      <w:jc w:val="center"/>
                      <w:rPr>
                        <w:sz w:val="20"/>
                      </w:rPr>
                    </w:pPr>
                    <w:r>
                      <w:rPr>
                        <w:sz w:val="20"/>
                      </w:rPr>
                      <w:t>9 (2023)</w:t>
                    </w:r>
                  </w:p>
                </w:tc>
                <w:tc>
                  <w:tcPr>
                    <w:tcW w:w="1134" w:type="dxa"/>
                    <w:vAlign w:val="center"/>
                    <w:hideMark/>
                  </w:tcPr>
                  <w:p>
                    <w:pPr>
                      <w:jc w:val="center"/>
                      <w:rPr>
                        <w:sz w:val="20"/>
                      </w:rPr>
                    </w:pPr>
                    <w:r>
                      <w:rPr>
                        <w:sz w:val="20"/>
                      </w:rPr>
                      <w:t>11 (2033)</w:t>
                    </w:r>
                  </w:p>
                </w:tc>
              </w:tr>
              <w:tr>
                <w:trPr>
                  <w:trHeight w:val="553"/>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rPr>
                        <w:sz w:val="20"/>
                      </w:rPr>
                    </w:pPr>
                  </w:p>
                </w:tc>
                <w:tc>
                  <w:tcPr>
                    <w:tcW w:w="709" w:type="dxa"/>
                    <w:vMerge/>
                    <w:vAlign w:val="center"/>
                    <w:hideMark/>
                  </w:tcPr>
                  <w:p>
                    <w:pPr>
                      <w:rPr>
                        <w:sz w:val="20"/>
                      </w:rPr>
                    </w:pPr>
                  </w:p>
                </w:tc>
                <w:tc>
                  <w:tcPr>
                    <w:tcW w:w="709" w:type="dxa"/>
                    <w:vMerge/>
                    <w:vAlign w:val="center"/>
                    <w:hideMark/>
                  </w:tcPr>
                  <w:p>
                    <w:pPr>
                      <w:rPr>
                        <w:sz w:val="20"/>
                      </w:rPr>
                    </w:pPr>
                  </w:p>
                </w:tc>
                <w:tc>
                  <w:tcPr>
                    <w:tcW w:w="1417" w:type="dxa"/>
                    <w:vAlign w:val="center"/>
                    <w:hideMark/>
                  </w:tcPr>
                  <w:p>
                    <w:pPr>
                      <w:rPr>
                        <w:sz w:val="20"/>
                      </w:rPr>
                    </w:pPr>
                    <w:r>
                      <w:rPr>
                        <w:sz w:val="20"/>
                      </w:rPr>
                      <w:t>P-17-01-03-02</w:t>
                    </w:r>
                  </w:p>
                </w:tc>
                <w:tc>
                  <w:tcPr>
                    <w:tcW w:w="4111" w:type="dxa"/>
                    <w:vAlign w:val="center"/>
                    <w:hideMark/>
                  </w:tcPr>
                  <w:p>
                    <w:pPr>
                      <w:rPr>
                        <w:sz w:val="20"/>
                      </w:rPr>
                    </w:pPr>
                    <w:r>
                      <w:rPr>
                        <w:sz w:val="20"/>
                      </w:rPr>
                      <w:t>Lietuvos nacionalinių rinktinių narių skaičius: jaunių, jaunimo / suaugusiųjų amžiaus grupėse (asm. / asm. per metus)</w:t>
                    </w:r>
                  </w:p>
                </w:tc>
                <w:tc>
                  <w:tcPr>
                    <w:tcW w:w="1134" w:type="dxa"/>
                    <w:vAlign w:val="center"/>
                    <w:hideMark/>
                  </w:tcPr>
                  <w:p>
                    <w:pPr>
                      <w:jc w:val="center"/>
                      <w:rPr>
                        <w:sz w:val="20"/>
                      </w:rPr>
                    </w:pPr>
                    <w:r>
                      <w:rPr>
                        <w:sz w:val="20"/>
                      </w:rPr>
                      <w:t>SS</w:t>
                    </w:r>
                  </w:p>
                </w:tc>
                <w:tc>
                  <w:tcPr>
                    <w:tcW w:w="1134" w:type="dxa"/>
                    <w:vAlign w:val="center"/>
                    <w:hideMark/>
                  </w:tcPr>
                  <w:p>
                    <w:pPr>
                      <w:jc w:val="center"/>
                      <w:rPr>
                        <w:sz w:val="20"/>
                      </w:rPr>
                    </w:pPr>
                    <w:r>
                      <w:rPr>
                        <w:sz w:val="20"/>
                      </w:rPr>
                      <w:t>243 / 103 (2023)</w:t>
                    </w:r>
                  </w:p>
                </w:tc>
                <w:tc>
                  <w:tcPr>
                    <w:tcW w:w="1134" w:type="dxa"/>
                    <w:vAlign w:val="center"/>
                    <w:hideMark/>
                  </w:tcPr>
                  <w:p>
                    <w:pPr>
                      <w:jc w:val="center"/>
                      <w:rPr>
                        <w:sz w:val="20"/>
                      </w:rPr>
                    </w:pPr>
                    <w:r>
                      <w:rPr>
                        <w:sz w:val="20"/>
                      </w:rPr>
                      <w:t>265 / 125 (2033)</w:t>
                    </w:r>
                  </w:p>
                </w:tc>
              </w:tr>
              <w:tr>
                <w:trPr>
                  <w:trHeight w:val="661"/>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rPr>
                        <w:sz w:val="20"/>
                      </w:rPr>
                    </w:pPr>
                  </w:p>
                </w:tc>
                <w:tc>
                  <w:tcPr>
                    <w:tcW w:w="709" w:type="dxa"/>
                    <w:vMerge/>
                    <w:vAlign w:val="center"/>
                    <w:hideMark/>
                  </w:tcPr>
                  <w:p>
                    <w:pPr>
                      <w:rPr>
                        <w:sz w:val="20"/>
                      </w:rPr>
                    </w:pPr>
                  </w:p>
                </w:tc>
                <w:tc>
                  <w:tcPr>
                    <w:tcW w:w="709" w:type="dxa"/>
                    <w:vMerge/>
                    <w:vAlign w:val="center"/>
                    <w:hideMark/>
                  </w:tcPr>
                  <w:p>
                    <w:pPr>
                      <w:rPr>
                        <w:sz w:val="20"/>
                      </w:rPr>
                    </w:pPr>
                  </w:p>
                </w:tc>
                <w:tc>
                  <w:tcPr>
                    <w:tcW w:w="1417" w:type="dxa"/>
                    <w:vAlign w:val="center"/>
                    <w:hideMark/>
                  </w:tcPr>
                  <w:p>
                    <w:pPr>
                      <w:rPr>
                        <w:sz w:val="20"/>
                      </w:rPr>
                    </w:pPr>
                    <w:r>
                      <w:rPr>
                        <w:sz w:val="20"/>
                      </w:rPr>
                      <w:t>P-17-01-03-03</w:t>
                    </w:r>
                  </w:p>
                </w:tc>
                <w:tc>
                  <w:tcPr>
                    <w:tcW w:w="4111" w:type="dxa"/>
                    <w:vAlign w:val="center"/>
                    <w:hideMark/>
                  </w:tcPr>
                  <w:p>
                    <w:pPr>
                      <w:rPr>
                        <w:sz w:val="20"/>
                      </w:rPr>
                    </w:pPr>
                    <w:r>
                      <w:rPr>
                        <w:sz w:val="20"/>
                      </w:rPr>
                      <w:t>Organizuotoje aukšto meistriškumo sporto veikloje dalyvaujančių žmonių su negalia skaičius (asm. per metus)</w:t>
                    </w:r>
                  </w:p>
                </w:tc>
                <w:tc>
                  <w:tcPr>
                    <w:tcW w:w="1134" w:type="dxa"/>
                    <w:vAlign w:val="center"/>
                    <w:hideMark/>
                  </w:tcPr>
                  <w:p>
                    <w:pPr>
                      <w:jc w:val="center"/>
                      <w:rPr>
                        <w:sz w:val="20"/>
                      </w:rPr>
                    </w:pPr>
                    <w:r>
                      <w:rPr>
                        <w:sz w:val="20"/>
                      </w:rPr>
                      <w:t>SS</w:t>
                    </w:r>
                  </w:p>
                </w:tc>
                <w:tc>
                  <w:tcPr>
                    <w:tcW w:w="1134" w:type="dxa"/>
                    <w:vAlign w:val="center"/>
                    <w:hideMark/>
                  </w:tcPr>
                  <w:p>
                    <w:pPr>
                      <w:jc w:val="center"/>
                      <w:rPr>
                        <w:sz w:val="20"/>
                      </w:rPr>
                    </w:pPr>
                    <w:r>
                      <w:rPr>
                        <w:sz w:val="20"/>
                      </w:rPr>
                      <w:t>11 (2023)</w:t>
                    </w:r>
                  </w:p>
                </w:tc>
                <w:tc>
                  <w:tcPr>
                    <w:tcW w:w="1134" w:type="dxa"/>
                    <w:vAlign w:val="center"/>
                    <w:hideMark/>
                  </w:tcPr>
                  <w:p>
                    <w:pPr>
                      <w:jc w:val="center"/>
                      <w:rPr>
                        <w:sz w:val="20"/>
                      </w:rPr>
                    </w:pPr>
                    <w:r>
                      <w:rPr>
                        <w:sz w:val="20"/>
                      </w:rPr>
                      <w:t>15 (2033)</w:t>
                    </w:r>
                  </w:p>
                </w:tc>
              </w:tr>
              <w:tr>
                <w:trPr>
                  <w:trHeight w:val="520"/>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rPr>
                        <w:sz w:val="20"/>
                      </w:rPr>
                    </w:pPr>
                  </w:p>
                </w:tc>
                <w:tc>
                  <w:tcPr>
                    <w:tcW w:w="709" w:type="dxa"/>
                    <w:vMerge/>
                    <w:vAlign w:val="center"/>
                    <w:hideMark/>
                  </w:tcPr>
                  <w:p>
                    <w:pPr>
                      <w:rPr>
                        <w:sz w:val="20"/>
                      </w:rPr>
                    </w:pPr>
                  </w:p>
                </w:tc>
                <w:tc>
                  <w:tcPr>
                    <w:tcW w:w="709" w:type="dxa"/>
                    <w:vMerge/>
                    <w:vAlign w:val="center"/>
                    <w:hideMark/>
                  </w:tcPr>
                  <w:p>
                    <w:pPr>
                      <w:rPr>
                        <w:sz w:val="20"/>
                      </w:rPr>
                    </w:pPr>
                  </w:p>
                </w:tc>
                <w:tc>
                  <w:tcPr>
                    <w:tcW w:w="1417" w:type="dxa"/>
                    <w:vAlign w:val="center"/>
                    <w:hideMark/>
                  </w:tcPr>
                  <w:p>
                    <w:pPr>
                      <w:rPr>
                        <w:sz w:val="20"/>
                      </w:rPr>
                    </w:pPr>
                    <w:r>
                      <w:rPr>
                        <w:sz w:val="20"/>
                      </w:rPr>
                      <w:t>P-17-01-03-04</w:t>
                    </w:r>
                  </w:p>
                </w:tc>
                <w:tc>
                  <w:tcPr>
                    <w:tcW w:w="4111" w:type="dxa"/>
                    <w:vAlign w:val="center"/>
                    <w:hideMark/>
                  </w:tcPr>
                  <w:p>
                    <w:pPr>
                      <w:rPr>
                        <w:sz w:val="20"/>
                      </w:rPr>
                    </w:pPr>
                    <w:r>
                      <w:rPr>
                        <w:sz w:val="20"/>
                      </w:rPr>
                      <w:t>Surengtų Europos ir pasaulio čempionatų, taurės varžybų skaičius (vnt. per metus)</w:t>
                    </w:r>
                  </w:p>
                </w:tc>
                <w:tc>
                  <w:tcPr>
                    <w:tcW w:w="1134" w:type="dxa"/>
                    <w:vAlign w:val="center"/>
                    <w:hideMark/>
                  </w:tcPr>
                  <w:p>
                    <w:pPr>
                      <w:jc w:val="center"/>
                      <w:rPr>
                        <w:sz w:val="20"/>
                      </w:rPr>
                    </w:pPr>
                    <w:r>
                      <w:rPr>
                        <w:sz w:val="20"/>
                      </w:rPr>
                      <w:t>SS</w:t>
                    </w:r>
                  </w:p>
                </w:tc>
                <w:tc>
                  <w:tcPr>
                    <w:tcW w:w="1134" w:type="dxa"/>
                    <w:vAlign w:val="center"/>
                    <w:hideMark/>
                  </w:tcPr>
                  <w:p>
                    <w:pPr>
                      <w:jc w:val="center"/>
                      <w:rPr>
                        <w:sz w:val="20"/>
                      </w:rPr>
                    </w:pPr>
                    <w:r>
                      <w:rPr>
                        <w:sz w:val="20"/>
                      </w:rPr>
                      <w:t>3 (2023)</w:t>
                    </w:r>
                  </w:p>
                </w:tc>
                <w:tc>
                  <w:tcPr>
                    <w:tcW w:w="1134" w:type="dxa"/>
                    <w:vAlign w:val="center"/>
                    <w:hideMark/>
                  </w:tcPr>
                  <w:p>
                    <w:pPr>
                      <w:jc w:val="center"/>
                      <w:rPr>
                        <w:sz w:val="20"/>
                      </w:rPr>
                    </w:pPr>
                    <w:r>
                      <w:rPr>
                        <w:sz w:val="20"/>
                      </w:rPr>
                      <w:t>4 (2033)</w:t>
                    </w:r>
                  </w:p>
                </w:tc>
              </w:tr>
              <w:tr>
                <w:trPr>
                  <w:trHeight w:val="848"/>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rPr>
                        <w:sz w:val="20"/>
                      </w:rPr>
                    </w:pPr>
                  </w:p>
                </w:tc>
                <w:tc>
                  <w:tcPr>
                    <w:tcW w:w="709" w:type="dxa"/>
                    <w:vMerge/>
                    <w:vAlign w:val="center"/>
                    <w:hideMark/>
                  </w:tcPr>
                  <w:p>
                    <w:pPr>
                      <w:rPr>
                        <w:sz w:val="20"/>
                      </w:rPr>
                    </w:pPr>
                  </w:p>
                </w:tc>
                <w:tc>
                  <w:tcPr>
                    <w:tcW w:w="709" w:type="dxa"/>
                    <w:vMerge/>
                    <w:vAlign w:val="center"/>
                    <w:hideMark/>
                  </w:tcPr>
                  <w:p>
                    <w:pPr>
                      <w:rPr>
                        <w:sz w:val="20"/>
                      </w:rPr>
                    </w:pPr>
                  </w:p>
                </w:tc>
                <w:tc>
                  <w:tcPr>
                    <w:tcW w:w="1417" w:type="dxa"/>
                    <w:vAlign w:val="center"/>
                    <w:hideMark/>
                  </w:tcPr>
                  <w:p>
                    <w:pPr>
                      <w:rPr>
                        <w:sz w:val="20"/>
                      </w:rPr>
                    </w:pPr>
                    <w:r>
                      <w:rPr>
                        <w:sz w:val="20"/>
                      </w:rPr>
                      <w:t>P-17-01-03-05</w:t>
                    </w:r>
                  </w:p>
                </w:tc>
                <w:tc>
                  <w:tcPr>
                    <w:tcW w:w="4111" w:type="dxa"/>
                    <w:vAlign w:val="center"/>
                    <w:hideMark/>
                  </w:tcPr>
                  <w:p>
                    <w:pPr>
                      <w:rPr>
                        <w:sz w:val="20"/>
                      </w:rPr>
                    </w:pPr>
                    <w:r>
                      <w:rPr>
                        <w:sz w:val="20"/>
                      </w:rPr>
                      <w:t xml:space="preserve">Sporto gimnazijos mokinių (sportininkų), atstovaujančių Lietuvos rinktines (jauniai,  jaunimas ir suaugusieji) dalis, nuo visų mokinių (sportininkų) (asm.)</w:t>
                    </w:r>
                  </w:p>
                </w:tc>
                <w:tc>
                  <w:tcPr>
                    <w:tcW w:w="1134" w:type="dxa"/>
                    <w:vAlign w:val="center"/>
                    <w:hideMark/>
                  </w:tcPr>
                  <w:p>
                    <w:pPr>
                      <w:jc w:val="center"/>
                      <w:rPr>
                        <w:sz w:val="20"/>
                      </w:rPr>
                    </w:pPr>
                    <w:r>
                      <w:rPr>
                        <w:sz w:val="20"/>
                      </w:rPr>
                      <w:t>SS</w:t>
                    </w:r>
                  </w:p>
                </w:tc>
                <w:tc>
                  <w:tcPr>
                    <w:tcW w:w="1134" w:type="dxa"/>
                    <w:vAlign w:val="center"/>
                    <w:hideMark/>
                  </w:tcPr>
                  <w:p>
                    <w:pPr>
                      <w:jc w:val="center"/>
                      <w:rPr>
                        <w:sz w:val="20"/>
                      </w:rPr>
                    </w:pPr>
                    <w:r>
                      <w:rPr>
                        <w:sz w:val="20"/>
                      </w:rPr>
                      <w:t>90,7 (2023)</w:t>
                    </w:r>
                  </w:p>
                </w:tc>
                <w:tc>
                  <w:tcPr>
                    <w:tcW w:w="1134" w:type="dxa"/>
                    <w:vAlign w:val="center"/>
                    <w:hideMark/>
                  </w:tcPr>
                  <w:p>
                    <w:pPr>
                      <w:jc w:val="center"/>
                      <w:rPr>
                        <w:sz w:val="20"/>
                      </w:rPr>
                    </w:pPr>
                    <w:r>
                      <w:rPr>
                        <w:sz w:val="20"/>
                      </w:rPr>
                      <w:t>95-97 (2033)</w:t>
                    </w:r>
                  </w:p>
                </w:tc>
              </w:tr>
              <w:tr>
                <w:trPr>
                  <w:trHeight w:val="520"/>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rPr>
                        <w:sz w:val="20"/>
                      </w:rPr>
                    </w:pPr>
                  </w:p>
                </w:tc>
                <w:tc>
                  <w:tcPr>
                    <w:tcW w:w="709" w:type="dxa"/>
                    <w:vMerge/>
                    <w:vAlign w:val="center"/>
                    <w:hideMark/>
                  </w:tcPr>
                  <w:p>
                    <w:pPr>
                      <w:rPr>
                        <w:sz w:val="20"/>
                      </w:rPr>
                    </w:pPr>
                  </w:p>
                </w:tc>
                <w:tc>
                  <w:tcPr>
                    <w:tcW w:w="709" w:type="dxa"/>
                    <w:vMerge/>
                    <w:vAlign w:val="center"/>
                    <w:hideMark/>
                  </w:tcPr>
                  <w:p>
                    <w:pPr>
                      <w:rPr>
                        <w:sz w:val="20"/>
                      </w:rPr>
                    </w:pPr>
                  </w:p>
                </w:tc>
                <w:tc>
                  <w:tcPr>
                    <w:tcW w:w="1417" w:type="dxa"/>
                    <w:vAlign w:val="center"/>
                    <w:hideMark/>
                  </w:tcPr>
                  <w:p>
                    <w:pPr>
                      <w:rPr>
                        <w:sz w:val="20"/>
                      </w:rPr>
                    </w:pPr>
                    <w:r>
                      <w:rPr>
                        <w:sz w:val="20"/>
                      </w:rPr>
                      <w:t>P-17-01-03-06</w:t>
                    </w:r>
                  </w:p>
                </w:tc>
                <w:tc>
                  <w:tcPr>
                    <w:tcW w:w="4111" w:type="dxa"/>
                    <w:vAlign w:val="center"/>
                    <w:hideMark/>
                  </w:tcPr>
                  <w:p>
                    <w:pPr>
                      <w:rPr>
                        <w:sz w:val="20"/>
                      </w:rPr>
                    </w:pPr>
                    <w:r>
                      <w:rPr>
                        <w:sz w:val="20"/>
                      </w:rPr>
                      <w:t>Sporto šakų, kuriose sportinis ugdymas vystomas „piramidės“ principu, skaičius (vnt.)</w:t>
                    </w:r>
                  </w:p>
                </w:tc>
                <w:tc>
                  <w:tcPr>
                    <w:tcW w:w="1134" w:type="dxa"/>
                    <w:vAlign w:val="center"/>
                    <w:hideMark/>
                  </w:tcPr>
                  <w:p>
                    <w:pPr>
                      <w:jc w:val="center"/>
                      <w:rPr>
                        <w:sz w:val="20"/>
                      </w:rPr>
                    </w:pPr>
                    <w:r>
                      <w:rPr>
                        <w:sz w:val="20"/>
                      </w:rPr>
                      <w:t>SS</w:t>
                    </w:r>
                  </w:p>
                </w:tc>
                <w:tc>
                  <w:tcPr>
                    <w:tcW w:w="1134" w:type="dxa"/>
                    <w:vAlign w:val="center"/>
                    <w:hideMark/>
                  </w:tcPr>
                  <w:p>
                    <w:pPr>
                      <w:jc w:val="center"/>
                      <w:rPr>
                        <w:sz w:val="20"/>
                      </w:rPr>
                    </w:pPr>
                    <w:r>
                      <w:rPr>
                        <w:sz w:val="20"/>
                      </w:rPr>
                      <w:t>10 (2023)</w:t>
                    </w:r>
                  </w:p>
                </w:tc>
                <w:tc>
                  <w:tcPr>
                    <w:tcW w:w="1134" w:type="dxa"/>
                    <w:vAlign w:val="center"/>
                    <w:hideMark/>
                  </w:tcPr>
                  <w:p>
                    <w:pPr>
                      <w:jc w:val="center"/>
                      <w:rPr>
                        <w:sz w:val="20"/>
                      </w:rPr>
                    </w:pPr>
                    <w:r>
                      <w:rPr>
                        <w:sz w:val="20"/>
                      </w:rPr>
                      <w:t>25 (2033)</w:t>
                    </w:r>
                  </w:p>
                </w:tc>
              </w:tr>
              <w:tr>
                <w:trPr>
                  <w:trHeight w:val="1020"/>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rPr>
                        <w:sz w:val="20"/>
                      </w:rPr>
                    </w:pPr>
                  </w:p>
                </w:tc>
                <w:tc>
                  <w:tcPr>
                    <w:tcW w:w="709" w:type="dxa"/>
                    <w:vMerge/>
                    <w:vAlign w:val="center"/>
                    <w:hideMark/>
                  </w:tcPr>
                  <w:p>
                    <w:pPr>
                      <w:rPr>
                        <w:sz w:val="20"/>
                      </w:rPr>
                    </w:pPr>
                  </w:p>
                </w:tc>
                <w:tc>
                  <w:tcPr>
                    <w:tcW w:w="709" w:type="dxa"/>
                    <w:vMerge/>
                    <w:vAlign w:val="center"/>
                    <w:hideMark/>
                  </w:tcPr>
                  <w:p>
                    <w:pPr>
                      <w:rPr>
                        <w:sz w:val="20"/>
                      </w:rPr>
                    </w:pPr>
                  </w:p>
                </w:tc>
                <w:tc>
                  <w:tcPr>
                    <w:tcW w:w="1417" w:type="dxa"/>
                    <w:vAlign w:val="center"/>
                    <w:hideMark/>
                  </w:tcPr>
                  <w:p>
                    <w:pPr>
                      <w:rPr>
                        <w:sz w:val="20"/>
                      </w:rPr>
                    </w:pPr>
                    <w:r>
                      <w:rPr>
                        <w:sz w:val="20"/>
                      </w:rPr>
                      <w:t>P-17-01-03-07</w:t>
                    </w:r>
                  </w:p>
                </w:tc>
                <w:tc>
                  <w:tcPr>
                    <w:tcW w:w="4111" w:type="dxa"/>
                    <w:vAlign w:val="center"/>
                    <w:hideMark/>
                  </w:tcPr>
                  <w:p>
                    <w:pPr>
                      <w:rPr>
                        <w:sz w:val="20"/>
                      </w:rPr>
                    </w:pPr>
                    <w:r>
                      <w:rPr>
                        <w:sz w:val="20"/>
                      </w:rPr>
                      <w:t>Šiauliuose dirbančių aukšto meistriškumo vyriausiųjų trenerių, kurie yra Lietuvos sporto šakų rinktinių treneriai, skaičius: jaunių, jaunimo / suaugusiųjų amžiaus grupėse (asm. / asm. per metus)</w:t>
                    </w:r>
                  </w:p>
                </w:tc>
                <w:tc>
                  <w:tcPr>
                    <w:tcW w:w="1134" w:type="dxa"/>
                    <w:vAlign w:val="center"/>
                    <w:hideMark/>
                  </w:tcPr>
                  <w:p>
                    <w:pPr>
                      <w:jc w:val="center"/>
                      <w:rPr>
                        <w:sz w:val="20"/>
                      </w:rPr>
                    </w:pPr>
                    <w:r>
                      <w:rPr>
                        <w:sz w:val="20"/>
                      </w:rPr>
                      <w:t>SS</w:t>
                    </w:r>
                  </w:p>
                </w:tc>
                <w:tc>
                  <w:tcPr>
                    <w:tcW w:w="1134" w:type="dxa"/>
                    <w:vAlign w:val="center"/>
                    <w:hideMark/>
                  </w:tcPr>
                  <w:p>
                    <w:pPr>
                      <w:jc w:val="center"/>
                      <w:rPr>
                        <w:sz w:val="20"/>
                      </w:rPr>
                    </w:pPr>
                    <w:r>
                      <w:rPr>
                        <w:sz w:val="20"/>
                      </w:rPr>
                      <w:t>32 / 22 (2023)</w:t>
                    </w:r>
                  </w:p>
                </w:tc>
                <w:tc>
                  <w:tcPr>
                    <w:tcW w:w="1134" w:type="dxa"/>
                    <w:vAlign w:val="center"/>
                    <w:hideMark/>
                  </w:tcPr>
                  <w:p>
                    <w:pPr>
                      <w:jc w:val="center"/>
                      <w:rPr>
                        <w:sz w:val="20"/>
                      </w:rPr>
                    </w:pPr>
                    <w:r>
                      <w:rPr>
                        <w:sz w:val="20"/>
                      </w:rPr>
                      <w:t>40 / 26 (2033)</w:t>
                    </w:r>
                  </w:p>
                </w:tc>
              </w:tr>
              <w:tr>
                <w:trPr>
                  <w:trHeight w:val="631"/>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rPr>
                        <w:sz w:val="20"/>
                      </w:rPr>
                    </w:pPr>
                  </w:p>
                </w:tc>
                <w:tc>
                  <w:tcPr>
                    <w:tcW w:w="709" w:type="dxa"/>
                    <w:vMerge/>
                    <w:vAlign w:val="center"/>
                    <w:hideMark/>
                  </w:tcPr>
                  <w:p>
                    <w:pPr>
                      <w:rPr>
                        <w:sz w:val="20"/>
                      </w:rPr>
                    </w:pPr>
                  </w:p>
                </w:tc>
                <w:tc>
                  <w:tcPr>
                    <w:tcW w:w="709" w:type="dxa"/>
                    <w:vMerge/>
                    <w:vAlign w:val="center"/>
                    <w:hideMark/>
                  </w:tcPr>
                  <w:p>
                    <w:pPr>
                      <w:rPr>
                        <w:sz w:val="20"/>
                      </w:rPr>
                    </w:pPr>
                  </w:p>
                </w:tc>
                <w:tc>
                  <w:tcPr>
                    <w:tcW w:w="1417" w:type="dxa"/>
                    <w:vAlign w:val="center"/>
                    <w:hideMark/>
                  </w:tcPr>
                  <w:p>
                    <w:pPr>
                      <w:rPr>
                        <w:sz w:val="20"/>
                      </w:rPr>
                    </w:pPr>
                    <w:r>
                      <w:rPr>
                        <w:sz w:val="20"/>
                      </w:rPr>
                      <w:t>P-17-01-03-08</w:t>
                    </w:r>
                  </w:p>
                </w:tc>
                <w:tc>
                  <w:tcPr>
                    <w:tcW w:w="4111" w:type="dxa"/>
                    <w:vAlign w:val="center"/>
                    <w:hideMark/>
                  </w:tcPr>
                  <w:p>
                    <w:pPr>
                      <w:rPr>
                        <w:sz w:val="20"/>
                      </w:rPr>
                    </w:pPr>
                    <w:r>
                      <w:rPr>
                        <w:sz w:val="20"/>
                      </w:rPr>
                      <w:t xml:space="preserve">Aukščiausiuose nacionaliniuose čempionatuose dalyvaujančių vyrų ir moterų žaidimų komandų skaičius (vnt. / vnt. per metus) </w:t>
                    </w:r>
                  </w:p>
                </w:tc>
                <w:tc>
                  <w:tcPr>
                    <w:tcW w:w="1134" w:type="dxa"/>
                    <w:vAlign w:val="center"/>
                    <w:hideMark/>
                  </w:tcPr>
                  <w:p>
                    <w:pPr>
                      <w:jc w:val="center"/>
                      <w:rPr>
                        <w:sz w:val="20"/>
                      </w:rPr>
                    </w:pPr>
                    <w:r>
                      <w:rPr>
                        <w:sz w:val="20"/>
                      </w:rPr>
                      <w:t>SS</w:t>
                    </w:r>
                  </w:p>
                </w:tc>
                <w:tc>
                  <w:tcPr>
                    <w:tcW w:w="1134" w:type="dxa"/>
                    <w:vAlign w:val="center"/>
                    <w:hideMark/>
                  </w:tcPr>
                  <w:p>
                    <w:pPr>
                      <w:jc w:val="center"/>
                      <w:rPr>
                        <w:sz w:val="20"/>
                      </w:rPr>
                    </w:pPr>
                    <w:r>
                      <w:rPr>
                        <w:sz w:val="20"/>
                      </w:rPr>
                      <w:t>7 / 6 (2023)</w:t>
                    </w:r>
                  </w:p>
                </w:tc>
                <w:tc>
                  <w:tcPr>
                    <w:tcW w:w="1134" w:type="dxa"/>
                    <w:vAlign w:val="center"/>
                    <w:hideMark/>
                  </w:tcPr>
                  <w:p>
                    <w:pPr>
                      <w:jc w:val="center"/>
                      <w:rPr>
                        <w:sz w:val="20"/>
                      </w:rPr>
                    </w:pPr>
                    <w:r>
                      <w:rPr>
                        <w:sz w:val="20"/>
                      </w:rPr>
                      <w:t>8 / 8 (2033)</w:t>
                    </w:r>
                  </w:p>
                </w:tc>
              </w:tr>
              <w:tr>
                <w:trPr>
                  <w:trHeight w:val="1052"/>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rPr>
                        <w:sz w:val="20"/>
                      </w:rPr>
                    </w:pPr>
                  </w:p>
                </w:tc>
                <w:tc>
                  <w:tcPr>
                    <w:tcW w:w="709" w:type="dxa"/>
                    <w:vMerge/>
                    <w:vAlign w:val="center"/>
                    <w:hideMark/>
                  </w:tcPr>
                  <w:p>
                    <w:pPr>
                      <w:rPr>
                        <w:sz w:val="20"/>
                      </w:rPr>
                    </w:pPr>
                  </w:p>
                </w:tc>
                <w:tc>
                  <w:tcPr>
                    <w:tcW w:w="709" w:type="dxa"/>
                    <w:vMerge/>
                    <w:vAlign w:val="center"/>
                    <w:hideMark/>
                  </w:tcPr>
                  <w:p>
                    <w:pPr>
                      <w:rPr>
                        <w:sz w:val="20"/>
                      </w:rPr>
                    </w:pPr>
                  </w:p>
                </w:tc>
                <w:tc>
                  <w:tcPr>
                    <w:tcW w:w="1417" w:type="dxa"/>
                    <w:vAlign w:val="center"/>
                    <w:hideMark/>
                  </w:tcPr>
                  <w:p>
                    <w:pPr>
                      <w:rPr>
                        <w:sz w:val="20"/>
                      </w:rPr>
                    </w:pPr>
                    <w:r>
                      <w:rPr>
                        <w:sz w:val="20"/>
                      </w:rPr>
                      <w:t>P-17-01-03-09</w:t>
                    </w:r>
                  </w:p>
                </w:tc>
                <w:tc>
                  <w:tcPr>
                    <w:tcW w:w="4111" w:type="dxa"/>
                    <w:vAlign w:val="center"/>
                    <w:hideMark/>
                  </w:tcPr>
                  <w:p>
                    <w:pPr>
                      <w:rPr>
                        <w:sz w:val="20"/>
                      </w:rPr>
                    </w:pPr>
                    <w:r>
                      <w:rPr>
                        <w:sz w:val="20"/>
                      </w:rPr>
                      <w:t>Savivaldybės įstaigose ir organizacijose dirbančių specialistų, esančių sporto šakų federacijų, Lietuvos skėtinių sporto organizacijų vadovais, valdybų nariais, skaičius: vyrai / moterys (asm. per metus)</w:t>
                    </w:r>
                  </w:p>
                </w:tc>
                <w:tc>
                  <w:tcPr>
                    <w:tcW w:w="1134" w:type="dxa"/>
                    <w:vAlign w:val="center"/>
                    <w:hideMark/>
                  </w:tcPr>
                  <w:p>
                    <w:pPr>
                      <w:jc w:val="center"/>
                      <w:rPr>
                        <w:sz w:val="20"/>
                      </w:rPr>
                    </w:pPr>
                    <w:r>
                      <w:rPr>
                        <w:sz w:val="20"/>
                      </w:rPr>
                      <w:t>SS</w:t>
                    </w:r>
                  </w:p>
                </w:tc>
                <w:tc>
                  <w:tcPr>
                    <w:tcW w:w="1134" w:type="dxa"/>
                    <w:vAlign w:val="center"/>
                    <w:hideMark/>
                  </w:tcPr>
                  <w:p>
                    <w:pPr>
                      <w:jc w:val="center"/>
                      <w:rPr>
                        <w:sz w:val="20"/>
                      </w:rPr>
                    </w:pPr>
                    <w:r>
                      <w:rPr>
                        <w:sz w:val="20"/>
                      </w:rPr>
                      <w:t>25 / 4 (2023)</w:t>
                    </w:r>
                  </w:p>
                </w:tc>
                <w:tc>
                  <w:tcPr>
                    <w:tcW w:w="1134" w:type="dxa"/>
                    <w:vAlign w:val="center"/>
                    <w:hideMark/>
                  </w:tcPr>
                  <w:p>
                    <w:pPr>
                      <w:jc w:val="center"/>
                      <w:rPr>
                        <w:sz w:val="20"/>
                      </w:rPr>
                    </w:pPr>
                    <w:r>
                      <w:rPr>
                        <w:sz w:val="20"/>
                      </w:rPr>
                      <w:t>25 / 10 (2033)</w:t>
                    </w:r>
                  </w:p>
                </w:tc>
              </w:tr>
              <w:tr>
                <w:trPr>
                  <w:trHeight w:val="1040"/>
                  <w:jc w:val="center"/>
                </w:trPr>
                <w:tc>
                  <w:tcPr>
                    <w:tcW w:w="988" w:type="dxa"/>
                    <w:vMerge w:val="restart"/>
                    <w:shd w:val="clear" w:color="auto" w:fill="FCE4D6"/>
                    <w:noWrap/>
                    <w:vAlign w:val="center"/>
                    <w:hideMark/>
                  </w:tcPr>
                  <w:p>
                    <w:pPr>
                      <w:rPr>
                        <w:b/>
                        <w:bCs/>
                        <w:sz w:val="20"/>
                      </w:rPr>
                    </w:pPr>
                    <w:r>
                      <w:rPr>
                        <w:b/>
                        <w:bCs/>
                        <w:sz w:val="20"/>
                      </w:rPr>
                      <w:t>17-02</w:t>
                    </w:r>
                  </w:p>
                </w:tc>
                <w:tc>
                  <w:tcPr>
                    <w:tcW w:w="2126" w:type="dxa"/>
                    <w:vMerge w:val="restart"/>
                    <w:shd w:val="clear" w:color="auto" w:fill="FCE4D6"/>
                    <w:vAlign w:val="center"/>
                    <w:hideMark/>
                  </w:tcPr>
                  <w:p>
                    <w:pPr>
                      <w:rPr>
                        <w:b/>
                        <w:bCs/>
                        <w:sz w:val="20"/>
                      </w:rPr>
                    </w:pPr>
                    <w:r>
                      <w:rPr>
                        <w:b/>
                        <w:bCs/>
                        <w:sz w:val="20"/>
                      </w:rPr>
                      <w:t>Išvystyti gyventojų poreikius atitinkančią sporto ir fizinio aktyvumo infrastruktūrą</w:t>
                    </w:r>
                  </w:p>
                </w:tc>
                <w:tc>
                  <w:tcPr>
                    <w:tcW w:w="850" w:type="dxa"/>
                    <w:vMerge w:val="restart"/>
                    <w:shd w:val="clear" w:color="auto" w:fill="FCE4D6"/>
                    <w:vAlign w:val="center"/>
                    <w:hideMark/>
                  </w:tcPr>
                  <w:p>
                    <w:pPr>
                      <w:jc w:val="center"/>
                      <w:rPr>
                        <w:sz w:val="20"/>
                      </w:rPr>
                    </w:pPr>
                    <w:r>
                      <w:rPr>
                        <w:sz w:val="20"/>
                      </w:rPr>
                      <w:t>SS</w:t>
                    </w:r>
                  </w:p>
                </w:tc>
                <w:tc>
                  <w:tcPr>
                    <w:tcW w:w="709" w:type="dxa"/>
                    <w:vMerge w:val="restart"/>
                    <w:shd w:val="clear" w:color="auto" w:fill="FCE4D6"/>
                    <w:vAlign w:val="center"/>
                    <w:hideMark/>
                  </w:tcPr>
                  <w:p>
                    <w:pPr>
                      <w:jc w:val="center"/>
                      <w:rPr>
                        <w:sz w:val="20"/>
                      </w:rPr>
                    </w:pPr>
                    <w:r>
                      <w:rPr>
                        <w:sz w:val="20"/>
                      </w:rPr>
                      <w:t>2025</w:t>
                    </w:r>
                  </w:p>
                </w:tc>
                <w:tc>
                  <w:tcPr>
                    <w:tcW w:w="709" w:type="dxa"/>
                    <w:vMerge w:val="restart"/>
                    <w:shd w:val="clear" w:color="auto" w:fill="FCE4D6"/>
                    <w:vAlign w:val="center"/>
                    <w:hideMark/>
                  </w:tcPr>
                  <w:p>
                    <w:pPr>
                      <w:jc w:val="center"/>
                      <w:rPr>
                        <w:sz w:val="20"/>
                      </w:rPr>
                    </w:pPr>
                    <w:r>
                      <w:rPr>
                        <w:sz w:val="20"/>
                      </w:rPr>
                      <w:t>2033</w:t>
                    </w:r>
                  </w:p>
                </w:tc>
                <w:tc>
                  <w:tcPr>
                    <w:tcW w:w="1417" w:type="dxa"/>
                    <w:shd w:val="clear" w:color="auto" w:fill="FCE4D6"/>
                    <w:vAlign w:val="center"/>
                    <w:hideMark/>
                  </w:tcPr>
                  <w:p>
                    <w:pPr>
                      <w:rPr>
                        <w:b/>
                        <w:bCs/>
                        <w:sz w:val="20"/>
                      </w:rPr>
                    </w:pPr>
                    <w:r>
                      <w:rPr>
                        <w:b/>
                        <w:bCs/>
                        <w:sz w:val="20"/>
                      </w:rPr>
                      <w:t>R-17-02-01</w:t>
                    </w:r>
                  </w:p>
                </w:tc>
                <w:tc>
                  <w:tcPr>
                    <w:tcW w:w="4111" w:type="dxa"/>
                    <w:shd w:val="clear" w:color="auto" w:fill="FCE4D6"/>
                    <w:vAlign w:val="center"/>
                    <w:hideMark/>
                  </w:tcPr>
                  <w:p>
                    <w:pPr>
                      <w:rPr>
                        <w:sz w:val="20"/>
                      </w:rPr>
                    </w:pPr>
                    <w:r>
                      <w:rPr>
                        <w:sz w:val="20"/>
                      </w:rPr>
                      <w:t>Savivaldybės sporto įstaigų pastatų / statinių, bazių, kurios yra geros būklės, skaičius nuo visų Savivaldybės sporto įstaigų pastatų / statinių, bazių skaičiaus (vnt. / vnt.)</w:t>
                    </w:r>
                  </w:p>
                </w:tc>
                <w:tc>
                  <w:tcPr>
                    <w:tcW w:w="1134" w:type="dxa"/>
                    <w:shd w:val="clear" w:color="auto" w:fill="FCE4D6"/>
                    <w:vAlign w:val="center"/>
                    <w:hideMark/>
                  </w:tcPr>
                  <w:p>
                    <w:pPr>
                      <w:jc w:val="center"/>
                      <w:rPr>
                        <w:sz w:val="20"/>
                      </w:rPr>
                    </w:pPr>
                    <w:r>
                      <w:rPr>
                        <w:sz w:val="20"/>
                      </w:rPr>
                      <w:t>ŠMSA (SS)</w:t>
                    </w:r>
                  </w:p>
                </w:tc>
                <w:tc>
                  <w:tcPr>
                    <w:tcW w:w="1134" w:type="dxa"/>
                    <w:shd w:val="clear" w:color="auto" w:fill="FCE4D6"/>
                    <w:vAlign w:val="center"/>
                    <w:hideMark/>
                  </w:tcPr>
                  <w:p>
                    <w:pPr>
                      <w:jc w:val="center"/>
                      <w:rPr>
                        <w:sz w:val="20"/>
                      </w:rPr>
                    </w:pPr>
                    <w:r>
                      <w:rPr>
                        <w:sz w:val="20"/>
                      </w:rPr>
                      <w:t>11 / 20 (2023)</w:t>
                    </w:r>
                  </w:p>
                </w:tc>
                <w:tc>
                  <w:tcPr>
                    <w:tcW w:w="1134" w:type="dxa"/>
                    <w:shd w:val="clear" w:color="auto" w:fill="FCE4D6"/>
                    <w:vAlign w:val="center"/>
                    <w:hideMark/>
                  </w:tcPr>
                  <w:p>
                    <w:pPr>
                      <w:jc w:val="center"/>
                      <w:rPr>
                        <w:sz w:val="20"/>
                      </w:rPr>
                    </w:pPr>
                    <w:r>
                      <w:rPr>
                        <w:sz w:val="20"/>
                      </w:rPr>
                      <w:t>20 / 21 (2033)</w:t>
                    </w:r>
                  </w:p>
                </w:tc>
              </w:tr>
              <w:tr>
                <w:trPr>
                  <w:trHeight w:val="790"/>
                  <w:jc w:val="center"/>
                </w:trPr>
                <w:tc>
                  <w:tcPr>
                    <w:tcW w:w="988" w:type="dxa"/>
                    <w:vMerge/>
                    <w:shd w:val="clear" w:color="auto" w:fill="FCE4D6"/>
                    <w:vAlign w:val="center"/>
                    <w:hideMark/>
                  </w:tcPr>
                  <w:p>
                    <w:pPr>
                      <w:rPr>
                        <w:b/>
                        <w:bCs/>
                        <w:sz w:val="20"/>
                      </w:rPr>
                    </w:pPr>
                  </w:p>
                </w:tc>
                <w:tc>
                  <w:tcPr>
                    <w:tcW w:w="2126" w:type="dxa"/>
                    <w:vMerge/>
                    <w:shd w:val="clear" w:color="auto" w:fill="FCE4D6"/>
                    <w:vAlign w:val="center"/>
                    <w:hideMark/>
                  </w:tcPr>
                  <w:p>
                    <w:pPr>
                      <w:rPr>
                        <w:b/>
                        <w:bCs/>
                        <w:sz w:val="20"/>
                      </w:rPr>
                    </w:pPr>
                  </w:p>
                </w:tc>
                <w:tc>
                  <w:tcPr>
                    <w:tcW w:w="850" w:type="dxa"/>
                    <w:vMerge/>
                    <w:shd w:val="clear" w:color="auto" w:fill="FCE4D6"/>
                    <w:vAlign w:val="center"/>
                    <w:hideMark/>
                  </w:tcPr>
                  <w:p>
                    <w:pPr>
                      <w:rPr>
                        <w:sz w:val="20"/>
                      </w:rPr>
                    </w:pPr>
                  </w:p>
                </w:tc>
                <w:tc>
                  <w:tcPr>
                    <w:tcW w:w="709" w:type="dxa"/>
                    <w:vMerge/>
                    <w:shd w:val="clear" w:color="auto" w:fill="FCE4D6"/>
                    <w:vAlign w:val="center"/>
                    <w:hideMark/>
                  </w:tcPr>
                  <w:p>
                    <w:pPr>
                      <w:rPr>
                        <w:sz w:val="20"/>
                      </w:rPr>
                    </w:pPr>
                  </w:p>
                </w:tc>
                <w:tc>
                  <w:tcPr>
                    <w:tcW w:w="709" w:type="dxa"/>
                    <w:vMerge/>
                    <w:shd w:val="clear" w:color="auto" w:fill="FCE4D6"/>
                    <w:vAlign w:val="center"/>
                    <w:hideMark/>
                  </w:tcPr>
                  <w:p>
                    <w:pPr>
                      <w:rPr>
                        <w:sz w:val="20"/>
                      </w:rPr>
                    </w:pPr>
                  </w:p>
                </w:tc>
                <w:tc>
                  <w:tcPr>
                    <w:tcW w:w="1417" w:type="dxa"/>
                    <w:shd w:val="clear" w:color="auto" w:fill="FCE4D6"/>
                    <w:vAlign w:val="center"/>
                    <w:hideMark/>
                  </w:tcPr>
                  <w:p>
                    <w:pPr>
                      <w:rPr>
                        <w:b/>
                        <w:bCs/>
                        <w:sz w:val="20"/>
                      </w:rPr>
                    </w:pPr>
                    <w:r>
                      <w:rPr>
                        <w:b/>
                        <w:bCs/>
                        <w:sz w:val="20"/>
                      </w:rPr>
                      <w:t>R-17-02-02</w:t>
                    </w:r>
                  </w:p>
                </w:tc>
                <w:tc>
                  <w:tcPr>
                    <w:tcW w:w="4111" w:type="dxa"/>
                    <w:shd w:val="clear" w:color="auto" w:fill="FCE4D6"/>
                    <w:vAlign w:val="center"/>
                    <w:hideMark/>
                  </w:tcPr>
                  <w:p>
                    <w:pPr>
                      <w:rPr>
                        <w:sz w:val="20"/>
                      </w:rPr>
                    </w:pPr>
                    <w:r>
                      <w:rPr>
                        <w:sz w:val="20"/>
                      </w:rPr>
                      <w:t>Savivaldybės sporto įstaigų pastatų / statinių, bazių, pritaikytų fizinę negalią turintiems asmenims, dalis (proc.)</w:t>
                    </w:r>
                  </w:p>
                </w:tc>
                <w:tc>
                  <w:tcPr>
                    <w:tcW w:w="1134" w:type="dxa"/>
                    <w:shd w:val="clear" w:color="auto" w:fill="FCE4D6"/>
                    <w:vAlign w:val="center"/>
                    <w:hideMark/>
                  </w:tcPr>
                  <w:p>
                    <w:pPr>
                      <w:jc w:val="center"/>
                      <w:rPr>
                        <w:sz w:val="20"/>
                      </w:rPr>
                    </w:pPr>
                    <w:r>
                      <w:rPr>
                        <w:sz w:val="20"/>
                      </w:rPr>
                      <w:t>ŠMSA (SS)</w:t>
                    </w:r>
                  </w:p>
                </w:tc>
                <w:tc>
                  <w:tcPr>
                    <w:tcW w:w="1134" w:type="dxa"/>
                    <w:shd w:val="clear" w:color="auto" w:fill="FCE4D6"/>
                    <w:vAlign w:val="center"/>
                    <w:hideMark/>
                  </w:tcPr>
                  <w:p>
                    <w:pPr>
                      <w:jc w:val="center"/>
                      <w:rPr>
                        <w:sz w:val="20"/>
                      </w:rPr>
                    </w:pPr>
                    <w:r>
                      <w:rPr>
                        <w:sz w:val="20"/>
                      </w:rPr>
                      <w:t>68,75 (2023)</w:t>
                    </w:r>
                  </w:p>
                </w:tc>
                <w:tc>
                  <w:tcPr>
                    <w:tcW w:w="1134" w:type="dxa"/>
                    <w:shd w:val="clear" w:color="auto" w:fill="FCE4D6"/>
                    <w:vAlign w:val="center"/>
                    <w:hideMark/>
                  </w:tcPr>
                  <w:p>
                    <w:pPr>
                      <w:jc w:val="center"/>
                      <w:rPr>
                        <w:sz w:val="20"/>
                      </w:rPr>
                    </w:pPr>
                    <w:r>
                      <w:rPr>
                        <w:sz w:val="20"/>
                      </w:rPr>
                      <w:t>100 (2033)</w:t>
                    </w:r>
                  </w:p>
                </w:tc>
              </w:tr>
              <w:tr>
                <w:trPr>
                  <w:trHeight w:val="358"/>
                  <w:jc w:val="center"/>
                </w:trPr>
                <w:tc>
                  <w:tcPr>
                    <w:tcW w:w="988" w:type="dxa"/>
                    <w:vMerge w:val="restart"/>
                    <w:noWrap/>
                    <w:vAlign w:val="center"/>
                    <w:hideMark/>
                  </w:tcPr>
                  <w:p>
                    <w:pPr>
                      <w:rPr>
                        <w:sz w:val="20"/>
                      </w:rPr>
                    </w:pPr>
                    <w:r>
                      <w:rPr>
                        <w:sz w:val="20"/>
                      </w:rPr>
                      <w:t>17-02-01</w:t>
                    </w:r>
                  </w:p>
                </w:tc>
                <w:tc>
                  <w:tcPr>
                    <w:tcW w:w="2126" w:type="dxa"/>
                    <w:vMerge w:val="restart"/>
                    <w:vAlign w:val="center"/>
                    <w:hideMark/>
                  </w:tcPr>
                  <w:p>
                    <w:pPr>
                      <w:rPr>
                        <w:sz w:val="20"/>
                      </w:rPr>
                    </w:pPr>
                    <w:r>
                      <w:rPr>
                        <w:sz w:val="20"/>
                      </w:rPr>
                      <w:t>Gerinti Savivaldybės sporto įstaigų, bazių infrastruktūros būklę</w:t>
                    </w:r>
                  </w:p>
                </w:tc>
                <w:tc>
                  <w:tcPr>
                    <w:tcW w:w="850" w:type="dxa"/>
                    <w:vMerge w:val="restart"/>
                    <w:vAlign w:val="center"/>
                    <w:hideMark/>
                  </w:tcPr>
                  <w:p>
                    <w:pPr>
                      <w:jc w:val="center"/>
                      <w:rPr>
                        <w:sz w:val="20"/>
                      </w:rPr>
                    </w:pPr>
                    <w:r>
                      <w:rPr>
                        <w:sz w:val="20"/>
                      </w:rPr>
                      <w:t>SS</w:t>
                    </w:r>
                  </w:p>
                </w:tc>
                <w:tc>
                  <w:tcPr>
                    <w:tcW w:w="709" w:type="dxa"/>
                    <w:vMerge w:val="restart"/>
                    <w:vAlign w:val="center"/>
                    <w:hideMark/>
                  </w:tcPr>
                  <w:p>
                    <w:pPr>
                      <w:jc w:val="center"/>
                      <w:rPr>
                        <w:sz w:val="20"/>
                      </w:rPr>
                    </w:pPr>
                    <w:r>
                      <w:rPr>
                        <w:sz w:val="20"/>
                      </w:rPr>
                      <w:t>2025</w:t>
                    </w:r>
                  </w:p>
                </w:tc>
                <w:tc>
                  <w:tcPr>
                    <w:tcW w:w="709" w:type="dxa"/>
                    <w:vMerge w:val="restart"/>
                    <w:vAlign w:val="center"/>
                    <w:hideMark/>
                  </w:tcPr>
                  <w:p>
                    <w:pPr>
                      <w:jc w:val="center"/>
                      <w:rPr>
                        <w:sz w:val="20"/>
                      </w:rPr>
                    </w:pPr>
                    <w:r>
                      <w:rPr>
                        <w:sz w:val="20"/>
                      </w:rPr>
                      <w:t>2033</w:t>
                    </w:r>
                  </w:p>
                </w:tc>
                <w:tc>
                  <w:tcPr>
                    <w:tcW w:w="1417" w:type="dxa"/>
                    <w:vAlign w:val="center"/>
                    <w:hideMark/>
                  </w:tcPr>
                  <w:p>
                    <w:pPr>
                      <w:rPr>
                        <w:sz w:val="20"/>
                      </w:rPr>
                    </w:pPr>
                    <w:r>
                      <w:rPr>
                        <w:sz w:val="20"/>
                      </w:rPr>
                      <w:t>P-17-02-01-01</w:t>
                    </w:r>
                  </w:p>
                </w:tc>
                <w:tc>
                  <w:tcPr>
                    <w:tcW w:w="4111" w:type="dxa"/>
                    <w:vAlign w:val="center"/>
                    <w:hideMark/>
                  </w:tcPr>
                  <w:p>
                    <w:pPr>
                      <w:rPr>
                        <w:sz w:val="20"/>
                      </w:rPr>
                    </w:pPr>
                    <w:r>
                      <w:rPr>
                        <w:sz w:val="20"/>
                      </w:rPr>
                      <w:t>Rekonstruotas Šiaulių m. stadiono kompleksas (S. Daukanto g. 23) (vnt.)</w:t>
                    </w:r>
                  </w:p>
                </w:tc>
                <w:tc>
                  <w:tcPr>
                    <w:tcW w:w="1134" w:type="dxa"/>
                    <w:vAlign w:val="center"/>
                    <w:hideMark/>
                  </w:tcPr>
                  <w:p>
                    <w:pPr>
                      <w:jc w:val="center"/>
                      <w:rPr>
                        <w:sz w:val="20"/>
                      </w:rPr>
                    </w:pPr>
                    <w:r>
                      <w:rPr>
                        <w:sz w:val="20"/>
                      </w:rPr>
                      <w:t>SS</w:t>
                    </w:r>
                  </w:p>
                </w:tc>
                <w:tc>
                  <w:tcPr>
                    <w:tcW w:w="1134" w:type="dxa"/>
                    <w:vAlign w:val="center"/>
                    <w:hideMark/>
                  </w:tcPr>
                  <w:p>
                    <w:pPr>
                      <w:jc w:val="center"/>
                      <w:rPr>
                        <w:sz w:val="20"/>
                      </w:rPr>
                    </w:pPr>
                    <w:r>
                      <w:rPr>
                        <w:sz w:val="20"/>
                      </w:rPr>
                      <w:t>0 (2024)</w:t>
                    </w:r>
                  </w:p>
                </w:tc>
                <w:tc>
                  <w:tcPr>
                    <w:tcW w:w="1134" w:type="dxa"/>
                    <w:vAlign w:val="center"/>
                    <w:hideMark/>
                  </w:tcPr>
                  <w:p>
                    <w:pPr>
                      <w:jc w:val="center"/>
                      <w:rPr>
                        <w:sz w:val="20"/>
                      </w:rPr>
                    </w:pPr>
                    <w:r>
                      <w:rPr>
                        <w:sz w:val="20"/>
                      </w:rPr>
                      <w:t>1 (2028)</w:t>
                    </w:r>
                  </w:p>
                </w:tc>
              </w:tr>
              <w:tr>
                <w:trPr>
                  <w:trHeight w:val="563"/>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rPr>
                        <w:sz w:val="20"/>
                      </w:rPr>
                    </w:pPr>
                  </w:p>
                </w:tc>
                <w:tc>
                  <w:tcPr>
                    <w:tcW w:w="709" w:type="dxa"/>
                    <w:vMerge/>
                    <w:vAlign w:val="center"/>
                    <w:hideMark/>
                  </w:tcPr>
                  <w:p>
                    <w:pPr>
                      <w:rPr>
                        <w:sz w:val="20"/>
                      </w:rPr>
                    </w:pPr>
                  </w:p>
                </w:tc>
                <w:tc>
                  <w:tcPr>
                    <w:tcW w:w="709" w:type="dxa"/>
                    <w:vMerge/>
                    <w:vAlign w:val="center"/>
                    <w:hideMark/>
                  </w:tcPr>
                  <w:p>
                    <w:pPr>
                      <w:rPr>
                        <w:sz w:val="20"/>
                      </w:rPr>
                    </w:pPr>
                  </w:p>
                </w:tc>
                <w:tc>
                  <w:tcPr>
                    <w:tcW w:w="1417" w:type="dxa"/>
                    <w:vAlign w:val="center"/>
                    <w:hideMark/>
                  </w:tcPr>
                  <w:p>
                    <w:pPr>
                      <w:rPr>
                        <w:sz w:val="20"/>
                      </w:rPr>
                    </w:pPr>
                    <w:r>
                      <w:rPr>
                        <w:sz w:val="20"/>
                      </w:rPr>
                      <w:t>P-17-02-01-02</w:t>
                    </w:r>
                  </w:p>
                </w:tc>
                <w:tc>
                  <w:tcPr>
                    <w:tcW w:w="4111" w:type="dxa"/>
                    <w:vAlign w:val="center"/>
                    <w:hideMark/>
                  </w:tcPr>
                  <w:p>
                    <w:pPr>
                      <w:rPr>
                        <w:sz w:val="20"/>
                      </w:rPr>
                    </w:pPr>
                    <w:r>
                      <w:rPr>
                        <w:sz w:val="20"/>
                      </w:rPr>
                      <w:t>Padidintas Šiaulių teniso akademijos pastato funkcionalumas (vnt.)</w:t>
                    </w:r>
                  </w:p>
                </w:tc>
                <w:tc>
                  <w:tcPr>
                    <w:tcW w:w="1134" w:type="dxa"/>
                    <w:vAlign w:val="center"/>
                    <w:hideMark/>
                  </w:tcPr>
                  <w:p>
                    <w:pPr>
                      <w:jc w:val="center"/>
                      <w:rPr>
                        <w:sz w:val="20"/>
                      </w:rPr>
                    </w:pPr>
                    <w:r>
                      <w:rPr>
                        <w:sz w:val="20"/>
                      </w:rPr>
                      <w:t>SS, ŠTA</w:t>
                    </w:r>
                  </w:p>
                </w:tc>
                <w:tc>
                  <w:tcPr>
                    <w:tcW w:w="1134" w:type="dxa"/>
                    <w:vAlign w:val="center"/>
                    <w:hideMark/>
                  </w:tcPr>
                  <w:p>
                    <w:pPr>
                      <w:jc w:val="center"/>
                      <w:rPr>
                        <w:sz w:val="20"/>
                      </w:rPr>
                    </w:pPr>
                    <w:r>
                      <w:rPr>
                        <w:sz w:val="20"/>
                      </w:rPr>
                      <w:t>0 (2024)</w:t>
                    </w:r>
                  </w:p>
                </w:tc>
                <w:tc>
                  <w:tcPr>
                    <w:tcW w:w="1134" w:type="dxa"/>
                    <w:vAlign w:val="center"/>
                    <w:hideMark/>
                  </w:tcPr>
                  <w:p>
                    <w:pPr>
                      <w:jc w:val="center"/>
                      <w:rPr>
                        <w:sz w:val="20"/>
                      </w:rPr>
                    </w:pPr>
                    <w:r>
                      <w:rPr>
                        <w:sz w:val="20"/>
                      </w:rPr>
                      <w:t>1 (2027)</w:t>
                    </w:r>
                  </w:p>
                </w:tc>
              </w:tr>
              <w:tr>
                <w:trPr>
                  <w:trHeight w:val="513"/>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rPr>
                        <w:sz w:val="20"/>
                      </w:rPr>
                    </w:pPr>
                  </w:p>
                </w:tc>
                <w:tc>
                  <w:tcPr>
                    <w:tcW w:w="709" w:type="dxa"/>
                    <w:vMerge/>
                    <w:vAlign w:val="center"/>
                    <w:hideMark/>
                  </w:tcPr>
                  <w:p>
                    <w:pPr>
                      <w:rPr>
                        <w:sz w:val="20"/>
                      </w:rPr>
                    </w:pPr>
                  </w:p>
                </w:tc>
                <w:tc>
                  <w:tcPr>
                    <w:tcW w:w="709" w:type="dxa"/>
                    <w:vMerge/>
                    <w:vAlign w:val="center"/>
                    <w:hideMark/>
                  </w:tcPr>
                  <w:p>
                    <w:pPr>
                      <w:rPr>
                        <w:sz w:val="20"/>
                      </w:rPr>
                    </w:pPr>
                  </w:p>
                </w:tc>
                <w:tc>
                  <w:tcPr>
                    <w:tcW w:w="1417" w:type="dxa"/>
                    <w:vAlign w:val="center"/>
                    <w:hideMark/>
                  </w:tcPr>
                  <w:p>
                    <w:pPr>
                      <w:rPr>
                        <w:sz w:val="20"/>
                      </w:rPr>
                    </w:pPr>
                    <w:r>
                      <w:rPr>
                        <w:sz w:val="20"/>
                      </w:rPr>
                      <w:t>P-17-02-01-03</w:t>
                    </w:r>
                  </w:p>
                </w:tc>
                <w:tc>
                  <w:tcPr>
                    <w:tcW w:w="4111" w:type="dxa"/>
                    <w:vAlign w:val="center"/>
                    <w:hideMark/>
                  </w:tcPr>
                  <w:p>
                    <w:pPr>
                      <w:rPr>
                        <w:sz w:val="20"/>
                      </w:rPr>
                    </w:pPr>
                    <w:r>
                      <w:rPr>
                        <w:sz w:val="20"/>
                      </w:rPr>
                      <w:t>Renovuotos / pastatytos naujos patalpos VŠĮ Šiaulių krepšinio akademijai „Saulė“ (vnt.)</w:t>
                    </w:r>
                  </w:p>
                </w:tc>
                <w:tc>
                  <w:tcPr>
                    <w:tcW w:w="1134" w:type="dxa"/>
                    <w:vAlign w:val="center"/>
                    <w:hideMark/>
                  </w:tcPr>
                  <w:p>
                    <w:pPr>
                      <w:jc w:val="center"/>
                      <w:rPr>
                        <w:sz w:val="20"/>
                      </w:rPr>
                    </w:pPr>
                    <w:r>
                      <w:rPr>
                        <w:sz w:val="20"/>
                      </w:rPr>
                      <w:t>SS</w:t>
                    </w:r>
                  </w:p>
                </w:tc>
                <w:tc>
                  <w:tcPr>
                    <w:tcW w:w="1134" w:type="dxa"/>
                    <w:vAlign w:val="center"/>
                    <w:hideMark/>
                  </w:tcPr>
                  <w:p>
                    <w:pPr>
                      <w:jc w:val="center"/>
                      <w:rPr>
                        <w:sz w:val="20"/>
                      </w:rPr>
                    </w:pPr>
                    <w:r>
                      <w:rPr>
                        <w:sz w:val="20"/>
                      </w:rPr>
                      <w:t>0 (2024)</w:t>
                    </w:r>
                  </w:p>
                </w:tc>
                <w:tc>
                  <w:tcPr>
                    <w:tcW w:w="1134" w:type="dxa"/>
                    <w:vAlign w:val="center"/>
                    <w:hideMark/>
                  </w:tcPr>
                  <w:p>
                    <w:pPr>
                      <w:jc w:val="center"/>
                      <w:rPr>
                        <w:sz w:val="20"/>
                      </w:rPr>
                    </w:pPr>
                    <w:r>
                      <w:rPr>
                        <w:sz w:val="20"/>
                      </w:rPr>
                      <w:t>1 (2030)</w:t>
                    </w:r>
                  </w:p>
                </w:tc>
              </w:tr>
              <w:tr>
                <w:trPr>
                  <w:trHeight w:val="700"/>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rPr>
                        <w:sz w:val="20"/>
                      </w:rPr>
                    </w:pPr>
                  </w:p>
                </w:tc>
                <w:tc>
                  <w:tcPr>
                    <w:tcW w:w="709" w:type="dxa"/>
                    <w:vMerge/>
                    <w:vAlign w:val="center"/>
                    <w:hideMark/>
                  </w:tcPr>
                  <w:p>
                    <w:pPr>
                      <w:rPr>
                        <w:sz w:val="20"/>
                      </w:rPr>
                    </w:pPr>
                  </w:p>
                </w:tc>
                <w:tc>
                  <w:tcPr>
                    <w:tcW w:w="709" w:type="dxa"/>
                    <w:vMerge/>
                    <w:vAlign w:val="center"/>
                    <w:hideMark/>
                  </w:tcPr>
                  <w:p>
                    <w:pPr>
                      <w:rPr>
                        <w:sz w:val="20"/>
                      </w:rPr>
                    </w:pPr>
                  </w:p>
                </w:tc>
                <w:tc>
                  <w:tcPr>
                    <w:tcW w:w="1417" w:type="dxa"/>
                    <w:vAlign w:val="center"/>
                    <w:hideMark/>
                  </w:tcPr>
                  <w:p>
                    <w:pPr>
                      <w:rPr>
                        <w:sz w:val="20"/>
                      </w:rPr>
                    </w:pPr>
                    <w:r>
                      <w:rPr>
                        <w:sz w:val="20"/>
                      </w:rPr>
                      <w:t>P-17-02-01-04</w:t>
                    </w:r>
                  </w:p>
                </w:tc>
                <w:tc>
                  <w:tcPr>
                    <w:tcW w:w="4111" w:type="dxa"/>
                    <w:vAlign w:val="center"/>
                    <w:hideMark/>
                  </w:tcPr>
                  <w:p>
                    <w:pPr>
                      <w:rPr>
                        <w:sz w:val="20"/>
                      </w:rPr>
                    </w:pPr>
                    <w:r>
                      <w:rPr>
                        <w:sz w:val="20"/>
                      </w:rPr>
                      <w:t>Sporto įstaigų pastatų / statinių, bazių, pritaikytų fizinę negalią turintiems asmenims, skaičius (vnt.)</w:t>
                    </w:r>
                  </w:p>
                </w:tc>
                <w:tc>
                  <w:tcPr>
                    <w:tcW w:w="1134" w:type="dxa"/>
                    <w:vAlign w:val="center"/>
                    <w:hideMark/>
                  </w:tcPr>
                  <w:p>
                    <w:pPr>
                      <w:jc w:val="center"/>
                      <w:rPr>
                        <w:sz w:val="20"/>
                      </w:rPr>
                    </w:pPr>
                    <w:r>
                      <w:rPr>
                        <w:sz w:val="20"/>
                      </w:rPr>
                      <w:t>SS</w:t>
                    </w:r>
                  </w:p>
                </w:tc>
                <w:tc>
                  <w:tcPr>
                    <w:tcW w:w="1134" w:type="dxa"/>
                    <w:vAlign w:val="center"/>
                    <w:hideMark/>
                  </w:tcPr>
                  <w:p>
                    <w:pPr>
                      <w:jc w:val="center"/>
                      <w:rPr>
                        <w:sz w:val="20"/>
                      </w:rPr>
                    </w:pPr>
                    <w:r>
                      <w:rPr>
                        <w:sz w:val="20"/>
                      </w:rPr>
                      <w:t>11 (2024)</w:t>
                    </w:r>
                  </w:p>
                </w:tc>
                <w:tc>
                  <w:tcPr>
                    <w:tcW w:w="1134" w:type="dxa"/>
                    <w:vAlign w:val="center"/>
                    <w:hideMark/>
                  </w:tcPr>
                  <w:p>
                    <w:pPr>
                      <w:jc w:val="center"/>
                      <w:rPr>
                        <w:sz w:val="20"/>
                      </w:rPr>
                    </w:pPr>
                    <w:r>
                      <w:rPr>
                        <w:sz w:val="20"/>
                      </w:rPr>
                      <w:t>16 (2033)</w:t>
                    </w:r>
                  </w:p>
                </w:tc>
              </w:tr>
              <w:tr>
                <w:trPr>
                  <w:trHeight w:val="501"/>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rPr>
                        <w:sz w:val="20"/>
                      </w:rPr>
                    </w:pPr>
                  </w:p>
                </w:tc>
                <w:tc>
                  <w:tcPr>
                    <w:tcW w:w="709" w:type="dxa"/>
                    <w:vMerge/>
                    <w:vAlign w:val="center"/>
                    <w:hideMark/>
                  </w:tcPr>
                  <w:p>
                    <w:pPr>
                      <w:rPr>
                        <w:sz w:val="20"/>
                      </w:rPr>
                    </w:pPr>
                  </w:p>
                </w:tc>
                <w:tc>
                  <w:tcPr>
                    <w:tcW w:w="709" w:type="dxa"/>
                    <w:vMerge/>
                    <w:vAlign w:val="center"/>
                    <w:hideMark/>
                  </w:tcPr>
                  <w:p>
                    <w:pPr>
                      <w:rPr>
                        <w:sz w:val="20"/>
                      </w:rPr>
                    </w:pPr>
                  </w:p>
                </w:tc>
                <w:tc>
                  <w:tcPr>
                    <w:tcW w:w="1417" w:type="dxa"/>
                    <w:vAlign w:val="center"/>
                    <w:hideMark/>
                  </w:tcPr>
                  <w:p>
                    <w:pPr>
                      <w:rPr>
                        <w:sz w:val="20"/>
                      </w:rPr>
                    </w:pPr>
                    <w:r>
                      <w:rPr>
                        <w:sz w:val="20"/>
                      </w:rPr>
                      <w:t>P-17-02-01-05</w:t>
                    </w:r>
                  </w:p>
                </w:tc>
                <w:tc>
                  <w:tcPr>
                    <w:tcW w:w="4111" w:type="dxa"/>
                    <w:vAlign w:val="center"/>
                    <w:hideMark/>
                  </w:tcPr>
                  <w:p>
                    <w:pPr>
                      <w:rPr>
                        <w:sz w:val="20"/>
                      </w:rPr>
                    </w:pPr>
                    <w:r>
                      <w:rPr>
                        <w:sz w:val="20"/>
                      </w:rPr>
                      <w:t>Atnaujintų sporto įstaigų pastatų / statinių skaičius (vnt.)</w:t>
                    </w:r>
                  </w:p>
                </w:tc>
                <w:tc>
                  <w:tcPr>
                    <w:tcW w:w="1134" w:type="dxa"/>
                    <w:vAlign w:val="center"/>
                    <w:hideMark/>
                  </w:tcPr>
                  <w:p>
                    <w:pPr>
                      <w:jc w:val="center"/>
                      <w:rPr>
                        <w:sz w:val="20"/>
                      </w:rPr>
                    </w:pPr>
                    <w:r>
                      <w:rPr>
                        <w:sz w:val="20"/>
                      </w:rPr>
                      <w:t>SS</w:t>
                    </w:r>
                  </w:p>
                </w:tc>
                <w:tc>
                  <w:tcPr>
                    <w:tcW w:w="1134" w:type="dxa"/>
                    <w:vAlign w:val="center"/>
                    <w:hideMark/>
                  </w:tcPr>
                  <w:p>
                    <w:pPr>
                      <w:jc w:val="center"/>
                      <w:rPr>
                        <w:sz w:val="20"/>
                      </w:rPr>
                    </w:pPr>
                    <w:r>
                      <w:rPr>
                        <w:sz w:val="20"/>
                      </w:rPr>
                      <w:t>1 (2024)</w:t>
                    </w:r>
                  </w:p>
                </w:tc>
                <w:tc>
                  <w:tcPr>
                    <w:tcW w:w="1134" w:type="dxa"/>
                    <w:vAlign w:val="center"/>
                    <w:hideMark/>
                  </w:tcPr>
                  <w:p>
                    <w:pPr>
                      <w:jc w:val="center"/>
                      <w:rPr>
                        <w:sz w:val="20"/>
                      </w:rPr>
                    </w:pPr>
                    <w:r>
                      <w:rPr>
                        <w:sz w:val="20"/>
                      </w:rPr>
                      <w:t>3 (2033)</w:t>
                    </w:r>
                  </w:p>
                </w:tc>
              </w:tr>
              <w:tr>
                <w:trPr>
                  <w:trHeight w:val="520"/>
                  <w:jc w:val="center"/>
                </w:trPr>
                <w:tc>
                  <w:tcPr>
                    <w:tcW w:w="988" w:type="dxa"/>
                    <w:vMerge w:val="restart"/>
                    <w:noWrap/>
                    <w:vAlign w:val="center"/>
                    <w:hideMark/>
                  </w:tcPr>
                  <w:p>
                    <w:pPr>
                      <w:rPr>
                        <w:sz w:val="20"/>
                      </w:rPr>
                    </w:pPr>
                    <w:r>
                      <w:rPr>
                        <w:sz w:val="20"/>
                      </w:rPr>
                      <w:t>17-02-02</w:t>
                    </w:r>
                  </w:p>
                </w:tc>
                <w:tc>
                  <w:tcPr>
                    <w:tcW w:w="2126" w:type="dxa"/>
                    <w:vMerge w:val="restart"/>
                    <w:vAlign w:val="center"/>
                    <w:hideMark/>
                  </w:tcPr>
                  <w:p>
                    <w:pPr>
                      <w:rPr>
                        <w:sz w:val="20"/>
                      </w:rPr>
                    </w:pPr>
                    <w:r>
                      <w:rPr>
                        <w:sz w:val="20"/>
                      </w:rPr>
                      <w:t>Kurti sporto infrastruktūrą ir sudaryti palankias sąlygas investuoti į sporto infrastruktūrą</w:t>
                    </w:r>
                  </w:p>
                </w:tc>
                <w:tc>
                  <w:tcPr>
                    <w:tcW w:w="850" w:type="dxa"/>
                    <w:vMerge w:val="restart"/>
                    <w:vAlign w:val="center"/>
                    <w:hideMark/>
                  </w:tcPr>
                  <w:p>
                    <w:pPr>
                      <w:jc w:val="center"/>
                      <w:rPr>
                        <w:sz w:val="20"/>
                      </w:rPr>
                    </w:pPr>
                    <w:r>
                      <w:rPr>
                        <w:sz w:val="20"/>
                      </w:rPr>
                      <w:t>SS</w:t>
                    </w:r>
                  </w:p>
                </w:tc>
                <w:tc>
                  <w:tcPr>
                    <w:tcW w:w="709" w:type="dxa"/>
                    <w:vMerge w:val="restart"/>
                    <w:vAlign w:val="center"/>
                    <w:hideMark/>
                  </w:tcPr>
                  <w:p>
                    <w:pPr>
                      <w:jc w:val="center"/>
                      <w:rPr>
                        <w:sz w:val="20"/>
                      </w:rPr>
                    </w:pPr>
                    <w:r>
                      <w:rPr>
                        <w:sz w:val="20"/>
                      </w:rPr>
                      <w:t>2025</w:t>
                    </w:r>
                  </w:p>
                </w:tc>
                <w:tc>
                  <w:tcPr>
                    <w:tcW w:w="709" w:type="dxa"/>
                    <w:vMerge w:val="restart"/>
                    <w:vAlign w:val="center"/>
                    <w:hideMark/>
                  </w:tcPr>
                  <w:p>
                    <w:pPr>
                      <w:jc w:val="center"/>
                      <w:rPr>
                        <w:sz w:val="20"/>
                      </w:rPr>
                    </w:pPr>
                    <w:r>
                      <w:rPr>
                        <w:sz w:val="20"/>
                      </w:rPr>
                      <w:t>2033</w:t>
                    </w:r>
                  </w:p>
                </w:tc>
                <w:tc>
                  <w:tcPr>
                    <w:tcW w:w="1417" w:type="dxa"/>
                    <w:vAlign w:val="center"/>
                    <w:hideMark/>
                  </w:tcPr>
                  <w:p>
                    <w:pPr>
                      <w:rPr>
                        <w:sz w:val="20"/>
                      </w:rPr>
                    </w:pPr>
                    <w:r>
                      <w:rPr>
                        <w:sz w:val="20"/>
                      </w:rPr>
                      <w:t>P-17-02-02-01</w:t>
                    </w:r>
                  </w:p>
                </w:tc>
                <w:tc>
                  <w:tcPr>
                    <w:tcW w:w="4111" w:type="dxa"/>
                    <w:vAlign w:val="center"/>
                    <w:hideMark/>
                  </w:tcPr>
                  <w:p>
                    <w:pPr>
                      <w:rPr>
                        <w:sz w:val="20"/>
                      </w:rPr>
                    </w:pPr>
                    <w:r>
                      <w:rPr>
                        <w:sz w:val="20"/>
                      </w:rPr>
                      <w:t>Pastatytas sporto kompleksas (futbolo ir regbio maniežas J. Jablonskio g. 14) (vnt.)</w:t>
                    </w:r>
                  </w:p>
                </w:tc>
                <w:tc>
                  <w:tcPr>
                    <w:tcW w:w="1134" w:type="dxa"/>
                    <w:vAlign w:val="center"/>
                    <w:hideMark/>
                  </w:tcPr>
                  <w:p>
                    <w:pPr>
                      <w:jc w:val="center"/>
                      <w:rPr>
                        <w:sz w:val="20"/>
                      </w:rPr>
                    </w:pPr>
                    <w:r>
                      <w:rPr>
                        <w:sz w:val="20"/>
                      </w:rPr>
                      <w:t>SS</w:t>
                    </w:r>
                  </w:p>
                </w:tc>
                <w:tc>
                  <w:tcPr>
                    <w:tcW w:w="1134" w:type="dxa"/>
                    <w:vAlign w:val="center"/>
                    <w:hideMark/>
                  </w:tcPr>
                  <w:p>
                    <w:pPr>
                      <w:jc w:val="center"/>
                      <w:rPr>
                        <w:sz w:val="20"/>
                      </w:rPr>
                    </w:pPr>
                    <w:r>
                      <w:rPr>
                        <w:sz w:val="20"/>
                      </w:rPr>
                      <w:t>0 (2024)</w:t>
                    </w:r>
                  </w:p>
                </w:tc>
                <w:tc>
                  <w:tcPr>
                    <w:tcW w:w="1134" w:type="dxa"/>
                    <w:vAlign w:val="center"/>
                    <w:hideMark/>
                  </w:tcPr>
                  <w:p>
                    <w:pPr>
                      <w:jc w:val="center"/>
                      <w:rPr>
                        <w:sz w:val="20"/>
                      </w:rPr>
                    </w:pPr>
                    <w:r>
                      <w:rPr>
                        <w:sz w:val="20"/>
                      </w:rPr>
                      <w:t>1 (2026)</w:t>
                    </w:r>
                  </w:p>
                </w:tc>
              </w:tr>
              <w:tr>
                <w:trPr>
                  <w:trHeight w:val="559"/>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rPr>
                        <w:sz w:val="20"/>
                      </w:rPr>
                    </w:pPr>
                  </w:p>
                </w:tc>
                <w:tc>
                  <w:tcPr>
                    <w:tcW w:w="709" w:type="dxa"/>
                    <w:vMerge/>
                    <w:vAlign w:val="center"/>
                    <w:hideMark/>
                  </w:tcPr>
                  <w:p>
                    <w:pPr>
                      <w:rPr>
                        <w:sz w:val="20"/>
                      </w:rPr>
                    </w:pPr>
                  </w:p>
                </w:tc>
                <w:tc>
                  <w:tcPr>
                    <w:tcW w:w="709" w:type="dxa"/>
                    <w:vMerge/>
                    <w:vAlign w:val="center"/>
                    <w:hideMark/>
                  </w:tcPr>
                  <w:p>
                    <w:pPr>
                      <w:rPr>
                        <w:sz w:val="20"/>
                      </w:rPr>
                    </w:pPr>
                  </w:p>
                </w:tc>
                <w:tc>
                  <w:tcPr>
                    <w:tcW w:w="1417" w:type="dxa"/>
                    <w:vAlign w:val="center"/>
                    <w:hideMark/>
                  </w:tcPr>
                  <w:p>
                    <w:pPr>
                      <w:rPr>
                        <w:sz w:val="20"/>
                      </w:rPr>
                    </w:pPr>
                    <w:r>
                      <w:rPr>
                        <w:sz w:val="20"/>
                      </w:rPr>
                      <w:t>P-17-02-02-02</w:t>
                    </w:r>
                  </w:p>
                </w:tc>
                <w:tc>
                  <w:tcPr>
                    <w:tcW w:w="4111" w:type="dxa"/>
                    <w:vAlign w:val="center"/>
                    <w:hideMark/>
                  </w:tcPr>
                  <w:p>
                    <w:pPr>
                      <w:rPr>
                        <w:sz w:val="20"/>
                      </w:rPr>
                    </w:pPr>
                    <w:r>
                      <w:rPr>
                        <w:sz w:val="20"/>
                      </w:rPr>
                      <w:t>Pastatyta irklavimo sporto bazė (Žvyro g. 34) (vnt.)</w:t>
                    </w:r>
                  </w:p>
                </w:tc>
                <w:tc>
                  <w:tcPr>
                    <w:tcW w:w="1134" w:type="dxa"/>
                    <w:vAlign w:val="center"/>
                    <w:hideMark/>
                  </w:tcPr>
                  <w:p>
                    <w:pPr>
                      <w:jc w:val="center"/>
                      <w:rPr>
                        <w:sz w:val="20"/>
                      </w:rPr>
                    </w:pPr>
                    <w:r>
                      <w:rPr>
                        <w:sz w:val="20"/>
                      </w:rPr>
                      <w:t>SS</w:t>
                    </w:r>
                  </w:p>
                </w:tc>
                <w:tc>
                  <w:tcPr>
                    <w:tcW w:w="1134" w:type="dxa"/>
                    <w:vAlign w:val="center"/>
                    <w:hideMark/>
                  </w:tcPr>
                  <w:p>
                    <w:pPr>
                      <w:jc w:val="center"/>
                      <w:rPr>
                        <w:sz w:val="20"/>
                      </w:rPr>
                    </w:pPr>
                    <w:r>
                      <w:rPr>
                        <w:sz w:val="20"/>
                      </w:rPr>
                      <w:t>0 (2024)</w:t>
                    </w:r>
                  </w:p>
                </w:tc>
                <w:tc>
                  <w:tcPr>
                    <w:tcW w:w="1134" w:type="dxa"/>
                    <w:vAlign w:val="center"/>
                    <w:hideMark/>
                  </w:tcPr>
                  <w:p>
                    <w:pPr>
                      <w:jc w:val="center"/>
                      <w:rPr>
                        <w:sz w:val="20"/>
                      </w:rPr>
                    </w:pPr>
                    <w:r>
                      <w:rPr>
                        <w:sz w:val="20"/>
                      </w:rPr>
                      <w:t>1 (2027)</w:t>
                    </w:r>
                  </w:p>
                </w:tc>
              </w:tr>
              <w:tr>
                <w:trPr>
                  <w:trHeight w:val="509"/>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rPr>
                        <w:sz w:val="20"/>
                      </w:rPr>
                    </w:pPr>
                  </w:p>
                </w:tc>
                <w:tc>
                  <w:tcPr>
                    <w:tcW w:w="709" w:type="dxa"/>
                    <w:vMerge/>
                    <w:vAlign w:val="center"/>
                    <w:hideMark/>
                  </w:tcPr>
                  <w:p>
                    <w:pPr>
                      <w:rPr>
                        <w:sz w:val="20"/>
                      </w:rPr>
                    </w:pPr>
                  </w:p>
                </w:tc>
                <w:tc>
                  <w:tcPr>
                    <w:tcW w:w="709" w:type="dxa"/>
                    <w:vMerge/>
                    <w:vAlign w:val="center"/>
                    <w:hideMark/>
                  </w:tcPr>
                  <w:p>
                    <w:pPr>
                      <w:rPr>
                        <w:sz w:val="20"/>
                      </w:rPr>
                    </w:pPr>
                  </w:p>
                </w:tc>
                <w:tc>
                  <w:tcPr>
                    <w:tcW w:w="1417" w:type="dxa"/>
                    <w:vAlign w:val="center"/>
                    <w:hideMark/>
                  </w:tcPr>
                  <w:p>
                    <w:pPr>
                      <w:rPr>
                        <w:sz w:val="20"/>
                      </w:rPr>
                    </w:pPr>
                    <w:r>
                      <w:rPr>
                        <w:sz w:val="20"/>
                      </w:rPr>
                      <w:t>P-17-02-02-03</w:t>
                    </w:r>
                  </w:p>
                </w:tc>
                <w:tc>
                  <w:tcPr>
                    <w:tcW w:w="4111" w:type="dxa"/>
                    <w:vAlign w:val="center"/>
                    <w:hideMark/>
                  </w:tcPr>
                  <w:p>
                    <w:pPr>
                      <w:rPr>
                        <w:sz w:val="20"/>
                      </w:rPr>
                    </w:pPr>
                    <w:r>
                      <w:rPr>
                        <w:sz w:val="20"/>
                      </w:rPr>
                      <w:t>Suprojektuotas ir pastatytas buriavimo elingas prie Rėkyvos ežero (Poilsio g. 10A) (vnt.)</w:t>
                    </w:r>
                  </w:p>
                </w:tc>
                <w:tc>
                  <w:tcPr>
                    <w:tcW w:w="1134" w:type="dxa"/>
                    <w:vAlign w:val="center"/>
                    <w:hideMark/>
                  </w:tcPr>
                  <w:p>
                    <w:pPr>
                      <w:jc w:val="center"/>
                      <w:rPr>
                        <w:sz w:val="20"/>
                      </w:rPr>
                    </w:pPr>
                    <w:r>
                      <w:rPr>
                        <w:sz w:val="20"/>
                      </w:rPr>
                      <w:t>SS</w:t>
                    </w:r>
                  </w:p>
                </w:tc>
                <w:tc>
                  <w:tcPr>
                    <w:tcW w:w="1134" w:type="dxa"/>
                    <w:vAlign w:val="center"/>
                    <w:hideMark/>
                  </w:tcPr>
                  <w:p>
                    <w:pPr>
                      <w:jc w:val="center"/>
                      <w:rPr>
                        <w:sz w:val="20"/>
                      </w:rPr>
                    </w:pPr>
                    <w:r>
                      <w:rPr>
                        <w:sz w:val="20"/>
                      </w:rPr>
                      <w:t>0 (2023)</w:t>
                    </w:r>
                  </w:p>
                </w:tc>
                <w:tc>
                  <w:tcPr>
                    <w:tcW w:w="1134" w:type="dxa"/>
                    <w:vAlign w:val="center"/>
                    <w:hideMark/>
                  </w:tcPr>
                  <w:p>
                    <w:pPr>
                      <w:jc w:val="center"/>
                      <w:rPr>
                        <w:sz w:val="20"/>
                      </w:rPr>
                    </w:pPr>
                    <w:r>
                      <w:rPr>
                        <w:sz w:val="20"/>
                      </w:rPr>
                      <w:t>1 (2028)</w:t>
                    </w:r>
                  </w:p>
                </w:tc>
              </w:tr>
              <w:tr>
                <w:trPr>
                  <w:trHeight w:val="757"/>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rPr>
                        <w:sz w:val="20"/>
                      </w:rPr>
                    </w:pPr>
                  </w:p>
                </w:tc>
                <w:tc>
                  <w:tcPr>
                    <w:tcW w:w="709" w:type="dxa"/>
                    <w:vMerge/>
                    <w:vAlign w:val="center"/>
                    <w:hideMark/>
                  </w:tcPr>
                  <w:p>
                    <w:pPr>
                      <w:rPr>
                        <w:sz w:val="20"/>
                      </w:rPr>
                    </w:pPr>
                  </w:p>
                </w:tc>
                <w:tc>
                  <w:tcPr>
                    <w:tcW w:w="709" w:type="dxa"/>
                    <w:vMerge/>
                    <w:vAlign w:val="center"/>
                    <w:hideMark/>
                  </w:tcPr>
                  <w:p>
                    <w:pPr>
                      <w:rPr>
                        <w:sz w:val="20"/>
                      </w:rPr>
                    </w:pPr>
                  </w:p>
                </w:tc>
                <w:tc>
                  <w:tcPr>
                    <w:tcW w:w="1417" w:type="dxa"/>
                    <w:vAlign w:val="center"/>
                    <w:hideMark/>
                  </w:tcPr>
                  <w:p>
                    <w:pPr>
                      <w:rPr>
                        <w:sz w:val="20"/>
                      </w:rPr>
                    </w:pPr>
                    <w:r>
                      <w:rPr>
                        <w:sz w:val="20"/>
                      </w:rPr>
                      <w:t>P-17-02-02-04</w:t>
                    </w:r>
                  </w:p>
                </w:tc>
                <w:tc>
                  <w:tcPr>
                    <w:tcW w:w="4111" w:type="dxa"/>
                    <w:vAlign w:val="center"/>
                    <w:hideMark/>
                  </w:tcPr>
                  <w:p>
                    <w:pPr>
                      <w:rPr>
                        <w:sz w:val="20"/>
                      </w:rPr>
                    </w:pPr>
                    <w:r>
                      <w:rPr>
                        <w:sz w:val="20"/>
                      </w:rPr>
                      <w:t>VPSP ar kitu partnerystės būdu, su privačiais investuotojais pastatytų, atnaujintų sporto infrastruktūros objektų skaičius (vnt.)</w:t>
                    </w:r>
                  </w:p>
                </w:tc>
                <w:tc>
                  <w:tcPr>
                    <w:tcW w:w="1134" w:type="dxa"/>
                    <w:vAlign w:val="center"/>
                    <w:hideMark/>
                  </w:tcPr>
                  <w:p>
                    <w:pPr>
                      <w:jc w:val="center"/>
                      <w:rPr>
                        <w:sz w:val="20"/>
                      </w:rPr>
                    </w:pPr>
                    <w:r>
                      <w:rPr>
                        <w:sz w:val="20"/>
                      </w:rPr>
                      <w:t>SS</w:t>
                    </w:r>
                  </w:p>
                </w:tc>
                <w:tc>
                  <w:tcPr>
                    <w:tcW w:w="1134" w:type="dxa"/>
                    <w:vAlign w:val="center"/>
                    <w:hideMark/>
                  </w:tcPr>
                  <w:p>
                    <w:pPr>
                      <w:jc w:val="center"/>
                      <w:rPr>
                        <w:sz w:val="20"/>
                      </w:rPr>
                    </w:pPr>
                    <w:r>
                      <w:rPr>
                        <w:sz w:val="20"/>
                      </w:rPr>
                      <w:t>0 (2024)</w:t>
                    </w:r>
                  </w:p>
                </w:tc>
                <w:tc>
                  <w:tcPr>
                    <w:tcW w:w="1134" w:type="dxa"/>
                    <w:vAlign w:val="center"/>
                    <w:hideMark/>
                  </w:tcPr>
                  <w:p>
                    <w:pPr>
                      <w:jc w:val="center"/>
                      <w:rPr>
                        <w:sz w:val="20"/>
                      </w:rPr>
                    </w:pPr>
                    <w:r>
                      <w:rPr>
                        <w:sz w:val="20"/>
                      </w:rPr>
                      <w:t>2 (2033)</w:t>
                    </w:r>
                  </w:p>
                </w:tc>
              </w:tr>
              <w:tr>
                <w:trPr>
                  <w:trHeight w:val="358"/>
                  <w:jc w:val="center"/>
                </w:trPr>
                <w:tc>
                  <w:tcPr>
                    <w:tcW w:w="988" w:type="dxa"/>
                    <w:vMerge w:val="restart"/>
                    <w:shd w:val="clear" w:color="auto" w:fill="FFD966"/>
                    <w:noWrap/>
                    <w:vAlign w:val="center"/>
                    <w:hideMark/>
                  </w:tcPr>
                  <w:p>
                    <w:pPr>
                      <w:rPr>
                        <w:b/>
                        <w:bCs/>
                        <w:sz w:val="20"/>
                      </w:rPr>
                    </w:pPr>
                    <w:r>
                      <w:rPr>
                        <w:b/>
                        <w:bCs/>
                        <w:sz w:val="20"/>
                      </w:rPr>
                      <w:t>18</w:t>
                    </w:r>
                  </w:p>
                </w:tc>
                <w:tc>
                  <w:tcPr>
                    <w:tcW w:w="2126" w:type="dxa"/>
                    <w:vMerge w:val="restart"/>
                    <w:shd w:val="clear" w:color="auto" w:fill="FFD966"/>
                    <w:vAlign w:val="center"/>
                    <w:hideMark/>
                  </w:tcPr>
                  <w:p>
                    <w:pPr>
                      <w:rPr>
                        <w:b/>
                        <w:bCs/>
                        <w:sz w:val="20"/>
                      </w:rPr>
                    </w:pPr>
                    <w:r>
                      <w:rPr>
                        <w:b/>
                        <w:bCs/>
                        <w:sz w:val="20"/>
                      </w:rPr>
                      <w:t>Užtikrinti įtraukias, kokybiškas, prieinamas švietimo paslaugas ir didinti galimybes jaunimui</w:t>
                    </w:r>
                  </w:p>
                </w:tc>
                <w:tc>
                  <w:tcPr>
                    <w:tcW w:w="850" w:type="dxa"/>
                    <w:vMerge w:val="restart"/>
                    <w:shd w:val="clear" w:color="auto" w:fill="FFD966"/>
                    <w:vAlign w:val="center"/>
                    <w:hideMark/>
                  </w:tcPr>
                  <w:p>
                    <w:pPr>
                      <w:jc w:val="center"/>
                      <w:rPr>
                        <w:sz w:val="20"/>
                      </w:rPr>
                    </w:pPr>
                    <w:r>
                      <w:rPr>
                        <w:sz w:val="20"/>
                      </w:rPr>
                      <w:t>ŠS</w:t>
                    </w:r>
                  </w:p>
                </w:tc>
                <w:tc>
                  <w:tcPr>
                    <w:tcW w:w="709" w:type="dxa"/>
                    <w:vMerge w:val="restart"/>
                    <w:shd w:val="clear" w:color="auto" w:fill="FFD966"/>
                    <w:vAlign w:val="center"/>
                    <w:hideMark/>
                  </w:tcPr>
                  <w:p>
                    <w:pPr>
                      <w:jc w:val="center"/>
                      <w:rPr>
                        <w:sz w:val="20"/>
                      </w:rPr>
                    </w:pPr>
                    <w:r>
                      <w:rPr>
                        <w:sz w:val="20"/>
                      </w:rPr>
                      <w:t>2025</w:t>
                    </w:r>
                  </w:p>
                </w:tc>
                <w:tc>
                  <w:tcPr>
                    <w:tcW w:w="709" w:type="dxa"/>
                    <w:vMerge w:val="restart"/>
                    <w:shd w:val="clear" w:color="auto" w:fill="FFD966"/>
                    <w:vAlign w:val="center"/>
                    <w:hideMark/>
                  </w:tcPr>
                  <w:p>
                    <w:pPr>
                      <w:jc w:val="center"/>
                      <w:rPr>
                        <w:sz w:val="20"/>
                      </w:rPr>
                    </w:pPr>
                    <w:r>
                      <w:rPr>
                        <w:sz w:val="20"/>
                      </w:rPr>
                      <w:t>2033</w:t>
                    </w:r>
                  </w:p>
                </w:tc>
                <w:tc>
                  <w:tcPr>
                    <w:tcW w:w="1417" w:type="dxa"/>
                    <w:shd w:val="clear" w:color="auto" w:fill="FFD966"/>
                    <w:vAlign w:val="center"/>
                    <w:hideMark/>
                  </w:tcPr>
                  <w:p>
                    <w:pPr>
                      <w:rPr>
                        <w:sz w:val="20"/>
                      </w:rPr>
                    </w:pPr>
                    <w:r>
                      <w:rPr>
                        <w:sz w:val="20"/>
                      </w:rPr>
                      <w:t>P-18-01</w:t>
                    </w:r>
                  </w:p>
                </w:tc>
                <w:tc>
                  <w:tcPr>
                    <w:tcW w:w="4111" w:type="dxa"/>
                    <w:shd w:val="clear" w:color="auto" w:fill="FFD966"/>
                    <w:vAlign w:val="center"/>
                    <w:hideMark/>
                  </w:tcPr>
                  <w:p>
                    <w:pPr>
                      <w:rPr>
                        <w:sz w:val="20"/>
                      </w:rPr>
                    </w:pPr>
                    <w:r>
                      <w:rPr>
                        <w:sz w:val="20"/>
                      </w:rPr>
                      <w:t xml:space="preserve">Vaikų ir jaunimo (0–29 m. amžiaus) dalis nuo bendro gyventojų skaičiaus (proc.) </w:t>
                    </w:r>
                  </w:p>
                </w:tc>
                <w:tc>
                  <w:tcPr>
                    <w:tcW w:w="1134" w:type="dxa"/>
                    <w:shd w:val="clear" w:color="auto" w:fill="FFD966"/>
                    <w:vAlign w:val="center"/>
                    <w:hideMark/>
                  </w:tcPr>
                  <w:p>
                    <w:pPr>
                      <w:jc w:val="center"/>
                      <w:rPr>
                        <w:sz w:val="20"/>
                      </w:rPr>
                    </w:pPr>
                    <w:r>
                      <w:rPr>
                        <w:sz w:val="20"/>
                      </w:rPr>
                      <w:t>VDA (ŠS)</w:t>
                    </w:r>
                  </w:p>
                </w:tc>
                <w:tc>
                  <w:tcPr>
                    <w:tcW w:w="1134" w:type="dxa"/>
                    <w:shd w:val="clear" w:color="auto" w:fill="FFD966"/>
                    <w:vAlign w:val="center"/>
                    <w:hideMark/>
                  </w:tcPr>
                  <w:p>
                    <w:pPr>
                      <w:jc w:val="center"/>
                      <w:rPr>
                        <w:sz w:val="20"/>
                      </w:rPr>
                    </w:pPr>
                    <w:r>
                      <w:rPr>
                        <w:sz w:val="20"/>
                      </w:rPr>
                      <w:t>27,7 (2024)</w:t>
                    </w:r>
                  </w:p>
                </w:tc>
                <w:tc>
                  <w:tcPr>
                    <w:tcW w:w="1134" w:type="dxa"/>
                    <w:shd w:val="clear" w:color="auto" w:fill="FFD966"/>
                    <w:vAlign w:val="center"/>
                    <w:hideMark/>
                  </w:tcPr>
                  <w:p>
                    <w:pPr>
                      <w:jc w:val="center"/>
                      <w:rPr>
                        <w:sz w:val="20"/>
                      </w:rPr>
                    </w:pPr>
                    <w:r>
                      <w:rPr>
                        <w:sz w:val="20"/>
                      </w:rPr>
                      <w:t>29 (2033)</w:t>
                    </w:r>
                  </w:p>
                </w:tc>
              </w:tr>
              <w:tr>
                <w:trPr>
                  <w:trHeight w:val="425"/>
                  <w:jc w:val="center"/>
                </w:trPr>
                <w:tc>
                  <w:tcPr>
                    <w:tcW w:w="988" w:type="dxa"/>
                    <w:vMerge/>
                    <w:shd w:val="clear" w:color="auto" w:fill="FFD966"/>
                    <w:vAlign w:val="center"/>
                    <w:hideMark/>
                  </w:tcPr>
                  <w:p>
                    <w:pPr>
                      <w:rPr>
                        <w:b/>
                        <w:bCs/>
                        <w:sz w:val="20"/>
                      </w:rPr>
                    </w:pPr>
                  </w:p>
                </w:tc>
                <w:tc>
                  <w:tcPr>
                    <w:tcW w:w="2126" w:type="dxa"/>
                    <w:vMerge/>
                    <w:shd w:val="clear" w:color="auto" w:fill="FFD966"/>
                    <w:vAlign w:val="center"/>
                    <w:hideMark/>
                  </w:tcPr>
                  <w:p>
                    <w:pPr>
                      <w:rPr>
                        <w:b/>
                        <w:bCs/>
                        <w:sz w:val="20"/>
                      </w:rPr>
                    </w:pPr>
                  </w:p>
                </w:tc>
                <w:tc>
                  <w:tcPr>
                    <w:tcW w:w="850" w:type="dxa"/>
                    <w:vMerge/>
                    <w:shd w:val="clear" w:color="auto" w:fill="FFD966"/>
                    <w:vAlign w:val="center"/>
                    <w:hideMark/>
                  </w:tcPr>
                  <w:p>
                    <w:pPr>
                      <w:rPr>
                        <w:sz w:val="20"/>
                      </w:rPr>
                    </w:pPr>
                  </w:p>
                </w:tc>
                <w:tc>
                  <w:tcPr>
                    <w:tcW w:w="709" w:type="dxa"/>
                    <w:vMerge/>
                    <w:shd w:val="clear" w:color="auto" w:fill="FFD966"/>
                    <w:vAlign w:val="center"/>
                    <w:hideMark/>
                  </w:tcPr>
                  <w:p>
                    <w:pPr>
                      <w:rPr>
                        <w:sz w:val="20"/>
                      </w:rPr>
                    </w:pPr>
                  </w:p>
                </w:tc>
                <w:tc>
                  <w:tcPr>
                    <w:tcW w:w="709" w:type="dxa"/>
                    <w:vMerge/>
                    <w:shd w:val="clear" w:color="auto" w:fill="FFD966"/>
                    <w:vAlign w:val="center"/>
                    <w:hideMark/>
                  </w:tcPr>
                  <w:p>
                    <w:pPr>
                      <w:rPr>
                        <w:sz w:val="20"/>
                      </w:rPr>
                    </w:pPr>
                  </w:p>
                </w:tc>
                <w:tc>
                  <w:tcPr>
                    <w:tcW w:w="1417" w:type="dxa"/>
                    <w:shd w:val="clear" w:color="auto" w:fill="FFD966"/>
                    <w:vAlign w:val="center"/>
                    <w:hideMark/>
                  </w:tcPr>
                  <w:p>
                    <w:pPr>
                      <w:rPr>
                        <w:sz w:val="20"/>
                      </w:rPr>
                    </w:pPr>
                    <w:r>
                      <w:rPr>
                        <w:sz w:val="20"/>
                      </w:rPr>
                      <w:t>P-18-02</w:t>
                    </w:r>
                  </w:p>
                </w:tc>
                <w:tc>
                  <w:tcPr>
                    <w:tcW w:w="4111" w:type="dxa"/>
                    <w:shd w:val="clear" w:color="auto" w:fill="FFD966"/>
                    <w:vAlign w:val="center"/>
                    <w:hideMark/>
                  </w:tcPr>
                  <w:p>
                    <w:pPr>
                      <w:rPr>
                        <w:sz w:val="20"/>
                      </w:rPr>
                    </w:pPr>
                    <w:r>
                      <w:rPr>
                        <w:sz w:val="20"/>
                      </w:rPr>
                      <w:t>Vaikų, dalyvaujančių ikimokykliniame ugdyme 3–5 metų, dalis nuo vaikų (3–5 m.) (proc.)</w:t>
                    </w:r>
                  </w:p>
                </w:tc>
                <w:tc>
                  <w:tcPr>
                    <w:tcW w:w="1134" w:type="dxa"/>
                    <w:shd w:val="clear" w:color="auto" w:fill="FFD966"/>
                    <w:noWrap/>
                    <w:vAlign w:val="center"/>
                    <w:hideMark/>
                  </w:tcPr>
                  <w:p>
                    <w:pPr>
                      <w:jc w:val="center"/>
                      <w:rPr>
                        <w:sz w:val="20"/>
                      </w:rPr>
                    </w:pPr>
                    <w:r>
                      <w:rPr>
                        <w:sz w:val="20"/>
                      </w:rPr>
                      <w:t>ŠVIS (ŠS)</w:t>
                    </w:r>
                  </w:p>
                </w:tc>
                <w:tc>
                  <w:tcPr>
                    <w:tcW w:w="1134" w:type="dxa"/>
                    <w:shd w:val="clear" w:color="auto" w:fill="FFD966"/>
                    <w:noWrap/>
                    <w:vAlign w:val="center"/>
                    <w:hideMark/>
                  </w:tcPr>
                  <w:p>
                    <w:pPr>
                      <w:jc w:val="center"/>
                      <w:rPr>
                        <w:sz w:val="20"/>
                      </w:rPr>
                    </w:pPr>
                    <w:r>
                      <w:rPr>
                        <w:sz w:val="20"/>
                      </w:rPr>
                      <w:t>97 (2023)</w:t>
                    </w:r>
                  </w:p>
                </w:tc>
                <w:tc>
                  <w:tcPr>
                    <w:tcW w:w="1134" w:type="dxa"/>
                    <w:shd w:val="clear" w:color="auto" w:fill="FFD966"/>
                    <w:noWrap/>
                    <w:vAlign w:val="center"/>
                    <w:hideMark/>
                  </w:tcPr>
                  <w:p>
                    <w:pPr>
                      <w:jc w:val="center"/>
                      <w:rPr>
                        <w:sz w:val="20"/>
                      </w:rPr>
                    </w:pPr>
                    <w:r>
                      <w:rPr>
                        <w:sz w:val="20"/>
                      </w:rPr>
                      <w:t>98 (2033)</w:t>
                    </w:r>
                  </w:p>
                </w:tc>
              </w:tr>
              <w:tr>
                <w:trPr>
                  <w:trHeight w:val="723"/>
                  <w:jc w:val="center"/>
                </w:trPr>
                <w:tc>
                  <w:tcPr>
                    <w:tcW w:w="988" w:type="dxa"/>
                    <w:vMerge/>
                    <w:shd w:val="clear" w:color="auto" w:fill="FFD966"/>
                    <w:vAlign w:val="center"/>
                    <w:hideMark/>
                  </w:tcPr>
                  <w:p>
                    <w:pPr>
                      <w:rPr>
                        <w:b/>
                        <w:bCs/>
                        <w:sz w:val="20"/>
                      </w:rPr>
                    </w:pPr>
                  </w:p>
                </w:tc>
                <w:tc>
                  <w:tcPr>
                    <w:tcW w:w="2126" w:type="dxa"/>
                    <w:vMerge/>
                    <w:shd w:val="clear" w:color="auto" w:fill="FFD966"/>
                    <w:vAlign w:val="center"/>
                    <w:hideMark/>
                  </w:tcPr>
                  <w:p>
                    <w:pPr>
                      <w:rPr>
                        <w:b/>
                        <w:bCs/>
                        <w:sz w:val="20"/>
                      </w:rPr>
                    </w:pPr>
                  </w:p>
                </w:tc>
                <w:tc>
                  <w:tcPr>
                    <w:tcW w:w="850" w:type="dxa"/>
                    <w:vMerge/>
                    <w:shd w:val="clear" w:color="auto" w:fill="FFD966"/>
                    <w:vAlign w:val="center"/>
                    <w:hideMark/>
                  </w:tcPr>
                  <w:p>
                    <w:pPr>
                      <w:rPr>
                        <w:sz w:val="20"/>
                      </w:rPr>
                    </w:pPr>
                  </w:p>
                </w:tc>
                <w:tc>
                  <w:tcPr>
                    <w:tcW w:w="709" w:type="dxa"/>
                    <w:vMerge/>
                    <w:shd w:val="clear" w:color="auto" w:fill="FFD966"/>
                    <w:vAlign w:val="center"/>
                    <w:hideMark/>
                  </w:tcPr>
                  <w:p>
                    <w:pPr>
                      <w:rPr>
                        <w:sz w:val="20"/>
                      </w:rPr>
                    </w:pPr>
                  </w:p>
                </w:tc>
                <w:tc>
                  <w:tcPr>
                    <w:tcW w:w="709" w:type="dxa"/>
                    <w:vMerge/>
                    <w:shd w:val="clear" w:color="auto" w:fill="FFD966"/>
                    <w:vAlign w:val="center"/>
                    <w:hideMark/>
                  </w:tcPr>
                  <w:p>
                    <w:pPr>
                      <w:rPr>
                        <w:sz w:val="20"/>
                      </w:rPr>
                    </w:pPr>
                  </w:p>
                </w:tc>
                <w:tc>
                  <w:tcPr>
                    <w:tcW w:w="1417" w:type="dxa"/>
                    <w:shd w:val="clear" w:color="auto" w:fill="FFD966"/>
                    <w:vAlign w:val="center"/>
                    <w:hideMark/>
                  </w:tcPr>
                  <w:p>
                    <w:pPr>
                      <w:rPr>
                        <w:sz w:val="20"/>
                      </w:rPr>
                    </w:pPr>
                    <w:r>
                      <w:rPr>
                        <w:sz w:val="20"/>
                      </w:rPr>
                      <w:t>P-18-03</w:t>
                    </w:r>
                  </w:p>
                </w:tc>
                <w:tc>
                  <w:tcPr>
                    <w:tcW w:w="4111" w:type="dxa"/>
                    <w:shd w:val="clear" w:color="auto" w:fill="FFD966"/>
                    <w:vAlign w:val="center"/>
                    <w:hideMark/>
                  </w:tcPr>
                  <w:p>
                    <w:pPr>
                      <w:rPr>
                        <w:sz w:val="20"/>
                      </w:rPr>
                    </w:pPr>
                    <w:r>
                      <w:rPr>
                        <w:sz w:val="20"/>
                      </w:rPr>
                      <w:t>Mokyklinio amžiaus vaikų, nesimokančių mokyklose skaičius, tenkantis 1000 gyv. (asm. / 1000 gyv.)</w:t>
                    </w:r>
                  </w:p>
                </w:tc>
                <w:tc>
                  <w:tcPr>
                    <w:tcW w:w="1134" w:type="dxa"/>
                    <w:shd w:val="clear" w:color="auto" w:fill="FFD966"/>
                    <w:noWrap/>
                    <w:vAlign w:val="center"/>
                    <w:hideMark/>
                  </w:tcPr>
                  <w:p>
                    <w:pPr>
                      <w:jc w:val="center"/>
                      <w:rPr>
                        <w:sz w:val="20"/>
                      </w:rPr>
                    </w:pPr>
                    <w:r>
                      <w:rPr>
                        <w:sz w:val="20"/>
                      </w:rPr>
                      <w:t>VDA (ŠS)</w:t>
                    </w:r>
                  </w:p>
                </w:tc>
                <w:tc>
                  <w:tcPr>
                    <w:tcW w:w="1134" w:type="dxa"/>
                    <w:shd w:val="clear" w:color="auto" w:fill="FFD966"/>
                    <w:vAlign w:val="center"/>
                    <w:hideMark/>
                  </w:tcPr>
                  <w:p>
                    <w:pPr>
                      <w:jc w:val="center"/>
                      <w:rPr>
                        <w:sz w:val="20"/>
                      </w:rPr>
                    </w:pPr>
                    <w:r>
                      <w:rPr>
                        <w:sz w:val="20"/>
                      </w:rPr>
                      <w:t xml:space="preserve">3,8 </w:t>
                      <w:br/>
                      <w:t>(2022-2023)</w:t>
                    </w:r>
                  </w:p>
                </w:tc>
                <w:tc>
                  <w:tcPr>
                    <w:tcW w:w="1134" w:type="dxa"/>
                    <w:shd w:val="clear" w:color="auto" w:fill="FFD966"/>
                    <w:noWrap/>
                    <w:vAlign w:val="center"/>
                    <w:hideMark/>
                  </w:tcPr>
                  <w:p>
                    <w:pPr>
                      <w:jc w:val="center"/>
                      <w:rPr>
                        <w:sz w:val="20"/>
                      </w:rPr>
                    </w:pPr>
                    <w:r>
                      <w:rPr>
                        <w:sz w:val="20"/>
                      </w:rPr>
                      <w:t>2,7 (2033)</w:t>
                    </w:r>
                  </w:p>
                </w:tc>
              </w:tr>
              <w:tr>
                <w:trPr>
                  <w:trHeight w:val="743"/>
                  <w:jc w:val="center"/>
                </w:trPr>
                <w:tc>
                  <w:tcPr>
                    <w:tcW w:w="988" w:type="dxa"/>
                    <w:vMerge/>
                    <w:shd w:val="clear" w:color="auto" w:fill="FFD966"/>
                    <w:vAlign w:val="center"/>
                    <w:hideMark/>
                  </w:tcPr>
                  <w:p>
                    <w:pPr>
                      <w:rPr>
                        <w:b/>
                        <w:bCs/>
                        <w:sz w:val="20"/>
                      </w:rPr>
                    </w:pPr>
                  </w:p>
                </w:tc>
                <w:tc>
                  <w:tcPr>
                    <w:tcW w:w="2126" w:type="dxa"/>
                    <w:vMerge/>
                    <w:shd w:val="clear" w:color="auto" w:fill="FFD966"/>
                    <w:vAlign w:val="center"/>
                    <w:hideMark/>
                  </w:tcPr>
                  <w:p>
                    <w:pPr>
                      <w:rPr>
                        <w:b/>
                        <w:bCs/>
                        <w:sz w:val="20"/>
                      </w:rPr>
                    </w:pPr>
                  </w:p>
                </w:tc>
                <w:tc>
                  <w:tcPr>
                    <w:tcW w:w="850" w:type="dxa"/>
                    <w:vMerge/>
                    <w:shd w:val="clear" w:color="auto" w:fill="FFD966"/>
                    <w:vAlign w:val="center"/>
                    <w:hideMark/>
                  </w:tcPr>
                  <w:p>
                    <w:pPr>
                      <w:rPr>
                        <w:sz w:val="20"/>
                      </w:rPr>
                    </w:pPr>
                  </w:p>
                </w:tc>
                <w:tc>
                  <w:tcPr>
                    <w:tcW w:w="709" w:type="dxa"/>
                    <w:vMerge/>
                    <w:shd w:val="clear" w:color="auto" w:fill="FFD966"/>
                    <w:vAlign w:val="center"/>
                    <w:hideMark/>
                  </w:tcPr>
                  <w:p>
                    <w:pPr>
                      <w:rPr>
                        <w:sz w:val="20"/>
                      </w:rPr>
                    </w:pPr>
                  </w:p>
                </w:tc>
                <w:tc>
                  <w:tcPr>
                    <w:tcW w:w="709" w:type="dxa"/>
                    <w:vMerge/>
                    <w:shd w:val="clear" w:color="auto" w:fill="FFD966"/>
                    <w:vAlign w:val="center"/>
                    <w:hideMark/>
                  </w:tcPr>
                  <w:p>
                    <w:pPr>
                      <w:rPr>
                        <w:sz w:val="20"/>
                      </w:rPr>
                    </w:pPr>
                  </w:p>
                </w:tc>
                <w:tc>
                  <w:tcPr>
                    <w:tcW w:w="1417" w:type="dxa"/>
                    <w:shd w:val="clear" w:color="auto" w:fill="FFD966"/>
                    <w:vAlign w:val="center"/>
                    <w:hideMark/>
                  </w:tcPr>
                  <w:p>
                    <w:pPr>
                      <w:rPr>
                        <w:sz w:val="20"/>
                      </w:rPr>
                    </w:pPr>
                    <w:r>
                      <w:rPr>
                        <w:sz w:val="20"/>
                      </w:rPr>
                      <w:t>P-18-04</w:t>
                    </w:r>
                  </w:p>
                </w:tc>
                <w:tc>
                  <w:tcPr>
                    <w:tcW w:w="4111" w:type="dxa"/>
                    <w:shd w:val="clear" w:color="auto" w:fill="FFD966"/>
                    <w:vAlign w:val="center"/>
                    <w:hideMark/>
                  </w:tcPr>
                  <w:p>
                    <w:pPr>
                      <w:rPr>
                        <w:sz w:val="20"/>
                      </w:rPr>
                    </w:pPr>
                    <w:r>
                      <w:rPr>
                        <w:sz w:val="20"/>
                      </w:rPr>
                      <w:t>Neformaliojo švietimo veiklose dalyvaujančių mokinių dalis Šiaulių miesto savivaldybės mokyklose nuo visų mokinių (proc.)</w:t>
                    </w:r>
                  </w:p>
                </w:tc>
                <w:tc>
                  <w:tcPr>
                    <w:tcW w:w="1134" w:type="dxa"/>
                    <w:shd w:val="clear" w:color="auto" w:fill="FFD966"/>
                    <w:noWrap/>
                    <w:vAlign w:val="center"/>
                    <w:hideMark/>
                  </w:tcPr>
                  <w:p>
                    <w:pPr>
                      <w:jc w:val="center"/>
                      <w:rPr>
                        <w:sz w:val="20"/>
                      </w:rPr>
                    </w:pPr>
                    <w:r>
                      <w:rPr>
                        <w:sz w:val="20"/>
                      </w:rPr>
                      <w:t>ŠVIS (ŠS)</w:t>
                    </w:r>
                  </w:p>
                </w:tc>
                <w:tc>
                  <w:tcPr>
                    <w:tcW w:w="1134" w:type="dxa"/>
                    <w:shd w:val="clear" w:color="auto" w:fill="FFD966"/>
                    <w:vAlign w:val="center"/>
                    <w:hideMark/>
                  </w:tcPr>
                  <w:p>
                    <w:pPr>
                      <w:jc w:val="center"/>
                      <w:rPr>
                        <w:sz w:val="20"/>
                      </w:rPr>
                    </w:pPr>
                    <w:r>
                      <w:rPr>
                        <w:sz w:val="20"/>
                      </w:rPr>
                      <w:t>74,2 (2023-2024)</w:t>
                    </w:r>
                  </w:p>
                </w:tc>
                <w:tc>
                  <w:tcPr>
                    <w:tcW w:w="1134" w:type="dxa"/>
                    <w:shd w:val="clear" w:color="auto" w:fill="FFD966"/>
                    <w:noWrap/>
                    <w:vAlign w:val="center"/>
                    <w:hideMark/>
                  </w:tcPr>
                  <w:p>
                    <w:pPr>
                      <w:jc w:val="center"/>
                      <w:rPr>
                        <w:sz w:val="20"/>
                      </w:rPr>
                    </w:pPr>
                    <w:r>
                      <w:rPr>
                        <w:sz w:val="20"/>
                      </w:rPr>
                      <w:t>84,2 (2033)</w:t>
                    </w:r>
                  </w:p>
                </w:tc>
              </w:tr>
              <w:tr>
                <w:trPr>
                  <w:trHeight w:val="407"/>
                  <w:jc w:val="center"/>
                </w:trPr>
                <w:tc>
                  <w:tcPr>
                    <w:tcW w:w="988" w:type="dxa"/>
                    <w:vMerge/>
                    <w:shd w:val="clear" w:color="auto" w:fill="FFD966"/>
                    <w:vAlign w:val="center"/>
                    <w:hideMark/>
                  </w:tcPr>
                  <w:p>
                    <w:pPr>
                      <w:rPr>
                        <w:b/>
                        <w:bCs/>
                        <w:sz w:val="20"/>
                      </w:rPr>
                    </w:pPr>
                  </w:p>
                </w:tc>
                <w:tc>
                  <w:tcPr>
                    <w:tcW w:w="2126" w:type="dxa"/>
                    <w:vMerge/>
                    <w:shd w:val="clear" w:color="auto" w:fill="FFD966"/>
                    <w:vAlign w:val="center"/>
                    <w:hideMark/>
                  </w:tcPr>
                  <w:p>
                    <w:pPr>
                      <w:rPr>
                        <w:b/>
                        <w:bCs/>
                        <w:sz w:val="20"/>
                      </w:rPr>
                    </w:pPr>
                  </w:p>
                </w:tc>
                <w:tc>
                  <w:tcPr>
                    <w:tcW w:w="850" w:type="dxa"/>
                    <w:vMerge/>
                    <w:shd w:val="clear" w:color="auto" w:fill="FFD966"/>
                    <w:vAlign w:val="center"/>
                    <w:hideMark/>
                  </w:tcPr>
                  <w:p>
                    <w:pPr>
                      <w:rPr>
                        <w:sz w:val="20"/>
                      </w:rPr>
                    </w:pPr>
                  </w:p>
                </w:tc>
                <w:tc>
                  <w:tcPr>
                    <w:tcW w:w="709" w:type="dxa"/>
                    <w:vMerge/>
                    <w:shd w:val="clear" w:color="auto" w:fill="FFD966"/>
                    <w:vAlign w:val="center"/>
                    <w:hideMark/>
                  </w:tcPr>
                  <w:p>
                    <w:pPr>
                      <w:rPr>
                        <w:sz w:val="20"/>
                      </w:rPr>
                    </w:pPr>
                  </w:p>
                </w:tc>
                <w:tc>
                  <w:tcPr>
                    <w:tcW w:w="709" w:type="dxa"/>
                    <w:vMerge/>
                    <w:shd w:val="clear" w:color="auto" w:fill="FFD966"/>
                    <w:vAlign w:val="center"/>
                    <w:hideMark/>
                  </w:tcPr>
                  <w:p>
                    <w:pPr>
                      <w:rPr>
                        <w:sz w:val="20"/>
                      </w:rPr>
                    </w:pPr>
                  </w:p>
                </w:tc>
                <w:tc>
                  <w:tcPr>
                    <w:tcW w:w="1417" w:type="dxa"/>
                    <w:shd w:val="clear" w:color="auto" w:fill="FFD966"/>
                    <w:vAlign w:val="center"/>
                    <w:hideMark/>
                  </w:tcPr>
                  <w:p>
                    <w:pPr>
                      <w:rPr>
                        <w:sz w:val="20"/>
                      </w:rPr>
                    </w:pPr>
                    <w:r>
                      <w:rPr>
                        <w:sz w:val="20"/>
                      </w:rPr>
                      <w:t>P-18-05</w:t>
                    </w:r>
                  </w:p>
                </w:tc>
                <w:tc>
                  <w:tcPr>
                    <w:tcW w:w="4111" w:type="dxa"/>
                    <w:shd w:val="clear" w:color="auto" w:fill="FFD966"/>
                    <w:vAlign w:val="center"/>
                    <w:hideMark/>
                  </w:tcPr>
                  <w:p>
                    <w:pPr>
                      <w:rPr>
                        <w:sz w:val="20"/>
                      </w:rPr>
                    </w:pPr>
                    <w:r>
                      <w:rPr>
                        <w:sz w:val="20"/>
                      </w:rPr>
                      <w:t>Studijuojančiųjų ir besimokančiųjų profesinėse mokymosi įstaigose dalis (proc.)</w:t>
                    </w:r>
                  </w:p>
                </w:tc>
                <w:tc>
                  <w:tcPr>
                    <w:tcW w:w="1134" w:type="dxa"/>
                    <w:shd w:val="clear" w:color="auto" w:fill="FFD966"/>
                    <w:noWrap/>
                    <w:vAlign w:val="center"/>
                    <w:hideMark/>
                  </w:tcPr>
                  <w:p>
                    <w:pPr>
                      <w:jc w:val="center"/>
                      <w:rPr>
                        <w:sz w:val="20"/>
                      </w:rPr>
                    </w:pPr>
                    <w:r>
                      <w:rPr>
                        <w:sz w:val="20"/>
                      </w:rPr>
                      <w:t>ŠMSA (ŠS)</w:t>
                    </w:r>
                  </w:p>
                </w:tc>
                <w:tc>
                  <w:tcPr>
                    <w:tcW w:w="1134" w:type="dxa"/>
                    <w:shd w:val="clear" w:color="auto" w:fill="FFD966"/>
                    <w:noWrap/>
                    <w:vAlign w:val="center"/>
                    <w:hideMark/>
                  </w:tcPr>
                  <w:p>
                    <w:pPr>
                      <w:jc w:val="center"/>
                      <w:rPr>
                        <w:sz w:val="20"/>
                      </w:rPr>
                    </w:pPr>
                    <w:r>
                      <w:rPr>
                        <w:sz w:val="20"/>
                      </w:rPr>
                      <w:t>5,3 (2023)</w:t>
                    </w:r>
                  </w:p>
                </w:tc>
                <w:tc>
                  <w:tcPr>
                    <w:tcW w:w="1134" w:type="dxa"/>
                    <w:shd w:val="clear" w:color="auto" w:fill="FFD966"/>
                    <w:noWrap/>
                    <w:vAlign w:val="center"/>
                    <w:hideMark/>
                  </w:tcPr>
                  <w:p>
                    <w:pPr>
                      <w:jc w:val="center"/>
                      <w:rPr>
                        <w:sz w:val="20"/>
                      </w:rPr>
                    </w:pPr>
                    <w:r>
                      <w:rPr>
                        <w:sz w:val="20"/>
                      </w:rPr>
                      <w:t>6,5 (2033)</w:t>
                    </w:r>
                  </w:p>
                </w:tc>
              </w:tr>
              <w:tr>
                <w:trPr>
                  <w:trHeight w:val="500"/>
                  <w:jc w:val="center"/>
                </w:trPr>
                <w:tc>
                  <w:tcPr>
                    <w:tcW w:w="988" w:type="dxa"/>
                    <w:vMerge w:val="restart"/>
                    <w:shd w:val="clear" w:color="auto" w:fill="FCE4D6"/>
                    <w:noWrap/>
                    <w:vAlign w:val="center"/>
                    <w:hideMark/>
                  </w:tcPr>
                  <w:p>
                    <w:pPr>
                      <w:rPr>
                        <w:b/>
                        <w:bCs/>
                        <w:sz w:val="20"/>
                      </w:rPr>
                    </w:pPr>
                    <w:r>
                      <w:rPr>
                        <w:b/>
                        <w:bCs/>
                        <w:sz w:val="20"/>
                      </w:rPr>
                      <w:t>18-01</w:t>
                    </w:r>
                  </w:p>
                </w:tc>
                <w:tc>
                  <w:tcPr>
                    <w:tcW w:w="2126" w:type="dxa"/>
                    <w:vMerge w:val="restart"/>
                    <w:shd w:val="clear" w:color="auto" w:fill="FCE4D6"/>
                    <w:vAlign w:val="center"/>
                    <w:hideMark/>
                  </w:tcPr>
                  <w:p>
                    <w:pPr>
                      <w:rPr>
                        <w:b/>
                        <w:bCs/>
                        <w:sz w:val="20"/>
                      </w:rPr>
                    </w:pPr>
                    <w:r>
                      <w:rPr>
                        <w:b/>
                        <w:bCs/>
                        <w:sz w:val="20"/>
                      </w:rPr>
                      <w:t>Plėtoti inovatyvią švietimo sistemą, ugdančią aktyvią ir kūrybingą asmenybę</w:t>
                    </w:r>
                  </w:p>
                </w:tc>
                <w:tc>
                  <w:tcPr>
                    <w:tcW w:w="850" w:type="dxa"/>
                    <w:vMerge w:val="restart"/>
                    <w:shd w:val="clear" w:color="auto" w:fill="FCE4D6"/>
                    <w:vAlign w:val="center"/>
                    <w:hideMark/>
                  </w:tcPr>
                  <w:p>
                    <w:pPr>
                      <w:jc w:val="center"/>
                      <w:rPr>
                        <w:sz w:val="20"/>
                      </w:rPr>
                    </w:pPr>
                    <w:r>
                      <w:rPr>
                        <w:sz w:val="20"/>
                      </w:rPr>
                      <w:t>ŠS</w:t>
                    </w:r>
                  </w:p>
                </w:tc>
                <w:tc>
                  <w:tcPr>
                    <w:tcW w:w="709" w:type="dxa"/>
                    <w:vMerge w:val="restart"/>
                    <w:shd w:val="clear" w:color="auto" w:fill="FCE4D6"/>
                    <w:vAlign w:val="center"/>
                    <w:hideMark/>
                  </w:tcPr>
                  <w:p>
                    <w:pPr>
                      <w:jc w:val="center"/>
                      <w:rPr>
                        <w:sz w:val="20"/>
                      </w:rPr>
                    </w:pPr>
                    <w:r>
                      <w:rPr>
                        <w:sz w:val="20"/>
                      </w:rPr>
                      <w:t>2025</w:t>
                    </w:r>
                  </w:p>
                </w:tc>
                <w:tc>
                  <w:tcPr>
                    <w:tcW w:w="709" w:type="dxa"/>
                    <w:vMerge w:val="restart"/>
                    <w:shd w:val="clear" w:color="auto" w:fill="FCE4D6"/>
                    <w:vAlign w:val="center"/>
                    <w:hideMark/>
                  </w:tcPr>
                  <w:p>
                    <w:pPr>
                      <w:jc w:val="center"/>
                      <w:rPr>
                        <w:sz w:val="20"/>
                      </w:rPr>
                    </w:pPr>
                    <w:r>
                      <w:rPr>
                        <w:sz w:val="20"/>
                      </w:rPr>
                      <w:t>2033</w:t>
                    </w:r>
                  </w:p>
                </w:tc>
                <w:tc>
                  <w:tcPr>
                    <w:tcW w:w="1417" w:type="dxa"/>
                    <w:shd w:val="clear" w:color="auto" w:fill="FCE4D6"/>
                    <w:vAlign w:val="center"/>
                    <w:hideMark/>
                  </w:tcPr>
                  <w:p>
                    <w:pPr>
                      <w:rPr>
                        <w:sz w:val="20"/>
                      </w:rPr>
                    </w:pPr>
                    <w:r>
                      <w:rPr>
                        <w:sz w:val="20"/>
                      </w:rPr>
                      <w:t>R-18-01-01</w:t>
                    </w:r>
                  </w:p>
                </w:tc>
                <w:tc>
                  <w:tcPr>
                    <w:tcW w:w="4111" w:type="dxa"/>
                    <w:shd w:val="clear" w:color="auto" w:fill="FCE4D6"/>
                    <w:vAlign w:val="center"/>
                    <w:hideMark/>
                  </w:tcPr>
                  <w:p>
                    <w:pPr>
                      <w:rPr>
                        <w:sz w:val="20"/>
                      </w:rPr>
                    </w:pPr>
                    <w:r>
                      <w:rPr>
                        <w:sz w:val="20"/>
                      </w:rPr>
                      <w:t>Išlaikiusių brandos egzaminus dalis, nuo laikiusiųjų (proc.)</w:t>
                    </w:r>
                  </w:p>
                </w:tc>
                <w:tc>
                  <w:tcPr>
                    <w:tcW w:w="1134" w:type="dxa"/>
                    <w:shd w:val="clear" w:color="auto" w:fill="FCE4D6"/>
                    <w:noWrap/>
                    <w:vAlign w:val="center"/>
                    <w:hideMark/>
                  </w:tcPr>
                  <w:p>
                    <w:pPr>
                      <w:jc w:val="center"/>
                      <w:rPr>
                        <w:sz w:val="20"/>
                      </w:rPr>
                    </w:pPr>
                    <w:r>
                      <w:rPr>
                        <w:sz w:val="20"/>
                      </w:rPr>
                      <w:t>NŠA (ŠS)</w:t>
                    </w:r>
                  </w:p>
                </w:tc>
                <w:tc>
                  <w:tcPr>
                    <w:tcW w:w="1134" w:type="dxa"/>
                    <w:shd w:val="clear" w:color="auto" w:fill="FCE4D6"/>
                    <w:noWrap/>
                    <w:vAlign w:val="center"/>
                    <w:hideMark/>
                  </w:tcPr>
                  <w:p>
                    <w:pPr>
                      <w:jc w:val="center"/>
                      <w:rPr>
                        <w:sz w:val="20"/>
                      </w:rPr>
                    </w:pPr>
                    <w:r>
                      <w:rPr>
                        <w:sz w:val="20"/>
                      </w:rPr>
                      <w:t>93,6 (2022)</w:t>
                    </w:r>
                  </w:p>
                </w:tc>
                <w:tc>
                  <w:tcPr>
                    <w:tcW w:w="1134" w:type="dxa"/>
                    <w:shd w:val="clear" w:color="auto" w:fill="FCE4D6"/>
                    <w:noWrap/>
                    <w:vAlign w:val="center"/>
                    <w:hideMark/>
                  </w:tcPr>
                  <w:p>
                    <w:pPr>
                      <w:jc w:val="center"/>
                      <w:rPr>
                        <w:sz w:val="20"/>
                      </w:rPr>
                    </w:pPr>
                    <w:r>
                      <w:rPr>
                        <w:sz w:val="20"/>
                      </w:rPr>
                      <w:t>97,5 (2033)</w:t>
                    </w:r>
                  </w:p>
                </w:tc>
              </w:tr>
              <w:tr>
                <w:trPr>
                  <w:trHeight w:val="632"/>
                  <w:jc w:val="center"/>
                </w:trPr>
                <w:tc>
                  <w:tcPr>
                    <w:tcW w:w="988" w:type="dxa"/>
                    <w:vMerge/>
                    <w:shd w:val="clear" w:color="auto" w:fill="FCE4D6"/>
                    <w:vAlign w:val="center"/>
                    <w:hideMark/>
                  </w:tcPr>
                  <w:p>
                    <w:pPr>
                      <w:rPr>
                        <w:b/>
                        <w:bCs/>
                        <w:sz w:val="20"/>
                      </w:rPr>
                    </w:pPr>
                  </w:p>
                </w:tc>
                <w:tc>
                  <w:tcPr>
                    <w:tcW w:w="2126" w:type="dxa"/>
                    <w:vMerge/>
                    <w:shd w:val="clear" w:color="auto" w:fill="FCE4D6"/>
                    <w:vAlign w:val="center"/>
                    <w:hideMark/>
                  </w:tcPr>
                  <w:p>
                    <w:pPr>
                      <w:rPr>
                        <w:b/>
                        <w:bCs/>
                        <w:sz w:val="20"/>
                      </w:rPr>
                    </w:pPr>
                  </w:p>
                </w:tc>
                <w:tc>
                  <w:tcPr>
                    <w:tcW w:w="850" w:type="dxa"/>
                    <w:vMerge/>
                    <w:shd w:val="clear" w:color="auto" w:fill="FCE4D6"/>
                    <w:vAlign w:val="center"/>
                    <w:hideMark/>
                  </w:tcPr>
                  <w:p>
                    <w:pPr>
                      <w:rPr>
                        <w:sz w:val="20"/>
                      </w:rPr>
                    </w:pPr>
                  </w:p>
                </w:tc>
                <w:tc>
                  <w:tcPr>
                    <w:tcW w:w="709" w:type="dxa"/>
                    <w:vMerge/>
                    <w:shd w:val="clear" w:color="auto" w:fill="FCE4D6"/>
                    <w:vAlign w:val="center"/>
                    <w:hideMark/>
                  </w:tcPr>
                  <w:p>
                    <w:pPr>
                      <w:rPr>
                        <w:sz w:val="20"/>
                      </w:rPr>
                    </w:pPr>
                  </w:p>
                </w:tc>
                <w:tc>
                  <w:tcPr>
                    <w:tcW w:w="709" w:type="dxa"/>
                    <w:vMerge/>
                    <w:shd w:val="clear" w:color="auto" w:fill="FCE4D6"/>
                    <w:vAlign w:val="center"/>
                    <w:hideMark/>
                  </w:tcPr>
                  <w:p>
                    <w:pPr>
                      <w:rPr>
                        <w:sz w:val="20"/>
                      </w:rPr>
                    </w:pPr>
                  </w:p>
                </w:tc>
                <w:tc>
                  <w:tcPr>
                    <w:tcW w:w="1417" w:type="dxa"/>
                    <w:shd w:val="clear" w:color="auto" w:fill="FCE4D6"/>
                    <w:vAlign w:val="center"/>
                    <w:hideMark/>
                  </w:tcPr>
                  <w:p>
                    <w:pPr>
                      <w:rPr>
                        <w:sz w:val="20"/>
                      </w:rPr>
                    </w:pPr>
                    <w:r>
                      <w:rPr>
                        <w:sz w:val="20"/>
                      </w:rPr>
                      <w:t>R-18-01-02</w:t>
                    </w:r>
                  </w:p>
                </w:tc>
                <w:tc>
                  <w:tcPr>
                    <w:tcW w:w="4111" w:type="dxa"/>
                    <w:shd w:val="clear" w:color="auto" w:fill="FCE4D6"/>
                    <w:vAlign w:val="center"/>
                    <w:hideMark/>
                  </w:tcPr>
                  <w:p>
                    <w:pPr>
                      <w:rPr>
                        <w:sz w:val="20"/>
                      </w:rPr>
                    </w:pPr>
                    <w:r>
                      <w:rPr>
                        <w:sz w:val="20"/>
                      </w:rPr>
                      <w:t>Įstojusių į aukštąsias mokyklas dalis (asmenys, baigę bendrojo ugdymo mokyklas Šiauliuose) nuo visų, gavusiųjų vidurinį išsilavinimą (proc.)</w:t>
                    </w:r>
                  </w:p>
                </w:tc>
                <w:tc>
                  <w:tcPr>
                    <w:tcW w:w="1134" w:type="dxa"/>
                    <w:shd w:val="clear" w:color="auto" w:fill="FCE4D6"/>
                    <w:vAlign w:val="center"/>
                    <w:hideMark/>
                  </w:tcPr>
                  <w:p>
                    <w:pPr>
                      <w:jc w:val="center"/>
                      <w:rPr>
                        <w:sz w:val="20"/>
                      </w:rPr>
                    </w:pPr>
                    <w:r>
                      <w:rPr>
                        <w:sz w:val="20"/>
                      </w:rPr>
                      <w:t>VDA, ŠVIS (ŠS)</w:t>
                    </w:r>
                  </w:p>
                </w:tc>
                <w:tc>
                  <w:tcPr>
                    <w:tcW w:w="1134" w:type="dxa"/>
                    <w:shd w:val="clear" w:color="auto" w:fill="FCE4D6"/>
                    <w:noWrap/>
                    <w:vAlign w:val="center"/>
                    <w:hideMark/>
                  </w:tcPr>
                  <w:p>
                    <w:pPr>
                      <w:jc w:val="center"/>
                      <w:rPr>
                        <w:sz w:val="20"/>
                      </w:rPr>
                    </w:pPr>
                    <w:r>
                      <w:rPr>
                        <w:sz w:val="20"/>
                      </w:rPr>
                      <w:t>64,5 (2022)</w:t>
                    </w:r>
                  </w:p>
                </w:tc>
                <w:tc>
                  <w:tcPr>
                    <w:tcW w:w="1134" w:type="dxa"/>
                    <w:shd w:val="clear" w:color="auto" w:fill="FCE4D6"/>
                    <w:noWrap/>
                    <w:vAlign w:val="center"/>
                    <w:hideMark/>
                  </w:tcPr>
                  <w:p>
                    <w:pPr>
                      <w:jc w:val="center"/>
                      <w:rPr>
                        <w:sz w:val="20"/>
                      </w:rPr>
                    </w:pPr>
                    <w:r>
                      <w:rPr>
                        <w:sz w:val="20"/>
                      </w:rPr>
                      <w:t>68-70 (2033)</w:t>
                    </w:r>
                  </w:p>
                </w:tc>
              </w:tr>
              <w:tr>
                <w:trPr>
                  <w:trHeight w:val="270"/>
                  <w:jc w:val="center"/>
                </w:trPr>
                <w:tc>
                  <w:tcPr>
                    <w:tcW w:w="988" w:type="dxa"/>
                    <w:vMerge/>
                    <w:shd w:val="clear" w:color="auto" w:fill="FCE4D6"/>
                    <w:vAlign w:val="center"/>
                    <w:hideMark/>
                  </w:tcPr>
                  <w:p>
                    <w:pPr>
                      <w:rPr>
                        <w:b/>
                        <w:bCs/>
                        <w:sz w:val="20"/>
                      </w:rPr>
                    </w:pPr>
                  </w:p>
                </w:tc>
                <w:tc>
                  <w:tcPr>
                    <w:tcW w:w="2126" w:type="dxa"/>
                    <w:vMerge/>
                    <w:shd w:val="clear" w:color="auto" w:fill="FCE4D6"/>
                    <w:vAlign w:val="center"/>
                    <w:hideMark/>
                  </w:tcPr>
                  <w:p>
                    <w:pPr>
                      <w:rPr>
                        <w:b/>
                        <w:bCs/>
                        <w:sz w:val="20"/>
                      </w:rPr>
                    </w:pPr>
                  </w:p>
                </w:tc>
                <w:tc>
                  <w:tcPr>
                    <w:tcW w:w="850" w:type="dxa"/>
                    <w:vMerge/>
                    <w:shd w:val="clear" w:color="auto" w:fill="FCE4D6"/>
                    <w:vAlign w:val="center"/>
                    <w:hideMark/>
                  </w:tcPr>
                  <w:p>
                    <w:pPr>
                      <w:rPr>
                        <w:sz w:val="20"/>
                      </w:rPr>
                    </w:pPr>
                  </w:p>
                </w:tc>
                <w:tc>
                  <w:tcPr>
                    <w:tcW w:w="709" w:type="dxa"/>
                    <w:vMerge/>
                    <w:shd w:val="clear" w:color="auto" w:fill="FCE4D6"/>
                    <w:vAlign w:val="center"/>
                    <w:hideMark/>
                  </w:tcPr>
                  <w:p>
                    <w:pPr>
                      <w:rPr>
                        <w:sz w:val="20"/>
                      </w:rPr>
                    </w:pPr>
                  </w:p>
                </w:tc>
                <w:tc>
                  <w:tcPr>
                    <w:tcW w:w="709" w:type="dxa"/>
                    <w:vMerge/>
                    <w:shd w:val="clear" w:color="auto" w:fill="FCE4D6"/>
                    <w:vAlign w:val="center"/>
                    <w:hideMark/>
                  </w:tcPr>
                  <w:p>
                    <w:pPr>
                      <w:rPr>
                        <w:sz w:val="20"/>
                      </w:rPr>
                    </w:pPr>
                  </w:p>
                </w:tc>
                <w:tc>
                  <w:tcPr>
                    <w:tcW w:w="1417" w:type="dxa"/>
                    <w:shd w:val="clear" w:color="auto" w:fill="FCE4D6"/>
                    <w:vAlign w:val="center"/>
                    <w:hideMark/>
                  </w:tcPr>
                  <w:p>
                    <w:pPr>
                      <w:rPr>
                        <w:sz w:val="20"/>
                      </w:rPr>
                    </w:pPr>
                    <w:r>
                      <w:rPr>
                        <w:sz w:val="20"/>
                      </w:rPr>
                      <w:t>R-18-01-03</w:t>
                    </w:r>
                  </w:p>
                </w:tc>
                <w:tc>
                  <w:tcPr>
                    <w:tcW w:w="4111" w:type="dxa"/>
                    <w:shd w:val="clear" w:color="auto" w:fill="FCE4D6"/>
                    <w:vAlign w:val="center"/>
                    <w:hideMark/>
                  </w:tcPr>
                  <w:p>
                    <w:pPr>
                      <w:rPr>
                        <w:sz w:val="20"/>
                      </w:rPr>
                    </w:pPr>
                    <w:r>
                      <w:rPr>
                        <w:sz w:val="20"/>
                      </w:rPr>
                      <w:t>Pagalbos mokiniui specialistų, tenkančių 100 mokinių, skaičius (asm. per metus)</w:t>
                    </w:r>
                  </w:p>
                </w:tc>
                <w:tc>
                  <w:tcPr>
                    <w:tcW w:w="1134" w:type="dxa"/>
                    <w:shd w:val="clear" w:color="auto" w:fill="FCE4D6"/>
                    <w:noWrap/>
                    <w:vAlign w:val="center"/>
                    <w:hideMark/>
                  </w:tcPr>
                  <w:p>
                    <w:pPr>
                      <w:jc w:val="center"/>
                      <w:rPr>
                        <w:sz w:val="20"/>
                      </w:rPr>
                    </w:pPr>
                    <w:r>
                      <w:rPr>
                        <w:sz w:val="20"/>
                      </w:rPr>
                      <w:t>ŠVIS (ŠS)</w:t>
                    </w:r>
                  </w:p>
                </w:tc>
                <w:tc>
                  <w:tcPr>
                    <w:tcW w:w="1134" w:type="dxa"/>
                    <w:shd w:val="clear" w:color="auto" w:fill="FCE4D6"/>
                    <w:noWrap/>
                    <w:vAlign w:val="center"/>
                    <w:hideMark/>
                  </w:tcPr>
                  <w:p>
                    <w:pPr>
                      <w:jc w:val="center"/>
                      <w:rPr>
                        <w:sz w:val="20"/>
                      </w:rPr>
                    </w:pPr>
                    <w:r>
                      <w:rPr>
                        <w:sz w:val="20"/>
                      </w:rPr>
                      <w:t>0,84 (2023)</w:t>
                    </w:r>
                  </w:p>
                </w:tc>
                <w:tc>
                  <w:tcPr>
                    <w:tcW w:w="1134" w:type="dxa"/>
                    <w:shd w:val="clear" w:color="auto" w:fill="FCE4D6"/>
                    <w:noWrap/>
                    <w:vAlign w:val="center"/>
                    <w:hideMark/>
                  </w:tcPr>
                  <w:p>
                    <w:pPr>
                      <w:jc w:val="center"/>
                      <w:rPr>
                        <w:sz w:val="20"/>
                      </w:rPr>
                    </w:pPr>
                    <w:r>
                      <w:rPr>
                        <w:sz w:val="20"/>
                      </w:rPr>
                      <w:t>1 (2033)</w:t>
                    </w:r>
                  </w:p>
                </w:tc>
              </w:tr>
              <w:tr>
                <w:trPr>
                  <w:trHeight w:val="520"/>
                  <w:jc w:val="center"/>
                </w:trPr>
                <w:tc>
                  <w:tcPr>
                    <w:tcW w:w="988" w:type="dxa"/>
                    <w:vMerge w:val="restart"/>
                    <w:noWrap/>
                    <w:vAlign w:val="center"/>
                    <w:hideMark/>
                  </w:tcPr>
                  <w:p>
                    <w:pPr>
                      <w:rPr>
                        <w:sz w:val="20"/>
                      </w:rPr>
                    </w:pPr>
                    <w:r>
                      <w:rPr>
                        <w:sz w:val="20"/>
                      </w:rPr>
                      <w:t>18-01-01</w:t>
                    </w:r>
                  </w:p>
                </w:tc>
                <w:tc>
                  <w:tcPr>
                    <w:tcW w:w="2126" w:type="dxa"/>
                    <w:vMerge w:val="restart"/>
                    <w:vAlign w:val="center"/>
                    <w:hideMark/>
                  </w:tcPr>
                  <w:p>
                    <w:pPr>
                      <w:rPr>
                        <w:sz w:val="20"/>
                      </w:rPr>
                    </w:pPr>
                    <w:r>
                      <w:rPr>
                        <w:sz w:val="20"/>
                      </w:rPr>
                      <w:t>Užtikrinti ikimokyklinio ugdymo paslaugų kokybę</w:t>
                    </w:r>
                  </w:p>
                </w:tc>
                <w:tc>
                  <w:tcPr>
                    <w:tcW w:w="850" w:type="dxa"/>
                    <w:vMerge w:val="restart"/>
                    <w:vAlign w:val="center"/>
                    <w:hideMark/>
                  </w:tcPr>
                  <w:p>
                    <w:pPr>
                      <w:jc w:val="center"/>
                      <w:rPr>
                        <w:sz w:val="20"/>
                      </w:rPr>
                    </w:pPr>
                    <w:r>
                      <w:rPr>
                        <w:sz w:val="20"/>
                      </w:rPr>
                      <w:t>ŠS</w:t>
                    </w:r>
                  </w:p>
                </w:tc>
                <w:tc>
                  <w:tcPr>
                    <w:tcW w:w="709" w:type="dxa"/>
                    <w:vMerge w:val="restart"/>
                    <w:vAlign w:val="center"/>
                    <w:hideMark/>
                  </w:tcPr>
                  <w:p>
                    <w:pPr>
                      <w:jc w:val="center"/>
                      <w:rPr>
                        <w:sz w:val="20"/>
                      </w:rPr>
                    </w:pPr>
                    <w:r>
                      <w:rPr>
                        <w:sz w:val="20"/>
                      </w:rPr>
                      <w:t>2025</w:t>
                    </w:r>
                  </w:p>
                </w:tc>
                <w:tc>
                  <w:tcPr>
                    <w:tcW w:w="709" w:type="dxa"/>
                    <w:vMerge w:val="restart"/>
                    <w:vAlign w:val="center"/>
                    <w:hideMark/>
                  </w:tcPr>
                  <w:p>
                    <w:pPr>
                      <w:jc w:val="center"/>
                      <w:rPr>
                        <w:sz w:val="20"/>
                      </w:rPr>
                    </w:pPr>
                    <w:r>
                      <w:rPr>
                        <w:sz w:val="20"/>
                      </w:rPr>
                      <w:t>2033</w:t>
                    </w:r>
                  </w:p>
                </w:tc>
                <w:tc>
                  <w:tcPr>
                    <w:tcW w:w="1417" w:type="dxa"/>
                    <w:vAlign w:val="center"/>
                    <w:hideMark/>
                  </w:tcPr>
                  <w:p>
                    <w:pPr>
                      <w:rPr>
                        <w:sz w:val="20"/>
                      </w:rPr>
                    </w:pPr>
                    <w:r>
                      <w:rPr>
                        <w:sz w:val="20"/>
                      </w:rPr>
                      <w:t>P-18-01-01-01</w:t>
                    </w:r>
                  </w:p>
                </w:tc>
                <w:tc>
                  <w:tcPr>
                    <w:tcW w:w="4111" w:type="dxa"/>
                    <w:vAlign w:val="center"/>
                    <w:hideMark/>
                  </w:tcPr>
                  <w:p>
                    <w:pPr>
                      <w:rPr>
                        <w:sz w:val="20"/>
                      </w:rPr>
                    </w:pPr>
                    <w:r>
                      <w:rPr>
                        <w:sz w:val="20"/>
                      </w:rPr>
                      <w:t>Ikimokyklinio ugdymo įstaigų, dalyvaujančių „Mąstymo mokyklų“ tinklo veiklose, skaičius (vnt.)</w:t>
                    </w:r>
                  </w:p>
                </w:tc>
                <w:tc>
                  <w:tcPr>
                    <w:tcW w:w="1134" w:type="dxa"/>
                    <w:noWrap/>
                    <w:vAlign w:val="center"/>
                    <w:hideMark/>
                  </w:tcPr>
                  <w:p>
                    <w:pPr>
                      <w:jc w:val="center"/>
                      <w:rPr>
                        <w:sz w:val="20"/>
                      </w:rPr>
                    </w:pPr>
                    <w:r>
                      <w:rPr>
                        <w:sz w:val="20"/>
                      </w:rPr>
                      <w:t>ŠS</w:t>
                    </w:r>
                  </w:p>
                </w:tc>
                <w:tc>
                  <w:tcPr>
                    <w:tcW w:w="1134" w:type="dxa"/>
                    <w:noWrap/>
                    <w:vAlign w:val="center"/>
                    <w:hideMark/>
                  </w:tcPr>
                  <w:p>
                    <w:pPr>
                      <w:jc w:val="center"/>
                      <w:rPr>
                        <w:sz w:val="20"/>
                      </w:rPr>
                    </w:pPr>
                    <w:r>
                      <w:rPr>
                        <w:sz w:val="20"/>
                      </w:rPr>
                      <w:t>1 (2023)</w:t>
                    </w:r>
                  </w:p>
                </w:tc>
                <w:tc>
                  <w:tcPr>
                    <w:tcW w:w="1134" w:type="dxa"/>
                    <w:noWrap/>
                    <w:vAlign w:val="center"/>
                    <w:hideMark/>
                  </w:tcPr>
                  <w:p>
                    <w:pPr>
                      <w:jc w:val="center"/>
                      <w:rPr>
                        <w:sz w:val="20"/>
                      </w:rPr>
                    </w:pPr>
                    <w:r>
                      <w:rPr>
                        <w:sz w:val="20"/>
                      </w:rPr>
                      <w:t>5 (2033)</w:t>
                    </w:r>
                  </w:p>
                </w:tc>
              </w:tr>
              <w:tr>
                <w:trPr>
                  <w:trHeight w:val="520"/>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rPr>
                        <w:sz w:val="20"/>
                      </w:rPr>
                    </w:pPr>
                  </w:p>
                </w:tc>
                <w:tc>
                  <w:tcPr>
                    <w:tcW w:w="709" w:type="dxa"/>
                    <w:vMerge/>
                    <w:vAlign w:val="center"/>
                    <w:hideMark/>
                  </w:tcPr>
                  <w:p>
                    <w:pPr>
                      <w:rPr>
                        <w:sz w:val="20"/>
                      </w:rPr>
                    </w:pPr>
                  </w:p>
                </w:tc>
                <w:tc>
                  <w:tcPr>
                    <w:tcW w:w="709" w:type="dxa"/>
                    <w:vMerge/>
                    <w:vAlign w:val="center"/>
                    <w:hideMark/>
                  </w:tcPr>
                  <w:p>
                    <w:pPr>
                      <w:rPr>
                        <w:sz w:val="20"/>
                      </w:rPr>
                    </w:pPr>
                  </w:p>
                </w:tc>
                <w:tc>
                  <w:tcPr>
                    <w:tcW w:w="1417" w:type="dxa"/>
                    <w:vAlign w:val="center"/>
                    <w:hideMark/>
                  </w:tcPr>
                  <w:p>
                    <w:pPr>
                      <w:rPr>
                        <w:sz w:val="20"/>
                      </w:rPr>
                    </w:pPr>
                    <w:r>
                      <w:rPr>
                        <w:sz w:val="20"/>
                      </w:rPr>
                      <w:t>P-18-01-01-02</w:t>
                    </w:r>
                  </w:p>
                </w:tc>
                <w:tc>
                  <w:tcPr>
                    <w:tcW w:w="4111" w:type="dxa"/>
                    <w:vAlign w:val="center"/>
                    <w:hideMark/>
                  </w:tcPr>
                  <w:p>
                    <w:pPr>
                      <w:rPr>
                        <w:sz w:val="20"/>
                      </w:rPr>
                    </w:pPr>
                    <w:r>
                      <w:rPr>
                        <w:sz w:val="20"/>
                      </w:rPr>
                      <w:t>Ikimokyklinio ugdymo įstaigų, dalyvaujančių „Darnus darželis“ tinklo veiklose, skaičius (vnt.)</w:t>
                    </w:r>
                  </w:p>
                </w:tc>
                <w:tc>
                  <w:tcPr>
                    <w:tcW w:w="1134" w:type="dxa"/>
                    <w:noWrap/>
                    <w:vAlign w:val="center"/>
                    <w:hideMark/>
                  </w:tcPr>
                  <w:p>
                    <w:pPr>
                      <w:jc w:val="center"/>
                      <w:rPr>
                        <w:sz w:val="20"/>
                      </w:rPr>
                    </w:pPr>
                    <w:r>
                      <w:rPr>
                        <w:sz w:val="20"/>
                      </w:rPr>
                      <w:t>ŠS</w:t>
                    </w:r>
                  </w:p>
                </w:tc>
                <w:tc>
                  <w:tcPr>
                    <w:tcW w:w="1134" w:type="dxa"/>
                    <w:noWrap/>
                    <w:vAlign w:val="center"/>
                    <w:hideMark/>
                  </w:tcPr>
                  <w:p>
                    <w:pPr>
                      <w:jc w:val="center"/>
                      <w:rPr>
                        <w:sz w:val="20"/>
                      </w:rPr>
                    </w:pPr>
                    <w:r>
                      <w:rPr>
                        <w:sz w:val="20"/>
                      </w:rPr>
                      <w:t>4 (2023)</w:t>
                    </w:r>
                  </w:p>
                </w:tc>
                <w:tc>
                  <w:tcPr>
                    <w:tcW w:w="1134" w:type="dxa"/>
                    <w:noWrap/>
                    <w:vAlign w:val="center"/>
                    <w:hideMark/>
                  </w:tcPr>
                  <w:p>
                    <w:pPr>
                      <w:jc w:val="center"/>
                      <w:rPr>
                        <w:sz w:val="20"/>
                      </w:rPr>
                    </w:pPr>
                    <w:r>
                      <w:rPr>
                        <w:sz w:val="20"/>
                      </w:rPr>
                      <w:t>8 (2033)</w:t>
                    </w:r>
                  </w:p>
                </w:tc>
              </w:tr>
              <w:tr>
                <w:trPr>
                  <w:trHeight w:val="780"/>
                  <w:jc w:val="center"/>
                </w:trPr>
                <w:tc>
                  <w:tcPr>
                    <w:tcW w:w="988" w:type="dxa"/>
                    <w:vMerge w:val="restart"/>
                    <w:noWrap/>
                    <w:vAlign w:val="center"/>
                    <w:hideMark/>
                  </w:tcPr>
                  <w:p>
                    <w:pPr>
                      <w:rPr>
                        <w:sz w:val="20"/>
                      </w:rPr>
                    </w:pPr>
                    <w:r>
                      <w:rPr>
                        <w:sz w:val="20"/>
                      </w:rPr>
                      <w:t>18-01-02</w:t>
                    </w:r>
                  </w:p>
                </w:tc>
                <w:tc>
                  <w:tcPr>
                    <w:tcW w:w="2126" w:type="dxa"/>
                    <w:vMerge w:val="restart"/>
                    <w:vAlign w:val="center"/>
                    <w:hideMark/>
                  </w:tcPr>
                  <w:p>
                    <w:pPr>
                      <w:rPr>
                        <w:sz w:val="20"/>
                      </w:rPr>
                    </w:pPr>
                    <w:r>
                      <w:rPr>
                        <w:sz w:val="20"/>
                      </w:rPr>
                      <w:t>Užtikrinti bendrojo ugdymo paslaugų kokybę ir įvairovę</w:t>
                    </w:r>
                  </w:p>
                </w:tc>
                <w:tc>
                  <w:tcPr>
                    <w:tcW w:w="850" w:type="dxa"/>
                    <w:vMerge w:val="restart"/>
                    <w:vAlign w:val="center"/>
                    <w:hideMark/>
                  </w:tcPr>
                  <w:p>
                    <w:pPr>
                      <w:jc w:val="center"/>
                      <w:rPr>
                        <w:sz w:val="20"/>
                      </w:rPr>
                    </w:pPr>
                    <w:r>
                      <w:rPr>
                        <w:sz w:val="20"/>
                      </w:rPr>
                      <w:t>ŠS</w:t>
                    </w:r>
                  </w:p>
                </w:tc>
                <w:tc>
                  <w:tcPr>
                    <w:tcW w:w="709" w:type="dxa"/>
                    <w:vMerge w:val="restart"/>
                    <w:vAlign w:val="center"/>
                    <w:hideMark/>
                  </w:tcPr>
                  <w:p>
                    <w:pPr>
                      <w:jc w:val="center"/>
                      <w:rPr>
                        <w:sz w:val="20"/>
                      </w:rPr>
                    </w:pPr>
                    <w:r>
                      <w:rPr>
                        <w:sz w:val="20"/>
                      </w:rPr>
                      <w:t>2025</w:t>
                    </w:r>
                  </w:p>
                </w:tc>
                <w:tc>
                  <w:tcPr>
                    <w:tcW w:w="709" w:type="dxa"/>
                    <w:vMerge w:val="restart"/>
                    <w:vAlign w:val="center"/>
                    <w:hideMark/>
                  </w:tcPr>
                  <w:p>
                    <w:pPr>
                      <w:jc w:val="center"/>
                      <w:rPr>
                        <w:sz w:val="20"/>
                      </w:rPr>
                    </w:pPr>
                    <w:r>
                      <w:rPr>
                        <w:sz w:val="20"/>
                      </w:rPr>
                      <w:t>2033</w:t>
                    </w:r>
                  </w:p>
                </w:tc>
                <w:tc>
                  <w:tcPr>
                    <w:tcW w:w="1417" w:type="dxa"/>
                    <w:vAlign w:val="center"/>
                    <w:hideMark/>
                  </w:tcPr>
                  <w:p>
                    <w:pPr>
                      <w:rPr>
                        <w:sz w:val="20"/>
                      </w:rPr>
                    </w:pPr>
                    <w:r>
                      <w:rPr>
                        <w:sz w:val="20"/>
                      </w:rPr>
                      <w:t>P-18-01-02-01</w:t>
                    </w:r>
                  </w:p>
                </w:tc>
                <w:tc>
                  <w:tcPr>
                    <w:tcW w:w="4111" w:type="dxa"/>
                    <w:vAlign w:val="center"/>
                    <w:hideMark/>
                  </w:tcPr>
                  <w:p>
                    <w:pPr>
                      <w:rPr>
                        <w:sz w:val="20"/>
                      </w:rPr>
                    </w:pPr>
                    <w:r>
                      <w:rPr>
                        <w:sz w:val="20"/>
                      </w:rPr>
                      <w:t>Įdiegtų akredituotų tarptautinio bakalaureato pradinio (1–4 kl.) ir pagrindinio (5–8 kl.) ugdymo programų, skaičius (vnt.)</w:t>
                    </w:r>
                  </w:p>
                </w:tc>
                <w:tc>
                  <w:tcPr>
                    <w:tcW w:w="1134" w:type="dxa"/>
                    <w:vAlign w:val="center"/>
                    <w:hideMark/>
                  </w:tcPr>
                  <w:p>
                    <w:pPr>
                      <w:jc w:val="center"/>
                      <w:rPr>
                        <w:sz w:val="20"/>
                      </w:rPr>
                    </w:pPr>
                    <w:r>
                      <w:rPr>
                        <w:sz w:val="20"/>
                      </w:rPr>
                      <w:t>ŠS</w:t>
                    </w:r>
                  </w:p>
                </w:tc>
                <w:tc>
                  <w:tcPr>
                    <w:tcW w:w="1134" w:type="dxa"/>
                    <w:noWrap/>
                    <w:vAlign w:val="center"/>
                    <w:hideMark/>
                  </w:tcPr>
                  <w:p>
                    <w:pPr>
                      <w:jc w:val="center"/>
                      <w:rPr>
                        <w:sz w:val="20"/>
                      </w:rPr>
                    </w:pPr>
                    <w:r>
                      <w:rPr>
                        <w:sz w:val="20"/>
                      </w:rPr>
                      <w:t>0 (2023)</w:t>
                    </w:r>
                  </w:p>
                </w:tc>
                <w:tc>
                  <w:tcPr>
                    <w:tcW w:w="1134" w:type="dxa"/>
                    <w:noWrap/>
                    <w:vAlign w:val="center"/>
                    <w:hideMark/>
                  </w:tcPr>
                  <w:p>
                    <w:pPr>
                      <w:jc w:val="center"/>
                      <w:rPr>
                        <w:sz w:val="20"/>
                      </w:rPr>
                    </w:pPr>
                    <w:r>
                      <w:rPr>
                        <w:sz w:val="20"/>
                      </w:rPr>
                      <w:t>2 (2033)</w:t>
                    </w:r>
                  </w:p>
                </w:tc>
              </w:tr>
              <w:tr>
                <w:trPr>
                  <w:trHeight w:val="515"/>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rPr>
                        <w:sz w:val="20"/>
                      </w:rPr>
                    </w:pPr>
                  </w:p>
                </w:tc>
                <w:tc>
                  <w:tcPr>
                    <w:tcW w:w="709" w:type="dxa"/>
                    <w:vMerge/>
                    <w:vAlign w:val="center"/>
                    <w:hideMark/>
                  </w:tcPr>
                  <w:p>
                    <w:pPr>
                      <w:rPr>
                        <w:sz w:val="20"/>
                      </w:rPr>
                    </w:pPr>
                  </w:p>
                </w:tc>
                <w:tc>
                  <w:tcPr>
                    <w:tcW w:w="709" w:type="dxa"/>
                    <w:vMerge/>
                    <w:vAlign w:val="center"/>
                    <w:hideMark/>
                  </w:tcPr>
                  <w:p>
                    <w:pPr>
                      <w:rPr>
                        <w:sz w:val="20"/>
                      </w:rPr>
                    </w:pPr>
                  </w:p>
                </w:tc>
                <w:tc>
                  <w:tcPr>
                    <w:tcW w:w="1417" w:type="dxa"/>
                    <w:vAlign w:val="center"/>
                    <w:hideMark/>
                  </w:tcPr>
                  <w:p>
                    <w:pPr>
                      <w:rPr>
                        <w:sz w:val="20"/>
                      </w:rPr>
                    </w:pPr>
                    <w:r>
                      <w:rPr>
                        <w:sz w:val="20"/>
                      </w:rPr>
                      <w:t>P-18-01-02-02</w:t>
                    </w:r>
                  </w:p>
                </w:tc>
                <w:tc>
                  <w:tcPr>
                    <w:tcW w:w="4111" w:type="dxa"/>
                    <w:vAlign w:val="center"/>
                    <w:hideMark/>
                  </w:tcPr>
                  <w:p>
                    <w:pPr>
                      <w:rPr>
                        <w:sz w:val="20"/>
                      </w:rPr>
                    </w:pPr>
                    <w:r>
                      <w:rPr>
                        <w:sz w:val="20"/>
                      </w:rPr>
                      <w:t>Mokinių, besimokančiųjų pagal specializuoto ugdymo inžinerinės krypties pagrindinio ir vidurinio ugdymo programas, skaičius (asm.)</w:t>
                    </w:r>
                  </w:p>
                </w:tc>
                <w:tc>
                  <w:tcPr>
                    <w:tcW w:w="1134" w:type="dxa"/>
                    <w:noWrap/>
                    <w:vAlign w:val="center"/>
                    <w:hideMark/>
                  </w:tcPr>
                  <w:p>
                    <w:pPr>
                      <w:jc w:val="center"/>
                      <w:rPr>
                        <w:sz w:val="20"/>
                      </w:rPr>
                    </w:pPr>
                    <w:r>
                      <w:rPr>
                        <w:sz w:val="20"/>
                      </w:rPr>
                      <w:t>ŠS</w:t>
                    </w:r>
                  </w:p>
                </w:tc>
                <w:tc>
                  <w:tcPr>
                    <w:tcW w:w="1134" w:type="dxa"/>
                    <w:noWrap/>
                    <w:vAlign w:val="center"/>
                    <w:hideMark/>
                  </w:tcPr>
                  <w:p>
                    <w:pPr>
                      <w:jc w:val="center"/>
                      <w:rPr>
                        <w:sz w:val="20"/>
                      </w:rPr>
                    </w:pPr>
                    <w:r>
                      <w:rPr>
                        <w:sz w:val="20"/>
                      </w:rPr>
                      <w:t>56 (2023)</w:t>
                    </w:r>
                  </w:p>
                </w:tc>
                <w:tc>
                  <w:tcPr>
                    <w:tcW w:w="1134" w:type="dxa"/>
                    <w:noWrap/>
                    <w:vAlign w:val="center"/>
                    <w:hideMark/>
                  </w:tcPr>
                  <w:p>
                    <w:pPr>
                      <w:jc w:val="center"/>
                      <w:rPr>
                        <w:sz w:val="20"/>
                      </w:rPr>
                    </w:pPr>
                    <w:r>
                      <w:rPr>
                        <w:sz w:val="20"/>
                      </w:rPr>
                      <w:t>320 (2033)</w:t>
                    </w:r>
                  </w:p>
                </w:tc>
              </w:tr>
              <w:tr>
                <w:trPr>
                  <w:trHeight w:val="667"/>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rPr>
                        <w:sz w:val="20"/>
                      </w:rPr>
                    </w:pPr>
                  </w:p>
                </w:tc>
                <w:tc>
                  <w:tcPr>
                    <w:tcW w:w="709" w:type="dxa"/>
                    <w:vMerge/>
                    <w:vAlign w:val="center"/>
                    <w:hideMark/>
                  </w:tcPr>
                  <w:p>
                    <w:pPr>
                      <w:rPr>
                        <w:sz w:val="20"/>
                      </w:rPr>
                    </w:pPr>
                  </w:p>
                </w:tc>
                <w:tc>
                  <w:tcPr>
                    <w:tcW w:w="709" w:type="dxa"/>
                    <w:vMerge/>
                    <w:vAlign w:val="center"/>
                    <w:hideMark/>
                  </w:tcPr>
                  <w:p>
                    <w:pPr>
                      <w:rPr>
                        <w:sz w:val="20"/>
                      </w:rPr>
                    </w:pPr>
                  </w:p>
                </w:tc>
                <w:tc>
                  <w:tcPr>
                    <w:tcW w:w="1417" w:type="dxa"/>
                    <w:vAlign w:val="center"/>
                    <w:hideMark/>
                  </w:tcPr>
                  <w:p>
                    <w:pPr>
                      <w:rPr>
                        <w:sz w:val="20"/>
                      </w:rPr>
                    </w:pPr>
                    <w:r>
                      <w:rPr>
                        <w:sz w:val="20"/>
                      </w:rPr>
                      <w:t>P-18-01-02-03</w:t>
                    </w:r>
                  </w:p>
                </w:tc>
                <w:tc>
                  <w:tcPr>
                    <w:tcW w:w="4111" w:type="dxa"/>
                    <w:vAlign w:val="center"/>
                    <w:hideMark/>
                  </w:tcPr>
                  <w:p>
                    <w:pPr>
                      <w:rPr>
                        <w:sz w:val="20"/>
                      </w:rPr>
                    </w:pPr>
                    <w:r>
                      <w:rPr>
                        <w:sz w:val="20"/>
                      </w:rPr>
                      <w:t>Mokinių, dalyvavusių profesinio veiklinimo ir konsultavimo veiklose, dalis nuo visų mokinių (proc.)</w:t>
                    </w:r>
                  </w:p>
                </w:tc>
                <w:tc>
                  <w:tcPr>
                    <w:tcW w:w="1134" w:type="dxa"/>
                    <w:noWrap/>
                    <w:vAlign w:val="center"/>
                    <w:hideMark/>
                  </w:tcPr>
                  <w:p>
                    <w:pPr>
                      <w:jc w:val="center"/>
                      <w:rPr>
                        <w:sz w:val="20"/>
                      </w:rPr>
                    </w:pPr>
                    <w:r>
                      <w:rPr>
                        <w:sz w:val="20"/>
                      </w:rPr>
                      <w:t>ŠS</w:t>
                    </w:r>
                  </w:p>
                </w:tc>
                <w:tc>
                  <w:tcPr>
                    <w:tcW w:w="1134" w:type="dxa"/>
                    <w:noWrap/>
                    <w:vAlign w:val="center"/>
                    <w:hideMark/>
                  </w:tcPr>
                  <w:p>
                    <w:pPr>
                      <w:jc w:val="center"/>
                      <w:rPr>
                        <w:sz w:val="20"/>
                      </w:rPr>
                    </w:pPr>
                    <w:r>
                      <w:rPr>
                        <w:sz w:val="20"/>
                      </w:rPr>
                      <w:t>87 (2023)</w:t>
                    </w:r>
                  </w:p>
                </w:tc>
                <w:tc>
                  <w:tcPr>
                    <w:tcW w:w="1134" w:type="dxa"/>
                    <w:noWrap/>
                    <w:vAlign w:val="center"/>
                    <w:hideMark/>
                  </w:tcPr>
                  <w:p>
                    <w:pPr>
                      <w:jc w:val="center"/>
                      <w:rPr>
                        <w:sz w:val="20"/>
                      </w:rPr>
                    </w:pPr>
                    <w:r>
                      <w:rPr>
                        <w:sz w:val="20"/>
                      </w:rPr>
                      <w:t>90 (2033)</w:t>
                    </w:r>
                  </w:p>
                </w:tc>
              </w:tr>
              <w:tr>
                <w:trPr>
                  <w:trHeight w:val="530"/>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rPr>
                        <w:sz w:val="20"/>
                      </w:rPr>
                    </w:pPr>
                  </w:p>
                </w:tc>
                <w:tc>
                  <w:tcPr>
                    <w:tcW w:w="709" w:type="dxa"/>
                    <w:vMerge/>
                    <w:vAlign w:val="center"/>
                    <w:hideMark/>
                  </w:tcPr>
                  <w:p>
                    <w:pPr>
                      <w:rPr>
                        <w:sz w:val="20"/>
                      </w:rPr>
                    </w:pPr>
                  </w:p>
                </w:tc>
                <w:tc>
                  <w:tcPr>
                    <w:tcW w:w="709" w:type="dxa"/>
                    <w:vMerge/>
                    <w:vAlign w:val="center"/>
                    <w:hideMark/>
                  </w:tcPr>
                  <w:p>
                    <w:pPr>
                      <w:rPr>
                        <w:sz w:val="20"/>
                      </w:rPr>
                    </w:pPr>
                  </w:p>
                </w:tc>
                <w:tc>
                  <w:tcPr>
                    <w:tcW w:w="1417" w:type="dxa"/>
                    <w:vAlign w:val="center"/>
                    <w:hideMark/>
                  </w:tcPr>
                  <w:p>
                    <w:pPr>
                      <w:rPr>
                        <w:sz w:val="20"/>
                      </w:rPr>
                    </w:pPr>
                    <w:r>
                      <w:rPr>
                        <w:sz w:val="20"/>
                      </w:rPr>
                      <w:t>P-18-01-02-04</w:t>
                    </w:r>
                  </w:p>
                </w:tc>
                <w:tc>
                  <w:tcPr>
                    <w:tcW w:w="4111" w:type="dxa"/>
                    <w:vAlign w:val="center"/>
                    <w:hideMark/>
                  </w:tcPr>
                  <w:p>
                    <w:pPr>
                      <w:rPr>
                        <w:sz w:val="20"/>
                      </w:rPr>
                    </w:pPr>
                    <w:r>
                      <w:rPr>
                        <w:sz w:val="20"/>
                      </w:rPr>
                      <w:t>Dalykinių olimpiadų prizininkų skaičius, tenkantis 10 tūkst. mokinių (asm. per metus)</w:t>
                    </w:r>
                  </w:p>
                </w:tc>
                <w:tc>
                  <w:tcPr>
                    <w:tcW w:w="1134" w:type="dxa"/>
                    <w:vAlign w:val="center"/>
                    <w:hideMark/>
                  </w:tcPr>
                  <w:p>
                    <w:pPr>
                      <w:jc w:val="center"/>
                      <w:rPr>
                        <w:sz w:val="20"/>
                      </w:rPr>
                    </w:pPr>
                    <w:r>
                      <w:rPr>
                        <w:sz w:val="20"/>
                      </w:rPr>
                      <w:t>NŠA (ŠS)</w:t>
                    </w:r>
                  </w:p>
                </w:tc>
                <w:tc>
                  <w:tcPr>
                    <w:tcW w:w="1134" w:type="dxa"/>
                    <w:noWrap/>
                    <w:vAlign w:val="center"/>
                    <w:hideMark/>
                  </w:tcPr>
                  <w:p>
                    <w:pPr>
                      <w:jc w:val="center"/>
                      <w:rPr>
                        <w:sz w:val="20"/>
                      </w:rPr>
                    </w:pPr>
                    <w:r>
                      <w:rPr>
                        <w:sz w:val="20"/>
                      </w:rPr>
                      <w:t>6,9 (2023)</w:t>
                    </w:r>
                  </w:p>
                </w:tc>
                <w:tc>
                  <w:tcPr>
                    <w:tcW w:w="1134" w:type="dxa"/>
                    <w:noWrap/>
                    <w:vAlign w:val="center"/>
                    <w:hideMark/>
                  </w:tcPr>
                  <w:p>
                    <w:pPr>
                      <w:jc w:val="center"/>
                      <w:rPr>
                        <w:sz w:val="20"/>
                      </w:rPr>
                    </w:pPr>
                    <w:r>
                      <w:rPr>
                        <w:sz w:val="20"/>
                      </w:rPr>
                      <w:t>10 (2033)</w:t>
                    </w:r>
                  </w:p>
                </w:tc>
              </w:tr>
              <w:tr>
                <w:trPr>
                  <w:trHeight w:val="642"/>
                  <w:jc w:val="center"/>
                </w:trPr>
                <w:tc>
                  <w:tcPr>
                    <w:tcW w:w="988" w:type="dxa"/>
                    <w:vMerge w:val="restart"/>
                    <w:noWrap/>
                    <w:vAlign w:val="center"/>
                    <w:hideMark/>
                  </w:tcPr>
                  <w:p>
                    <w:pPr>
                      <w:rPr>
                        <w:sz w:val="20"/>
                      </w:rPr>
                    </w:pPr>
                    <w:r>
                      <w:rPr>
                        <w:sz w:val="20"/>
                      </w:rPr>
                      <w:t>18-01-03</w:t>
                    </w:r>
                  </w:p>
                </w:tc>
                <w:tc>
                  <w:tcPr>
                    <w:tcW w:w="2126" w:type="dxa"/>
                    <w:vMerge w:val="restart"/>
                    <w:vAlign w:val="center"/>
                    <w:hideMark/>
                  </w:tcPr>
                  <w:p>
                    <w:pPr>
                      <w:rPr>
                        <w:sz w:val="20"/>
                      </w:rPr>
                    </w:pPr>
                    <w:r>
                      <w:rPr>
                        <w:sz w:val="20"/>
                      </w:rPr>
                      <w:t>Kryptingai tobulinti neformaliojo vaikų švietimo paslaugų sistemą</w:t>
                    </w:r>
                  </w:p>
                </w:tc>
                <w:tc>
                  <w:tcPr>
                    <w:tcW w:w="850" w:type="dxa"/>
                    <w:vMerge w:val="restart"/>
                    <w:vAlign w:val="center"/>
                    <w:hideMark/>
                  </w:tcPr>
                  <w:p>
                    <w:pPr>
                      <w:jc w:val="center"/>
                      <w:rPr>
                        <w:sz w:val="20"/>
                      </w:rPr>
                    </w:pPr>
                    <w:r>
                      <w:rPr>
                        <w:sz w:val="20"/>
                      </w:rPr>
                      <w:t>ŠS</w:t>
                    </w:r>
                  </w:p>
                </w:tc>
                <w:tc>
                  <w:tcPr>
                    <w:tcW w:w="709" w:type="dxa"/>
                    <w:vMerge w:val="restart"/>
                    <w:noWrap/>
                    <w:vAlign w:val="center"/>
                    <w:hideMark/>
                  </w:tcPr>
                  <w:p>
                    <w:pPr>
                      <w:jc w:val="center"/>
                      <w:rPr>
                        <w:sz w:val="20"/>
                      </w:rPr>
                    </w:pPr>
                    <w:r>
                      <w:rPr>
                        <w:sz w:val="20"/>
                      </w:rPr>
                      <w:t>2025</w:t>
                    </w:r>
                  </w:p>
                </w:tc>
                <w:tc>
                  <w:tcPr>
                    <w:tcW w:w="709" w:type="dxa"/>
                    <w:vMerge w:val="restart"/>
                    <w:vAlign w:val="center"/>
                    <w:hideMark/>
                  </w:tcPr>
                  <w:p>
                    <w:pPr>
                      <w:jc w:val="center"/>
                      <w:rPr>
                        <w:sz w:val="20"/>
                      </w:rPr>
                    </w:pPr>
                    <w:r>
                      <w:rPr>
                        <w:sz w:val="20"/>
                      </w:rPr>
                      <w:t>2033</w:t>
                    </w:r>
                  </w:p>
                </w:tc>
                <w:tc>
                  <w:tcPr>
                    <w:tcW w:w="1417" w:type="dxa"/>
                    <w:vAlign w:val="center"/>
                    <w:hideMark/>
                  </w:tcPr>
                  <w:p>
                    <w:pPr>
                      <w:rPr>
                        <w:sz w:val="20"/>
                      </w:rPr>
                    </w:pPr>
                    <w:r>
                      <w:rPr>
                        <w:sz w:val="20"/>
                      </w:rPr>
                      <w:t>P-18-01-03-01</w:t>
                    </w:r>
                  </w:p>
                </w:tc>
                <w:tc>
                  <w:tcPr>
                    <w:tcW w:w="4111" w:type="dxa"/>
                    <w:vAlign w:val="center"/>
                    <w:hideMark/>
                  </w:tcPr>
                  <w:p>
                    <w:pPr>
                      <w:rPr>
                        <w:sz w:val="20"/>
                      </w:rPr>
                    </w:pPr>
                    <w:r>
                      <w:rPr>
                        <w:sz w:val="20"/>
                      </w:rPr>
                      <w:t>Atnaujintų / naujai parengtų neformaliojo vaikų švietimo programų dalis nuo visų neformaliojo švietimo programų (proc.)</w:t>
                    </w:r>
                  </w:p>
                </w:tc>
                <w:tc>
                  <w:tcPr>
                    <w:tcW w:w="1134" w:type="dxa"/>
                    <w:noWrap/>
                    <w:vAlign w:val="center"/>
                    <w:hideMark/>
                  </w:tcPr>
                  <w:p>
                    <w:pPr>
                      <w:jc w:val="center"/>
                      <w:rPr>
                        <w:sz w:val="20"/>
                      </w:rPr>
                    </w:pPr>
                    <w:r>
                      <w:rPr>
                        <w:sz w:val="20"/>
                      </w:rPr>
                      <w:t>ŠS</w:t>
                    </w:r>
                  </w:p>
                </w:tc>
                <w:tc>
                  <w:tcPr>
                    <w:tcW w:w="1134" w:type="dxa"/>
                    <w:noWrap/>
                    <w:vAlign w:val="center"/>
                    <w:hideMark/>
                  </w:tcPr>
                  <w:p>
                    <w:pPr>
                      <w:jc w:val="center"/>
                      <w:rPr>
                        <w:sz w:val="20"/>
                      </w:rPr>
                    </w:pPr>
                    <w:r>
                      <w:rPr>
                        <w:sz w:val="20"/>
                      </w:rPr>
                      <w:t>25 (2023)</w:t>
                    </w:r>
                  </w:p>
                </w:tc>
                <w:tc>
                  <w:tcPr>
                    <w:tcW w:w="1134" w:type="dxa"/>
                    <w:noWrap/>
                    <w:vAlign w:val="center"/>
                    <w:hideMark/>
                  </w:tcPr>
                  <w:p>
                    <w:pPr>
                      <w:jc w:val="center"/>
                      <w:rPr>
                        <w:sz w:val="20"/>
                      </w:rPr>
                    </w:pPr>
                    <w:r>
                      <w:rPr>
                        <w:sz w:val="20"/>
                      </w:rPr>
                      <w:t>100 (2033)</w:t>
                    </w:r>
                  </w:p>
                </w:tc>
              </w:tr>
              <w:tr>
                <w:trPr>
                  <w:trHeight w:val="520"/>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jc w:val="center"/>
                      <w:rPr>
                        <w:sz w:val="20"/>
                      </w:rPr>
                    </w:pPr>
                  </w:p>
                </w:tc>
                <w:tc>
                  <w:tcPr>
                    <w:tcW w:w="709" w:type="dxa"/>
                    <w:vMerge/>
                    <w:vAlign w:val="center"/>
                    <w:hideMark/>
                  </w:tcPr>
                  <w:p>
                    <w:pPr>
                      <w:jc w:val="center"/>
                      <w:rPr>
                        <w:sz w:val="20"/>
                      </w:rPr>
                    </w:pPr>
                  </w:p>
                </w:tc>
                <w:tc>
                  <w:tcPr>
                    <w:tcW w:w="709" w:type="dxa"/>
                    <w:vMerge/>
                    <w:vAlign w:val="center"/>
                    <w:hideMark/>
                  </w:tcPr>
                  <w:p>
                    <w:pPr>
                      <w:jc w:val="center"/>
                      <w:rPr>
                        <w:sz w:val="20"/>
                      </w:rPr>
                    </w:pPr>
                  </w:p>
                </w:tc>
                <w:tc>
                  <w:tcPr>
                    <w:tcW w:w="1417" w:type="dxa"/>
                    <w:vAlign w:val="center"/>
                    <w:hideMark/>
                  </w:tcPr>
                  <w:p>
                    <w:pPr>
                      <w:rPr>
                        <w:sz w:val="20"/>
                      </w:rPr>
                    </w:pPr>
                    <w:r>
                      <w:rPr>
                        <w:sz w:val="20"/>
                      </w:rPr>
                      <w:t>P-18-01-03-02</w:t>
                    </w:r>
                  </w:p>
                </w:tc>
                <w:tc>
                  <w:tcPr>
                    <w:tcW w:w="4111" w:type="dxa"/>
                    <w:vAlign w:val="center"/>
                    <w:hideMark/>
                  </w:tcPr>
                  <w:p>
                    <w:pPr>
                      <w:rPr>
                        <w:sz w:val="20"/>
                      </w:rPr>
                    </w:pPr>
                    <w:r>
                      <w:rPr>
                        <w:sz w:val="20"/>
                      </w:rPr>
                      <w:t>Formalųjį švietimą papildančių ugdymo programų skaičius (vnt.)</w:t>
                    </w:r>
                  </w:p>
                </w:tc>
                <w:tc>
                  <w:tcPr>
                    <w:tcW w:w="1134" w:type="dxa"/>
                    <w:vAlign w:val="center"/>
                    <w:hideMark/>
                  </w:tcPr>
                  <w:p>
                    <w:pPr>
                      <w:jc w:val="center"/>
                      <w:rPr>
                        <w:sz w:val="20"/>
                      </w:rPr>
                    </w:pPr>
                    <w:r>
                      <w:rPr>
                        <w:sz w:val="20"/>
                      </w:rPr>
                      <w:t>ŠS</w:t>
                    </w:r>
                  </w:p>
                </w:tc>
                <w:tc>
                  <w:tcPr>
                    <w:tcW w:w="1134" w:type="dxa"/>
                    <w:noWrap/>
                    <w:vAlign w:val="center"/>
                    <w:hideMark/>
                  </w:tcPr>
                  <w:p>
                    <w:pPr>
                      <w:jc w:val="center"/>
                      <w:rPr>
                        <w:sz w:val="20"/>
                      </w:rPr>
                    </w:pPr>
                    <w:r>
                      <w:rPr>
                        <w:sz w:val="20"/>
                      </w:rPr>
                      <w:t>10 (2023)</w:t>
                    </w:r>
                  </w:p>
                </w:tc>
                <w:tc>
                  <w:tcPr>
                    <w:tcW w:w="1134" w:type="dxa"/>
                    <w:noWrap/>
                    <w:vAlign w:val="center"/>
                    <w:hideMark/>
                  </w:tcPr>
                  <w:p>
                    <w:pPr>
                      <w:jc w:val="center"/>
                      <w:rPr>
                        <w:sz w:val="20"/>
                      </w:rPr>
                    </w:pPr>
                    <w:r>
                      <w:rPr>
                        <w:sz w:val="20"/>
                      </w:rPr>
                      <w:t>12 (2033)</w:t>
                    </w:r>
                  </w:p>
                </w:tc>
              </w:tr>
              <w:tr>
                <w:trPr>
                  <w:trHeight w:val="545"/>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jc w:val="center"/>
                      <w:rPr>
                        <w:sz w:val="20"/>
                      </w:rPr>
                    </w:pPr>
                  </w:p>
                </w:tc>
                <w:tc>
                  <w:tcPr>
                    <w:tcW w:w="709" w:type="dxa"/>
                    <w:vMerge/>
                    <w:vAlign w:val="center"/>
                    <w:hideMark/>
                  </w:tcPr>
                  <w:p>
                    <w:pPr>
                      <w:jc w:val="center"/>
                      <w:rPr>
                        <w:sz w:val="20"/>
                      </w:rPr>
                    </w:pPr>
                  </w:p>
                </w:tc>
                <w:tc>
                  <w:tcPr>
                    <w:tcW w:w="709" w:type="dxa"/>
                    <w:vMerge/>
                    <w:vAlign w:val="center"/>
                    <w:hideMark/>
                  </w:tcPr>
                  <w:p>
                    <w:pPr>
                      <w:jc w:val="center"/>
                      <w:rPr>
                        <w:sz w:val="20"/>
                      </w:rPr>
                    </w:pPr>
                  </w:p>
                </w:tc>
                <w:tc>
                  <w:tcPr>
                    <w:tcW w:w="1417" w:type="dxa"/>
                    <w:vAlign w:val="center"/>
                    <w:hideMark/>
                  </w:tcPr>
                  <w:p>
                    <w:pPr>
                      <w:rPr>
                        <w:sz w:val="20"/>
                      </w:rPr>
                    </w:pPr>
                    <w:r>
                      <w:rPr>
                        <w:sz w:val="20"/>
                      </w:rPr>
                      <w:t>P-18-01-03-03</w:t>
                    </w:r>
                  </w:p>
                </w:tc>
                <w:tc>
                  <w:tcPr>
                    <w:tcW w:w="4111" w:type="dxa"/>
                    <w:vAlign w:val="center"/>
                    <w:hideMark/>
                  </w:tcPr>
                  <w:p>
                    <w:pPr>
                      <w:rPr>
                        <w:sz w:val="20"/>
                      </w:rPr>
                    </w:pPr>
                    <w:r>
                      <w:rPr>
                        <w:sz w:val="20"/>
                      </w:rPr>
                      <w:t>Veiklų, didinančių neformaliojo vaikų švietimo patrauklumą mokinių ir tėvų bendruomenėje, skaičius (vnt.)</w:t>
                    </w:r>
                  </w:p>
                </w:tc>
                <w:tc>
                  <w:tcPr>
                    <w:tcW w:w="1134" w:type="dxa"/>
                    <w:noWrap/>
                    <w:vAlign w:val="center"/>
                    <w:hideMark/>
                  </w:tcPr>
                  <w:p>
                    <w:pPr>
                      <w:jc w:val="center"/>
                      <w:rPr>
                        <w:sz w:val="20"/>
                      </w:rPr>
                    </w:pPr>
                    <w:r>
                      <w:rPr>
                        <w:sz w:val="20"/>
                      </w:rPr>
                      <w:t>ŠS</w:t>
                    </w:r>
                  </w:p>
                </w:tc>
                <w:tc>
                  <w:tcPr>
                    <w:tcW w:w="1134" w:type="dxa"/>
                    <w:noWrap/>
                    <w:vAlign w:val="center"/>
                    <w:hideMark/>
                  </w:tcPr>
                  <w:p>
                    <w:pPr>
                      <w:jc w:val="center"/>
                      <w:rPr>
                        <w:sz w:val="20"/>
                      </w:rPr>
                    </w:pPr>
                    <w:r>
                      <w:rPr>
                        <w:sz w:val="20"/>
                      </w:rPr>
                      <w:t>n.d. (2023)</w:t>
                    </w:r>
                  </w:p>
                </w:tc>
                <w:tc>
                  <w:tcPr>
                    <w:tcW w:w="1134" w:type="dxa"/>
                    <w:noWrap/>
                    <w:vAlign w:val="center"/>
                    <w:hideMark/>
                  </w:tcPr>
                  <w:p>
                    <w:pPr>
                      <w:jc w:val="center"/>
                      <w:rPr>
                        <w:sz w:val="20"/>
                      </w:rPr>
                    </w:pPr>
                    <w:r>
                      <w:rPr>
                        <w:sz w:val="20"/>
                      </w:rPr>
                      <w:t>16 (2033)</w:t>
                    </w:r>
                  </w:p>
                </w:tc>
              </w:tr>
              <w:tr>
                <w:trPr>
                  <w:trHeight w:val="541"/>
                  <w:jc w:val="center"/>
                </w:trPr>
                <w:tc>
                  <w:tcPr>
                    <w:tcW w:w="988" w:type="dxa"/>
                    <w:tcBorders>
                      <w:bottom w:val="single" w:sz="4" w:space="0" w:color="auto"/>
                    </w:tcBorders>
                    <w:noWrap/>
                    <w:vAlign w:val="center"/>
                    <w:hideMark/>
                  </w:tcPr>
                  <w:p>
                    <w:pPr>
                      <w:rPr>
                        <w:sz w:val="20"/>
                      </w:rPr>
                    </w:pPr>
                    <w:r>
                      <w:rPr>
                        <w:sz w:val="20"/>
                      </w:rPr>
                      <w:t>18-01-04</w:t>
                    </w:r>
                  </w:p>
                </w:tc>
                <w:tc>
                  <w:tcPr>
                    <w:tcW w:w="2126" w:type="dxa"/>
                    <w:tcBorders>
                      <w:bottom w:val="single" w:sz="4" w:space="0" w:color="auto"/>
                    </w:tcBorders>
                    <w:vAlign w:val="center"/>
                    <w:hideMark/>
                  </w:tcPr>
                  <w:p>
                    <w:pPr>
                      <w:rPr>
                        <w:sz w:val="20"/>
                      </w:rPr>
                    </w:pPr>
                    <w:r>
                      <w:rPr>
                        <w:sz w:val="20"/>
                      </w:rPr>
                      <w:t>Tobulinti neformaliojo suaugusiųjų švietimo paslaugų sistemą</w:t>
                    </w:r>
                  </w:p>
                </w:tc>
                <w:tc>
                  <w:tcPr>
                    <w:tcW w:w="850" w:type="dxa"/>
                    <w:tcBorders>
                      <w:bottom w:val="single" w:sz="4" w:space="0" w:color="auto"/>
                    </w:tcBorders>
                    <w:vAlign w:val="center"/>
                    <w:hideMark/>
                  </w:tcPr>
                  <w:p>
                    <w:pPr>
                      <w:jc w:val="center"/>
                      <w:rPr>
                        <w:sz w:val="20"/>
                      </w:rPr>
                    </w:pPr>
                    <w:r>
                      <w:rPr>
                        <w:sz w:val="20"/>
                      </w:rPr>
                      <w:t>ŠS</w:t>
                    </w:r>
                  </w:p>
                </w:tc>
                <w:tc>
                  <w:tcPr>
                    <w:tcW w:w="709" w:type="dxa"/>
                    <w:tcBorders>
                      <w:bottom w:val="single" w:sz="4" w:space="0" w:color="auto"/>
                    </w:tcBorders>
                    <w:vAlign w:val="center"/>
                    <w:hideMark/>
                  </w:tcPr>
                  <w:p>
                    <w:pPr>
                      <w:jc w:val="center"/>
                      <w:rPr>
                        <w:sz w:val="20"/>
                      </w:rPr>
                    </w:pPr>
                    <w:r>
                      <w:rPr>
                        <w:sz w:val="20"/>
                      </w:rPr>
                      <w:t>2025</w:t>
                    </w:r>
                  </w:p>
                </w:tc>
                <w:tc>
                  <w:tcPr>
                    <w:tcW w:w="709" w:type="dxa"/>
                    <w:tcBorders>
                      <w:bottom w:val="single" w:sz="4" w:space="0" w:color="auto"/>
                    </w:tcBorders>
                    <w:vAlign w:val="center"/>
                    <w:hideMark/>
                  </w:tcPr>
                  <w:p>
                    <w:pPr>
                      <w:jc w:val="center"/>
                      <w:rPr>
                        <w:sz w:val="20"/>
                      </w:rPr>
                    </w:pPr>
                    <w:r>
                      <w:rPr>
                        <w:sz w:val="20"/>
                      </w:rPr>
                      <w:t>2033</w:t>
                    </w:r>
                  </w:p>
                </w:tc>
                <w:tc>
                  <w:tcPr>
                    <w:tcW w:w="1417" w:type="dxa"/>
                    <w:tcBorders>
                      <w:bottom w:val="single" w:sz="4" w:space="0" w:color="auto"/>
                    </w:tcBorders>
                    <w:vAlign w:val="center"/>
                    <w:hideMark/>
                  </w:tcPr>
                  <w:p>
                    <w:pPr>
                      <w:rPr>
                        <w:sz w:val="20"/>
                      </w:rPr>
                    </w:pPr>
                    <w:r>
                      <w:rPr>
                        <w:sz w:val="20"/>
                      </w:rPr>
                      <w:t>P-18-01-04-01</w:t>
                    </w:r>
                  </w:p>
                </w:tc>
                <w:tc>
                  <w:tcPr>
                    <w:tcW w:w="4111" w:type="dxa"/>
                    <w:tcBorders>
                      <w:bottom w:val="single" w:sz="4" w:space="0" w:color="auto"/>
                    </w:tcBorders>
                    <w:vAlign w:val="center"/>
                    <w:hideMark/>
                  </w:tcPr>
                  <w:p>
                    <w:pPr>
                      <w:rPr>
                        <w:sz w:val="20"/>
                      </w:rPr>
                    </w:pPr>
                    <w:r>
                      <w:rPr>
                        <w:sz w:val="20"/>
                      </w:rPr>
                      <w:t>Asmenų, dalyvavusių įgyvendinant Šiaulių miesto savivaldybės neformaliojo suaugusiųjų švietimo modelį, skaičius (asm.)</w:t>
                    </w:r>
                  </w:p>
                </w:tc>
                <w:tc>
                  <w:tcPr>
                    <w:tcW w:w="1134" w:type="dxa"/>
                    <w:tcBorders>
                      <w:bottom w:val="single" w:sz="4" w:space="0" w:color="auto"/>
                    </w:tcBorders>
                    <w:noWrap/>
                    <w:vAlign w:val="center"/>
                    <w:hideMark/>
                  </w:tcPr>
                  <w:p>
                    <w:pPr>
                      <w:jc w:val="center"/>
                      <w:rPr>
                        <w:sz w:val="20"/>
                      </w:rPr>
                    </w:pPr>
                    <w:r>
                      <w:rPr>
                        <w:sz w:val="20"/>
                      </w:rPr>
                      <w:t>ŠS</w:t>
                    </w:r>
                  </w:p>
                </w:tc>
                <w:tc>
                  <w:tcPr>
                    <w:tcW w:w="1134" w:type="dxa"/>
                    <w:tcBorders>
                      <w:bottom w:val="single" w:sz="4" w:space="0" w:color="auto"/>
                    </w:tcBorders>
                    <w:noWrap/>
                    <w:vAlign w:val="center"/>
                    <w:hideMark/>
                  </w:tcPr>
                  <w:p>
                    <w:pPr>
                      <w:jc w:val="center"/>
                      <w:rPr>
                        <w:sz w:val="20"/>
                      </w:rPr>
                    </w:pPr>
                    <w:r>
                      <w:rPr>
                        <w:sz w:val="20"/>
                      </w:rPr>
                      <w:t>0 (2023)</w:t>
                    </w:r>
                  </w:p>
                </w:tc>
                <w:tc>
                  <w:tcPr>
                    <w:tcW w:w="1134" w:type="dxa"/>
                    <w:tcBorders>
                      <w:bottom w:val="single" w:sz="4" w:space="0" w:color="auto"/>
                    </w:tcBorders>
                    <w:noWrap/>
                    <w:vAlign w:val="center"/>
                    <w:hideMark/>
                  </w:tcPr>
                  <w:p>
                    <w:pPr>
                      <w:jc w:val="center"/>
                      <w:rPr>
                        <w:sz w:val="20"/>
                      </w:rPr>
                    </w:pPr>
                    <w:r>
                      <w:rPr>
                        <w:sz w:val="20"/>
                      </w:rPr>
                      <w:t>2000 (2033)</w:t>
                    </w:r>
                  </w:p>
                </w:tc>
              </w:tr>
              <w:tr>
                <w:trPr>
                  <w:trHeight w:val="423"/>
                  <w:jc w:val="center"/>
                </w:trPr>
                <w:tc>
                  <w:tcPr>
                    <w:tcW w:w="988" w:type="dxa"/>
                    <w:vMerge w:val="restart"/>
                    <w:noWrap/>
                    <w:vAlign w:val="center"/>
                    <w:hideMark/>
                  </w:tcPr>
                  <w:p>
                    <w:pPr>
                      <w:rPr>
                        <w:sz w:val="20"/>
                      </w:rPr>
                    </w:pPr>
                    <w:r>
                      <w:rPr>
                        <w:sz w:val="20"/>
                      </w:rPr>
                      <w:t>18-01-05</w:t>
                    </w:r>
                  </w:p>
                </w:tc>
                <w:tc>
                  <w:tcPr>
                    <w:tcW w:w="2126" w:type="dxa"/>
                    <w:vMerge w:val="restart"/>
                    <w:vAlign w:val="center"/>
                    <w:hideMark/>
                  </w:tcPr>
                  <w:p>
                    <w:pPr>
                      <w:rPr>
                        <w:sz w:val="20"/>
                      </w:rPr>
                    </w:pPr>
                    <w:r>
                      <w:rPr>
                        <w:sz w:val="20"/>
                      </w:rPr>
                      <w:t>Didinti STEAM mokslų (mokomųjų dalykų) patrauklumą</w:t>
                    </w:r>
                  </w:p>
                </w:tc>
                <w:tc>
                  <w:tcPr>
                    <w:tcW w:w="850" w:type="dxa"/>
                    <w:vMerge w:val="restart"/>
                    <w:vAlign w:val="center"/>
                    <w:hideMark/>
                  </w:tcPr>
                  <w:p>
                    <w:pPr>
                      <w:jc w:val="center"/>
                      <w:rPr>
                        <w:sz w:val="20"/>
                      </w:rPr>
                    </w:pPr>
                    <w:r>
                      <w:rPr>
                        <w:sz w:val="20"/>
                      </w:rPr>
                      <w:t>ŠS</w:t>
                    </w:r>
                  </w:p>
                </w:tc>
                <w:tc>
                  <w:tcPr>
                    <w:tcW w:w="709" w:type="dxa"/>
                    <w:vMerge w:val="restart"/>
                    <w:vAlign w:val="center"/>
                    <w:hideMark/>
                  </w:tcPr>
                  <w:p>
                    <w:pPr>
                      <w:jc w:val="center"/>
                      <w:rPr>
                        <w:sz w:val="20"/>
                      </w:rPr>
                    </w:pPr>
                    <w:r>
                      <w:rPr>
                        <w:sz w:val="20"/>
                      </w:rPr>
                      <w:t>2025</w:t>
                    </w:r>
                  </w:p>
                </w:tc>
                <w:tc>
                  <w:tcPr>
                    <w:tcW w:w="709" w:type="dxa"/>
                    <w:vMerge w:val="restart"/>
                    <w:vAlign w:val="center"/>
                    <w:hideMark/>
                  </w:tcPr>
                  <w:p>
                    <w:pPr>
                      <w:jc w:val="center"/>
                      <w:rPr>
                        <w:sz w:val="20"/>
                      </w:rPr>
                    </w:pPr>
                    <w:r>
                      <w:rPr>
                        <w:sz w:val="20"/>
                      </w:rPr>
                      <w:t>2033</w:t>
                    </w:r>
                  </w:p>
                </w:tc>
                <w:tc>
                  <w:tcPr>
                    <w:tcW w:w="1417" w:type="dxa"/>
                    <w:vAlign w:val="center"/>
                    <w:hideMark/>
                  </w:tcPr>
                  <w:p>
                    <w:pPr>
                      <w:rPr>
                        <w:sz w:val="20"/>
                      </w:rPr>
                    </w:pPr>
                    <w:r>
                      <w:rPr>
                        <w:sz w:val="20"/>
                      </w:rPr>
                      <w:t>P-18-01-05-01</w:t>
                    </w:r>
                  </w:p>
                </w:tc>
                <w:tc>
                  <w:tcPr>
                    <w:tcW w:w="4111" w:type="dxa"/>
                    <w:vAlign w:val="center"/>
                    <w:hideMark/>
                  </w:tcPr>
                  <w:p>
                    <w:pPr>
                      <w:rPr>
                        <w:sz w:val="20"/>
                      </w:rPr>
                    </w:pPr>
                    <w:r>
                      <w:rPr>
                        <w:sz w:val="20"/>
                      </w:rPr>
                      <w:t>Švietimo įstaigų, dalyvaujančių STEAM tinklo veiklose, dalis nuo visų švietimo įstaigų (proc.)</w:t>
                    </w:r>
                  </w:p>
                </w:tc>
                <w:tc>
                  <w:tcPr>
                    <w:tcW w:w="1134" w:type="dxa"/>
                    <w:noWrap/>
                    <w:vAlign w:val="center"/>
                    <w:hideMark/>
                  </w:tcPr>
                  <w:p>
                    <w:pPr>
                      <w:jc w:val="center"/>
                      <w:rPr>
                        <w:sz w:val="20"/>
                      </w:rPr>
                    </w:pPr>
                    <w:r>
                      <w:rPr>
                        <w:sz w:val="20"/>
                      </w:rPr>
                      <w:t>ŠS</w:t>
                    </w:r>
                  </w:p>
                </w:tc>
                <w:tc>
                  <w:tcPr>
                    <w:tcW w:w="1134" w:type="dxa"/>
                    <w:noWrap/>
                    <w:vAlign w:val="center"/>
                    <w:hideMark/>
                  </w:tcPr>
                  <w:p>
                    <w:pPr>
                      <w:jc w:val="center"/>
                      <w:rPr>
                        <w:sz w:val="20"/>
                      </w:rPr>
                    </w:pPr>
                    <w:r>
                      <w:rPr>
                        <w:sz w:val="20"/>
                      </w:rPr>
                      <w:t>70 (2023)</w:t>
                    </w:r>
                  </w:p>
                </w:tc>
                <w:tc>
                  <w:tcPr>
                    <w:tcW w:w="1134" w:type="dxa"/>
                    <w:noWrap/>
                    <w:vAlign w:val="center"/>
                    <w:hideMark/>
                  </w:tcPr>
                  <w:p>
                    <w:pPr>
                      <w:jc w:val="center"/>
                      <w:rPr>
                        <w:sz w:val="20"/>
                      </w:rPr>
                    </w:pPr>
                    <w:r>
                      <w:rPr>
                        <w:sz w:val="20"/>
                      </w:rPr>
                      <w:t>100 (2033)</w:t>
                    </w:r>
                  </w:p>
                </w:tc>
              </w:tr>
              <w:tr>
                <w:trPr>
                  <w:trHeight w:val="520"/>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jc w:val="center"/>
                      <w:rPr>
                        <w:sz w:val="20"/>
                      </w:rPr>
                    </w:pPr>
                  </w:p>
                </w:tc>
                <w:tc>
                  <w:tcPr>
                    <w:tcW w:w="709" w:type="dxa"/>
                    <w:vMerge/>
                    <w:vAlign w:val="center"/>
                    <w:hideMark/>
                  </w:tcPr>
                  <w:p>
                    <w:pPr>
                      <w:jc w:val="center"/>
                      <w:rPr>
                        <w:sz w:val="20"/>
                      </w:rPr>
                    </w:pPr>
                  </w:p>
                </w:tc>
                <w:tc>
                  <w:tcPr>
                    <w:tcW w:w="709" w:type="dxa"/>
                    <w:vMerge/>
                    <w:vAlign w:val="center"/>
                    <w:hideMark/>
                  </w:tcPr>
                  <w:p>
                    <w:pPr>
                      <w:jc w:val="center"/>
                      <w:rPr>
                        <w:sz w:val="20"/>
                      </w:rPr>
                    </w:pPr>
                  </w:p>
                </w:tc>
                <w:tc>
                  <w:tcPr>
                    <w:tcW w:w="1417" w:type="dxa"/>
                    <w:vAlign w:val="center"/>
                    <w:hideMark/>
                  </w:tcPr>
                  <w:p>
                    <w:pPr>
                      <w:rPr>
                        <w:sz w:val="20"/>
                      </w:rPr>
                    </w:pPr>
                    <w:r>
                      <w:rPr>
                        <w:sz w:val="20"/>
                      </w:rPr>
                      <w:t>P-18-01-05-02</w:t>
                    </w:r>
                  </w:p>
                </w:tc>
                <w:tc>
                  <w:tcPr>
                    <w:tcW w:w="4111" w:type="dxa"/>
                    <w:vAlign w:val="center"/>
                    <w:hideMark/>
                  </w:tcPr>
                  <w:p>
                    <w:pPr>
                      <w:rPr>
                        <w:sz w:val="20"/>
                      </w:rPr>
                    </w:pPr>
                    <w:r>
                      <w:rPr>
                        <w:sz w:val="20"/>
                      </w:rPr>
                      <w:t>Įmonių paramą (vienkartinę stipendiją) gavusių motyvuotų studentų dalis (proc.)</w:t>
                    </w:r>
                  </w:p>
                </w:tc>
                <w:tc>
                  <w:tcPr>
                    <w:tcW w:w="1134" w:type="dxa"/>
                    <w:noWrap/>
                    <w:vAlign w:val="center"/>
                    <w:hideMark/>
                  </w:tcPr>
                  <w:p>
                    <w:pPr>
                      <w:jc w:val="center"/>
                      <w:rPr>
                        <w:sz w:val="20"/>
                      </w:rPr>
                    </w:pPr>
                    <w:r>
                      <w:rPr>
                        <w:sz w:val="20"/>
                      </w:rPr>
                      <w:t>ŠS</w:t>
                    </w:r>
                  </w:p>
                </w:tc>
                <w:tc>
                  <w:tcPr>
                    <w:tcW w:w="1134" w:type="dxa"/>
                    <w:noWrap/>
                    <w:vAlign w:val="center"/>
                    <w:hideMark/>
                  </w:tcPr>
                  <w:p>
                    <w:pPr>
                      <w:jc w:val="center"/>
                      <w:rPr>
                        <w:sz w:val="20"/>
                      </w:rPr>
                    </w:pPr>
                    <w:r>
                      <w:rPr>
                        <w:sz w:val="20"/>
                      </w:rPr>
                      <w:t>5 (2023)</w:t>
                    </w:r>
                  </w:p>
                </w:tc>
                <w:tc>
                  <w:tcPr>
                    <w:tcW w:w="1134" w:type="dxa"/>
                    <w:noWrap/>
                    <w:vAlign w:val="center"/>
                    <w:hideMark/>
                  </w:tcPr>
                  <w:p>
                    <w:pPr>
                      <w:jc w:val="center"/>
                      <w:rPr>
                        <w:sz w:val="20"/>
                      </w:rPr>
                    </w:pPr>
                    <w:r>
                      <w:rPr>
                        <w:sz w:val="20"/>
                      </w:rPr>
                      <w:t>7 (2033)</w:t>
                    </w:r>
                  </w:p>
                </w:tc>
              </w:tr>
              <w:tr>
                <w:trPr>
                  <w:trHeight w:val="530"/>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jc w:val="center"/>
                      <w:rPr>
                        <w:sz w:val="20"/>
                      </w:rPr>
                    </w:pPr>
                  </w:p>
                </w:tc>
                <w:tc>
                  <w:tcPr>
                    <w:tcW w:w="709" w:type="dxa"/>
                    <w:vMerge/>
                    <w:vAlign w:val="center"/>
                    <w:hideMark/>
                  </w:tcPr>
                  <w:p>
                    <w:pPr>
                      <w:jc w:val="center"/>
                      <w:rPr>
                        <w:sz w:val="20"/>
                      </w:rPr>
                    </w:pPr>
                  </w:p>
                </w:tc>
                <w:tc>
                  <w:tcPr>
                    <w:tcW w:w="709" w:type="dxa"/>
                    <w:vMerge/>
                    <w:vAlign w:val="center"/>
                    <w:hideMark/>
                  </w:tcPr>
                  <w:p>
                    <w:pPr>
                      <w:jc w:val="center"/>
                      <w:rPr>
                        <w:sz w:val="20"/>
                      </w:rPr>
                    </w:pPr>
                  </w:p>
                </w:tc>
                <w:tc>
                  <w:tcPr>
                    <w:tcW w:w="1417" w:type="dxa"/>
                    <w:vAlign w:val="center"/>
                    <w:hideMark/>
                  </w:tcPr>
                  <w:p>
                    <w:pPr>
                      <w:rPr>
                        <w:sz w:val="20"/>
                      </w:rPr>
                    </w:pPr>
                    <w:r>
                      <w:rPr>
                        <w:sz w:val="20"/>
                      </w:rPr>
                      <w:t>P-18-01-05-03</w:t>
                    </w:r>
                  </w:p>
                </w:tc>
                <w:tc>
                  <w:tcPr>
                    <w:tcW w:w="4111" w:type="dxa"/>
                    <w:vAlign w:val="center"/>
                    <w:hideMark/>
                  </w:tcPr>
                  <w:p>
                    <w:pPr>
                      <w:rPr>
                        <w:sz w:val="20"/>
                      </w:rPr>
                    </w:pPr>
                    <w:r>
                      <w:rPr>
                        <w:sz w:val="20"/>
                      </w:rPr>
                      <w:t>Mokinių, dalyvaujančių Šiaulių techninės kūrybos centro veiklose, dalis nuo visų mokinių (proc.)</w:t>
                    </w:r>
                  </w:p>
                </w:tc>
                <w:tc>
                  <w:tcPr>
                    <w:tcW w:w="1134" w:type="dxa"/>
                    <w:noWrap/>
                    <w:vAlign w:val="center"/>
                    <w:hideMark/>
                  </w:tcPr>
                  <w:p>
                    <w:pPr>
                      <w:jc w:val="center"/>
                      <w:rPr>
                        <w:sz w:val="20"/>
                      </w:rPr>
                    </w:pPr>
                    <w:r>
                      <w:rPr>
                        <w:sz w:val="20"/>
                      </w:rPr>
                      <w:t>ŠS</w:t>
                    </w:r>
                  </w:p>
                </w:tc>
                <w:tc>
                  <w:tcPr>
                    <w:tcW w:w="1134" w:type="dxa"/>
                    <w:noWrap/>
                    <w:vAlign w:val="center"/>
                    <w:hideMark/>
                  </w:tcPr>
                  <w:p>
                    <w:pPr>
                      <w:jc w:val="center"/>
                      <w:rPr>
                        <w:sz w:val="20"/>
                      </w:rPr>
                    </w:pPr>
                    <w:r>
                      <w:rPr>
                        <w:sz w:val="20"/>
                      </w:rPr>
                      <w:t>47 (2023)</w:t>
                    </w:r>
                  </w:p>
                </w:tc>
                <w:tc>
                  <w:tcPr>
                    <w:tcW w:w="1134" w:type="dxa"/>
                    <w:noWrap/>
                    <w:vAlign w:val="center"/>
                    <w:hideMark/>
                  </w:tcPr>
                  <w:p>
                    <w:pPr>
                      <w:jc w:val="center"/>
                      <w:rPr>
                        <w:sz w:val="20"/>
                      </w:rPr>
                    </w:pPr>
                    <w:r>
                      <w:rPr>
                        <w:sz w:val="20"/>
                      </w:rPr>
                      <w:t>55 (2033)</w:t>
                    </w:r>
                  </w:p>
                </w:tc>
              </w:tr>
              <w:tr>
                <w:trPr>
                  <w:trHeight w:val="520"/>
                  <w:jc w:val="center"/>
                </w:trPr>
                <w:tc>
                  <w:tcPr>
                    <w:tcW w:w="988" w:type="dxa"/>
                    <w:vMerge/>
                    <w:tcBorders>
                      <w:top w:val="single" w:sz="4" w:space="0" w:color="auto"/>
                    </w:tcBorders>
                    <w:noWrap/>
                    <w:vAlign w:val="center"/>
                  </w:tcPr>
                  <w:p>
                    <w:pPr>
                      <w:rPr>
                        <w:sz w:val="20"/>
                      </w:rPr>
                    </w:pPr>
                  </w:p>
                </w:tc>
                <w:tc>
                  <w:tcPr>
                    <w:tcW w:w="2126" w:type="dxa"/>
                    <w:vMerge/>
                    <w:tcBorders>
                      <w:top w:val="single" w:sz="4" w:space="0" w:color="auto"/>
                    </w:tcBorders>
                    <w:vAlign w:val="center"/>
                  </w:tcPr>
                  <w:p>
                    <w:pPr>
                      <w:rPr>
                        <w:sz w:val="20"/>
                      </w:rPr>
                    </w:pPr>
                  </w:p>
                </w:tc>
                <w:tc>
                  <w:tcPr>
                    <w:tcW w:w="850" w:type="dxa"/>
                    <w:vMerge/>
                    <w:tcBorders>
                      <w:top w:val="single" w:sz="4" w:space="0" w:color="auto"/>
                    </w:tcBorders>
                    <w:vAlign w:val="center"/>
                  </w:tcPr>
                  <w:p>
                    <w:pPr>
                      <w:jc w:val="center"/>
                      <w:rPr>
                        <w:sz w:val="20"/>
                      </w:rPr>
                    </w:pPr>
                  </w:p>
                </w:tc>
                <w:tc>
                  <w:tcPr>
                    <w:tcW w:w="709" w:type="dxa"/>
                    <w:vMerge/>
                    <w:tcBorders>
                      <w:top w:val="single" w:sz="4" w:space="0" w:color="auto"/>
                    </w:tcBorders>
                    <w:vAlign w:val="center"/>
                  </w:tcPr>
                  <w:p>
                    <w:pPr>
                      <w:jc w:val="center"/>
                      <w:rPr>
                        <w:sz w:val="20"/>
                      </w:rPr>
                    </w:pPr>
                  </w:p>
                </w:tc>
                <w:tc>
                  <w:tcPr>
                    <w:tcW w:w="709" w:type="dxa"/>
                    <w:vMerge/>
                    <w:tcBorders>
                      <w:top w:val="single" w:sz="4" w:space="0" w:color="auto"/>
                    </w:tcBorders>
                    <w:vAlign w:val="center"/>
                  </w:tcPr>
                  <w:p>
                    <w:pPr>
                      <w:jc w:val="center"/>
                      <w:rPr>
                        <w:sz w:val="20"/>
                      </w:rPr>
                    </w:pPr>
                  </w:p>
                </w:tc>
                <w:tc>
                  <w:tcPr>
                    <w:tcW w:w="1417" w:type="dxa"/>
                    <w:tcBorders>
                      <w:top w:val="single" w:sz="4" w:space="0" w:color="auto"/>
                    </w:tcBorders>
                    <w:vAlign w:val="center"/>
                  </w:tcPr>
                  <w:p>
                    <w:pPr>
                      <w:rPr>
                        <w:sz w:val="20"/>
                      </w:rPr>
                    </w:pPr>
                    <w:r>
                      <w:rPr>
                        <w:sz w:val="20"/>
                      </w:rPr>
                      <w:t>P-18-01-05-04</w:t>
                    </w:r>
                  </w:p>
                </w:tc>
                <w:tc>
                  <w:tcPr>
                    <w:tcW w:w="4111" w:type="dxa"/>
                    <w:tcBorders>
                      <w:top w:val="single" w:sz="4" w:space="0" w:color="auto"/>
                      <w:left w:val="single" w:sz="4" w:space="0" w:color="auto"/>
                      <w:bottom w:val="single" w:sz="4" w:space="0" w:color="auto"/>
                      <w:right w:val="single" w:sz="4" w:space="0" w:color="auto"/>
                    </w:tcBorders>
                    <w:shd w:val="clear" w:color="auto" w:fill="auto"/>
                    <w:vAlign w:val="center"/>
                  </w:tcPr>
                  <w:p>
                    <w:pPr>
                      <w:rPr>
                        <w:sz w:val="20"/>
                      </w:rPr>
                    </w:pPr>
                    <w:r>
                      <w:rPr>
                        <w:rFonts w:eastAsia="MS Mincho"/>
                        <w:color w:val="000000"/>
                        <w:kern w:val="2"/>
                        <w:sz w:val="20"/>
                      </w:rPr>
                      <w:t xml:space="preserve">STEAM centrų ikimokyklinio ugdymo įstaigose skaičius (vnt.)  </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sz w:val="20"/>
                      </w:rPr>
                    </w:pPr>
                    <w:r>
                      <w:rPr>
                        <w:rFonts w:eastAsia="MS Mincho"/>
                        <w:color w:val="000000"/>
                        <w:kern w:val="2"/>
                        <w:sz w:val="20"/>
                      </w:rPr>
                      <w:t>ŠS</w:t>
                    </w:r>
                  </w:p>
                </w:tc>
                <w:tc>
                  <w:tcPr>
                    <w:tcW w:w="1134" w:type="dxa"/>
                    <w:tcBorders>
                      <w:top w:val="single" w:sz="4" w:space="0" w:color="auto"/>
                      <w:left w:val="nil"/>
                      <w:bottom w:val="single" w:sz="4" w:space="0" w:color="auto"/>
                      <w:right w:val="single" w:sz="4" w:space="0" w:color="auto"/>
                    </w:tcBorders>
                    <w:shd w:val="clear" w:color="auto" w:fill="auto"/>
                    <w:noWrap/>
                    <w:vAlign w:val="center"/>
                  </w:tcPr>
                  <w:p>
                    <w:pPr>
                      <w:jc w:val="center"/>
                      <w:rPr>
                        <w:sz w:val="20"/>
                      </w:rPr>
                    </w:pPr>
                    <w:r>
                      <w:rPr>
                        <w:rFonts w:eastAsia="MS Mincho"/>
                        <w:kern w:val="2"/>
                        <w:sz w:val="20"/>
                      </w:rPr>
                      <w:t>5 (2023)</w:t>
                    </w:r>
                  </w:p>
                </w:tc>
                <w:tc>
                  <w:tcPr>
                    <w:tcW w:w="1134" w:type="dxa"/>
                    <w:tcBorders>
                      <w:top w:val="single" w:sz="4" w:space="0" w:color="auto"/>
                      <w:left w:val="nil"/>
                      <w:bottom w:val="single" w:sz="4" w:space="0" w:color="auto"/>
                      <w:right w:val="single" w:sz="4" w:space="0" w:color="auto"/>
                    </w:tcBorders>
                    <w:shd w:val="clear" w:color="auto" w:fill="auto"/>
                    <w:noWrap/>
                    <w:vAlign w:val="center"/>
                  </w:tcPr>
                  <w:p>
                    <w:pPr>
                      <w:jc w:val="center"/>
                      <w:rPr>
                        <w:sz w:val="20"/>
                      </w:rPr>
                    </w:pPr>
                    <w:r>
                      <w:rPr>
                        <w:rFonts w:eastAsia="MS Mincho"/>
                        <w:kern w:val="2"/>
                        <w:sz w:val="20"/>
                      </w:rPr>
                      <w:t>10 (2033)</w:t>
                    </w:r>
                  </w:p>
                </w:tc>
              </w:tr>
              <w:tr>
                <w:trPr>
                  <w:trHeight w:val="520"/>
                  <w:jc w:val="center"/>
                </w:trPr>
                <w:tc>
                  <w:tcPr>
                    <w:tcW w:w="988" w:type="dxa"/>
                    <w:vMerge/>
                    <w:tcBorders>
                      <w:top w:val="single" w:sz="4" w:space="0" w:color="auto"/>
                      <w:bottom w:val="single" w:sz="4" w:space="0" w:color="auto"/>
                    </w:tcBorders>
                    <w:noWrap/>
                    <w:vAlign w:val="center"/>
                  </w:tcPr>
                  <w:p>
                    <w:pPr>
                      <w:rPr>
                        <w:sz w:val="20"/>
                      </w:rPr>
                    </w:pPr>
                  </w:p>
                </w:tc>
                <w:tc>
                  <w:tcPr>
                    <w:tcW w:w="2126" w:type="dxa"/>
                    <w:vMerge/>
                    <w:tcBorders>
                      <w:top w:val="single" w:sz="4" w:space="0" w:color="auto"/>
                      <w:bottom w:val="single" w:sz="4" w:space="0" w:color="auto"/>
                    </w:tcBorders>
                    <w:vAlign w:val="center"/>
                  </w:tcPr>
                  <w:p>
                    <w:pPr>
                      <w:rPr>
                        <w:sz w:val="20"/>
                      </w:rPr>
                    </w:pPr>
                  </w:p>
                </w:tc>
                <w:tc>
                  <w:tcPr>
                    <w:tcW w:w="850" w:type="dxa"/>
                    <w:vMerge/>
                    <w:tcBorders>
                      <w:top w:val="single" w:sz="4" w:space="0" w:color="auto"/>
                      <w:bottom w:val="single" w:sz="4" w:space="0" w:color="auto"/>
                    </w:tcBorders>
                    <w:vAlign w:val="center"/>
                  </w:tcPr>
                  <w:p>
                    <w:pPr>
                      <w:jc w:val="center"/>
                      <w:rPr>
                        <w:sz w:val="20"/>
                      </w:rPr>
                    </w:pPr>
                  </w:p>
                </w:tc>
                <w:tc>
                  <w:tcPr>
                    <w:tcW w:w="709" w:type="dxa"/>
                    <w:vMerge/>
                    <w:tcBorders>
                      <w:top w:val="single" w:sz="4" w:space="0" w:color="auto"/>
                      <w:bottom w:val="single" w:sz="4" w:space="0" w:color="auto"/>
                    </w:tcBorders>
                    <w:vAlign w:val="center"/>
                  </w:tcPr>
                  <w:p>
                    <w:pPr>
                      <w:jc w:val="center"/>
                      <w:rPr>
                        <w:sz w:val="20"/>
                      </w:rPr>
                    </w:pPr>
                  </w:p>
                </w:tc>
                <w:tc>
                  <w:tcPr>
                    <w:tcW w:w="709" w:type="dxa"/>
                    <w:vMerge/>
                    <w:tcBorders>
                      <w:top w:val="single" w:sz="4" w:space="0" w:color="auto"/>
                      <w:bottom w:val="single" w:sz="4" w:space="0" w:color="auto"/>
                    </w:tcBorders>
                    <w:vAlign w:val="center"/>
                  </w:tcPr>
                  <w:p>
                    <w:pPr>
                      <w:jc w:val="center"/>
                      <w:rPr>
                        <w:sz w:val="20"/>
                      </w:rPr>
                    </w:pPr>
                  </w:p>
                </w:tc>
                <w:tc>
                  <w:tcPr>
                    <w:tcW w:w="1417" w:type="dxa"/>
                    <w:tcBorders>
                      <w:top w:val="single" w:sz="4" w:space="0" w:color="auto"/>
                      <w:bottom w:val="single" w:sz="4" w:space="0" w:color="auto"/>
                    </w:tcBorders>
                    <w:vAlign w:val="center"/>
                  </w:tcPr>
                  <w:p>
                    <w:pPr>
                      <w:rPr>
                        <w:sz w:val="20"/>
                      </w:rPr>
                    </w:pPr>
                    <w:r>
                      <w:rPr>
                        <w:sz w:val="20"/>
                      </w:rPr>
                      <w:t>P-18-01-05-05</w:t>
                    </w:r>
                  </w:p>
                </w:tc>
                <w:tc>
                  <w:tcPr>
                    <w:tcW w:w="4111" w:type="dxa"/>
                    <w:tcBorders>
                      <w:top w:val="single" w:sz="4" w:space="0" w:color="auto"/>
                      <w:left w:val="single" w:sz="4" w:space="0" w:color="auto"/>
                      <w:bottom w:val="single" w:sz="4" w:space="0" w:color="auto"/>
                      <w:right w:val="single" w:sz="4" w:space="0" w:color="auto"/>
                    </w:tcBorders>
                    <w:shd w:val="clear" w:color="auto" w:fill="auto"/>
                    <w:vAlign w:val="center"/>
                  </w:tcPr>
                  <w:p>
                    <w:pPr>
                      <w:rPr>
                        <w:sz w:val="20"/>
                      </w:rPr>
                    </w:pPr>
                    <w:r>
                      <w:rPr>
                        <w:rFonts w:eastAsia="MS Mincho"/>
                        <w:color w:val="000000"/>
                        <w:kern w:val="2"/>
                        <w:sz w:val="20"/>
                      </w:rPr>
                      <w:t>Vaikų, dalyvavusių „STEAM DARŽELIS“ centrų veiklose, dalis nuo visų ikimokyklinio amžiaus vaikų (proc.)</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sz w:val="20"/>
                      </w:rPr>
                    </w:pPr>
                    <w:r>
                      <w:rPr>
                        <w:rFonts w:eastAsia="MS Mincho"/>
                        <w:color w:val="000000"/>
                        <w:kern w:val="2"/>
                        <w:sz w:val="20"/>
                      </w:rPr>
                      <w:t>ŠS</w:t>
                    </w:r>
                  </w:p>
                </w:tc>
                <w:tc>
                  <w:tcPr>
                    <w:tcW w:w="1134" w:type="dxa"/>
                    <w:tcBorders>
                      <w:top w:val="single" w:sz="4" w:space="0" w:color="auto"/>
                      <w:left w:val="nil"/>
                      <w:bottom w:val="single" w:sz="4" w:space="0" w:color="auto"/>
                      <w:right w:val="single" w:sz="4" w:space="0" w:color="auto"/>
                    </w:tcBorders>
                    <w:shd w:val="clear" w:color="auto" w:fill="auto"/>
                    <w:noWrap/>
                    <w:vAlign w:val="center"/>
                  </w:tcPr>
                  <w:p>
                    <w:pPr>
                      <w:jc w:val="center"/>
                      <w:rPr>
                        <w:sz w:val="20"/>
                      </w:rPr>
                    </w:pPr>
                    <w:r>
                      <w:rPr>
                        <w:rFonts w:eastAsia="MS Mincho"/>
                        <w:kern w:val="2"/>
                        <w:sz w:val="20"/>
                      </w:rPr>
                      <w:t>38 (2023)</w:t>
                    </w:r>
                  </w:p>
                </w:tc>
                <w:tc>
                  <w:tcPr>
                    <w:tcW w:w="1134" w:type="dxa"/>
                    <w:tcBorders>
                      <w:top w:val="single" w:sz="4" w:space="0" w:color="auto"/>
                      <w:left w:val="nil"/>
                      <w:bottom w:val="single" w:sz="4" w:space="0" w:color="auto"/>
                      <w:right w:val="single" w:sz="4" w:space="0" w:color="auto"/>
                    </w:tcBorders>
                    <w:shd w:val="clear" w:color="auto" w:fill="auto"/>
                    <w:noWrap/>
                    <w:vAlign w:val="center"/>
                  </w:tcPr>
                  <w:p>
                    <w:pPr>
                      <w:jc w:val="center"/>
                      <w:rPr>
                        <w:sz w:val="20"/>
                      </w:rPr>
                    </w:pPr>
                    <w:r>
                      <w:rPr>
                        <w:rFonts w:eastAsia="MS Mincho"/>
                        <w:kern w:val="2"/>
                        <w:sz w:val="20"/>
                      </w:rPr>
                      <w:t>100 (2033)</w:t>
                    </w:r>
                  </w:p>
                </w:tc>
              </w:tr>
              <w:tr>
                <w:trPr>
                  <w:trHeight w:val="520"/>
                  <w:jc w:val="center"/>
                </w:trPr>
                <w:tc>
                  <w:tcPr>
                    <w:tcW w:w="988" w:type="dxa"/>
                    <w:vMerge w:val="restart"/>
                    <w:tcBorders>
                      <w:top w:val="single" w:sz="4" w:space="0" w:color="auto"/>
                    </w:tcBorders>
                    <w:noWrap/>
                    <w:vAlign w:val="center"/>
                    <w:hideMark/>
                  </w:tcPr>
                  <w:p>
                    <w:pPr>
                      <w:rPr>
                        <w:sz w:val="20"/>
                      </w:rPr>
                    </w:pPr>
                    <w:r>
                      <w:rPr>
                        <w:sz w:val="20"/>
                      </w:rPr>
                      <w:t>18-01-06</w:t>
                    </w:r>
                  </w:p>
                </w:tc>
                <w:tc>
                  <w:tcPr>
                    <w:tcW w:w="2126" w:type="dxa"/>
                    <w:vMerge w:val="restart"/>
                    <w:tcBorders>
                      <w:top w:val="single" w:sz="4" w:space="0" w:color="auto"/>
                    </w:tcBorders>
                    <w:vAlign w:val="center"/>
                    <w:hideMark/>
                  </w:tcPr>
                  <w:p>
                    <w:pPr>
                      <w:rPr>
                        <w:sz w:val="20"/>
                      </w:rPr>
                    </w:pPr>
                    <w:r>
                      <w:rPr>
                        <w:sz w:val="20"/>
                      </w:rPr>
                      <w:t>Užtikrinti įtraukiojo ugdymo principinių nuostatų įgyvendinimą visuose švietimo sistemos lygiuose</w:t>
                    </w:r>
                  </w:p>
                </w:tc>
                <w:tc>
                  <w:tcPr>
                    <w:tcW w:w="850" w:type="dxa"/>
                    <w:vMerge w:val="restart"/>
                    <w:tcBorders>
                      <w:top w:val="single" w:sz="4" w:space="0" w:color="auto"/>
                    </w:tcBorders>
                    <w:vAlign w:val="center"/>
                    <w:hideMark/>
                  </w:tcPr>
                  <w:p>
                    <w:pPr>
                      <w:jc w:val="center"/>
                      <w:rPr>
                        <w:sz w:val="20"/>
                      </w:rPr>
                    </w:pPr>
                    <w:r>
                      <w:rPr>
                        <w:sz w:val="20"/>
                      </w:rPr>
                      <w:t>ŠS</w:t>
                    </w:r>
                  </w:p>
                </w:tc>
                <w:tc>
                  <w:tcPr>
                    <w:tcW w:w="709" w:type="dxa"/>
                    <w:vMerge w:val="restart"/>
                    <w:tcBorders>
                      <w:top w:val="single" w:sz="4" w:space="0" w:color="auto"/>
                    </w:tcBorders>
                    <w:vAlign w:val="center"/>
                    <w:hideMark/>
                  </w:tcPr>
                  <w:p>
                    <w:pPr>
                      <w:jc w:val="center"/>
                      <w:rPr>
                        <w:sz w:val="20"/>
                      </w:rPr>
                    </w:pPr>
                    <w:r>
                      <w:rPr>
                        <w:sz w:val="20"/>
                      </w:rPr>
                      <w:t>2025</w:t>
                    </w:r>
                  </w:p>
                </w:tc>
                <w:tc>
                  <w:tcPr>
                    <w:tcW w:w="709" w:type="dxa"/>
                    <w:vMerge w:val="restart"/>
                    <w:tcBorders>
                      <w:top w:val="single" w:sz="4" w:space="0" w:color="auto"/>
                    </w:tcBorders>
                    <w:vAlign w:val="center"/>
                    <w:hideMark/>
                  </w:tcPr>
                  <w:p>
                    <w:pPr>
                      <w:jc w:val="center"/>
                      <w:rPr>
                        <w:sz w:val="20"/>
                      </w:rPr>
                    </w:pPr>
                    <w:r>
                      <w:rPr>
                        <w:sz w:val="20"/>
                      </w:rPr>
                      <w:t>2033</w:t>
                    </w:r>
                  </w:p>
                </w:tc>
                <w:tc>
                  <w:tcPr>
                    <w:tcW w:w="1417" w:type="dxa"/>
                    <w:tcBorders>
                      <w:top w:val="single" w:sz="4" w:space="0" w:color="auto"/>
                    </w:tcBorders>
                    <w:vAlign w:val="center"/>
                    <w:hideMark/>
                  </w:tcPr>
                  <w:p>
                    <w:pPr>
                      <w:rPr>
                        <w:sz w:val="20"/>
                      </w:rPr>
                    </w:pPr>
                    <w:r>
                      <w:rPr>
                        <w:sz w:val="20"/>
                      </w:rPr>
                      <w:t>P-18-01-06-01</w:t>
                    </w:r>
                  </w:p>
                </w:tc>
                <w:tc>
                  <w:tcPr>
                    <w:tcW w:w="4111" w:type="dxa"/>
                    <w:tcBorders>
                      <w:top w:val="single" w:sz="4" w:space="0" w:color="auto"/>
                    </w:tcBorders>
                    <w:vAlign w:val="center"/>
                    <w:hideMark/>
                  </w:tcPr>
                  <w:p>
                    <w:pPr>
                      <w:rPr>
                        <w:sz w:val="20"/>
                      </w:rPr>
                    </w:pPr>
                    <w:r>
                      <w:rPr>
                        <w:sz w:val="20"/>
                      </w:rPr>
                      <w:t>Švietimo pagalbą gaunančių mokinių dalis nuo visų, kuriems nustatytas pagalbos poreikis (proc.)</w:t>
                    </w:r>
                  </w:p>
                </w:tc>
                <w:tc>
                  <w:tcPr>
                    <w:tcW w:w="1134" w:type="dxa"/>
                    <w:tcBorders>
                      <w:top w:val="single" w:sz="4" w:space="0" w:color="auto"/>
                    </w:tcBorders>
                    <w:noWrap/>
                    <w:vAlign w:val="center"/>
                    <w:hideMark/>
                  </w:tcPr>
                  <w:p>
                    <w:pPr>
                      <w:jc w:val="center"/>
                      <w:rPr>
                        <w:sz w:val="20"/>
                      </w:rPr>
                    </w:pPr>
                    <w:r>
                      <w:rPr>
                        <w:sz w:val="20"/>
                      </w:rPr>
                      <w:t>ŠVIS (ŠS)</w:t>
                    </w:r>
                  </w:p>
                </w:tc>
                <w:tc>
                  <w:tcPr>
                    <w:tcW w:w="1134" w:type="dxa"/>
                    <w:tcBorders>
                      <w:top w:val="single" w:sz="4" w:space="0" w:color="auto"/>
                    </w:tcBorders>
                    <w:noWrap/>
                    <w:vAlign w:val="center"/>
                    <w:hideMark/>
                  </w:tcPr>
                  <w:p>
                    <w:pPr>
                      <w:jc w:val="center"/>
                      <w:rPr>
                        <w:sz w:val="20"/>
                      </w:rPr>
                    </w:pPr>
                    <w:r>
                      <w:rPr>
                        <w:sz w:val="20"/>
                      </w:rPr>
                      <w:t>70 (2023)</w:t>
                    </w:r>
                  </w:p>
                </w:tc>
                <w:tc>
                  <w:tcPr>
                    <w:tcW w:w="1134" w:type="dxa"/>
                    <w:tcBorders>
                      <w:top w:val="single" w:sz="4" w:space="0" w:color="auto"/>
                    </w:tcBorders>
                    <w:noWrap/>
                    <w:vAlign w:val="center"/>
                    <w:hideMark/>
                  </w:tcPr>
                  <w:p>
                    <w:pPr>
                      <w:jc w:val="center"/>
                      <w:rPr>
                        <w:sz w:val="20"/>
                      </w:rPr>
                    </w:pPr>
                    <w:r>
                      <w:rPr>
                        <w:sz w:val="20"/>
                      </w:rPr>
                      <w:t>95 (2033)</w:t>
                    </w:r>
                  </w:p>
                </w:tc>
              </w:tr>
              <w:tr>
                <w:trPr>
                  <w:trHeight w:val="780"/>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rPr>
                        <w:sz w:val="20"/>
                      </w:rPr>
                    </w:pPr>
                  </w:p>
                </w:tc>
                <w:tc>
                  <w:tcPr>
                    <w:tcW w:w="709" w:type="dxa"/>
                    <w:vMerge/>
                    <w:vAlign w:val="center"/>
                    <w:hideMark/>
                  </w:tcPr>
                  <w:p>
                    <w:pPr>
                      <w:rPr>
                        <w:sz w:val="20"/>
                      </w:rPr>
                    </w:pPr>
                  </w:p>
                </w:tc>
                <w:tc>
                  <w:tcPr>
                    <w:tcW w:w="709" w:type="dxa"/>
                    <w:vMerge/>
                    <w:vAlign w:val="center"/>
                    <w:hideMark/>
                  </w:tcPr>
                  <w:p>
                    <w:pPr>
                      <w:rPr>
                        <w:sz w:val="20"/>
                      </w:rPr>
                    </w:pPr>
                  </w:p>
                </w:tc>
                <w:tc>
                  <w:tcPr>
                    <w:tcW w:w="1417" w:type="dxa"/>
                    <w:vAlign w:val="center"/>
                    <w:hideMark/>
                  </w:tcPr>
                  <w:p>
                    <w:pPr>
                      <w:rPr>
                        <w:sz w:val="20"/>
                      </w:rPr>
                    </w:pPr>
                    <w:r>
                      <w:rPr>
                        <w:sz w:val="20"/>
                      </w:rPr>
                      <w:t>P-18-01-06-02</w:t>
                    </w:r>
                  </w:p>
                </w:tc>
                <w:tc>
                  <w:tcPr>
                    <w:tcW w:w="4111" w:type="dxa"/>
                    <w:vAlign w:val="center"/>
                    <w:hideMark/>
                  </w:tcPr>
                  <w:p>
                    <w:pPr>
                      <w:rPr>
                        <w:sz w:val="20"/>
                      </w:rPr>
                    </w:pPr>
                    <w:r>
                      <w:rPr>
                        <w:sz w:val="20"/>
                      </w:rPr>
                      <w:t>Specialiųjų ugdymo(-si) poreikių turinčių vaikų, dalyvaujančių neformaliajame vaikų švietime, dalis nuo visų vaikų (proc.)</w:t>
                    </w:r>
                  </w:p>
                </w:tc>
                <w:tc>
                  <w:tcPr>
                    <w:tcW w:w="1134" w:type="dxa"/>
                    <w:noWrap/>
                    <w:vAlign w:val="center"/>
                    <w:hideMark/>
                  </w:tcPr>
                  <w:p>
                    <w:pPr>
                      <w:jc w:val="center"/>
                      <w:rPr>
                        <w:sz w:val="20"/>
                      </w:rPr>
                    </w:pPr>
                    <w:r>
                      <w:rPr>
                        <w:sz w:val="20"/>
                      </w:rPr>
                      <w:t>ŠS</w:t>
                    </w:r>
                  </w:p>
                </w:tc>
                <w:tc>
                  <w:tcPr>
                    <w:tcW w:w="1134" w:type="dxa"/>
                    <w:noWrap/>
                    <w:vAlign w:val="center"/>
                    <w:hideMark/>
                  </w:tcPr>
                  <w:p>
                    <w:pPr>
                      <w:jc w:val="center"/>
                      <w:rPr>
                        <w:sz w:val="20"/>
                      </w:rPr>
                    </w:pPr>
                    <w:r>
                      <w:rPr>
                        <w:sz w:val="20"/>
                      </w:rPr>
                      <w:t>11 (2023)</w:t>
                    </w:r>
                  </w:p>
                </w:tc>
                <w:tc>
                  <w:tcPr>
                    <w:tcW w:w="1134" w:type="dxa"/>
                    <w:noWrap/>
                    <w:vAlign w:val="center"/>
                    <w:hideMark/>
                  </w:tcPr>
                  <w:p>
                    <w:pPr>
                      <w:jc w:val="center"/>
                      <w:rPr>
                        <w:sz w:val="20"/>
                      </w:rPr>
                    </w:pPr>
                    <w:r>
                      <w:rPr>
                        <w:sz w:val="20"/>
                      </w:rPr>
                      <w:t>15 (2033)</w:t>
                    </w:r>
                  </w:p>
                </w:tc>
              </w:tr>
              <w:tr>
                <w:trPr>
                  <w:trHeight w:val="941"/>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rPr>
                        <w:sz w:val="20"/>
                      </w:rPr>
                    </w:pPr>
                  </w:p>
                </w:tc>
                <w:tc>
                  <w:tcPr>
                    <w:tcW w:w="709" w:type="dxa"/>
                    <w:vMerge/>
                    <w:vAlign w:val="center"/>
                    <w:hideMark/>
                  </w:tcPr>
                  <w:p>
                    <w:pPr>
                      <w:rPr>
                        <w:sz w:val="20"/>
                      </w:rPr>
                    </w:pPr>
                  </w:p>
                </w:tc>
                <w:tc>
                  <w:tcPr>
                    <w:tcW w:w="709" w:type="dxa"/>
                    <w:vMerge/>
                    <w:vAlign w:val="center"/>
                    <w:hideMark/>
                  </w:tcPr>
                  <w:p>
                    <w:pPr>
                      <w:rPr>
                        <w:sz w:val="20"/>
                      </w:rPr>
                    </w:pPr>
                  </w:p>
                </w:tc>
                <w:tc>
                  <w:tcPr>
                    <w:tcW w:w="1417" w:type="dxa"/>
                    <w:vAlign w:val="center"/>
                    <w:hideMark/>
                  </w:tcPr>
                  <w:p>
                    <w:pPr>
                      <w:rPr>
                        <w:sz w:val="20"/>
                      </w:rPr>
                    </w:pPr>
                    <w:r>
                      <w:rPr>
                        <w:sz w:val="20"/>
                      </w:rPr>
                      <w:t>P-18-01-06-03</w:t>
                    </w:r>
                  </w:p>
                </w:tc>
                <w:tc>
                  <w:tcPr>
                    <w:tcW w:w="4111" w:type="dxa"/>
                    <w:vAlign w:val="center"/>
                    <w:hideMark/>
                  </w:tcPr>
                  <w:p>
                    <w:pPr>
                      <w:rPr>
                        <w:sz w:val="20"/>
                      </w:rPr>
                    </w:pPr>
                    <w:r>
                      <w:rPr>
                        <w:sz w:val="20"/>
                      </w:rPr>
                      <w:t>Specialiųjų ugdymosi poreikių turinčių mokinių, ugdomų įtraukiuoju būdu bendros paskirties švietimo įstaigose, dalis nuo visų mokinių (proc.)</w:t>
                    </w:r>
                  </w:p>
                </w:tc>
                <w:tc>
                  <w:tcPr>
                    <w:tcW w:w="1134" w:type="dxa"/>
                    <w:noWrap/>
                    <w:vAlign w:val="center"/>
                    <w:hideMark/>
                  </w:tcPr>
                  <w:p>
                    <w:pPr>
                      <w:jc w:val="center"/>
                      <w:rPr>
                        <w:sz w:val="20"/>
                      </w:rPr>
                    </w:pPr>
                    <w:r>
                      <w:rPr>
                        <w:sz w:val="20"/>
                      </w:rPr>
                      <w:t>ŠS</w:t>
                    </w:r>
                  </w:p>
                </w:tc>
                <w:tc>
                  <w:tcPr>
                    <w:tcW w:w="1134" w:type="dxa"/>
                    <w:noWrap/>
                    <w:vAlign w:val="center"/>
                    <w:hideMark/>
                  </w:tcPr>
                  <w:p>
                    <w:pPr>
                      <w:jc w:val="center"/>
                      <w:rPr>
                        <w:sz w:val="20"/>
                      </w:rPr>
                    </w:pPr>
                    <w:r>
                      <w:rPr>
                        <w:sz w:val="20"/>
                      </w:rPr>
                      <w:t>11,5 (2023)</w:t>
                    </w:r>
                  </w:p>
                </w:tc>
                <w:tc>
                  <w:tcPr>
                    <w:tcW w:w="1134" w:type="dxa"/>
                    <w:noWrap/>
                    <w:vAlign w:val="center"/>
                    <w:hideMark/>
                  </w:tcPr>
                  <w:p>
                    <w:pPr>
                      <w:jc w:val="center"/>
                      <w:rPr>
                        <w:sz w:val="20"/>
                      </w:rPr>
                    </w:pPr>
                    <w:r>
                      <w:rPr>
                        <w:sz w:val="20"/>
                      </w:rPr>
                      <w:t>15 (2033)</w:t>
                    </w:r>
                  </w:p>
                </w:tc>
              </w:tr>
              <w:tr>
                <w:trPr>
                  <w:trHeight w:val="681"/>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rPr>
                        <w:sz w:val="20"/>
                      </w:rPr>
                    </w:pPr>
                  </w:p>
                </w:tc>
                <w:tc>
                  <w:tcPr>
                    <w:tcW w:w="709" w:type="dxa"/>
                    <w:vMerge/>
                    <w:vAlign w:val="center"/>
                    <w:hideMark/>
                  </w:tcPr>
                  <w:p>
                    <w:pPr>
                      <w:rPr>
                        <w:sz w:val="20"/>
                      </w:rPr>
                    </w:pPr>
                  </w:p>
                </w:tc>
                <w:tc>
                  <w:tcPr>
                    <w:tcW w:w="709" w:type="dxa"/>
                    <w:vMerge/>
                    <w:vAlign w:val="center"/>
                    <w:hideMark/>
                  </w:tcPr>
                  <w:p>
                    <w:pPr>
                      <w:rPr>
                        <w:sz w:val="20"/>
                      </w:rPr>
                    </w:pPr>
                  </w:p>
                </w:tc>
                <w:tc>
                  <w:tcPr>
                    <w:tcW w:w="1417" w:type="dxa"/>
                    <w:vAlign w:val="center"/>
                    <w:hideMark/>
                  </w:tcPr>
                  <w:p>
                    <w:pPr>
                      <w:rPr>
                        <w:sz w:val="20"/>
                      </w:rPr>
                    </w:pPr>
                    <w:r>
                      <w:rPr>
                        <w:sz w:val="20"/>
                      </w:rPr>
                      <w:t>P-18-01-06-04</w:t>
                    </w:r>
                  </w:p>
                </w:tc>
                <w:tc>
                  <w:tcPr>
                    <w:tcW w:w="4111" w:type="dxa"/>
                    <w:vAlign w:val="center"/>
                    <w:hideMark/>
                  </w:tcPr>
                  <w:p>
                    <w:pPr>
                      <w:rPr>
                        <w:sz w:val="20"/>
                      </w:rPr>
                    </w:pPr>
                    <w:r>
                      <w:rPr>
                        <w:sz w:val="20"/>
                      </w:rPr>
                      <w:t>Profesinio mokymo studijų programų, pritaikytų specialiuosius ugdymosi poreikius turintiems mokiniams, baigusiems pagrindinio ugdymo programą, dalis nuo visų programų (proc.)</w:t>
                    </w:r>
                  </w:p>
                </w:tc>
                <w:tc>
                  <w:tcPr>
                    <w:tcW w:w="1134" w:type="dxa"/>
                    <w:noWrap/>
                    <w:vAlign w:val="center"/>
                    <w:hideMark/>
                  </w:tcPr>
                  <w:p>
                    <w:pPr>
                      <w:jc w:val="center"/>
                      <w:rPr>
                        <w:sz w:val="20"/>
                      </w:rPr>
                    </w:pPr>
                    <w:r>
                      <w:rPr>
                        <w:sz w:val="20"/>
                      </w:rPr>
                      <w:t>ŠTMC</w:t>
                    </w:r>
                  </w:p>
                </w:tc>
                <w:tc>
                  <w:tcPr>
                    <w:tcW w:w="1134" w:type="dxa"/>
                    <w:noWrap/>
                    <w:vAlign w:val="center"/>
                    <w:hideMark/>
                  </w:tcPr>
                  <w:p>
                    <w:pPr>
                      <w:jc w:val="center"/>
                      <w:rPr>
                        <w:sz w:val="20"/>
                      </w:rPr>
                    </w:pPr>
                    <w:r>
                      <w:rPr>
                        <w:sz w:val="20"/>
                      </w:rPr>
                      <w:t>4,4 (2023)</w:t>
                    </w:r>
                  </w:p>
                </w:tc>
                <w:tc>
                  <w:tcPr>
                    <w:tcW w:w="1134" w:type="dxa"/>
                    <w:noWrap/>
                    <w:vAlign w:val="center"/>
                    <w:hideMark/>
                  </w:tcPr>
                  <w:p>
                    <w:pPr>
                      <w:jc w:val="center"/>
                      <w:rPr>
                        <w:sz w:val="20"/>
                      </w:rPr>
                    </w:pPr>
                    <w:r>
                      <w:rPr>
                        <w:sz w:val="20"/>
                      </w:rPr>
                      <w:t>5,5 (2033)</w:t>
                    </w:r>
                  </w:p>
                </w:tc>
              </w:tr>
              <w:tr>
                <w:trPr>
                  <w:trHeight w:val="530"/>
                  <w:jc w:val="center"/>
                </w:trPr>
                <w:tc>
                  <w:tcPr>
                    <w:tcW w:w="988" w:type="dxa"/>
                    <w:vMerge/>
                    <w:hideMark/>
                  </w:tcPr>
                  <w:p>
                    <w:pPr>
                      <w:rPr>
                        <w:sz w:val="20"/>
                      </w:rPr>
                    </w:pPr>
                  </w:p>
                </w:tc>
                <w:tc>
                  <w:tcPr>
                    <w:tcW w:w="2126" w:type="dxa"/>
                    <w:vMerge/>
                    <w:hideMark/>
                  </w:tcPr>
                  <w:p>
                    <w:pPr>
                      <w:rPr>
                        <w:sz w:val="20"/>
                      </w:rPr>
                    </w:pPr>
                  </w:p>
                </w:tc>
                <w:tc>
                  <w:tcPr>
                    <w:tcW w:w="850" w:type="dxa"/>
                    <w:vMerge/>
                    <w:hideMark/>
                  </w:tcPr>
                  <w:p>
                    <w:pPr>
                      <w:rPr>
                        <w:sz w:val="20"/>
                      </w:rPr>
                    </w:pPr>
                  </w:p>
                </w:tc>
                <w:tc>
                  <w:tcPr>
                    <w:tcW w:w="709" w:type="dxa"/>
                    <w:vMerge/>
                    <w:hideMark/>
                  </w:tcPr>
                  <w:p>
                    <w:pPr>
                      <w:rPr>
                        <w:sz w:val="20"/>
                      </w:rPr>
                    </w:pPr>
                  </w:p>
                </w:tc>
                <w:tc>
                  <w:tcPr>
                    <w:tcW w:w="709" w:type="dxa"/>
                    <w:vMerge/>
                    <w:hideMark/>
                  </w:tcPr>
                  <w:p>
                    <w:pPr>
                      <w:rPr>
                        <w:sz w:val="20"/>
                      </w:rPr>
                    </w:pPr>
                  </w:p>
                </w:tc>
                <w:tc>
                  <w:tcPr>
                    <w:tcW w:w="1417" w:type="dxa"/>
                    <w:vAlign w:val="center"/>
                    <w:hideMark/>
                  </w:tcPr>
                  <w:p>
                    <w:pPr>
                      <w:rPr>
                        <w:sz w:val="20"/>
                      </w:rPr>
                    </w:pPr>
                    <w:r>
                      <w:rPr>
                        <w:sz w:val="20"/>
                      </w:rPr>
                      <w:t>P-18-01-06-05</w:t>
                    </w:r>
                  </w:p>
                </w:tc>
                <w:tc>
                  <w:tcPr>
                    <w:tcW w:w="4111" w:type="dxa"/>
                    <w:vAlign w:val="center"/>
                    <w:hideMark/>
                  </w:tcPr>
                  <w:p>
                    <w:pPr>
                      <w:rPr>
                        <w:sz w:val="20"/>
                      </w:rPr>
                    </w:pPr>
                    <w:r>
                      <w:rPr>
                        <w:sz w:val="20"/>
                      </w:rPr>
                      <w:t>Įsteigtas ir įveiklintas regioninis konsultacinis specialiojo ugdymo centras (vnt.)</w:t>
                    </w:r>
                  </w:p>
                </w:tc>
                <w:tc>
                  <w:tcPr>
                    <w:tcW w:w="1134" w:type="dxa"/>
                    <w:noWrap/>
                    <w:vAlign w:val="center"/>
                    <w:hideMark/>
                  </w:tcPr>
                  <w:p>
                    <w:pPr>
                      <w:jc w:val="center"/>
                      <w:rPr>
                        <w:sz w:val="20"/>
                      </w:rPr>
                    </w:pPr>
                    <w:r>
                      <w:rPr>
                        <w:sz w:val="20"/>
                      </w:rPr>
                      <w:t>ŠS</w:t>
                    </w:r>
                  </w:p>
                </w:tc>
                <w:tc>
                  <w:tcPr>
                    <w:tcW w:w="1134" w:type="dxa"/>
                    <w:noWrap/>
                    <w:vAlign w:val="center"/>
                    <w:hideMark/>
                  </w:tcPr>
                  <w:p>
                    <w:pPr>
                      <w:jc w:val="center"/>
                      <w:rPr>
                        <w:sz w:val="20"/>
                      </w:rPr>
                    </w:pPr>
                    <w:r>
                      <w:rPr>
                        <w:sz w:val="20"/>
                      </w:rPr>
                      <w:t>0 (2023)</w:t>
                    </w:r>
                  </w:p>
                </w:tc>
                <w:tc>
                  <w:tcPr>
                    <w:tcW w:w="1134" w:type="dxa"/>
                    <w:noWrap/>
                    <w:vAlign w:val="center"/>
                    <w:hideMark/>
                  </w:tcPr>
                  <w:p>
                    <w:pPr>
                      <w:jc w:val="center"/>
                      <w:rPr>
                        <w:sz w:val="20"/>
                      </w:rPr>
                    </w:pPr>
                    <w:r>
                      <w:rPr>
                        <w:sz w:val="20"/>
                      </w:rPr>
                      <w:t>1 (2025)</w:t>
                    </w:r>
                  </w:p>
                </w:tc>
              </w:tr>
              <w:tr>
                <w:trPr>
                  <w:trHeight w:val="358"/>
                  <w:jc w:val="center"/>
                </w:trPr>
                <w:tc>
                  <w:tcPr>
                    <w:tcW w:w="988" w:type="dxa"/>
                    <w:vMerge w:val="restart"/>
                    <w:noWrap/>
                    <w:vAlign w:val="center"/>
                    <w:hideMark/>
                  </w:tcPr>
                  <w:p>
                    <w:pPr>
                      <w:rPr>
                        <w:sz w:val="20"/>
                      </w:rPr>
                    </w:pPr>
                    <w:r>
                      <w:rPr>
                        <w:sz w:val="20"/>
                      </w:rPr>
                      <w:t>18-01-07</w:t>
                    </w:r>
                  </w:p>
                </w:tc>
                <w:tc>
                  <w:tcPr>
                    <w:tcW w:w="2126" w:type="dxa"/>
                    <w:vMerge w:val="restart"/>
                    <w:vAlign w:val="center"/>
                    <w:hideMark/>
                  </w:tcPr>
                  <w:p>
                    <w:pPr>
                      <w:rPr>
                        <w:sz w:val="20"/>
                      </w:rPr>
                    </w:pPr>
                    <w:r>
                      <w:rPr>
                        <w:sz w:val="20"/>
                      </w:rPr>
                      <w:t>Bendradarbiauti su aukštosiomis, profesinėmis ir bendrojo ugdymo mokyklomis, socialiniais-ekonominiais partneriais, ruošiant specialistus</w:t>
                    </w:r>
                  </w:p>
                </w:tc>
                <w:tc>
                  <w:tcPr>
                    <w:tcW w:w="850" w:type="dxa"/>
                    <w:vMerge w:val="restart"/>
                    <w:vAlign w:val="center"/>
                    <w:hideMark/>
                  </w:tcPr>
                  <w:p>
                    <w:pPr>
                      <w:jc w:val="center"/>
                      <w:rPr>
                        <w:sz w:val="20"/>
                      </w:rPr>
                    </w:pPr>
                    <w:r>
                      <w:rPr>
                        <w:sz w:val="20"/>
                      </w:rPr>
                      <w:t>ŠS</w:t>
                    </w:r>
                  </w:p>
                </w:tc>
                <w:tc>
                  <w:tcPr>
                    <w:tcW w:w="709" w:type="dxa"/>
                    <w:vMerge w:val="restart"/>
                    <w:vAlign w:val="center"/>
                    <w:hideMark/>
                  </w:tcPr>
                  <w:p>
                    <w:pPr>
                      <w:jc w:val="center"/>
                      <w:rPr>
                        <w:sz w:val="20"/>
                      </w:rPr>
                    </w:pPr>
                    <w:r>
                      <w:rPr>
                        <w:sz w:val="20"/>
                      </w:rPr>
                      <w:t>2025</w:t>
                    </w:r>
                  </w:p>
                </w:tc>
                <w:tc>
                  <w:tcPr>
                    <w:tcW w:w="709" w:type="dxa"/>
                    <w:vMerge w:val="restart"/>
                    <w:vAlign w:val="center"/>
                    <w:hideMark/>
                  </w:tcPr>
                  <w:p>
                    <w:pPr>
                      <w:jc w:val="center"/>
                      <w:rPr>
                        <w:sz w:val="20"/>
                      </w:rPr>
                    </w:pPr>
                    <w:r>
                      <w:rPr>
                        <w:sz w:val="20"/>
                      </w:rPr>
                      <w:t>2033</w:t>
                    </w:r>
                  </w:p>
                </w:tc>
                <w:tc>
                  <w:tcPr>
                    <w:tcW w:w="1417" w:type="dxa"/>
                    <w:vMerge w:val="restart"/>
                    <w:vAlign w:val="center"/>
                    <w:hideMark/>
                  </w:tcPr>
                  <w:p>
                    <w:pPr>
                      <w:rPr>
                        <w:sz w:val="20"/>
                      </w:rPr>
                    </w:pPr>
                    <w:r>
                      <w:rPr>
                        <w:sz w:val="20"/>
                      </w:rPr>
                      <w:t>P-18-01-07-01</w:t>
                    </w:r>
                  </w:p>
                </w:tc>
                <w:tc>
                  <w:tcPr>
                    <w:tcW w:w="4111" w:type="dxa"/>
                    <w:vAlign w:val="center"/>
                    <w:hideMark/>
                  </w:tcPr>
                  <w:p>
                    <w:pPr>
                      <w:rPr>
                        <w:sz w:val="20"/>
                      </w:rPr>
                    </w:pPr>
                    <w:r>
                      <w:rPr>
                        <w:sz w:val="20"/>
                      </w:rPr>
                      <w:t>Geriausiai besimokantiems studentams išmokėtų stipendijų apimtys (vnt. / tūkst. Eur):</w:t>
                    </w:r>
                  </w:p>
                </w:tc>
                <w:tc>
                  <w:tcPr>
                    <w:tcW w:w="1134" w:type="dxa"/>
                    <w:vAlign w:val="center"/>
                    <w:hideMark/>
                  </w:tcPr>
                  <w:p>
                    <w:pPr>
                      <w:jc w:val="center"/>
                      <w:rPr>
                        <w:sz w:val="20"/>
                      </w:rPr>
                    </w:pPr>
                    <w:r>
                      <w:rPr>
                        <w:sz w:val="20"/>
                      </w:rPr>
                      <w:t>ŠTMC, ŠVK, VUŠA</w:t>
                    </w:r>
                  </w:p>
                </w:tc>
                <w:tc>
                  <w:tcPr>
                    <w:tcW w:w="1134" w:type="dxa"/>
                    <w:vAlign w:val="center"/>
                    <w:hideMark/>
                  </w:tcPr>
                  <w:p>
                    <w:pPr>
                      <w:jc w:val="center"/>
                      <w:rPr>
                        <w:sz w:val="20"/>
                      </w:rPr>
                    </w:pPr>
                    <w:r>
                      <w:rPr>
                        <w:sz w:val="20"/>
                      </w:rPr>
                      <w:t>1105/475 (2023)</w:t>
                    </w:r>
                  </w:p>
                </w:tc>
                <w:tc>
                  <w:tcPr>
                    <w:tcW w:w="1134" w:type="dxa"/>
                    <w:vAlign w:val="center"/>
                    <w:hideMark/>
                  </w:tcPr>
                  <w:p>
                    <w:pPr>
                      <w:jc w:val="center"/>
                      <w:rPr>
                        <w:sz w:val="20"/>
                      </w:rPr>
                    </w:pPr>
                    <w:r>
                      <w:rPr>
                        <w:sz w:val="20"/>
                      </w:rPr>
                      <w:t>1230/636 (2033)</w:t>
                    </w:r>
                  </w:p>
                </w:tc>
              </w:tr>
              <w:tr>
                <w:trPr>
                  <w:trHeight w:val="520"/>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jc w:val="center"/>
                      <w:rPr>
                        <w:sz w:val="20"/>
                      </w:rPr>
                    </w:pPr>
                  </w:p>
                </w:tc>
                <w:tc>
                  <w:tcPr>
                    <w:tcW w:w="709" w:type="dxa"/>
                    <w:vMerge/>
                    <w:vAlign w:val="center"/>
                    <w:hideMark/>
                  </w:tcPr>
                  <w:p>
                    <w:pPr>
                      <w:jc w:val="center"/>
                      <w:rPr>
                        <w:sz w:val="20"/>
                      </w:rPr>
                    </w:pPr>
                  </w:p>
                </w:tc>
                <w:tc>
                  <w:tcPr>
                    <w:tcW w:w="709" w:type="dxa"/>
                    <w:vMerge/>
                    <w:vAlign w:val="center"/>
                    <w:hideMark/>
                  </w:tcPr>
                  <w:p>
                    <w:pPr>
                      <w:jc w:val="center"/>
                      <w:rPr>
                        <w:sz w:val="20"/>
                      </w:rPr>
                    </w:pPr>
                  </w:p>
                </w:tc>
                <w:tc>
                  <w:tcPr>
                    <w:tcW w:w="1417" w:type="dxa"/>
                    <w:vMerge/>
                    <w:vAlign w:val="center"/>
                    <w:hideMark/>
                  </w:tcPr>
                  <w:p>
                    <w:pPr>
                      <w:rPr>
                        <w:sz w:val="20"/>
                      </w:rPr>
                    </w:pPr>
                  </w:p>
                </w:tc>
                <w:tc>
                  <w:tcPr>
                    <w:tcW w:w="4111" w:type="dxa"/>
                    <w:vAlign w:val="center"/>
                    <w:hideMark/>
                  </w:tcPr>
                  <w:p>
                    <w:pPr>
                      <w:rPr>
                        <w:sz w:val="20"/>
                      </w:rPr>
                    </w:pPr>
                    <w:r>
                      <w:rPr>
                        <w:sz w:val="20"/>
                      </w:rPr>
                      <w:t xml:space="preserve">Stipendijų apimtis Šiaulių valstybinėje kolegijoje  (vnt. / tūkst. Eur)</w:t>
                    </w:r>
                  </w:p>
                </w:tc>
                <w:tc>
                  <w:tcPr>
                    <w:tcW w:w="1134" w:type="dxa"/>
                    <w:vAlign w:val="center"/>
                    <w:hideMark/>
                  </w:tcPr>
                  <w:p>
                    <w:pPr>
                      <w:jc w:val="center"/>
                      <w:rPr>
                        <w:sz w:val="20"/>
                      </w:rPr>
                    </w:pPr>
                    <w:r>
                      <w:rPr>
                        <w:sz w:val="20"/>
                      </w:rPr>
                      <w:t>ŠVK</w:t>
                    </w:r>
                  </w:p>
                </w:tc>
                <w:tc>
                  <w:tcPr>
                    <w:tcW w:w="1134" w:type="dxa"/>
                    <w:vAlign w:val="center"/>
                    <w:hideMark/>
                  </w:tcPr>
                  <w:p>
                    <w:pPr>
                      <w:jc w:val="center"/>
                      <w:rPr>
                        <w:sz w:val="20"/>
                      </w:rPr>
                    </w:pPr>
                    <w:r>
                      <w:rPr>
                        <w:sz w:val="20"/>
                      </w:rPr>
                      <w:t>65/50 (2023)</w:t>
                    </w:r>
                  </w:p>
                </w:tc>
                <w:tc>
                  <w:tcPr>
                    <w:tcW w:w="1134" w:type="dxa"/>
                    <w:vAlign w:val="center"/>
                    <w:hideMark/>
                  </w:tcPr>
                  <w:p>
                    <w:pPr>
                      <w:jc w:val="center"/>
                      <w:rPr>
                        <w:sz w:val="20"/>
                      </w:rPr>
                    </w:pPr>
                    <w:r>
                      <w:rPr>
                        <w:sz w:val="20"/>
                      </w:rPr>
                      <w:t>80/80 (2033)</w:t>
                    </w:r>
                  </w:p>
                </w:tc>
              </w:tr>
              <w:tr>
                <w:trPr>
                  <w:trHeight w:val="251"/>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jc w:val="center"/>
                      <w:rPr>
                        <w:sz w:val="20"/>
                      </w:rPr>
                    </w:pPr>
                  </w:p>
                </w:tc>
                <w:tc>
                  <w:tcPr>
                    <w:tcW w:w="709" w:type="dxa"/>
                    <w:vMerge/>
                    <w:vAlign w:val="center"/>
                    <w:hideMark/>
                  </w:tcPr>
                  <w:p>
                    <w:pPr>
                      <w:jc w:val="center"/>
                      <w:rPr>
                        <w:sz w:val="20"/>
                      </w:rPr>
                    </w:pPr>
                  </w:p>
                </w:tc>
                <w:tc>
                  <w:tcPr>
                    <w:tcW w:w="709" w:type="dxa"/>
                    <w:vMerge/>
                    <w:vAlign w:val="center"/>
                    <w:hideMark/>
                  </w:tcPr>
                  <w:p>
                    <w:pPr>
                      <w:jc w:val="center"/>
                      <w:rPr>
                        <w:sz w:val="20"/>
                      </w:rPr>
                    </w:pPr>
                  </w:p>
                </w:tc>
                <w:tc>
                  <w:tcPr>
                    <w:tcW w:w="1417" w:type="dxa"/>
                    <w:vMerge/>
                    <w:vAlign w:val="center"/>
                    <w:hideMark/>
                  </w:tcPr>
                  <w:p>
                    <w:pPr>
                      <w:rPr>
                        <w:sz w:val="20"/>
                      </w:rPr>
                    </w:pPr>
                  </w:p>
                </w:tc>
                <w:tc>
                  <w:tcPr>
                    <w:tcW w:w="4111" w:type="dxa"/>
                    <w:vAlign w:val="center"/>
                    <w:hideMark/>
                  </w:tcPr>
                  <w:p>
                    <w:pPr>
                      <w:rPr>
                        <w:sz w:val="20"/>
                      </w:rPr>
                    </w:pPr>
                    <w:r>
                      <w:rPr>
                        <w:sz w:val="20"/>
                      </w:rPr>
                      <w:t>Stipendijų apimtis Šiaulių technologijų mokymo centre (vnt. / tūkst. Eur)</w:t>
                    </w:r>
                  </w:p>
                </w:tc>
                <w:tc>
                  <w:tcPr>
                    <w:tcW w:w="1134" w:type="dxa"/>
                    <w:vAlign w:val="center"/>
                    <w:hideMark/>
                  </w:tcPr>
                  <w:p>
                    <w:pPr>
                      <w:jc w:val="center"/>
                      <w:rPr>
                        <w:sz w:val="20"/>
                      </w:rPr>
                    </w:pPr>
                    <w:r>
                      <w:rPr>
                        <w:sz w:val="20"/>
                      </w:rPr>
                      <w:t>ŠTMC</w:t>
                    </w:r>
                  </w:p>
                </w:tc>
                <w:tc>
                  <w:tcPr>
                    <w:tcW w:w="1134" w:type="dxa"/>
                    <w:vAlign w:val="center"/>
                    <w:hideMark/>
                  </w:tcPr>
                  <w:p>
                    <w:pPr>
                      <w:jc w:val="center"/>
                      <w:rPr>
                        <w:sz w:val="20"/>
                      </w:rPr>
                    </w:pPr>
                    <w:r>
                      <w:rPr>
                        <w:sz w:val="20"/>
                      </w:rPr>
                      <w:t>1000/405 (2023)</w:t>
                    </w:r>
                  </w:p>
                </w:tc>
                <w:tc>
                  <w:tcPr>
                    <w:tcW w:w="1134" w:type="dxa"/>
                    <w:vAlign w:val="center"/>
                    <w:hideMark/>
                  </w:tcPr>
                  <w:p>
                    <w:pPr>
                      <w:jc w:val="center"/>
                      <w:rPr>
                        <w:sz w:val="20"/>
                      </w:rPr>
                    </w:pPr>
                    <w:r>
                      <w:rPr>
                        <w:sz w:val="20"/>
                      </w:rPr>
                      <w:t>1100/506 (2033)</w:t>
                    </w:r>
                  </w:p>
                </w:tc>
              </w:tr>
              <w:tr>
                <w:trPr>
                  <w:trHeight w:val="201"/>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jc w:val="center"/>
                      <w:rPr>
                        <w:sz w:val="20"/>
                      </w:rPr>
                    </w:pPr>
                  </w:p>
                </w:tc>
                <w:tc>
                  <w:tcPr>
                    <w:tcW w:w="709" w:type="dxa"/>
                    <w:vMerge/>
                    <w:vAlign w:val="center"/>
                    <w:hideMark/>
                  </w:tcPr>
                  <w:p>
                    <w:pPr>
                      <w:jc w:val="center"/>
                      <w:rPr>
                        <w:sz w:val="20"/>
                      </w:rPr>
                    </w:pPr>
                  </w:p>
                </w:tc>
                <w:tc>
                  <w:tcPr>
                    <w:tcW w:w="709" w:type="dxa"/>
                    <w:vMerge/>
                    <w:vAlign w:val="center"/>
                    <w:hideMark/>
                  </w:tcPr>
                  <w:p>
                    <w:pPr>
                      <w:jc w:val="center"/>
                      <w:rPr>
                        <w:sz w:val="20"/>
                      </w:rPr>
                    </w:pPr>
                  </w:p>
                </w:tc>
                <w:tc>
                  <w:tcPr>
                    <w:tcW w:w="1417" w:type="dxa"/>
                    <w:vMerge/>
                    <w:vAlign w:val="center"/>
                    <w:hideMark/>
                  </w:tcPr>
                  <w:p>
                    <w:pPr>
                      <w:rPr>
                        <w:sz w:val="20"/>
                      </w:rPr>
                    </w:pPr>
                  </w:p>
                </w:tc>
                <w:tc>
                  <w:tcPr>
                    <w:tcW w:w="4111" w:type="dxa"/>
                    <w:vAlign w:val="center"/>
                    <w:hideMark/>
                  </w:tcPr>
                  <w:p>
                    <w:pPr>
                      <w:rPr>
                        <w:sz w:val="20"/>
                      </w:rPr>
                    </w:pPr>
                    <w:r>
                      <w:rPr>
                        <w:sz w:val="20"/>
                      </w:rPr>
                      <w:t>Stipendijų apimtis VU Šiaulių akademijoje (vnt. / tūkst. Eur)</w:t>
                    </w:r>
                  </w:p>
                </w:tc>
                <w:tc>
                  <w:tcPr>
                    <w:tcW w:w="1134" w:type="dxa"/>
                    <w:vAlign w:val="center"/>
                    <w:hideMark/>
                  </w:tcPr>
                  <w:p>
                    <w:pPr>
                      <w:jc w:val="center"/>
                      <w:rPr>
                        <w:sz w:val="20"/>
                      </w:rPr>
                    </w:pPr>
                    <w:r>
                      <w:rPr>
                        <w:sz w:val="20"/>
                      </w:rPr>
                      <w:t>VUŠA</w:t>
                    </w:r>
                  </w:p>
                </w:tc>
                <w:tc>
                  <w:tcPr>
                    <w:tcW w:w="1134" w:type="dxa"/>
                    <w:vAlign w:val="center"/>
                    <w:hideMark/>
                  </w:tcPr>
                  <w:p>
                    <w:pPr>
                      <w:jc w:val="center"/>
                      <w:rPr>
                        <w:sz w:val="20"/>
                      </w:rPr>
                    </w:pPr>
                    <w:r>
                      <w:rPr>
                        <w:sz w:val="20"/>
                      </w:rPr>
                      <w:t>40/20 (2023)</w:t>
                    </w:r>
                  </w:p>
                </w:tc>
                <w:tc>
                  <w:tcPr>
                    <w:tcW w:w="1134" w:type="dxa"/>
                    <w:vAlign w:val="center"/>
                    <w:hideMark/>
                  </w:tcPr>
                  <w:p>
                    <w:pPr>
                      <w:jc w:val="center"/>
                      <w:rPr>
                        <w:sz w:val="20"/>
                      </w:rPr>
                    </w:pPr>
                    <w:r>
                      <w:rPr>
                        <w:sz w:val="20"/>
                      </w:rPr>
                      <w:t>50/50 (2033)</w:t>
                    </w:r>
                  </w:p>
                </w:tc>
              </w:tr>
              <w:tr>
                <w:trPr>
                  <w:trHeight w:val="520"/>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jc w:val="center"/>
                      <w:rPr>
                        <w:sz w:val="20"/>
                      </w:rPr>
                    </w:pPr>
                  </w:p>
                </w:tc>
                <w:tc>
                  <w:tcPr>
                    <w:tcW w:w="709" w:type="dxa"/>
                    <w:vMerge/>
                    <w:vAlign w:val="center"/>
                    <w:hideMark/>
                  </w:tcPr>
                  <w:p>
                    <w:pPr>
                      <w:jc w:val="center"/>
                      <w:rPr>
                        <w:sz w:val="20"/>
                      </w:rPr>
                    </w:pPr>
                  </w:p>
                </w:tc>
                <w:tc>
                  <w:tcPr>
                    <w:tcW w:w="709" w:type="dxa"/>
                    <w:vMerge/>
                    <w:vAlign w:val="center"/>
                    <w:hideMark/>
                  </w:tcPr>
                  <w:p>
                    <w:pPr>
                      <w:jc w:val="center"/>
                      <w:rPr>
                        <w:sz w:val="20"/>
                      </w:rPr>
                    </w:pPr>
                  </w:p>
                </w:tc>
                <w:tc>
                  <w:tcPr>
                    <w:tcW w:w="1417" w:type="dxa"/>
                    <w:vAlign w:val="center"/>
                    <w:hideMark/>
                  </w:tcPr>
                  <w:p>
                    <w:pPr>
                      <w:rPr>
                        <w:sz w:val="20"/>
                      </w:rPr>
                    </w:pPr>
                    <w:r>
                      <w:rPr>
                        <w:sz w:val="20"/>
                      </w:rPr>
                      <w:t>P-18-01-07-02</w:t>
                    </w:r>
                  </w:p>
                </w:tc>
                <w:tc>
                  <w:tcPr>
                    <w:tcW w:w="4111" w:type="dxa"/>
                    <w:vAlign w:val="center"/>
                    <w:hideMark/>
                  </w:tcPr>
                  <w:p>
                    <w:pPr>
                      <w:rPr>
                        <w:sz w:val="20"/>
                      </w:rPr>
                    </w:pPr>
                    <w:r>
                      <w:rPr>
                        <w:sz w:val="20"/>
                      </w:rPr>
                      <w:t>Įgyvendintų naujų švietimo ir kitų sričių bendradarbiavimo iniciatyvų skaičius (vnt.)</w:t>
                    </w:r>
                  </w:p>
                </w:tc>
                <w:tc>
                  <w:tcPr>
                    <w:tcW w:w="1134" w:type="dxa"/>
                    <w:vAlign w:val="center"/>
                    <w:hideMark/>
                  </w:tcPr>
                  <w:p>
                    <w:pPr>
                      <w:jc w:val="center"/>
                      <w:rPr>
                        <w:sz w:val="20"/>
                      </w:rPr>
                    </w:pPr>
                    <w:r>
                      <w:rPr>
                        <w:sz w:val="20"/>
                      </w:rPr>
                      <w:t>ŠTMC, ŠVK, VUŠA</w:t>
                    </w:r>
                  </w:p>
                </w:tc>
                <w:tc>
                  <w:tcPr>
                    <w:tcW w:w="1134" w:type="dxa"/>
                    <w:noWrap/>
                    <w:vAlign w:val="center"/>
                    <w:hideMark/>
                  </w:tcPr>
                  <w:p>
                    <w:pPr>
                      <w:jc w:val="center"/>
                      <w:rPr>
                        <w:sz w:val="20"/>
                      </w:rPr>
                    </w:pPr>
                    <w:r>
                      <w:rPr>
                        <w:sz w:val="20"/>
                      </w:rPr>
                      <w:t>0 (2023)</w:t>
                    </w:r>
                  </w:p>
                </w:tc>
                <w:tc>
                  <w:tcPr>
                    <w:tcW w:w="1134" w:type="dxa"/>
                    <w:noWrap/>
                    <w:vAlign w:val="center"/>
                    <w:hideMark/>
                  </w:tcPr>
                  <w:p>
                    <w:pPr>
                      <w:jc w:val="center"/>
                      <w:rPr>
                        <w:sz w:val="20"/>
                      </w:rPr>
                    </w:pPr>
                    <w:r>
                      <w:rPr>
                        <w:sz w:val="20"/>
                      </w:rPr>
                      <w:t>9 (2033)</w:t>
                    </w:r>
                  </w:p>
                </w:tc>
              </w:tr>
              <w:tr>
                <w:trPr>
                  <w:trHeight w:val="389"/>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jc w:val="center"/>
                      <w:rPr>
                        <w:sz w:val="20"/>
                      </w:rPr>
                    </w:pPr>
                  </w:p>
                </w:tc>
                <w:tc>
                  <w:tcPr>
                    <w:tcW w:w="709" w:type="dxa"/>
                    <w:vMerge/>
                    <w:vAlign w:val="center"/>
                    <w:hideMark/>
                  </w:tcPr>
                  <w:p>
                    <w:pPr>
                      <w:jc w:val="center"/>
                      <w:rPr>
                        <w:sz w:val="20"/>
                      </w:rPr>
                    </w:pPr>
                  </w:p>
                </w:tc>
                <w:tc>
                  <w:tcPr>
                    <w:tcW w:w="709" w:type="dxa"/>
                    <w:vMerge/>
                    <w:vAlign w:val="center"/>
                    <w:hideMark/>
                  </w:tcPr>
                  <w:p>
                    <w:pPr>
                      <w:jc w:val="center"/>
                      <w:rPr>
                        <w:sz w:val="20"/>
                      </w:rPr>
                    </w:pPr>
                  </w:p>
                </w:tc>
                <w:tc>
                  <w:tcPr>
                    <w:tcW w:w="1417" w:type="dxa"/>
                    <w:vAlign w:val="center"/>
                    <w:hideMark/>
                  </w:tcPr>
                  <w:p>
                    <w:pPr>
                      <w:rPr>
                        <w:sz w:val="20"/>
                      </w:rPr>
                    </w:pPr>
                    <w:r>
                      <w:rPr>
                        <w:sz w:val="20"/>
                      </w:rPr>
                      <w:t>P-18-01-07-03</w:t>
                    </w:r>
                  </w:p>
                </w:tc>
                <w:tc>
                  <w:tcPr>
                    <w:tcW w:w="4111" w:type="dxa"/>
                    <w:vAlign w:val="center"/>
                    <w:hideMark/>
                  </w:tcPr>
                  <w:p>
                    <w:pPr>
                      <w:rPr>
                        <w:sz w:val="20"/>
                      </w:rPr>
                    </w:pPr>
                    <w:r>
                      <w:rPr>
                        <w:sz w:val="20"/>
                      </w:rPr>
                      <w:t>Pedagogų, kurie persikvalifikavo ir/ar įgijo papildomą mokomojo dalyko specializaciją skaičius (asm.)</w:t>
                    </w:r>
                  </w:p>
                </w:tc>
                <w:tc>
                  <w:tcPr>
                    <w:tcW w:w="1134" w:type="dxa"/>
                    <w:noWrap/>
                    <w:vAlign w:val="center"/>
                    <w:hideMark/>
                  </w:tcPr>
                  <w:p>
                    <w:pPr>
                      <w:jc w:val="center"/>
                      <w:rPr>
                        <w:sz w:val="20"/>
                      </w:rPr>
                    </w:pPr>
                    <w:r>
                      <w:rPr>
                        <w:sz w:val="20"/>
                      </w:rPr>
                      <w:t>ŠS</w:t>
                    </w:r>
                  </w:p>
                </w:tc>
                <w:tc>
                  <w:tcPr>
                    <w:tcW w:w="1134" w:type="dxa"/>
                    <w:noWrap/>
                    <w:vAlign w:val="center"/>
                    <w:hideMark/>
                  </w:tcPr>
                  <w:p>
                    <w:pPr>
                      <w:jc w:val="center"/>
                      <w:rPr>
                        <w:sz w:val="20"/>
                      </w:rPr>
                    </w:pPr>
                    <w:r>
                      <w:rPr>
                        <w:sz w:val="20"/>
                      </w:rPr>
                      <w:t>n.d. (2023)</w:t>
                    </w:r>
                  </w:p>
                </w:tc>
                <w:tc>
                  <w:tcPr>
                    <w:tcW w:w="1134" w:type="dxa"/>
                    <w:noWrap/>
                    <w:vAlign w:val="center"/>
                    <w:hideMark/>
                  </w:tcPr>
                  <w:p>
                    <w:pPr>
                      <w:jc w:val="center"/>
                      <w:rPr>
                        <w:sz w:val="20"/>
                      </w:rPr>
                    </w:pPr>
                    <w:r>
                      <w:rPr>
                        <w:sz w:val="20"/>
                      </w:rPr>
                      <w:t>30 (2033)</w:t>
                    </w:r>
                  </w:p>
                </w:tc>
              </w:tr>
              <w:tr>
                <w:trPr>
                  <w:trHeight w:val="520"/>
                  <w:jc w:val="center"/>
                </w:trPr>
                <w:tc>
                  <w:tcPr>
                    <w:tcW w:w="988" w:type="dxa"/>
                    <w:vMerge w:val="restart"/>
                    <w:noWrap/>
                    <w:vAlign w:val="center"/>
                    <w:hideMark/>
                  </w:tcPr>
                  <w:p>
                    <w:pPr>
                      <w:rPr>
                        <w:sz w:val="20"/>
                      </w:rPr>
                    </w:pPr>
                    <w:r>
                      <w:rPr>
                        <w:sz w:val="20"/>
                      </w:rPr>
                      <w:t>18-01-08</w:t>
                    </w:r>
                  </w:p>
                </w:tc>
                <w:tc>
                  <w:tcPr>
                    <w:tcW w:w="2126" w:type="dxa"/>
                    <w:vMerge w:val="restart"/>
                    <w:vAlign w:val="center"/>
                    <w:hideMark/>
                  </w:tcPr>
                  <w:p>
                    <w:pPr>
                      <w:rPr>
                        <w:sz w:val="20"/>
                      </w:rPr>
                    </w:pPr>
                    <w:r>
                      <w:rPr>
                        <w:sz w:val="20"/>
                      </w:rPr>
                      <w:t>Užtikrinti socialinį-emocinį saugumą visiems švietimo bendruomenės nariams</w:t>
                    </w:r>
                  </w:p>
                </w:tc>
                <w:tc>
                  <w:tcPr>
                    <w:tcW w:w="850" w:type="dxa"/>
                    <w:vMerge w:val="restart"/>
                    <w:vAlign w:val="center"/>
                    <w:hideMark/>
                  </w:tcPr>
                  <w:p>
                    <w:pPr>
                      <w:jc w:val="center"/>
                      <w:rPr>
                        <w:sz w:val="20"/>
                      </w:rPr>
                    </w:pPr>
                    <w:r>
                      <w:rPr>
                        <w:sz w:val="20"/>
                      </w:rPr>
                      <w:t>ŠS</w:t>
                    </w:r>
                  </w:p>
                </w:tc>
                <w:tc>
                  <w:tcPr>
                    <w:tcW w:w="709" w:type="dxa"/>
                    <w:vMerge w:val="restart"/>
                    <w:vAlign w:val="center"/>
                    <w:hideMark/>
                  </w:tcPr>
                  <w:p>
                    <w:pPr>
                      <w:jc w:val="center"/>
                      <w:rPr>
                        <w:sz w:val="20"/>
                      </w:rPr>
                    </w:pPr>
                    <w:r>
                      <w:rPr>
                        <w:sz w:val="20"/>
                      </w:rPr>
                      <w:t>2025</w:t>
                    </w:r>
                  </w:p>
                </w:tc>
                <w:tc>
                  <w:tcPr>
                    <w:tcW w:w="709" w:type="dxa"/>
                    <w:vMerge w:val="restart"/>
                    <w:vAlign w:val="center"/>
                    <w:hideMark/>
                  </w:tcPr>
                  <w:p>
                    <w:pPr>
                      <w:jc w:val="center"/>
                      <w:rPr>
                        <w:sz w:val="20"/>
                      </w:rPr>
                    </w:pPr>
                    <w:r>
                      <w:rPr>
                        <w:sz w:val="20"/>
                      </w:rPr>
                      <w:t>2033</w:t>
                    </w:r>
                  </w:p>
                </w:tc>
                <w:tc>
                  <w:tcPr>
                    <w:tcW w:w="1417" w:type="dxa"/>
                    <w:vAlign w:val="center"/>
                    <w:hideMark/>
                  </w:tcPr>
                  <w:p>
                    <w:pPr>
                      <w:rPr>
                        <w:sz w:val="20"/>
                      </w:rPr>
                    </w:pPr>
                    <w:r>
                      <w:rPr>
                        <w:sz w:val="20"/>
                      </w:rPr>
                      <w:t>P-18-01-08-01</w:t>
                    </w:r>
                  </w:p>
                </w:tc>
                <w:tc>
                  <w:tcPr>
                    <w:tcW w:w="4111" w:type="dxa"/>
                    <w:vAlign w:val="center"/>
                    <w:hideMark/>
                  </w:tcPr>
                  <w:p>
                    <w:pPr>
                      <w:rPr>
                        <w:sz w:val="20"/>
                      </w:rPr>
                    </w:pPr>
                    <w:r>
                      <w:rPr>
                        <w:sz w:val="20"/>
                      </w:rPr>
                      <w:t>Mokinių, patiriančių patyčias, smurtą švietimo įstaigose, dalis nuo visų besimokančiųjų (proc.)</w:t>
                    </w:r>
                  </w:p>
                </w:tc>
                <w:tc>
                  <w:tcPr>
                    <w:tcW w:w="1134" w:type="dxa"/>
                    <w:noWrap/>
                    <w:vAlign w:val="center"/>
                    <w:hideMark/>
                  </w:tcPr>
                  <w:p>
                    <w:pPr>
                      <w:jc w:val="center"/>
                      <w:rPr>
                        <w:sz w:val="20"/>
                      </w:rPr>
                    </w:pPr>
                    <w:r>
                      <w:rPr>
                        <w:sz w:val="20"/>
                      </w:rPr>
                      <w:t>ŠS</w:t>
                    </w:r>
                  </w:p>
                </w:tc>
                <w:tc>
                  <w:tcPr>
                    <w:tcW w:w="1134" w:type="dxa"/>
                    <w:noWrap/>
                    <w:vAlign w:val="center"/>
                    <w:hideMark/>
                  </w:tcPr>
                  <w:p>
                    <w:pPr>
                      <w:jc w:val="center"/>
                      <w:rPr>
                        <w:sz w:val="20"/>
                      </w:rPr>
                    </w:pPr>
                    <w:r>
                      <w:rPr>
                        <w:sz w:val="20"/>
                      </w:rPr>
                      <w:t>2,2 (2023)</w:t>
                    </w:r>
                  </w:p>
                </w:tc>
                <w:tc>
                  <w:tcPr>
                    <w:tcW w:w="1134" w:type="dxa"/>
                    <w:noWrap/>
                    <w:vAlign w:val="center"/>
                    <w:hideMark/>
                  </w:tcPr>
                  <w:p>
                    <w:pPr>
                      <w:jc w:val="center"/>
                      <w:rPr>
                        <w:sz w:val="20"/>
                      </w:rPr>
                    </w:pPr>
                    <w:r>
                      <w:rPr>
                        <w:sz w:val="20"/>
                      </w:rPr>
                      <w:t>1 (2033)</w:t>
                    </w:r>
                  </w:p>
                </w:tc>
              </w:tr>
              <w:tr>
                <w:trPr>
                  <w:trHeight w:val="530"/>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rPr>
                        <w:sz w:val="20"/>
                      </w:rPr>
                    </w:pPr>
                  </w:p>
                </w:tc>
                <w:tc>
                  <w:tcPr>
                    <w:tcW w:w="709" w:type="dxa"/>
                    <w:vMerge/>
                    <w:vAlign w:val="center"/>
                    <w:hideMark/>
                  </w:tcPr>
                  <w:p>
                    <w:pPr>
                      <w:rPr>
                        <w:sz w:val="20"/>
                      </w:rPr>
                    </w:pPr>
                  </w:p>
                </w:tc>
                <w:tc>
                  <w:tcPr>
                    <w:tcW w:w="709" w:type="dxa"/>
                    <w:vMerge/>
                    <w:vAlign w:val="center"/>
                    <w:hideMark/>
                  </w:tcPr>
                  <w:p>
                    <w:pPr>
                      <w:rPr>
                        <w:sz w:val="20"/>
                      </w:rPr>
                    </w:pPr>
                  </w:p>
                </w:tc>
                <w:tc>
                  <w:tcPr>
                    <w:tcW w:w="1417" w:type="dxa"/>
                    <w:vAlign w:val="center"/>
                    <w:hideMark/>
                  </w:tcPr>
                  <w:p>
                    <w:pPr>
                      <w:rPr>
                        <w:sz w:val="20"/>
                      </w:rPr>
                    </w:pPr>
                    <w:r>
                      <w:rPr>
                        <w:sz w:val="20"/>
                      </w:rPr>
                      <w:t>P-18-01-08-02</w:t>
                    </w:r>
                  </w:p>
                </w:tc>
                <w:tc>
                  <w:tcPr>
                    <w:tcW w:w="4111" w:type="dxa"/>
                    <w:vAlign w:val="center"/>
                    <w:hideMark/>
                  </w:tcPr>
                  <w:p>
                    <w:pPr>
                      <w:rPr>
                        <w:sz w:val="20"/>
                      </w:rPr>
                    </w:pPr>
                    <w:r>
                      <w:rPr>
                        <w:sz w:val="20"/>
                      </w:rPr>
                      <w:t>Psichologų pareigybių švietimo įstaigose skaičius (asm.)</w:t>
                    </w:r>
                  </w:p>
                </w:tc>
                <w:tc>
                  <w:tcPr>
                    <w:tcW w:w="1134" w:type="dxa"/>
                    <w:noWrap/>
                    <w:vAlign w:val="center"/>
                    <w:hideMark/>
                  </w:tcPr>
                  <w:p>
                    <w:pPr>
                      <w:jc w:val="center"/>
                      <w:rPr>
                        <w:sz w:val="20"/>
                      </w:rPr>
                    </w:pPr>
                    <w:r>
                      <w:rPr>
                        <w:sz w:val="20"/>
                      </w:rPr>
                      <w:t>ŠS</w:t>
                    </w:r>
                  </w:p>
                </w:tc>
                <w:tc>
                  <w:tcPr>
                    <w:tcW w:w="1134" w:type="dxa"/>
                    <w:noWrap/>
                    <w:vAlign w:val="center"/>
                    <w:hideMark/>
                  </w:tcPr>
                  <w:p>
                    <w:pPr>
                      <w:jc w:val="center"/>
                      <w:rPr>
                        <w:sz w:val="20"/>
                      </w:rPr>
                    </w:pPr>
                    <w:r>
                      <w:rPr>
                        <w:sz w:val="20"/>
                      </w:rPr>
                      <w:t>17 (2023)</w:t>
                    </w:r>
                  </w:p>
                </w:tc>
                <w:tc>
                  <w:tcPr>
                    <w:tcW w:w="1134" w:type="dxa"/>
                    <w:noWrap/>
                    <w:vAlign w:val="center"/>
                    <w:hideMark/>
                  </w:tcPr>
                  <w:p>
                    <w:pPr>
                      <w:jc w:val="center"/>
                      <w:rPr>
                        <w:sz w:val="20"/>
                      </w:rPr>
                    </w:pPr>
                    <w:r>
                      <w:rPr>
                        <w:sz w:val="20"/>
                      </w:rPr>
                      <w:t>34 (2033)</w:t>
                    </w:r>
                  </w:p>
                </w:tc>
              </w:tr>
              <w:tr>
                <w:trPr>
                  <w:trHeight w:val="173"/>
                  <w:jc w:val="center"/>
                </w:trPr>
                <w:tc>
                  <w:tcPr>
                    <w:tcW w:w="988" w:type="dxa"/>
                    <w:vMerge w:val="restart"/>
                    <w:noWrap/>
                    <w:vAlign w:val="center"/>
                    <w:hideMark/>
                  </w:tcPr>
                  <w:p>
                    <w:pPr>
                      <w:rPr>
                        <w:sz w:val="20"/>
                      </w:rPr>
                    </w:pPr>
                    <w:r>
                      <w:rPr>
                        <w:sz w:val="20"/>
                      </w:rPr>
                      <w:t>18-01-09</w:t>
                    </w:r>
                  </w:p>
                </w:tc>
                <w:tc>
                  <w:tcPr>
                    <w:tcW w:w="2126" w:type="dxa"/>
                    <w:vMerge w:val="restart"/>
                    <w:vAlign w:val="center"/>
                    <w:hideMark/>
                  </w:tcPr>
                  <w:p>
                    <w:pPr>
                      <w:rPr>
                        <w:sz w:val="20"/>
                      </w:rPr>
                    </w:pPr>
                    <w:r>
                      <w:rPr>
                        <w:sz w:val="20"/>
                      </w:rPr>
                      <w:t>Kurti švietimo srities specialistams patrauklias darbo sąlygas įvairiuose švietimo lygmenyse</w:t>
                    </w:r>
                  </w:p>
                </w:tc>
                <w:tc>
                  <w:tcPr>
                    <w:tcW w:w="850" w:type="dxa"/>
                    <w:vMerge w:val="restart"/>
                    <w:vAlign w:val="center"/>
                    <w:hideMark/>
                  </w:tcPr>
                  <w:p>
                    <w:pPr>
                      <w:jc w:val="center"/>
                      <w:rPr>
                        <w:sz w:val="20"/>
                      </w:rPr>
                    </w:pPr>
                    <w:r>
                      <w:rPr>
                        <w:sz w:val="20"/>
                      </w:rPr>
                      <w:t>ŠS</w:t>
                    </w:r>
                  </w:p>
                </w:tc>
                <w:tc>
                  <w:tcPr>
                    <w:tcW w:w="709" w:type="dxa"/>
                    <w:vMerge w:val="restart"/>
                    <w:vAlign w:val="center"/>
                    <w:hideMark/>
                  </w:tcPr>
                  <w:p>
                    <w:pPr>
                      <w:jc w:val="center"/>
                      <w:rPr>
                        <w:sz w:val="20"/>
                      </w:rPr>
                    </w:pPr>
                    <w:r>
                      <w:rPr>
                        <w:sz w:val="20"/>
                      </w:rPr>
                      <w:t>2025</w:t>
                    </w:r>
                  </w:p>
                </w:tc>
                <w:tc>
                  <w:tcPr>
                    <w:tcW w:w="709" w:type="dxa"/>
                    <w:vMerge w:val="restart"/>
                    <w:vAlign w:val="center"/>
                    <w:hideMark/>
                  </w:tcPr>
                  <w:p>
                    <w:pPr>
                      <w:jc w:val="center"/>
                      <w:rPr>
                        <w:sz w:val="20"/>
                      </w:rPr>
                    </w:pPr>
                    <w:r>
                      <w:rPr>
                        <w:sz w:val="20"/>
                      </w:rPr>
                      <w:t>2033</w:t>
                    </w:r>
                  </w:p>
                </w:tc>
                <w:tc>
                  <w:tcPr>
                    <w:tcW w:w="1417" w:type="dxa"/>
                    <w:vAlign w:val="center"/>
                    <w:hideMark/>
                  </w:tcPr>
                  <w:p>
                    <w:pPr>
                      <w:rPr>
                        <w:sz w:val="20"/>
                      </w:rPr>
                    </w:pPr>
                    <w:r>
                      <w:rPr>
                        <w:sz w:val="20"/>
                      </w:rPr>
                      <w:t>P-18-01-09-01</w:t>
                    </w:r>
                  </w:p>
                </w:tc>
                <w:tc>
                  <w:tcPr>
                    <w:tcW w:w="4111" w:type="dxa"/>
                    <w:vAlign w:val="center"/>
                    <w:hideMark/>
                  </w:tcPr>
                  <w:p>
                    <w:pPr>
                      <w:rPr>
                        <w:sz w:val="20"/>
                      </w:rPr>
                    </w:pPr>
                    <w:r>
                      <w:rPr>
                        <w:sz w:val="20"/>
                      </w:rPr>
                      <w:t xml:space="preserve">Jaunesnių nei 50 metų, 50 metų ir vyresnio amžiaus mokytojų skaičiaus santykis </w:t>
                    </w:r>
                  </w:p>
                </w:tc>
                <w:tc>
                  <w:tcPr>
                    <w:tcW w:w="1134" w:type="dxa"/>
                    <w:noWrap/>
                    <w:vAlign w:val="center"/>
                    <w:hideMark/>
                  </w:tcPr>
                  <w:p>
                    <w:pPr>
                      <w:jc w:val="center"/>
                      <w:rPr>
                        <w:sz w:val="20"/>
                      </w:rPr>
                    </w:pPr>
                    <w:r>
                      <w:rPr>
                        <w:sz w:val="20"/>
                      </w:rPr>
                      <w:t>ŠVIS</w:t>
                    </w:r>
                  </w:p>
                </w:tc>
                <w:tc>
                  <w:tcPr>
                    <w:tcW w:w="1134" w:type="dxa"/>
                    <w:noWrap/>
                    <w:vAlign w:val="center"/>
                    <w:hideMark/>
                  </w:tcPr>
                  <w:p>
                    <w:pPr>
                      <w:jc w:val="center"/>
                      <w:rPr>
                        <w:sz w:val="20"/>
                      </w:rPr>
                    </w:pPr>
                    <w:r>
                      <w:rPr>
                        <w:sz w:val="20"/>
                      </w:rPr>
                      <w:t>0,62 (2023)</w:t>
                    </w:r>
                  </w:p>
                </w:tc>
                <w:tc>
                  <w:tcPr>
                    <w:tcW w:w="1134" w:type="dxa"/>
                    <w:noWrap/>
                    <w:vAlign w:val="center"/>
                    <w:hideMark/>
                  </w:tcPr>
                  <w:p>
                    <w:pPr>
                      <w:jc w:val="center"/>
                      <w:rPr>
                        <w:sz w:val="20"/>
                      </w:rPr>
                    </w:pPr>
                    <w:r>
                      <w:rPr>
                        <w:sz w:val="20"/>
                      </w:rPr>
                      <w:t>1 (2033)</w:t>
                    </w:r>
                  </w:p>
                </w:tc>
              </w:tr>
              <w:tr>
                <w:trPr>
                  <w:trHeight w:val="193"/>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rPr>
                        <w:sz w:val="20"/>
                      </w:rPr>
                    </w:pPr>
                  </w:p>
                </w:tc>
                <w:tc>
                  <w:tcPr>
                    <w:tcW w:w="709" w:type="dxa"/>
                    <w:vMerge/>
                    <w:vAlign w:val="center"/>
                    <w:hideMark/>
                  </w:tcPr>
                  <w:p>
                    <w:pPr>
                      <w:rPr>
                        <w:sz w:val="20"/>
                      </w:rPr>
                    </w:pPr>
                  </w:p>
                </w:tc>
                <w:tc>
                  <w:tcPr>
                    <w:tcW w:w="709" w:type="dxa"/>
                    <w:vMerge/>
                    <w:vAlign w:val="center"/>
                    <w:hideMark/>
                  </w:tcPr>
                  <w:p>
                    <w:pPr>
                      <w:rPr>
                        <w:sz w:val="20"/>
                      </w:rPr>
                    </w:pPr>
                  </w:p>
                </w:tc>
                <w:tc>
                  <w:tcPr>
                    <w:tcW w:w="1417" w:type="dxa"/>
                    <w:vAlign w:val="center"/>
                    <w:hideMark/>
                  </w:tcPr>
                  <w:p>
                    <w:pPr>
                      <w:rPr>
                        <w:sz w:val="20"/>
                      </w:rPr>
                    </w:pPr>
                    <w:r>
                      <w:rPr>
                        <w:sz w:val="20"/>
                      </w:rPr>
                      <w:t>P-18-01-09-02</w:t>
                    </w:r>
                  </w:p>
                </w:tc>
                <w:tc>
                  <w:tcPr>
                    <w:tcW w:w="4111" w:type="dxa"/>
                    <w:vAlign w:val="center"/>
                    <w:hideMark/>
                  </w:tcPr>
                  <w:p>
                    <w:pPr>
                      <w:rPr>
                        <w:sz w:val="20"/>
                      </w:rPr>
                    </w:pPr>
                    <w:r>
                      <w:rPr>
                        <w:sz w:val="20"/>
                      </w:rPr>
                      <w:t>Trūkstamų pedagoginių darbuotojų skaičius švietimo įstaigose (asm.)</w:t>
                    </w:r>
                  </w:p>
                </w:tc>
                <w:tc>
                  <w:tcPr>
                    <w:tcW w:w="1134" w:type="dxa"/>
                    <w:noWrap/>
                    <w:vAlign w:val="center"/>
                    <w:hideMark/>
                  </w:tcPr>
                  <w:p>
                    <w:pPr>
                      <w:jc w:val="center"/>
                      <w:rPr>
                        <w:sz w:val="20"/>
                      </w:rPr>
                    </w:pPr>
                    <w:r>
                      <w:rPr>
                        <w:sz w:val="20"/>
                      </w:rPr>
                      <w:t>ŠS</w:t>
                    </w:r>
                  </w:p>
                </w:tc>
                <w:tc>
                  <w:tcPr>
                    <w:tcW w:w="1134" w:type="dxa"/>
                    <w:noWrap/>
                    <w:vAlign w:val="center"/>
                    <w:hideMark/>
                  </w:tcPr>
                  <w:p>
                    <w:pPr>
                      <w:jc w:val="center"/>
                      <w:rPr>
                        <w:sz w:val="20"/>
                      </w:rPr>
                    </w:pPr>
                    <w:r>
                      <w:rPr>
                        <w:sz w:val="20"/>
                      </w:rPr>
                      <w:t>15 (2023)</w:t>
                    </w:r>
                  </w:p>
                </w:tc>
                <w:tc>
                  <w:tcPr>
                    <w:tcW w:w="1134" w:type="dxa"/>
                    <w:noWrap/>
                    <w:vAlign w:val="center"/>
                    <w:hideMark/>
                  </w:tcPr>
                  <w:p>
                    <w:pPr>
                      <w:jc w:val="center"/>
                      <w:rPr>
                        <w:sz w:val="20"/>
                      </w:rPr>
                    </w:pPr>
                    <w:r>
                      <w:rPr>
                        <w:sz w:val="20"/>
                      </w:rPr>
                      <w:t>0 (2033)</w:t>
                    </w:r>
                  </w:p>
                </w:tc>
              </w:tr>
              <w:tr>
                <w:trPr>
                  <w:trHeight w:val="797"/>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rPr>
                        <w:sz w:val="20"/>
                      </w:rPr>
                    </w:pPr>
                  </w:p>
                </w:tc>
                <w:tc>
                  <w:tcPr>
                    <w:tcW w:w="709" w:type="dxa"/>
                    <w:vMerge/>
                    <w:vAlign w:val="center"/>
                    <w:hideMark/>
                  </w:tcPr>
                  <w:p>
                    <w:pPr>
                      <w:rPr>
                        <w:sz w:val="20"/>
                      </w:rPr>
                    </w:pPr>
                  </w:p>
                </w:tc>
                <w:tc>
                  <w:tcPr>
                    <w:tcW w:w="709" w:type="dxa"/>
                    <w:vMerge/>
                    <w:vAlign w:val="center"/>
                    <w:hideMark/>
                  </w:tcPr>
                  <w:p>
                    <w:pPr>
                      <w:rPr>
                        <w:sz w:val="20"/>
                      </w:rPr>
                    </w:pPr>
                  </w:p>
                </w:tc>
                <w:tc>
                  <w:tcPr>
                    <w:tcW w:w="1417" w:type="dxa"/>
                    <w:vAlign w:val="center"/>
                    <w:hideMark/>
                  </w:tcPr>
                  <w:p>
                    <w:pPr>
                      <w:rPr>
                        <w:sz w:val="20"/>
                      </w:rPr>
                    </w:pPr>
                    <w:r>
                      <w:rPr>
                        <w:sz w:val="20"/>
                      </w:rPr>
                      <w:t>P-18-01-09-03</w:t>
                    </w:r>
                  </w:p>
                </w:tc>
                <w:tc>
                  <w:tcPr>
                    <w:tcW w:w="4111" w:type="dxa"/>
                    <w:vAlign w:val="center"/>
                    <w:hideMark/>
                  </w:tcPr>
                  <w:p>
                    <w:pPr>
                      <w:rPr>
                        <w:sz w:val="20"/>
                      </w:rPr>
                    </w:pPr>
                    <w:r>
                      <w:rPr>
                        <w:sz w:val="20"/>
                      </w:rPr>
                      <w:t>Šiaulių miesto savivaldybės „Pedagogų pritraukimo, perkvalifikavimo ir kvalifikacijos tobulinimo strategijos plano priemonėse“ dalyvaujančių asmenų skaičius (asm.)</w:t>
                    </w:r>
                  </w:p>
                </w:tc>
                <w:tc>
                  <w:tcPr>
                    <w:tcW w:w="1134" w:type="dxa"/>
                    <w:noWrap/>
                    <w:vAlign w:val="center"/>
                    <w:hideMark/>
                  </w:tcPr>
                  <w:p>
                    <w:pPr>
                      <w:jc w:val="center"/>
                      <w:rPr>
                        <w:sz w:val="20"/>
                      </w:rPr>
                    </w:pPr>
                    <w:r>
                      <w:rPr>
                        <w:sz w:val="20"/>
                      </w:rPr>
                      <w:t>ŠS</w:t>
                    </w:r>
                  </w:p>
                </w:tc>
                <w:tc>
                  <w:tcPr>
                    <w:tcW w:w="1134" w:type="dxa"/>
                    <w:noWrap/>
                    <w:vAlign w:val="center"/>
                    <w:hideMark/>
                  </w:tcPr>
                  <w:p>
                    <w:pPr>
                      <w:jc w:val="center"/>
                      <w:rPr>
                        <w:sz w:val="20"/>
                      </w:rPr>
                    </w:pPr>
                    <w:r>
                      <w:rPr>
                        <w:sz w:val="20"/>
                      </w:rPr>
                      <w:t>0 (2023)</w:t>
                    </w:r>
                  </w:p>
                </w:tc>
                <w:tc>
                  <w:tcPr>
                    <w:tcW w:w="1134" w:type="dxa"/>
                    <w:noWrap/>
                    <w:vAlign w:val="center"/>
                    <w:hideMark/>
                  </w:tcPr>
                  <w:p>
                    <w:pPr>
                      <w:jc w:val="center"/>
                      <w:rPr>
                        <w:sz w:val="20"/>
                      </w:rPr>
                    </w:pPr>
                    <w:r>
                      <w:rPr>
                        <w:sz w:val="20"/>
                      </w:rPr>
                      <w:t>200 (2033)</w:t>
                    </w:r>
                  </w:p>
                </w:tc>
              </w:tr>
              <w:tr>
                <w:trPr>
                  <w:trHeight w:val="443"/>
                  <w:jc w:val="center"/>
                </w:trPr>
                <w:tc>
                  <w:tcPr>
                    <w:tcW w:w="988" w:type="dxa"/>
                    <w:vMerge w:val="restart"/>
                    <w:shd w:val="clear" w:color="auto" w:fill="FCE4D6"/>
                    <w:noWrap/>
                    <w:vAlign w:val="center"/>
                    <w:hideMark/>
                  </w:tcPr>
                  <w:p>
                    <w:pPr>
                      <w:rPr>
                        <w:b/>
                        <w:bCs/>
                        <w:sz w:val="20"/>
                      </w:rPr>
                    </w:pPr>
                    <w:r>
                      <w:rPr>
                        <w:b/>
                        <w:bCs/>
                        <w:sz w:val="20"/>
                      </w:rPr>
                      <w:t>18-02</w:t>
                    </w:r>
                  </w:p>
                </w:tc>
                <w:tc>
                  <w:tcPr>
                    <w:tcW w:w="2126" w:type="dxa"/>
                    <w:vMerge w:val="restart"/>
                    <w:shd w:val="clear" w:color="auto" w:fill="FCE4D6"/>
                    <w:vAlign w:val="center"/>
                    <w:hideMark/>
                  </w:tcPr>
                  <w:p>
                    <w:pPr>
                      <w:rPr>
                        <w:b/>
                        <w:bCs/>
                        <w:sz w:val="20"/>
                      </w:rPr>
                    </w:pPr>
                    <w:r>
                      <w:rPr>
                        <w:b/>
                        <w:bCs/>
                        <w:sz w:val="20"/>
                      </w:rPr>
                      <w:t>Užtikrinti švietimo paslaugų prieinamumą ir kokybę, gerinant ugdymo(-si) aplinką</w:t>
                    </w:r>
                  </w:p>
                </w:tc>
                <w:tc>
                  <w:tcPr>
                    <w:tcW w:w="850" w:type="dxa"/>
                    <w:vMerge w:val="restart"/>
                    <w:shd w:val="clear" w:color="auto" w:fill="FCE4D6"/>
                    <w:vAlign w:val="center"/>
                    <w:hideMark/>
                  </w:tcPr>
                  <w:p>
                    <w:pPr>
                      <w:jc w:val="center"/>
                      <w:rPr>
                        <w:sz w:val="20"/>
                      </w:rPr>
                    </w:pPr>
                    <w:r>
                      <w:rPr>
                        <w:sz w:val="20"/>
                      </w:rPr>
                      <w:t>ŠS</w:t>
                    </w:r>
                  </w:p>
                </w:tc>
                <w:tc>
                  <w:tcPr>
                    <w:tcW w:w="709" w:type="dxa"/>
                    <w:vMerge w:val="restart"/>
                    <w:shd w:val="clear" w:color="auto" w:fill="FCE4D6"/>
                    <w:vAlign w:val="center"/>
                    <w:hideMark/>
                  </w:tcPr>
                  <w:p>
                    <w:pPr>
                      <w:jc w:val="center"/>
                      <w:rPr>
                        <w:sz w:val="20"/>
                      </w:rPr>
                    </w:pPr>
                    <w:r>
                      <w:rPr>
                        <w:sz w:val="20"/>
                      </w:rPr>
                      <w:t>2025</w:t>
                    </w:r>
                  </w:p>
                </w:tc>
                <w:tc>
                  <w:tcPr>
                    <w:tcW w:w="709" w:type="dxa"/>
                    <w:vMerge w:val="restart"/>
                    <w:shd w:val="clear" w:color="auto" w:fill="FCE4D6"/>
                    <w:vAlign w:val="center"/>
                    <w:hideMark/>
                  </w:tcPr>
                  <w:p>
                    <w:pPr>
                      <w:jc w:val="center"/>
                      <w:rPr>
                        <w:sz w:val="20"/>
                      </w:rPr>
                    </w:pPr>
                    <w:r>
                      <w:rPr>
                        <w:sz w:val="20"/>
                      </w:rPr>
                      <w:t>2033</w:t>
                    </w:r>
                  </w:p>
                </w:tc>
                <w:tc>
                  <w:tcPr>
                    <w:tcW w:w="1417" w:type="dxa"/>
                    <w:shd w:val="clear" w:color="auto" w:fill="FCE4D6"/>
                    <w:vAlign w:val="center"/>
                    <w:hideMark/>
                  </w:tcPr>
                  <w:p>
                    <w:pPr>
                      <w:rPr>
                        <w:sz w:val="20"/>
                      </w:rPr>
                    </w:pPr>
                    <w:r>
                      <w:rPr>
                        <w:sz w:val="20"/>
                      </w:rPr>
                      <w:t>R-18-02-01</w:t>
                    </w:r>
                  </w:p>
                </w:tc>
                <w:tc>
                  <w:tcPr>
                    <w:tcW w:w="4111" w:type="dxa"/>
                    <w:shd w:val="clear" w:color="auto" w:fill="FCE4D6"/>
                    <w:vAlign w:val="center"/>
                    <w:hideMark/>
                  </w:tcPr>
                  <w:p>
                    <w:pPr>
                      <w:rPr>
                        <w:sz w:val="20"/>
                      </w:rPr>
                    </w:pPr>
                    <w:r>
                      <w:rPr>
                        <w:sz w:val="20"/>
                      </w:rPr>
                      <w:t>Ikimokyklinio ugdymo įstaigų pastatų, kurie yra geros būklės, skaičius nuo visų ikimokyklinio ugdymo įstaigų pastatų skaičiaus (vnt. / vnt.)</w:t>
                    </w:r>
                  </w:p>
                </w:tc>
                <w:tc>
                  <w:tcPr>
                    <w:tcW w:w="1134" w:type="dxa"/>
                    <w:shd w:val="clear" w:color="auto" w:fill="FCE4D6"/>
                    <w:noWrap/>
                    <w:vAlign w:val="center"/>
                    <w:hideMark/>
                  </w:tcPr>
                  <w:p>
                    <w:pPr>
                      <w:jc w:val="center"/>
                      <w:rPr>
                        <w:sz w:val="20"/>
                      </w:rPr>
                    </w:pPr>
                    <w:r>
                      <w:rPr>
                        <w:sz w:val="20"/>
                      </w:rPr>
                      <w:t>ŠMSA (ŠS)</w:t>
                    </w:r>
                  </w:p>
                </w:tc>
                <w:tc>
                  <w:tcPr>
                    <w:tcW w:w="1134" w:type="dxa"/>
                    <w:shd w:val="clear" w:color="auto" w:fill="FCE4D6"/>
                    <w:noWrap/>
                    <w:vAlign w:val="center"/>
                    <w:hideMark/>
                  </w:tcPr>
                  <w:p>
                    <w:pPr>
                      <w:jc w:val="center"/>
                      <w:rPr>
                        <w:sz w:val="20"/>
                      </w:rPr>
                    </w:pPr>
                    <w:r>
                      <w:rPr>
                        <w:sz w:val="20"/>
                      </w:rPr>
                      <w:t>19/31 (2023)</w:t>
                    </w:r>
                  </w:p>
                </w:tc>
                <w:tc>
                  <w:tcPr>
                    <w:tcW w:w="1134" w:type="dxa"/>
                    <w:shd w:val="clear" w:color="auto" w:fill="FCE4D6"/>
                    <w:noWrap/>
                    <w:vAlign w:val="center"/>
                    <w:hideMark/>
                  </w:tcPr>
                  <w:p>
                    <w:pPr>
                      <w:jc w:val="center"/>
                      <w:rPr>
                        <w:sz w:val="20"/>
                      </w:rPr>
                    </w:pPr>
                    <w:r>
                      <w:rPr>
                        <w:sz w:val="20"/>
                      </w:rPr>
                      <w:t>25/32(2033)</w:t>
                    </w:r>
                  </w:p>
                </w:tc>
              </w:tr>
              <w:tr>
                <w:trPr>
                  <w:trHeight w:val="595"/>
                  <w:jc w:val="center"/>
                </w:trPr>
                <w:tc>
                  <w:tcPr>
                    <w:tcW w:w="988" w:type="dxa"/>
                    <w:vMerge/>
                    <w:shd w:val="clear" w:color="auto" w:fill="FCE4D6"/>
                    <w:vAlign w:val="center"/>
                    <w:hideMark/>
                  </w:tcPr>
                  <w:p>
                    <w:pPr>
                      <w:rPr>
                        <w:b/>
                        <w:bCs/>
                        <w:sz w:val="20"/>
                      </w:rPr>
                    </w:pPr>
                  </w:p>
                </w:tc>
                <w:tc>
                  <w:tcPr>
                    <w:tcW w:w="2126" w:type="dxa"/>
                    <w:vMerge/>
                    <w:shd w:val="clear" w:color="auto" w:fill="FCE4D6"/>
                    <w:vAlign w:val="center"/>
                    <w:hideMark/>
                  </w:tcPr>
                  <w:p>
                    <w:pPr>
                      <w:rPr>
                        <w:b/>
                        <w:bCs/>
                        <w:sz w:val="20"/>
                      </w:rPr>
                    </w:pPr>
                  </w:p>
                </w:tc>
                <w:tc>
                  <w:tcPr>
                    <w:tcW w:w="850" w:type="dxa"/>
                    <w:vMerge/>
                    <w:shd w:val="clear" w:color="auto" w:fill="FCE4D6"/>
                    <w:vAlign w:val="center"/>
                    <w:hideMark/>
                  </w:tcPr>
                  <w:p>
                    <w:pPr>
                      <w:rPr>
                        <w:sz w:val="20"/>
                      </w:rPr>
                    </w:pPr>
                  </w:p>
                </w:tc>
                <w:tc>
                  <w:tcPr>
                    <w:tcW w:w="709" w:type="dxa"/>
                    <w:vMerge/>
                    <w:shd w:val="clear" w:color="auto" w:fill="FCE4D6"/>
                    <w:vAlign w:val="center"/>
                    <w:hideMark/>
                  </w:tcPr>
                  <w:p>
                    <w:pPr>
                      <w:rPr>
                        <w:sz w:val="20"/>
                      </w:rPr>
                    </w:pPr>
                  </w:p>
                </w:tc>
                <w:tc>
                  <w:tcPr>
                    <w:tcW w:w="709" w:type="dxa"/>
                    <w:vMerge/>
                    <w:shd w:val="clear" w:color="auto" w:fill="FCE4D6"/>
                    <w:vAlign w:val="center"/>
                    <w:hideMark/>
                  </w:tcPr>
                  <w:p>
                    <w:pPr>
                      <w:rPr>
                        <w:sz w:val="20"/>
                      </w:rPr>
                    </w:pPr>
                  </w:p>
                </w:tc>
                <w:tc>
                  <w:tcPr>
                    <w:tcW w:w="1417" w:type="dxa"/>
                    <w:shd w:val="clear" w:color="auto" w:fill="FCE4D6"/>
                    <w:vAlign w:val="center"/>
                    <w:hideMark/>
                  </w:tcPr>
                  <w:p>
                    <w:pPr>
                      <w:rPr>
                        <w:sz w:val="20"/>
                      </w:rPr>
                    </w:pPr>
                    <w:r>
                      <w:rPr>
                        <w:sz w:val="20"/>
                      </w:rPr>
                      <w:t>R-18-02-02</w:t>
                    </w:r>
                  </w:p>
                </w:tc>
                <w:tc>
                  <w:tcPr>
                    <w:tcW w:w="4111" w:type="dxa"/>
                    <w:shd w:val="clear" w:color="auto" w:fill="FCE4D6"/>
                    <w:vAlign w:val="center"/>
                    <w:hideMark/>
                  </w:tcPr>
                  <w:p>
                    <w:pPr>
                      <w:rPr>
                        <w:sz w:val="20"/>
                      </w:rPr>
                    </w:pPr>
                    <w:r>
                      <w:rPr>
                        <w:sz w:val="20"/>
                      </w:rPr>
                      <w:t>Bendrojo ugdymo mokyklų pastatų, kurie yra geros būklės, skaičius nuo visų bendrojo ugdymo mokyklų pastatų skaičiaus (vnt. / vnt.)</w:t>
                    </w:r>
                  </w:p>
                </w:tc>
                <w:tc>
                  <w:tcPr>
                    <w:tcW w:w="1134" w:type="dxa"/>
                    <w:shd w:val="clear" w:color="auto" w:fill="FCE4D6"/>
                    <w:noWrap/>
                    <w:vAlign w:val="center"/>
                    <w:hideMark/>
                  </w:tcPr>
                  <w:p>
                    <w:pPr>
                      <w:jc w:val="center"/>
                      <w:rPr>
                        <w:sz w:val="20"/>
                      </w:rPr>
                    </w:pPr>
                    <w:r>
                      <w:rPr>
                        <w:sz w:val="20"/>
                      </w:rPr>
                      <w:t>ŠMSA (ŠS)</w:t>
                    </w:r>
                  </w:p>
                </w:tc>
                <w:tc>
                  <w:tcPr>
                    <w:tcW w:w="1134" w:type="dxa"/>
                    <w:shd w:val="clear" w:color="auto" w:fill="FCE4D6"/>
                    <w:noWrap/>
                    <w:vAlign w:val="center"/>
                    <w:hideMark/>
                  </w:tcPr>
                  <w:p>
                    <w:pPr>
                      <w:jc w:val="center"/>
                      <w:rPr>
                        <w:sz w:val="20"/>
                      </w:rPr>
                    </w:pPr>
                    <w:r>
                      <w:rPr>
                        <w:sz w:val="20"/>
                      </w:rPr>
                      <w:t>12/30 (2023)</w:t>
                    </w:r>
                  </w:p>
                </w:tc>
                <w:tc>
                  <w:tcPr>
                    <w:tcW w:w="1134" w:type="dxa"/>
                    <w:shd w:val="clear" w:color="auto" w:fill="FCE4D6"/>
                    <w:noWrap/>
                    <w:vAlign w:val="center"/>
                    <w:hideMark/>
                  </w:tcPr>
                  <w:p>
                    <w:pPr>
                      <w:jc w:val="center"/>
                      <w:rPr>
                        <w:sz w:val="20"/>
                      </w:rPr>
                    </w:pPr>
                    <w:r>
                      <w:rPr>
                        <w:sz w:val="20"/>
                      </w:rPr>
                      <w:t>30/30 (2033)</w:t>
                    </w:r>
                  </w:p>
                </w:tc>
              </w:tr>
              <w:tr>
                <w:trPr>
                  <w:trHeight w:val="522"/>
                  <w:jc w:val="center"/>
                </w:trPr>
                <w:tc>
                  <w:tcPr>
                    <w:tcW w:w="988" w:type="dxa"/>
                    <w:vMerge/>
                    <w:tcBorders>
                      <w:bottom w:val="single" w:sz="4" w:space="0" w:color="auto"/>
                    </w:tcBorders>
                    <w:shd w:val="clear" w:color="auto" w:fill="FCE4D6"/>
                    <w:vAlign w:val="center"/>
                    <w:hideMark/>
                  </w:tcPr>
                  <w:p>
                    <w:pPr>
                      <w:rPr>
                        <w:b/>
                        <w:bCs/>
                        <w:sz w:val="20"/>
                      </w:rPr>
                    </w:pPr>
                  </w:p>
                </w:tc>
                <w:tc>
                  <w:tcPr>
                    <w:tcW w:w="2126" w:type="dxa"/>
                    <w:vMerge/>
                    <w:tcBorders>
                      <w:bottom w:val="single" w:sz="4" w:space="0" w:color="auto"/>
                    </w:tcBorders>
                    <w:shd w:val="clear" w:color="auto" w:fill="FCE4D6"/>
                    <w:vAlign w:val="center"/>
                    <w:hideMark/>
                  </w:tcPr>
                  <w:p>
                    <w:pPr>
                      <w:rPr>
                        <w:b/>
                        <w:bCs/>
                        <w:sz w:val="20"/>
                      </w:rPr>
                    </w:pPr>
                  </w:p>
                </w:tc>
                <w:tc>
                  <w:tcPr>
                    <w:tcW w:w="850" w:type="dxa"/>
                    <w:vMerge/>
                    <w:tcBorders>
                      <w:bottom w:val="single" w:sz="4" w:space="0" w:color="auto"/>
                    </w:tcBorders>
                    <w:shd w:val="clear" w:color="auto" w:fill="FCE4D6"/>
                    <w:vAlign w:val="center"/>
                    <w:hideMark/>
                  </w:tcPr>
                  <w:p>
                    <w:pPr>
                      <w:rPr>
                        <w:sz w:val="20"/>
                      </w:rPr>
                    </w:pPr>
                  </w:p>
                </w:tc>
                <w:tc>
                  <w:tcPr>
                    <w:tcW w:w="709" w:type="dxa"/>
                    <w:vMerge/>
                    <w:tcBorders>
                      <w:bottom w:val="single" w:sz="4" w:space="0" w:color="auto"/>
                    </w:tcBorders>
                    <w:shd w:val="clear" w:color="auto" w:fill="FCE4D6"/>
                    <w:vAlign w:val="center"/>
                    <w:hideMark/>
                  </w:tcPr>
                  <w:p>
                    <w:pPr>
                      <w:rPr>
                        <w:sz w:val="20"/>
                      </w:rPr>
                    </w:pPr>
                  </w:p>
                </w:tc>
                <w:tc>
                  <w:tcPr>
                    <w:tcW w:w="709" w:type="dxa"/>
                    <w:vMerge/>
                    <w:tcBorders>
                      <w:bottom w:val="single" w:sz="4" w:space="0" w:color="auto"/>
                    </w:tcBorders>
                    <w:shd w:val="clear" w:color="auto" w:fill="FCE4D6"/>
                    <w:vAlign w:val="center"/>
                    <w:hideMark/>
                  </w:tcPr>
                  <w:p>
                    <w:pPr>
                      <w:rPr>
                        <w:sz w:val="20"/>
                      </w:rPr>
                    </w:pPr>
                  </w:p>
                </w:tc>
                <w:tc>
                  <w:tcPr>
                    <w:tcW w:w="1417" w:type="dxa"/>
                    <w:tcBorders>
                      <w:bottom w:val="single" w:sz="4" w:space="0" w:color="auto"/>
                    </w:tcBorders>
                    <w:shd w:val="clear" w:color="auto" w:fill="FCE4D6"/>
                    <w:vAlign w:val="center"/>
                    <w:hideMark/>
                  </w:tcPr>
                  <w:p>
                    <w:pPr>
                      <w:rPr>
                        <w:sz w:val="20"/>
                      </w:rPr>
                    </w:pPr>
                    <w:r>
                      <w:rPr>
                        <w:sz w:val="20"/>
                      </w:rPr>
                      <w:t>R-18-02-03</w:t>
                    </w:r>
                  </w:p>
                </w:tc>
                <w:tc>
                  <w:tcPr>
                    <w:tcW w:w="4111" w:type="dxa"/>
                    <w:tcBorders>
                      <w:bottom w:val="single" w:sz="4" w:space="0" w:color="auto"/>
                    </w:tcBorders>
                    <w:shd w:val="clear" w:color="auto" w:fill="FCE4D6"/>
                    <w:vAlign w:val="center"/>
                    <w:hideMark/>
                  </w:tcPr>
                  <w:p>
                    <w:pPr>
                      <w:rPr>
                        <w:sz w:val="20"/>
                      </w:rPr>
                    </w:pPr>
                    <w:r>
                      <w:rPr>
                        <w:sz w:val="20"/>
                      </w:rPr>
                      <w:t>Neformaliojo švietimo įstaigų pastatų, kurie yra geros būklės, skaičius nuo visų neformaliojo švietimo įstaigų pastatų skaičiaus (vnt. / vnt.)</w:t>
                    </w:r>
                  </w:p>
                </w:tc>
                <w:tc>
                  <w:tcPr>
                    <w:tcW w:w="1134" w:type="dxa"/>
                    <w:tcBorders>
                      <w:bottom w:val="single" w:sz="4" w:space="0" w:color="auto"/>
                    </w:tcBorders>
                    <w:shd w:val="clear" w:color="auto" w:fill="FCE4D6"/>
                    <w:noWrap/>
                    <w:vAlign w:val="center"/>
                    <w:hideMark/>
                  </w:tcPr>
                  <w:p>
                    <w:pPr>
                      <w:jc w:val="center"/>
                      <w:rPr>
                        <w:sz w:val="20"/>
                      </w:rPr>
                    </w:pPr>
                    <w:r>
                      <w:rPr>
                        <w:sz w:val="20"/>
                      </w:rPr>
                      <w:t>ŠMSA (ŠS)</w:t>
                    </w:r>
                  </w:p>
                </w:tc>
                <w:tc>
                  <w:tcPr>
                    <w:tcW w:w="1134" w:type="dxa"/>
                    <w:tcBorders>
                      <w:bottom w:val="single" w:sz="4" w:space="0" w:color="auto"/>
                    </w:tcBorders>
                    <w:shd w:val="clear" w:color="auto" w:fill="FCE4D6"/>
                    <w:noWrap/>
                    <w:vAlign w:val="center"/>
                    <w:hideMark/>
                  </w:tcPr>
                  <w:p>
                    <w:pPr>
                      <w:jc w:val="center"/>
                      <w:rPr>
                        <w:sz w:val="20"/>
                      </w:rPr>
                    </w:pPr>
                    <w:r>
                      <w:rPr>
                        <w:sz w:val="20"/>
                      </w:rPr>
                      <w:t>1/10 (2023)</w:t>
                    </w:r>
                  </w:p>
                </w:tc>
                <w:tc>
                  <w:tcPr>
                    <w:tcW w:w="1134" w:type="dxa"/>
                    <w:tcBorders>
                      <w:bottom w:val="single" w:sz="4" w:space="0" w:color="auto"/>
                    </w:tcBorders>
                    <w:shd w:val="clear" w:color="auto" w:fill="FCE4D6"/>
                    <w:noWrap/>
                    <w:vAlign w:val="center"/>
                    <w:hideMark/>
                  </w:tcPr>
                  <w:p>
                    <w:pPr>
                      <w:jc w:val="center"/>
                      <w:rPr>
                        <w:sz w:val="20"/>
                      </w:rPr>
                    </w:pPr>
                    <w:r>
                      <w:rPr>
                        <w:sz w:val="20"/>
                      </w:rPr>
                      <w:t>10/10 (2033)</w:t>
                    </w:r>
                  </w:p>
                </w:tc>
              </w:tr>
              <w:tr>
                <w:trPr>
                  <w:trHeight w:val="525"/>
                  <w:jc w:val="center"/>
                </w:trPr>
                <w:tc>
                  <w:tcPr>
                    <w:tcW w:w="988" w:type="dxa"/>
                    <w:vMerge w:val="restart"/>
                    <w:noWrap/>
                    <w:vAlign w:val="center"/>
                    <w:hideMark/>
                  </w:tcPr>
                  <w:p>
                    <w:pPr>
                      <w:rPr>
                        <w:sz w:val="20"/>
                      </w:rPr>
                    </w:pPr>
                    <w:r>
                      <w:rPr>
                        <w:sz w:val="20"/>
                      </w:rPr>
                      <w:t>18-02-01</w:t>
                    </w:r>
                  </w:p>
                </w:tc>
                <w:tc>
                  <w:tcPr>
                    <w:tcW w:w="2126" w:type="dxa"/>
                    <w:vMerge w:val="restart"/>
                    <w:vAlign w:val="center"/>
                    <w:hideMark/>
                  </w:tcPr>
                  <w:p>
                    <w:pPr>
                      <w:rPr>
                        <w:sz w:val="20"/>
                      </w:rPr>
                    </w:pPr>
                    <w:r>
                      <w:rPr>
                        <w:sz w:val="20"/>
                      </w:rPr>
                      <w:t>Atnaujinti ikimokyklinio ugdymo įstaigų aplinką</w:t>
                    </w:r>
                  </w:p>
                </w:tc>
                <w:tc>
                  <w:tcPr>
                    <w:tcW w:w="850" w:type="dxa"/>
                    <w:vMerge w:val="restart"/>
                    <w:vAlign w:val="center"/>
                    <w:hideMark/>
                  </w:tcPr>
                  <w:p>
                    <w:pPr>
                      <w:jc w:val="center"/>
                      <w:rPr>
                        <w:sz w:val="20"/>
                      </w:rPr>
                    </w:pPr>
                    <w:r>
                      <w:rPr>
                        <w:sz w:val="20"/>
                      </w:rPr>
                      <w:t>ŠS</w:t>
                    </w:r>
                  </w:p>
                </w:tc>
                <w:tc>
                  <w:tcPr>
                    <w:tcW w:w="709" w:type="dxa"/>
                    <w:vMerge w:val="restart"/>
                    <w:vAlign w:val="center"/>
                    <w:hideMark/>
                  </w:tcPr>
                  <w:p>
                    <w:pPr>
                      <w:jc w:val="center"/>
                      <w:rPr>
                        <w:sz w:val="20"/>
                      </w:rPr>
                    </w:pPr>
                    <w:r>
                      <w:rPr>
                        <w:sz w:val="20"/>
                      </w:rPr>
                      <w:t>2025</w:t>
                    </w:r>
                  </w:p>
                </w:tc>
                <w:tc>
                  <w:tcPr>
                    <w:tcW w:w="709" w:type="dxa"/>
                    <w:vMerge w:val="restart"/>
                    <w:vAlign w:val="center"/>
                    <w:hideMark/>
                  </w:tcPr>
                  <w:p>
                    <w:pPr>
                      <w:jc w:val="center"/>
                      <w:rPr>
                        <w:sz w:val="20"/>
                      </w:rPr>
                    </w:pPr>
                    <w:r>
                      <w:rPr>
                        <w:sz w:val="20"/>
                      </w:rPr>
                      <w:t>2033</w:t>
                    </w:r>
                  </w:p>
                </w:tc>
                <w:tc>
                  <w:tcPr>
                    <w:tcW w:w="1417" w:type="dxa"/>
                    <w:vAlign w:val="center"/>
                    <w:hideMark/>
                  </w:tcPr>
                  <w:p>
                    <w:pPr>
                      <w:rPr>
                        <w:sz w:val="20"/>
                      </w:rPr>
                    </w:pPr>
                    <w:r>
                      <w:rPr>
                        <w:sz w:val="20"/>
                      </w:rPr>
                      <w:t>P-18-02-01-01</w:t>
                    </w:r>
                  </w:p>
                </w:tc>
                <w:tc>
                  <w:tcPr>
                    <w:tcW w:w="4111" w:type="dxa"/>
                    <w:vAlign w:val="center"/>
                    <w:hideMark/>
                  </w:tcPr>
                  <w:p>
                    <w:pPr>
                      <w:rPr>
                        <w:sz w:val="20"/>
                      </w:rPr>
                    </w:pPr>
                    <w:r>
                      <w:rPr>
                        <w:sz w:val="20"/>
                      </w:rPr>
                      <w:t>Atnaujintų ikimokyklinio ugdymo įstaigų pastatų skaičius (vnt.)</w:t>
                    </w:r>
                  </w:p>
                </w:tc>
                <w:tc>
                  <w:tcPr>
                    <w:tcW w:w="1134" w:type="dxa"/>
                    <w:vAlign w:val="center"/>
                    <w:hideMark/>
                  </w:tcPr>
                  <w:p>
                    <w:pPr>
                      <w:jc w:val="center"/>
                      <w:rPr>
                        <w:sz w:val="20"/>
                      </w:rPr>
                    </w:pPr>
                    <w:r>
                      <w:rPr>
                        <w:sz w:val="20"/>
                      </w:rPr>
                      <w:t>ŠS</w:t>
                    </w:r>
                  </w:p>
                </w:tc>
                <w:tc>
                  <w:tcPr>
                    <w:tcW w:w="1134" w:type="dxa"/>
                    <w:noWrap/>
                    <w:vAlign w:val="center"/>
                    <w:hideMark/>
                  </w:tcPr>
                  <w:p>
                    <w:pPr>
                      <w:jc w:val="center"/>
                      <w:rPr>
                        <w:sz w:val="20"/>
                      </w:rPr>
                    </w:pPr>
                    <w:r>
                      <w:rPr>
                        <w:sz w:val="20"/>
                      </w:rPr>
                      <w:t>19 (2023)</w:t>
                    </w:r>
                  </w:p>
                </w:tc>
                <w:tc>
                  <w:tcPr>
                    <w:tcW w:w="1134" w:type="dxa"/>
                    <w:noWrap/>
                    <w:vAlign w:val="center"/>
                    <w:hideMark/>
                  </w:tcPr>
                  <w:p>
                    <w:pPr>
                      <w:jc w:val="center"/>
                      <w:rPr>
                        <w:sz w:val="20"/>
                      </w:rPr>
                    </w:pPr>
                    <w:r>
                      <w:rPr>
                        <w:sz w:val="20"/>
                      </w:rPr>
                      <w:t>25 (2033)</w:t>
                    </w:r>
                  </w:p>
                </w:tc>
              </w:tr>
              <w:tr>
                <w:trPr>
                  <w:trHeight w:val="260"/>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jc w:val="center"/>
                      <w:rPr>
                        <w:sz w:val="20"/>
                      </w:rPr>
                    </w:pPr>
                  </w:p>
                </w:tc>
                <w:tc>
                  <w:tcPr>
                    <w:tcW w:w="709" w:type="dxa"/>
                    <w:vMerge/>
                    <w:vAlign w:val="center"/>
                    <w:hideMark/>
                  </w:tcPr>
                  <w:p>
                    <w:pPr>
                      <w:jc w:val="center"/>
                      <w:rPr>
                        <w:sz w:val="20"/>
                      </w:rPr>
                    </w:pPr>
                  </w:p>
                </w:tc>
                <w:tc>
                  <w:tcPr>
                    <w:tcW w:w="709" w:type="dxa"/>
                    <w:vMerge/>
                    <w:vAlign w:val="center"/>
                    <w:hideMark/>
                  </w:tcPr>
                  <w:p>
                    <w:pPr>
                      <w:jc w:val="center"/>
                      <w:rPr>
                        <w:sz w:val="20"/>
                      </w:rPr>
                    </w:pPr>
                  </w:p>
                </w:tc>
                <w:tc>
                  <w:tcPr>
                    <w:tcW w:w="1417" w:type="dxa"/>
                    <w:vAlign w:val="center"/>
                    <w:hideMark/>
                  </w:tcPr>
                  <w:p>
                    <w:pPr>
                      <w:rPr>
                        <w:sz w:val="20"/>
                      </w:rPr>
                    </w:pPr>
                    <w:r>
                      <w:rPr>
                        <w:sz w:val="20"/>
                      </w:rPr>
                      <w:t>P-18-02-01-02</w:t>
                    </w:r>
                  </w:p>
                </w:tc>
                <w:tc>
                  <w:tcPr>
                    <w:tcW w:w="4111" w:type="dxa"/>
                    <w:vAlign w:val="center"/>
                    <w:hideMark/>
                  </w:tcPr>
                  <w:p>
                    <w:pPr>
                      <w:rPr>
                        <w:sz w:val="20"/>
                      </w:rPr>
                    </w:pPr>
                    <w:r>
                      <w:rPr>
                        <w:sz w:val="20"/>
                      </w:rPr>
                      <w:t>Įkurtų ikimokyklinio ugdymo įstaigų skaičius (vnt.)</w:t>
                    </w:r>
                  </w:p>
                </w:tc>
                <w:tc>
                  <w:tcPr>
                    <w:tcW w:w="1134" w:type="dxa"/>
                    <w:vAlign w:val="center"/>
                    <w:hideMark/>
                  </w:tcPr>
                  <w:p>
                    <w:pPr>
                      <w:jc w:val="center"/>
                      <w:rPr>
                        <w:sz w:val="20"/>
                      </w:rPr>
                    </w:pPr>
                    <w:r>
                      <w:rPr>
                        <w:sz w:val="20"/>
                      </w:rPr>
                      <w:t>ŠS</w:t>
                    </w:r>
                  </w:p>
                </w:tc>
                <w:tc>
                  <w:tcPr>
                    <w:tcW w:w="1134" w:type="dxa"/>
                    <w:noWrap/>
                    <w:vAlign w:val="center"/>
                    <w:hideMark/>
                  </w:tcPr>
                  <w:p>
                    <w:pPr>
                      <w:jc w:val="center"/>
                      <w:rPr>
                        <w:sz w:val="20"/>
                      </w:rPr>
                    </w:pPr>
                    <w:r>
                      <w:rPr>
                        <w:sz w:val="20"/>
                      </w:rPr>
                      <w:t>0 (2023)</w:t>
                    </w:r>
                  </w:p>
                </w:tc>
                <w:tc>
                  <w:tcPr>
                    <w:tcW w:w="1134" w:type="dxa"/>
                    <w:noWrap/>
                    <w:vAlign w:val="center"/>
                    <w:hideMark/>
                  </w:tcPr>
                  <w:p>
                    <w:pPr>
                      <w:jc w:val="center"/>
                      <w:rPr>
                        <w:sz w:val="20"/>
                      </w:rPr>
                    </w:pPr>
                    <w:r>
                      <w:rPr>
                        <w:sz w:val="20"/>
                      </w:rPr>
                      <w:t>1 (2025)</w:t>
                    </w:r>
                  </w:p>
                </w:tc>
              </w:tr>
              <w:tr>
                <w:trPr>
                  <w:trHeight w:val="594"/>
                  <w:jc w:val="center"/>
                </w:trPr>
                <w:tc>
                  <w:tcPr>
                    <w:tcW w:w="988" w:type="dxa"/>
                    <w:vMerge/>
                    <w:vAlign w:val="center"/>
                  </w:tcPr>
                  <w:p>
                    <w:pPr>
                      <w:rPr>
                        <w:sz w:val="20"/>
                      </w:rPr>
                    </w:pPr>
                  </w:p>
                </w:tc>
                <w:tc>
                  <w:tcPr>
                    <w:tcW w:w="2126" w:type="dxa"/>
                    <w:vMerge/>
                    <w:vAlign w:val="center"/>
                  </w:tcPr>
                  <w:p>
                    <w:pPr>
                      <w:rPr>
                        <w:sz w:val="20"/>
                      </w:rPr>
                    </w:pPr>
                  </w:p>
                </w:tc>
                <w:tc>
                  <w:tcPr>
                    <w:tcW w:w="850" w:type="dxa"/>
                    <w:vMerge/>
                    <w:vAlign w:val="center"/>
                  </w:tcPr>
                  <w:p>
                    <w:pPr>
                      <w:jc w:val="center"/>
                      <w:rPr>
                        <w:sz w:val="20"/>
                      </w:rPr>
                    </w:pPr>
                  </w:p>
                </w:tc>
                <w:tc>
                  <w:tcPr>
                    <w:tcW w:w="709" w:type="dxa"/>
                    <w:vMerge/>
                    <w:vAlign w:val="center"/>
                  </w:tcPr>
                  <w:p>
                    <w:pPr>
                      <w:jc w:val="center"/>
                      <w:rPr>
                        <w:sz w:val="20"/>
                      </w:rPr>
                    </w:pPr>
                  </w:p>
                </w:tc>
                <w:tc>
                  <w:tcPr>
                    <w:tcW w:w="709" w:type="dxa"/>
                    <w:vMerge/>
                    <w:vAlign w:val="center"/>
                  </w:tcPr>
                  <w:p>
                    <w:pPr>
                      <w:jc w:val="center"/>
                      <w:rPr>
                        <w:sz w:val="20"/>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pPr>
                      <w:rPr>
                        <w:sz w:val="20"/>
                      </w:rPr>
                    </w:pPr>
                    <w:r>
                      <w:rPr>
                        <w:rFonts w:eastAsia="MS Mincho"/>
                        <w:color w:val="000000"/>
                        <w:kern w:val="2"/>
                        <w:sz w:val="20"/>
                      </w:rPr>
                      <w:t>P-18-02-01-03</w:t>
                    </w:r>
                  </w:p>
                </w:tc>
                <w:tc>
                  <w:tcPr>
                    <w:tcW w:w="4111" w:type="dxa"/>
                    <w:tcBorders>
                      <w:top w:val="single" w:sz="4" w:space="0" w:color="auto"/>
                      <w:left w:val="nil"/>
                      <w:bottom w:val="single" w:sz="4" w:space="0" w:color="auto"/>
                      <w:right w:val="single" w:sz="4" w:space="0" w:color="auto"/>
                    </w:tcBorders>
                    <w:shd w:val="clear" w:color="auto" w:fill="auto"/>
                    <w:vAlign w:val="center"/>
                  </w:tcPr>
                  <w:p>
                    <w:pPr>
                      <w:rPr>
                        <w:sz w:val="20"/>
                      </w:rPr>
                    </w:pPr>
                    <w:r>
                      <w:rPr>
                        <w:rFonts w:eastAsia="MS Mincho"/>
                        <w:color w:val="000000"/>
                        <w:kern w:val="2"/>
                        <w:sz w:val="20"/>
                      </w:rPr>
                      <w:t xml:space="preserve">Ikimokyklinio ugdymo įstaigų, kuriose atnaujinta lauko infrastruktūra, įkurtos lauko edukacinės erdvės, skaičius (vnt.) </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rPr>
                    </w:pPr>
                    <w:r>
                      <w:rPr>
                        <w:rFonts w:eastAsia="MS Mincho"/>
                        <w:color w:val="000000"/>
                        <w:kern w:val="2"/>
                        <w:sz w:val="20"/>
                      </w:rPr>
                      <w:t>ŠS</w:t>
                    </w:r>
                  </w:p>
                </w:tc>
                <w:tc>
                  <w:tcPr>
                    <w:tcW w:w="1134" w:type="dxa"/>
                    <w:tcBorders>
                      <w:top w:val="single" w:sz="4" w:space="0" w:color="auto"/>
                      <w:left w:val="nil"/>
                      <w:bottom w:val="single" w:sz="4" w:space="0" w:color="auto"/>
                      <w:right w:val="single" w:sz="4" w:space="0" w:color="auto"/>
                    </w:tcBorders>
                    <w:shd w:val="clear" w:color="auto" w:fill="auto"/>
                    <w:noWrap/>
                    <w:vAlign w:val="center"/>
                  </w:tcPr>
                  <w:p>
                    <w:pPr>
                      <w:jc w:val="center"/>
                      <w:rPr>
                        <w:sz w:val="20"/>
                      </w:rPr>
                    </w:pPr>
                    <w:r>
                      <w:rPr>
                        <w:rFonts w:eastAsia="MS Mincho"/>
                        <w:color w:val="000000"/>
                        <w:kern w:val="2"/>
                        <w:sz w:val="20"/>
                      </w:rPr>
                      <w:t>10 (2023)</w:t>
                    </w:r>
                  </w:p>
                </w:tc>
                <w:tc>
                  <w:tcPr>
                    <w:tcW w:w="1134" w:type="dxa"/>
                    <w:tcBorders>
                      <w:top w:val="single" w:sz="4" w:space="0" w:color="auto"/>
                      <w:left w:val="nil"/>
                      <w:bottom w:val="single" w:sz="4" w:space="0" w:color="auto"/>
                      <w:right w:val="single" w:sz="4" w:space="0" w:color="auto"/>
                    </w:tcBorders>
                    <w:shd w:val="clear" w:color="auto" w:fill="auto"/>
                    <w:noWrap/>
                    <w:vAlign w:val="center"/>
                  </w:tcPr>
                  <w:p>
                    <w:pPr>
                      <w:jc w:val="center"/>
                      <w:rPr>
                        <w:sz w:val="20"/>
                      </w:rPr>
                    </w:pPr>
                    <w:r>
                      <w:rPr>
                        <w:rFonts w:eastAsia="MS Mincho"/>
                        <w:kern w:val="2"/>
                        <w:sz w:val="20"/>
                      </w:rPr>
                      <w:t>26 (2033)</w:t>
                    </w:r>
                  </w:p>
                </w:tc>
              </w:tr>
              <w:tr>
                <w:trPr>
                  <w:trHeight w:val="594"/>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jc w:val="center"/>
                      <w:rPr>
                        <w:sz w:val="20"/>
                      </w:rPr>
                    </w:pPr>
                  </w:p>
                </w:tc>
                <w:tc>
                  <w:tcPr>
                    <w:tcW w:w="709" w:type="dxa"/>
                    <w:vMerge/>
                    <w:vAlign w:val="center"/>
                    <w:hideMark/>
                  </w:tcPr>
                  <w:p>
                    <w:pPr>
                      <w:jc w:val="center"/>
                      <w:rPr>
                        <w:sz w:val="20"/>
                      </w:rPr>
                    </w:pPr>
                  </w:p>
                </w:tc>
                <w:tc>
                  <w:tcPr>
                    <w:tcW w:w="709" w:type="dxa"/>
                    <w:vMerge/>
                    <w:vAlign w:val="center"/>
                    <w:hideMark/>
                  </w:tcPr>
                  <w:p>
                    <w:pPr>
                      <w:jc w:val="center"/>
                      <w:rPr>
                        <w:sz w:val="20"/>
                      </w:rPr>
                    </w:pPr>
                  </w:p>
                </w:tc>
                <w:tc>
                  <w:tcPr>
                    <w:tcW w:w="1417" w:type="dxa"/>
                    <w:vAlign w:val="center"/>
                    <w:hideMark/>
                  </w:tcPr>
                  <w:p>
                    <w:pPr>
                      <w:rPr>
                        <w:sz w:val="20"/>
                        <w:lang w:val="en-US"/>
                      </w:rPr>
                    </w:pPr>
                    <w:r>
                      <w:rPr>
                        <w:sz w:val="20"/>
                      </w:rPr>
                      <w:t>P-18-02-01-0</w:t>
                    </w:r>
                    <w:r>
                      <w:rPr>
                        <w:sz w:val="20"/>
                        <w:lang w:val="en-US"/>
                      </w:rPr>
                      <w:t>4</w:t>
                    </w:r>
                  </w:p>
                </w:tc>
                <w:tc>
                  <w:tcPr>
                    <w:tcW w:w="4111" w:type="dxa"/>
                    <w:vAlign w:val="center"/>
                  </w:tcPr>
                  <w:p>
                    <w:pPr>
                      <w:rPr>
                        <w:sz w:val="20"/>
                      </w:rPr>
                    </w:pPr>
                    <w:r>
                      <w:rPr>
                        <w:sz w:val="20"/>
                      </w:rPr>
                      <w:t>Ikimokyklinio ugdymo įstaigų, kurių erdvės modernizuotos (atitinkančios universalaus dizaino reikalavimus) ir pritaikytos šiuolaikinio ugdymo reikalavimams, skaičius (vnt.)</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rPr>
                    </w:pPr>
                    <w:r>
                      <w:rPr>
                        <w:rFonts w:eastAsia="MS Mincho"/>
                        <w:color w:val="000000"/>
                        <w:kern w:val="2"/>
                        <w:sz w:val="20"/>
                      </w:rPr>
                      <w:t>ŠS</w:t>
                    </w:r>
                  </w:p>
                </w:tc>
                <w:tc>
                  <w:tcPr>
                    <w:tcW w:w="1134" w:type="dxa"/>
                    <w:tcBorders>
                      <w:top w:val="single" w:sz="4" w:space="0" w:color="auto"/>
                      <w:left w:val="nil"/>
                      <w:bottom w:val="single" w:sz="4" w:space="0" w:color="auto"/>
                      <w:right w:val="single" w:sz="4" w:space="0" w:color="auto"/>
                    </w:tcBorders>
                    <w:shd w:val="clear" w:color="auto" w:fill="auto"/>
                    <w:noWrap/>
                    <w:vAlign w:val="center"/>
                  </w:tcPr>
                  <w:p>
                    <w:pPr>
                      <w:jc w:val="center"/>
                      <w:rPr>
                        <w:sz w:val="20"/>
                      </w:rPr>
                    </w:pPr>
                    <w:r>
                      <w:rPr>
                        <w:rFonts w:eastAsia="MS Mincho"/>
                        <w:color w:val="000000"/>
                        <w:kern w:val="2"/>
                        <w:sz w:val="20"/>
                      </w:rPr>
                      <w:t>12 (2023)</w:t>
                    </w:r>
                  </w:p>
                </w:tc>
                <w:tc>
                  <w:tcPr>
                    <w:tcW w:w="1134" w:type="dxa"/>
                    <w:tcBorders>
                      <w:top w:val="single" w:sz="4" w:space="0" w:color="auto"/>
                      <w:left w:val="nil"/>
                      <w:bottom w:val="single" w:sz="4" w:space="0" w:color="auto"/>
                      <w:right w:val="single" w:sz="4" w:space="0" w:color="auto"/>
                    </w:tcBorders>
                    <w:shd w:val="clear" w:color="auto" w:fill="auto"/>
                    <w:noWrap/>
                    <w:vAlign w:val="center"/>
                  </w:tcPr>
                  <w:p>
                    <w:pPr>
                      <w:jc w:val="center"/>
                      <w:rPr>
                        <w:sz w:val="20"/>
                      </w:rPr>
                    </w:pPr>
                    <w:r>
                      <w:rPr>
                        <w:rFonts w:eastAsia="MS Mincho"/>
                        <w:kern w:val="2"/>
                        <w:sz w:val="20"/>
                      </w:rPr>
                      <w:t>26 (2033)</w:t>
                    </w:r>
                  </w:p>
                </w:tc>
              </w:tr>
              <w:tr>
                <w:trPr>
                  <w:trHeight w:val="440"/>
                  <w:jc w:val="center"/>
                </w:trPr>
                <w:tc>
                  <w:tcPr>
                    <w:tcW w:w="988" w:type="dxa"/>
                    <w:vMerge/>
                    <w:vAlign w:val="center"/>
                  </w:tcPr>
                  <w:p>
                    <w:pPr>
                      <w:rPr>
                        <w:sz w:val="20"/>
                      </w:rPr>
                    </w:pPr>
                  </w:p>
                </w:tc>
                <w:tc>
                  <w:tcPr>
                    <w:tcW w:w="2126" w:type="dxa"/>
                    <w:vMerge/>
                    <w:vAlign w:val="center"/>
                  </w:tcPr>
                  <w:p>
                    <w:pPr>
                      <w:rPr>
                        <w:sz w:val="20"/>
                      </w:rPr>
                    </w:pPr>
                  </w:p>
                </w:tc>
                <w:tc>
                  <w:tcPr>
                    <w:tcW w:w="850" w:type="dxa"/>
                    <w:vMerge/>
                    <w:vAlign w:val="center"/>
                  </w:tcPr>
                  <w:p>
                    <w:pPr>
                      <w:jc w:val="center"/>
                      <w:rPr>
                        <w:sz w:val="20"/>
                      </w:rPr>
                    </w:pPr>
                  </w:p>
                </w:tc>
                <w:tc>
                  <w:tcPr>
                    <w:tcW w:w="709" w:type="dxa"/>
                    <w:vMerge/>
                    <w:vAlign w:val="center"/>
                  </w:tcPr>
                  <w:p>
                    <w:pPr>
                      <w:jc w:val="center"/>
                      <w:rPr>
                        <w:sz w:val="20"/>
                      </w:rPr>
                    </w:pPr>
                  </w:p>
                </w:tc>
                <w:tc>
                  <w:tcPr>
                    <w:tcW w:w="709" w:type="dxa"/>
                    <w:vMerge/>
                    <w:vAlign w:val="center"/>
                  </w:tcPr>
                  <w:p>
                    <w:pPr>
                      <w:jc w:val="center"/>
                      <w:rPr>
                        <w:sz w:val="20"/>
                      </w:rPr>
                    </w:pPr>
                  </w:p>
                </w:tc>
                <w:tc>
                  <w:tcPr>
                    <w:tcW w:w="1417" w:type="dxa"/>
                    <w:vAlign w:val="center"/>
                  </w:tcPr>
                  <w:p>
                    <w:pPr>
                      <w:rPr>
                        <w:sz w:val="20"/>
                      </w:rPr>
                    </w:pPr>
                    <w:r>
                      <w:rPr>
                        <w:sz w:val="20"/>
                      </w:rPr>
                      <w:t>P-18-02-01-05</w:t>
                    </w:r>
                  </w:p>
                </w:tc>
                <w:tc>
                  <w:tcPr>
                    <w:tcW w:w="4111" w:type="dxa"/>
                    <w:vAlign w:val="center"/>
                  </w:tcPr>
                  <w:p>
                    <w:pPr>
                      <w:rPr>
                        <w:sz w:val="20"/>
                      </w:rPr>
                    </w:pPr>
                    <w:r>
                      <w:rPr>
                        <w:sz w:val="20"/>
                      </w:rPr>
                      <w:t>Erdvių, kurios skirtos organizuoti vaikų pasyvų poilsį, sensorinę terapiją, skaičius (vnt.)</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rPr>
                    </w:pPr>
                    <w:r>
                      <w:rPr>
                        <w:rFonts w:eastAsia="MS Mincho"/>
                        <w:color w:val="000000"/>
                        <w:kern w:val="2"/>
                        <w:sz w:val="20"/>
                      </w:rPr>
                      <w:t>ŠS</w:t>
                    </w:r>
                  </w:p>
                </w:tc>
                <w:tc>
                  <w:tcPr>
                    <w:tcW w:w="1134" w:type="dxa"/>
                    <w:tcBorders>
                      <w:top w:val="single" w:sz="4" w:space="0" w:color="auto"/>
                      <w:left w:val="nil"/>
                      <w:bottom w:val="single" w:sz="4" w:space="0" w:color="auto"/>
                      <w:right w:val="single" w:sz="4" w:space="0" w:color="auto"/>
                    </w:tcBorders>
                    <w:shd w:val="clear" w:color="auto" w:fill="auto"/>
                    <w:noWrap/>
                    <w:vAlign w:val="center"/>
                  </w:tcPr>
                  <w:p>
                    <w:pPr>
                      <w:jc w:val="center"/>
                      <w:rPr>
                        <w:sz w:val="20"/>
                      </w:rPr>
                    </w:pPr>
                    <w:r>
                      <w:rPr>
                        <w:rFonts w:eastAsia="MS Mincho"/>
                        <w:color w:val="000000"/>
                        <w:kern w:val="2"/>
                        <w:sz w:val="20"/>
                      </w:rPr>
                      <w:t>14 (2023)</w:t>
                    </w:r>
                  </w:p>
                </w:tc>
                <w:tc>
                  <w:tcPr>
                    <w:tcW w:w="1134" w:type="dxa"/>
                    <w:tcBorders>
                      <w:top w:val="single" w:sz="4" w:space="0" w:color="auto"/>
                      <w:left w:val="nil"/>
                      <w:bottom w:val="single" w:sz="4" w:space="0" w:color="auto"/>
                      <w:right w:val="single" w:sz="4" w:space="0" w:color="auto"/>
                    </w:tcBorders>
                    <w:shd w:val="clear" w:color="auto" w:fill="auto"/>
                    <w:noWrap/>
                    <w:vAlign w:val="center"/>
                  </w:tcPr>
                  <w:p>
                    <w:pPr>
                      <w:jc w:val="center"/>
                      <w:rPr>
                        <w:sz w:val="20"/>
                      </w:rPr>
                    </w:pPr>
                    <w:r>
                      <w:rPr>
                        <w:rFonts w:eastAsia="MS Mincho"/>
                        <w:kern w:val="2"/>
                        <w:sz w:val="20"/>
                      </w:rPr>
                      <w:t>26 (2033)</w:t>
                    </w:r>
                  </w:p>
                </w:tc>
              </w:tr>
              <w:tr>
                <w:trPr>
                  <w:trHeight w:val="560"/>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jc w:val="center"/>
                      <w:rPr>
                        <w:sz w:val="20"/>
                      </w:rPr>
                    </w:pPr>
                  </w:p>
                </w:tc>
                <w:tc>
                  <w:tcPr>
                    <w:tcW w:w="709" w:type="dxa"/>
                    <w:vMerge/>
                    <w:vAlign w:val="center"/>
                    <w:hideMark/>
                  </w:tcPr>
                  <w:p>
                    <w:pPr>
                      <w:jc w:val="center"/>
                      <w:rPr>
                        <w:sz w:val="20"/>
                      </w:rPr>
                    </w:pPr>
                  </w:p>
                </w:tc>
                <w:tc>
                  <w:tcPr>
                    <w:tcW w:w="709" w:type="dxa"/>
                    <w:vMerge/>
                    <w:vAlign w:val="center"/>
                    <w:hideMark/>
                  </w:tcPr>
                  <w:p>
                    <w:pPr>
                      <w:jc w:val="center"/>
                      <w:rPr>
                        <w:sz w:val="20"/>
                      </w:rPr>
                    </w:pPr>
                  </w:p>
                </w:tc>
                <w:tc>
                  <w:tcPr>
                    <w:tcW w:w="1417" w:type="dxa"/>
                    <w:vAlign w:val="center"/>
                    <w:hideMark/>
                  </w:tcPr>
                  <w:p>
                    <w:pPr>
                      <w:rPr>
                        <w:sz w:val="20"/>
                      </w:rPr>
                    </w:pPr>
                    <w:r>
                      <w:rPr>
                        <w:sz w:val="20"/>
                      </w:rPr>
                      <w:t>P-18-02-01-06</w:t>
                    </w:r>
                  </w:p>
                </w:tc>
                <w:tc>
                  <w:tcPr>
                    <w:tcW w:w="4111" w:type="dxa"/>
                    <w:vAlign w:val="center"/>
                    <w:hideMark/>
                  </w:tcPr>
                  <w:p>
                    <w:pPr>
                      <w:rPr>
                        <w:sz w:val="20"/>
                      </w:rPr>
                    </w:pPr>
                    <w:r>
                      <w:rPr>
                        <w:sz w:val="20"/>
                      </w:rPr>
                      <w:t>Ikimokyklinio ugdymo įstaigų, kurių patalpos pritaikytos fizinę negalią turintiems asmenims, dalis (proc.)</w:t>
                    </w:r>
                  </w:p>
                </w:tc>
                <w:tc>
                  <w:tcPr>
                    <w:tcW w:w="1134" w:type="dxa"/>
                    <w:vAlign w:val="center"/>
                    <w:hideMark/>
                  </w:tcPr>
                  <w:p>
                    <w:pPr>
                      <w:jc w:val="center"/>
                      <w:rPr>
                        <w:sz w:val="20"/>
                      </w:rPr>
                    </w:pPr>
                    <w:r>
                      <w:rPr>
                        <w:sz w:val="20"/>
                      </w:rPr>
                      <w:t>ŠS</w:t>
                    </w:r>
                  </w:p>
                </w:tc>
                <w:tc>
                  <w:tcPr>
                    <w:tcW w:w="1134" w:type="dxa"/>
                    <w:noWrap/>
                    <w:vAlign w:val="center"/>
                    <w:hideMark/>
                  </w:tcPr>
                  <w:p>
                    <w:pPr>
                      <w:jc w:val="center"/>
                      <w:rPr>
                        <w:sz w:val="20"/>
                      </w:rPr>
                    </w:pPr>
                    <w:r>
                      <w:rPr>
                        <w:sz w:val="20"/>
                      </w:rPr>
                      <w:t>0 (2025)</w:t>
                    </w:r>
                  </w:p>
                </w:tc>
                <w:tc>
                  <w:tcPr>
                    <w:tcW w:w="1134" w:type="dxa"/>
                    <w:noWrap/>
                    <w:vAlign w:val="center"/>
                    <w:hideMark/>
                  </w:tcPr>
                  <w:p>
                    <w:pPr>
                      <w:jc w:val="center"/>
                      <w:rPr>
                        <w:sz w:val="20"/>
                      </w:rPr>
                    </w:pPr>
                    <w:r>
                      <w:rPr>
                        <w:sz w:val="20"/>
                      </w:rPr>
                      <w:t>12 (2033)</w:t>
                    </w:r>
                  </w:p>
                </w:tc>
              </w:tr>
              <w:tr>
                <w:trPr>
                  <w:trHeight w:val="378"/>
                  <w:jc w:val="center"/>
                </w:trPr>
                <w:tc>
                  <w:tcPr>
                    <w:tcW w:w="988" w:type="dxa"/>
                    <w:vMerge w:val="restart"/>
                    <w:noWrap/>
                    <w:vAlign w:val="center"/>
                    <w:hideMark/>
                  </w:tcPr>
                  <w:p>
                    <w:pPr>
                      <w:rPr>
                        <w:sz w:val="20"/>
                      </w:rPr>
                    </w:pPr>
                    <w:r>
                      <w:rPr>
                        <w:sz w:val="20"/>
                      </w:rPr>
                      <w:t>18-02-02</w:t>
                    </w:r>
                  </w:p>
                </w:tc>
                <w:tc>
                  <w:tcPr>
                    <w:tcW w:w="2126" w:type="dxa"/>
                    <w:vMerge w:val="restart"/>
                    <w:vAlign w:val="center"/>
                    <w:hideMark/>
                  </w:tcPr>
                  <w:p>
                    <w:pPr>
                      <w:rPr>
                        <w:sz w:val="20"/>
                      </w:rPr>
                    </w:pPr>
                    <w:r>
                      <w:rPr>
                        <w:sz w:val="20"/>
                      </w:rPr>
                      <w:t>Atnaujinti bendrojo ugdymo mokyklų aplinką</w:t>
                    </w:r>
                  </w:p>
                </w:tc>
                <w:tc>
                  <w:tcPr>
                    <w:tcW w:w="850" w:type="dxa"/>
                    <w:vMerge w:val="restart"/>
                    <w:vAlign w:val="center"/>
                    <w:hideMark/>
                  </w:tcPr>
                  <w:p>
                    <w:pPr>
                      <w:jc w:val="center"/>
                      <w:rPr>
                        <w:sz w:val="20"/>
                      </w:rPr>
                    </w:pPr>
                    <w:r>
                      <w:rPr>
                        <w:sz w:val="20"/>
                      </w:rPr>
                      <w:t>ŠS</w:t>
                    </w:r>
                  </w:p>
                </w:tc>
                <w:tc>
                  <w:tcPr>
                    <w:tcW w:w="709" w:type="dxa"/>
                    <w:vMerge w:val="restart"/>
                    <w:vAlign w:val="center"/>
                    <w:hideMark/>
                  </w:tcPr>
                  <w:p>
                    <w:pPr>
                      <w:jc w:val="center"/>
                      <w:rPr>
                        <w:sz w:val="20"/>
                      </w:rPr>
                    </w:pPr>
                    <w:r>
                      <w:rPr>
                        <w:sz w:val="20"/>
                      </w:rPr>
                      <w:t>2025</w:t>
                    </w:r>
                  </w:p>
                </w:tc>
                <w:tc>
                  <w:tcPr>
                    <w:tcW w:w="709" w:type="dxa"/>
                    <w:vMerge w:val="restart"/>
                    <w:vAlign w:val="center"/>
                    <w:hideMark/>
                  </w:tcPr>
                  <w:p>
                    <w:pPr>
                      <w:jc w:val="center"/>
                      <w:rPr>
                        <w:sz w:val="20"/>
                      </w:rPr>
                    </w:pPr>
                    <w:r>
                      <w:rPr>
                        <w:sz w:val="20"/>
                      </w:rPr>
                      <w:t>2033</w:t>
                    </w:r>
                  </w:p>
                </w:tc>
                <w:tc>
                  <w:tcPr>
                    <w:tcW w:w="1417" w:type="dxa"/>
                    <w:vAlign w:val="center"/>
                    <w:hideMark/>
                  </w:tcPr>
                  <w:p>
                    <w:pPr>
                      <w:rPr>
                        <w:sz w:val="20"/>
                      </w:rPr>
                    </w:pPr>
                    <w:r>
                      <w:rPr>
                        <w:sz w:val="20"/>
                      </w:rPr>
                      <w:t>P-18-02-02-01</w:t>
                    </w:r>
                  </w:p>
                </w:tc>
                <w:tc>
                  <w:tcPr>
                    <w:tcW w:w="4111" w:type="dxa"/>
                    <w:vAlign w:val="center"/>
                    <w:hideMark/>
                  </w:tcPr>
                  <w:p>
                    <w:pPr>
                      <w:rPr>
                        <w:sz w:val="20"/>
                      </w:rPr>
                    </w:pPr>
                    <w:r>
                      <w:rPr>
                        <w:sz w:val="20"/>
                      </w:rPr>
                      <w:t>Atnaujintų bendrojo ugdymo mokyklų pastatų skaičius (vnt.)</w:t>
                    </w:r>
                  </w:p>
                </w:tc>
                <w:tc>
                  <w:tcPr>
                    <w:tcW w:w="1134" w:type="dxa"/>
                    <w:vAlign w:val="center"/>
                    <w:hideMark/>
                  </w:tcPr>
                  <w:p>
                    <w:pPr>
                      <w:jc w:val="center"/>
                      <w:rPr>
                        <w:sz w:val="20"/>
                      </w:rPr>
                    </w:pPr>
                    <w:r>
                      <w:rPr>
                        <w:sz w:val="20"/>
                      </w:rPr>
                      <w:t>ŠS</w:t>
                    </w:r>
                  </w:p>
                </w:tc>
                <w:tc>
                  <w:tcPr>
                    <w:tcW w:w="1134" w:type="dxa"/>
                    <w:noWrap/>
                    <w:vAlign w:val="center"/>
                    <w:hideMark/>
                  </w:tcPr>
                  <w:p>
                    <w:pPr>
                      <w:jc w:val="center"/>
                      <w:rPr>
                        <w:sz w:val="20"/>
                      </w:rPr>
                    </w:pPr>
                    <w:r>
                      <w:rPr>
                        <w:sz w:val="20"/>
                      </w:rPr>
                      <w:t>15 (2023)</w:t>
                    </w:r>
                  </w:p>
                </w:tc>
                <w:tc>
                  <w:tcPr>
                    <w:tcW w:w="1134" w:type="dxa"/>
                    <w:noWrap/>
                    <w:vAlign w:val="center"/>
                    <w:hideMark/>
                  </w:tcPr>
                  <w:p>
                    <w:pPr>
                      <w:jc w:val="center"/>
                      <w:rPr>
                        <w:sz w:val="20"/>
                      </w:rPr>
                    </w:pPr>
                    <w:r>
                      <w:rPr>
                        <w:sz w:val="20"/>
                      </w:rPr>
                      <w:t>30 (2033)</w:t>
                    </w:r>
                  </w:p>
                </w:tc>
              </w:tr>
              <w:tr>
                <w:trPr>
                  <w:trHeight w:val="314"/>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jc w:val="center"/>
                      <w:rPr>
                        <w:sz w:val="20"/>
                      </w:rPr>
                    </w:pPr>
                  </w:p>
                </w:tc>
                <w:tc>
                  <w:tcPr>
                    <w:tcW w:w="709" w:type="dxa"/>
                    <w:vMerge/>
                    <w:vAlign w:val="center"/>
                    <w:hideMark/>
                  </w:tcPr>
                  <w:p>
                    <w:pPr>
                      <w:jc w:val="center"/>
                      <w:rPr>
                        <w:sz w:val="20"/>
                      </w:rPr>
                    </w:pPr>
                  </w:p>
                </w:tc>
                <w:tc>
                  <w:tcPr>
                    <w:tcW w:w="709" w:type="dxa"/>
                    <w:vMerge/>
                    <w:vAlign w:val="center"/>
                    <w:hideMark/>
                  </w:tcPr>
                  <w:p>
                    <w:pPr>
                      <w:jc w:val="center"/>
                      <w:rPr>
                        <w:sz w:val="20"/>
                      </w:rPr>
                    </w:pPr>
                  </w:p>
                </w:tc>
                <w:tc>
                  <w:tcPr>
                    <w:tcW w:w="1417" w:type="dxa"/>
                    <w:vAlign w:val="center"/>
                    <w:hideMark/>
                  </w:tcPr>
                  <w:p>
                    <w:pPr>
                      <w:rPr>
                        <w:sz w:val="20"/>
                      </w:rPr>
                    </w:pPr>
                    <w:r>
                      <w:rPr>
                        <w:sz w:val="20"/>
                      </w:rPr>
                      <w:t>P-18-02-02-02</w:t>
                    </w:r>
                  </w:p>
                </w:tc>
                <w:tc>
                  <w:tcPr>
                    <w:tcW w:w="4111" w:type="dxa"/>
                    <w:vAlign w:val="center"/>
                    <w:hideMark/>
                  </w:tcPr>
                  <w:p>
                    <w:pPr>
                      <w:rPr>
                        <w:sz w:val="20"/>
                      </w:rPr>
                    </w:pPr>
                    <w:r>
                      <w:rPr>
                        <w:sz w:val="20"/>
                      </w:rPr>
                      <w:t>Bendrojo ugdymo mokyklų, kuriose atnaujinti sporto aikštynai, skaičius (vnt.)</w:t>
                    </w:r>
                  </w:p>
                </w:tc>
                <w:tc>
                  <w:tcPr>
                    <w:tcW w:w="1134" w:type="dxa"/>
                    <w:vAlign w:val="center"/>
                    <w:hideMark/>
                  </w:tcPr>
                  <w:p>
                    <w:pPr>
                      <w:jc w:val="center"/>
                      <w:rPr>
                        <w:sz w:val="20"/>
                      </w:rPr>
                    </w:pPr>
                    <w:r>
                      <w:rPr>
                        <w:sz w:val="20"/>
                      </w:rPr>
                      <w:t>ŠS</w:t>
                    </w:r>
                  </w:p>
                </w:tc>
                <w:tc>
                  <w:tcPr>
                    <w:tcW w:w="1134" w:type="dxa"/>
                    <w:noWrap/>
                    <w:vAlign w:val="center"/>
                    <w:hideMark/>
                  </w:tcPr>
                  <w:p>
                    <w:pPr>
                      <w:jc w:val="center"/>
                      <w:rPr>
                        <w:sz w:val="20"/>
                      </w:rPr>
                    </w:pPr>
                    <w:r>
                      <w:rPr>
                        <w:sz w:val="20"/>
                      </w:rPr>
                      <w:t>6 (2023)</w:t>
                    </w:r>
                  </w:p>
                </w:tc>
                <w:tc>
                  <w:tcPr>
                    <w:tcW w:w="1134" w:type="dxa"/>
                    <w:noWrap/>
                    <w:vAlign w:val="center"/>
                    <w:hideMark/>
                  </w:tcPr>
                  <w:p>
                    <w:pPr>
                      <w:jc w:val="center"/>
                      <w:rPr>
                        <w:sz w:val="20"/>
                      </w:rPr>
                    </w:pPr>
                    <w:r>
                      <w:rPr>
                        <w:sz w:val="20"/>
                      </w:rPr>
                      <w:t>30 (2033)</w:t>
                    </w:r>
                  </w:p>
                </w:tc>
              </w:tr>
              <w:tr>
                <w:trPr>
                  <w:trHeight w:val="559"/>
                  <w:jc w:val="center"/>
                </w:trPr>
                <w:tc>
                  <w:tcPr>
                    <w:tcW w:w="988" w:type="dxa"/>
                    <w:vMerge/>
                    <w:tcBorders>
                      <w:bottom w:val="single" w:sz="4" w:space="0" w:color="auto"/>
                    </w:tcBorders>
                    <w:vAlign w:val="center"/>
                  </w:tcPr>
                  <w:p>
                    <w:pPr>
                      <w:rPr>
                        <w:sz w:val="20"/>
                      </w:rPr>
                    </w:pPr>
                  </w:p>
                </w:tc>
                <w:tc>
                  <w:tcPr>
                    <w:tcW w:w="2126" w:type="dxa"/>
                    <w:vMerge/>
                    <w:tcBorders>
                      <w:bottom w:val="single" w:sz="4" w:space="0" w:color="auto"/>
                    </w:tcBorders>
                    <w:vAlign w:val="center"/>
                  </w:tcPr>
                  <w:p>
                    <w:pPr>
                      <w:rPr>
                        <w:sz w:val="20"/>
                      </w:rPr>
                    </w:pPr>
                  </w:p>
                </w:tc>
                <w:tc>
                  <w:tcPr>
                    <w:tcW w:w="850" w:type="dxa"/>
                    <w:vMerge/>
                    <w:tcBorders>
                      <w:bottom w:val="single" w:sz="4" w:space="0" w:color="auto"/>
                    </w:tcBorders>
                    <w:vAlign w:val="center"/>
                  </w:tcPr>
                  <w:p>
                    <w:pPr>
                      <w:jc w:val="center"/>
                      <w:rPr>
                        <w:sz w:val="20"/>
                      </w:rPr>
                    </w:pPr>
                  </w:p>
                </w:tc>
                <w:tc>
                  <w:tcPr>
                    <w:tcW w:w="709" w:type="dxa"/>
                    <w:vMerge/>
                    <w:tcBorders>
                      <w:bottom w:val="single" w:sz="4" w:space="0" w:color="auto"/>
                    </w:tcBorders>
                    <w:vAlign w:val="center"/>
                  </w:tcPr>
                  <w:p>
                    <w:pPr>
                      <w:jc w:val="center"/>
                      <w:rPr>
                        <w:sz w:val="20"/>
                      </w:rPr>
                    </w:pPr>
                  </w:p>
                </w:tc>
                <w:tc>
                  <w:tcPr>
                    <w:tcW w:w="709" w:type="dxa"/>
                    <w:vMerge/>
                    <w:tcBorders>
                      <w:bottom w:val="single" w:sz="4" w:space="0" w:color="auto"/>
                    </w:tcBorders>
                    <w:vAlign w:val="center"/>
                  </w:tcPr>
                  <w:p>
                    <w:pPr>
                      <w:jc w:val="center"/>
                      <w:rPr>
                        <w:sz w:val="20"/>
                      </w:rPr>
                    </w:pPr>
                  </w:p>
                </w:tc>
                <w:tc>
                  <w:tcPr>
                    <w:tcW w:w="1417" w:type="dxa"/>
                    <w:tcBorders>
                      <w:bottom w:val="single" w:sz="4" w:space="0" w:color="auto"/>
                    </w:tcBorders>
                    <w:vAlign w:val="center"/>
                  </w:tcPr>
                  <w:p>
                    <w:pPr>
                      <w:rPr>
                        <w:sz w:val="20"/>
                      </w:rPr>
                    </w:pPr>
                    <w:r>
                      <w:rPr>
                        <w:sz w:val="20"/>
                      </w:rPr>
                      <w:t>P-18-02-02-03</w:t>
                    </w:r>
                  </w:p>
                </w:tc>
                <w:tc>
                  <w:tcPr>
                    <w:tcW w:w="4111" w:type="dxa"/>
                    <w:tcBorders>
                      <w:bottom w:val="single" w:sz="4" w:space="0" w:color="auto"/>
                    </w:tcBorders>
                    <w:vAlign w:val="center"/>
                  </w:tcPr>
                  <w:p>
                    <w:pPr>
                      <w:rPr>
                        <w:sz w:val="20"/>
                      </w:rPr>
                    </w:pPr>
                    <w:r>
                      <w:rPr>
                        <w:sz w:val="20"/>
                      </w:rPr>
                      <w:t>Įrengtų edukacinių erdvių skaičius ir mokinių, dalyvaujančių visos dienos mokyklos veiklose, dalis nuo visų pradinių klasių mokinių (vnt. / proc.)</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rPr>
                    </w:pPr>
                    <w:r>
                      <w:rPr>
                        <w:rFonts w:eastAsia="MS Mincho"/>
                        <w:color w:val="000000"/>
                        <w:kern w:val="2"/>
                        <w:sz w:val="20"/>
                      </w:rPr>
                      <w:t>ŠS</w:t>
                    </w:r>
                  </w:p>
                </w:tc>
                <w:tc>
                  <w:tcPr>
                    <w:tcW w:w="1134" w:type="dxa"/>
                    <w:tcBorders>
                      <w:top w:val="single" w:sz="4" w:space="0" w:color="auto"/>
                      <w:left w:val="nil"/>
                      <w:bottom w:val="single" w:sz="4" w:space="0" w:color="auto"/>
                      <w:right w:val="single" w:sz="4" w:space="0" w:color="auto"/>
                    </w:tcBorders>
                    <w:shd w:val="clear" w:color="auto" w:fill="auto"/>
                    <w:noWrap/>
                    <w:vAlign w:val="center"/>
                  </w:tcPr>
                  <w:p>
                    <w:pPr>
                      <w:jc w:val="center"/>
                      <w:rPr>
                        <w:sz w:val="20"/>
                      </w:rPr>
                    </w:pPr>
                    <w:r>
                      <w:rPr>
                        <w:rFonts w:eastAsia="MS Mincho"/>
                        <w:kern w:val="2"/>
                        <w:sz w:val="20"/>
                      </w:rPr>
                      <w:t>51 /25</w:t>
                      <w:br/>
                      <w:t>(2023)</w:t>
                    </w:r>
                  </w:p>
                </w:tc>
                <w:tc>
                  <w:tcPr>
                    <w:tcW w:w="1134" w:type="dxa"/>
                    <w:tcBorders>
                      <w:top w:val="single" w:sz="4" w:space="0" w:color="auto"/>
                      <w:left w:val="nil"/>
                      <w:bottom w:val="single" w:sz="4" w:space="0" w:color="auto"/>
                      <w:right w:val="single" w:sz="4" w:space="0" w:color="auto"/>
                    </w:tcBorders>
                    <w:shd w:val="clear" w:color="auto" w:fill="auto"/>
                    <w:noWrap/>
                    <w:vAlign w:val="center"/>
                  </w:tcPr>
                  <w:p>
                    <w:pPr>
                      <w:jc w:val="center"/>
                      <w:rPr>
                        <w:sz w:val="20"/>
                      </w:rPr>
                    </w:pPr>
                    <w:r>
                      <w:rPr>
                        <w:rFonts w:eastAsia="MS Mincho"/>
                        <w:kern w:val="2"/>
                        <w:sz w:val="20"/>
                      </w:rPr>
                      <w:t>59/35</w:t>
                      <w:br/>
                      <w:t>(2033)</w:t>
                    </w:r>
                  </w:p>
                </w:tc>
              </w:tr>
              <w:tr>
                <w:trPr>
                  <w:trHeight w:val="559"/>
                  <w:jc w:val="center"/>
                </w:trPr>
                <w:tc>
                  <w:tcPr>
                    <w:tcW w:w="988" w:type="dxa"/>
                    <w:vMerge/>
                    <w:tcBorders>
                      <w:top w:val="single" w:sz="4" w:space="0" w:color="auto"/>
                    </w:tcBorders>
                    <w:vAlign w:val="center"/>
                    <w:hideMark/>
                  </w:tcPr>
                  <w:p>
                    <w:pPr>
                      <w:rPr>
                        <w:sz w:val="20"/>
                      </w:rPr>
                    </w:pPr>
                  </w:p>
                </w:tc>
                <w:tc>
                  <w:tcPr>
                    <w:tcW w:w="2126" w:type="dxa"/>
                    <w:vMerge/>
                    <w:tcBorders>
                      <w:top w:val="single" w:sz="4" w:space="0" w:color="auto"/>
                    </w:tcBorders>
                    <w:vAlign w:val="center"/>
                    <w:hideMark/>
                  </w:tcPr>
                  <w:p>
                    <w:pPr>
                      <w:rPr>
                        <w:sz w:val="20"/>
                      </w:rPr>
                    </w:pPr>
                  </w:p>
                </w:tc>
                <w:tc>
                  <w:tcPr>
                    <w:tcW w:w="850" w:type="dxa"/>
                    <w:vMerge/>
                    <w:tcBorders>
                      <w:top w:val="single" w:sz="4" w:space="0" w:color="auto"/>
                    </w:tcBorders>
                    <w:vAlign w:val="center"/>
                    <w:hideMark/>
                  </w:tcPr>
                  <w:p>
                    <w:pPr>
                      <w:jc w:val="center"/>
                      <w:rPr>
                        <w:sz w:val="20"/>
                      </w:rPr>
                    </w:pPr>
                  </w:p>
                </w:tc>
                <w:tc>
                  <w:tcPr>
                    <w:tcW w:w="709" w:type="dxa"/>
                    <w:vMerge/>
                    <w:tcBorders>
                      <w:top w:val="single" w:sz="4" w:space="0" w:color="auto"/>
                    </w:tcBorders>
                    <w:vAlign w:val="center"/>
                    <w:hideMark/>
                  </w:tcPr>
                  <w:p>
                    <w:pPr>
                      <w:jc w:val="center"/>
                      <w:rPr>
                        <w:sz w:val="20"/>
                      </w:rPr>
                    </w:pPr>
                  </w:p>
                </w:tc>
                <w:tc>
                  <w:tcPr>
                    <w:tcW w:w="709" w:type="dxa"/>
                    <w:vMerge/>
                    <w:tcBorders>
                      <w:top w:val="single" w:sz="4" w:space="0" w:color="auto"/>
                    </w:tcBorders>
                    <w:vAlign w:val="center"/>
                    <w:hideMark/>
                  </w:tcPr>
                  <w:p>
                    <w:pPr>
                      <w:jc w:val="center"/>
                      <w:rPr>
                        <w:sz w:val="20"/>
                      </w:rPr>
                    </w:pPr>
                  </w:p>
                </w:tc>
                <w:tc>
                  <w:tcPr>
                    <w:tcW w:w="1417" w:type="dxa"/>
                    <w:tcBorders>
                      <w:top w:val="single" w:sz="4" w:space="0" w:color="auto"/>
                    </w:tcBorders>
                    <w:vAlign w:val="center"/>
                    <w:hideMark/>
                  </w:tcPr>
                  <w:p>
                    <w:pPr>
                      <w:rPr>
                        <w:sz w:val="20"/>
                      </w:rPr>
                    </w:pPr>
                    <w:r>
                      <w:rPr>
                        <w:sz w:val="20"/>
                      </w:rPr>
                      <w:t>P-18-02-02-04</w:t>
                    </w:r>
                  </w:p>
                </w:tc>
                <w:tc>
                  <w:tcPr>
                    <w:tcW w:w="4111" w:type="dxa"/>
                    <w:tcBorders>
                      <w:top w:val="single" w:sz="4" w:space="0" w:color="auto"/>
                    </w:tcBorders>
                    <w:vAlign w:val="center"/>
                    <w:hideMark/>
                  </w:tcPr>
                  <w:p>
                    <w:pPr>
                      <w:rPr>
                        <w:sz w:val="20"/>
                      </w:rPr>
                    </w:pPr>
                    <w:r>
                      <w:rPr>
                        <w:sz w:val="20"/>
                      </w:rPr>
                      <w:t>Bendrojo ugdymo mokyklų, kurių patalpos pritaikytos fizinę negalią turintiems asmenims, dalis (proc.)</w:t>
                    </w:r>
                  </w:p>
                </w:tc>
                <w:tc>
                  <w:tcPr>
                    <w:tcW w:w="1134" w:type="dxa"/>
                    <w:tcBorders>
                      <w:top w:val="single" w:sz="4" w:space="0" w:color="auto"/>
                    </w:tcBorders>
                    <w:vAlign w:val="center"/>
                    <w:hideMark/>
                  </w:tcPr>
                  <w:p>
                    <w:pPr>
                      <w:jc w:val="center"/>
                      <w:rPr>
                        <w:sz w:val="20"/>
                      </w:rPr>
                    </w:pPr>
                    <w:r>
                      <w:rPr>
                        <w:sz w:val="20"/>
                      </w:rPr>
                      <w:t>ŠS</w:t>
                    </w:r>
                  </w:p>
                </w:tc>
                <w:tc>
                  <w:tcPr>
                    <w:tcW w:w="1134" w:type="dxa"/>
                    <w:tcBorders>
                      <w:top w:val="single" w:sz="4" w:space="0" w:color="auto"/>
                    </w:tcBorders>
                    <w:noWrap/>
                    <w:vAlign w:val="center"/>
                    <w:hideMark/>
                  </w:tcPr>
                  <w:p>
                    <w:pPr>
                      <w:jc w:val="center"/>
                      <w:rPr>
                        <w:sz w:val="20"/>
                      </w:rPr>
                    </w:pPr>
                    <w:r>
                      <w:rPr>
                        <w:sz w:val="20"/>
                      </w:rPr>
                      <w:t>30 (2023)</w:t>
                    </w:r>
                  </w:p>
                </w:tc>
                <w:tc>
                  <w:tcPr>
                    <w:tcW w:w="1134" w:type="dxa"/>
                    <w:tcBorders>
                      <w:top w:val="single" w:sz="4" w:space="0" w:color="auto"/>
                    </w:tcBorders>
                    <w:noWrap/>
                    <w:vAlign w:val="center"/>
                    <w:hideMark/>
                  </w:tcPr>
                  <w:p>
                    <w:pPr>
                      <w:jc w:val="center"/>
                      <w:rPr>
                        <w:sz w:val="20"/>
                      </w:rPr>
                    </w:pPr>
                    <w:r>
                      <w:rPr>
                        <w:sz w:val="20"/>
                      </w:rPr>
                      <w:t>100 (2033)</w:t>
                    </w:r>
                  </w:p>
                </w:tc>
              </w:tr>
              <w:tr>
                <w:trPr>
                  <w:trHeight w:val="358"/>
                  <w:jc w:val="center"/>
                </w:trPr>
                <w:tc>
                  <w:tcPr>
                    <w:tcW w:w="988" w:type="dxa"/>
                    <w:vMerge w:val="restart"/>
                    <w:noWrap/>
                    <w:vAlign w:val="center"/>
                    <w:hideMark/>
                  </w:tcPr>
                  <w:p>
                    <w:pPr>
                      <w:rPr>
                        <w:sz w:val="20"/>
                      </w:rPr>
                    </w:pPr>
                    <w:r>
                      <w:rPr>
                        <w:sz w:val="20"/>
                      </w:rPr>
                      <w:t>18-02-03</w:t>
                    </w:r>
                  </w:p>
                </w:tc>
                <w:tc>
                  <w:tcPr>
                    <w:tcW w:w="2126" w:type="dxa"/>
                    <w:vMerge w:val="restart"/>
                    <w:vAlign w:val="center"/>
                    <w:hideMark/>
                  </w:tcPr>
                  <w:p>
                    <w:pPr>
                      <w:rPr>
                        <w:sz w:val="20"/>
                      </w:rPr>
                    </w:pPr>
                    <w:r>
                      <w:rPr>
                        <w:sz w:val="20"/>
                      </w:rPr>
                      <w:t>Atnaujinti ir modernizuoti neformaliojo švietimo mokyklų aplinką</w:t>
                    </w:r>
                  </w:p>
                </w:tc>
                <w:tc>
                  <w:tcPr>
                    <w:tcW w:w="850" w:type="dxa"/>
                    <w:vMerge w:val="restart"/>
                    <w:vAlign w:val="center"/>
                    <w:hideMark/>
                  </w:tcPr>
                  <w:p>
                    <w:pPr>
                      <w:jc w:val="center"/>
                      <w:rPr>
                        <w:sz w:val="20"/>
                      </w:rPr>
                    </w:pPr>
                    <w:r>
                      <w:rPr>
                        <w:sz w:val="20"/>
                      </w:rPr>
                      <w:t>ŠS</w:t>
                    </w:r>
                  </w:p>
                </w:tc>
                <w:tc>
                  <w:tcPr>
                    <w:tcW w:w="709" w:type="dxa"/>
                    <w:vMerge w:val="restart"/>
                    <w:vAlign w:val="center"/>
                    <w:hideMark/>
                  </w:tcPr>
                  <w:p>
                    <w:pPr>
                      <w:jc w:val="center"/>
                      <w:rPr>
                        <w:sz w:val="20"/>
                      </w:rPr>
                    </w:pPr>
                    <w:r>
                      <w:rPr>
                        <w:sz w:val="20"/>
                      </w:rPr>
                      <w:t>2025</w:t>
                    </w:r>
                  </w:p>
                </w:tc>
                <w:tc>
                  <w:tcPr>
                    <w:tcW w:w="709" w:type="dxa"/>
                    <w:vMerge w:val="restart"/>
                    <w:vAlign w:val="center"/>
                    <w:hideMark/>
                  </w:tcPr>
                  <w:p>
                    <w:pPr>
                      <w:jc w:val="center"/>
                      <w:rPr>
                        <w:sz w:val="20"/>
                      </w:rPr>
                    </w:pPr>
                    <w:r>
                      <w:rPr>
                        <w:sz w:val="20"/>
                      </w:rPr>
                      <w:t>2033</w:t>
                    </w:r>
                  </w:p>
                </w:tc>
                <w:tc>
                  <w:tcPr>
                    <w:tcW w:w="1417" w:type="dxa"/>
                    <w:vAlign w:val="center"/>
                    <w:hideMark/>
                  </w:tcPr>
                  <w:p>
                    <w:pPr>
                      <w:rPr>
                        <w:sz w:val="20"/>
                      </w:rPr>
                    </w:pPr>
                    <w:r>
                      <w:rPr>
                        <w:sz w:val="20"/>
                      </w:rPr>
                      <w:t>P-18-02-03-01</w:t>
                    </w:r>
                  </w:p>
                </w:tc>
                <w:tc>
                  <w:tcPr>
                    <w:tcW w:w="4111" w:type="dxa"/>
                    <w:vAlign w:val="center"/>
                    <w:hideMark/>
                  </w:tcPr>
                  <w:p>
                    <w:pPr>
                      <w:rPr>
                        <w:sz w:val="20"/>
                      </w:rPr>
                    </w:pPr>
                    <w:r>
                      <w:rPr>
                        <w:sz w:val="20"/>
                      </w:rPr>
                      <w:t>Atnaujintų neformaliojo vaikų švietimo mokyklų pastatų skaičius (vnt.)</w:t>
                    </w:r>
                  </w:p>
                </w:tc>
                <w:tc>
                  <w:tcPr>
                    <w:tcW w:w="1134" w:type="dxa"/>
                    <w:vAlign w:val="center"/>
                    <w:hideMark/>
                  </w:tcPr>
                  <w:p>
                    <w:pPr>
                      <w:jc w:val="center"/>
                      <w:rPr>
                        <w:sz w:val="20"/>
                      </w:rPr>
                    </w:pPr>
                    <w:r>
                      <w:rPr>
                        <w:sz w:val="20"/>
                      </w:rPr>
                      <w:t>ŠS</w:t>
                    </w:r>
                  </w:p>
                </w:tc>
                <w:tc>
                  <w:tcPr>
                    <w:tcW w:w="1134" w:type="dxa"/>
                    <w:tcBorders>
                      <w:bottom w:val="single" w:sz="4" w:space="0" w:color="auto"/>
                    </w:tcBorders>
                    <w:noWrap/>
                    <w:vAlign w:val="center"/>
                    <w:hideMark/>
                  </w:tcPr>
                  <w:p>
                    <w:pPr>
                      <w:jc w:val="center"/>
                      <w:rPr>
                        <w:sz w:val="20"/>
                      </w:rPr>
                    </w:pPr>
                    <w:r>
                      <w:rPr>
                        <w:sz w:val="20"/>
                      </w:rPr>
                      <w:t>1 (2023)</w:t>
                    </w:r>
                  </w:p>
                </w:tc>
                <w:tc>
                  <w:tcPr>
                    <w:tcW w:w="1134" w:type="dxa"/>
                    <w:tcBorders>
                      <w:bottom w:val="single" w:sz="4" w:space="0" w:color="auto"/>
                    </w:tcBorders>
                    <w:noWrap/>
                    <w:vAlign w:val="center"/>
                    <w:hideMark/>
                  </w:tcPr>
                  <w:p>
                    <w:pPr>
                      <w:jc w:val="center"/>
                      <w:rPr>
                        <w:sz w:val="20"/>
                      </w:rPr>
                    </w:pPr>
                    <w:r>
                      <w:rPr>
                        <w:sz w:val="20"/>
                      </w:rPr>
                      <w:t>10 (2033)</w:t>
                    </w:r>
                  </w:p>
                </w:tc>
              </w:tr>
              <w:tr>
                <w:trPr>
                  <w:trHeight w:val="449"/>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rPr>
                        <w:sz w:val="20"/>
                      </w:rPr>
                    </w:pPr>
                  </w:p>
                </w:tc>
                <w:tc>
                  <w:tcPr>
                    <w:tcW w:w="709" w:type="dxa"/>
                    <w:vMerge/>
                    <w:vAlign w:val="center"/>
                    <w:hideMark/>
                  </w:tcPr>
                  <w:p>
                    <w:pPr>
                      <w:rPr>
                        <w:sz w:val="20"/>
                      </w:rPr>
                    </w:pPr>
                  </w:p>
                </w:tc>
                <w:tc>
                  <w:tcPr>
                    <w:tcW w:w="709" w:type="dxa"/>
                    <w:vMerge/>
                    <w:vAlign w:val="center"/>
                    <w:hideMark/>
                  </w:tcPr>
                  <w:p>
                    <w:pPr>
                      <w:rPr>
                        <w:sz w:val="20"/>
                      </w:rPr>
                    </w:pPr>
                  </w:p>
                </w:tc>
                <w:tc>
                  <w:tcPr>
                    <w:tcW w:w="1417" w:type="dxa"/>
                    <w:vAlign w:val="center"/>
                    <w:hideMark/>
                  </w:tcPr>
                  <w:p>
                    <w:pPr>
                      <w:rPr>
                        <w:sz w:val="20"/>
                      </w:rPr>
                    </w:pPr>
                    <w:r>
                      <w:rPr>
                        <w:sz w:val="20"/>
                      </w:rPr>
                      <w:t>P-18-02-03-02</w:t>
                    </w:r>
                  </w:p>
                </w:tc>
                <w:tc>
                  <w:tcPr>
                    <w:tcW w:w="4111" w:type="dxa"/>
                    <w:vAlign w:val="center"/>
                    <w:hideMark/>
                  </w:tcPr>
                  <w:p>
                    <w:pPr>
                      <w:rPr>
                        <w:sz w:val="20"/>
                      </w:rPr>
                    </w:pPr>
                    <w:r>
                      <w:rPr>
                        <w:sz w:val="20"/>
                      </w:rPr>
                      <w:t>Neformaliojo vaikų švietimo mokyklų, kurių patalpos pritaikytos fizinę negalią turintiems asmenims, dalis (proc.)</w:t>
                    </w:r>
                  </w:p>
                </w:tc>
                <w:tc>
                  <w:tcPr>
                    <w:tcW w:w="1134" w:type="dxa"/>
                    <w:vAlign w:val="center"/>
                    <w:hideMark/>
                  </w:tcPr>
                  <w:p>
                    <w:pPr>
                      <w:jc w:val="center"/>
                      <w:rPr>
                        <w:sz w:val="20"/>
                      </w:rPr>
                    </w:pPr>
                    <w:r>
                      <w:rPr>
                        <w:sz w:val="20"/>
                      </w:rPr>
                      <w:t>ŠS</w:t>
                    </w:r>
                  </w:p>
                </w:tc>
                <w:tc>
                  <w:tcPr>
                    <w:tcW w:w="1134" w:type="dxa"/>
                    <w:tcBorders>
                      <w:bottom w:val="single" w:sz="4" w:space="0" w:color="auto"/>
                    </w:tcBorders>
                    <w:noWrap/>
                    <w:vAlign w:val="center"/>
                    <w:hideMark/>
                  </w:tcPr>
                  <w:p>
                    <w:pPr>
                      <w:jc w:val="center"/>
                      <w:rPr>
                        <w:sz w:val="20"/>
                      </w:rPr>
                    </w:pPr>
                    <w:r>
                      <w:rPr>
                        <w:sz w:val="20"/>
                      </w:rPr>
                      <w:t>0 (2023)</w:t>
                    </w:r>
                  </w:p>
                </w:tc>
                <w:tc>
                  <w:tcPr>
                    <w:tcW w:w="1134" w:type="dxa"/>
                    <w:tcBorders>
                      <w:bottom w:val="single" w:sz="4" w:space="0" w:color="auto"/>
                    </w:tcBorders>
                    <w:noWrap/>
                    <w:vAlign w:val="center"/>
                    <w:hideMark/>
                  </w:tcPr>
                  <w:p>
                    <w:pPr>
                      <w:jc w:val="center"/>
                      <w:rPr>
                        <w:sz w:val="20"/>
                      </w:rPr>
                    </w:pPr>
                    <w:r>
                      <w:rPr>
                        <w:sz w:val="20"/>
                      </w:rPr>
                      <w:t>100 (2033)</w:t>
                    </w:r>
                  </w:p>
                </w:tc>
              </w:tr>
              <w:tr>
                <w:trPr>
                  <w:trHeight w:val="780"/>
                  <w:jc w:val="center"/>
                </w:trPr>
                <w:tc>
                  <w:tcPr>
                    <w:tcW w:w="988" w:type="dxa"/>
                    <w:vMerge w:val="restart"/>
                    <w:shd w:val="clear" w:color="auto" w:fill="FCE4D6"/>
                    <w:noWrap/>
                    <w:vAlign w:val="center"/>
                    <w:hideMark/>
                  </w:tcPr>
                  <w:p>
                    <w:pPr>
                      <w:rPr>
                        <w:b/>
                        <w:bCs/>
                        <w:sz w:val="20"/>
                      </w:rPr>
                    </w:pPr>
                    <w:r>
                      <w:rPr>
                        <w:b/>
                        <w:bCs/>
                        <w:sz w:val="20"/>
                      </w:rPr>
                      <w:t>18-03</w:t>
                    </w:r>
                  </w:p>
                </w:tc>
                <w:tc>
                  <w:tcPr>
                    <w:tcW w:w="2126" w:type="dxa"/>
                    <w:vMerge w:val="restart"/>
                    <w:shd w:val="clear" w:color="auto" w:fill="FCE4D6"/>
                    <w:vAlign w:val="center"/>
                    <w:hideMark/>
                  </w:tcPr>
                  <w:p>
                    <w:pPr>
                      <w:rPr>
                        <w:b/>
                        <w:bCs/>
                        <w:sz w:val="20"/>
                      </w:rPr>
                    </w:pPr>
                    <w:r>
                      <w:rPr>
                        <w:b/>
                        <w:bCs/>
                        <w:sz w:val="20"/>
                      </w:rPr>
                      <w:t>Sudaryti sąlygas jaunimo savirealizacijai jų poreikiams pritaikytoje aplinkoje</w:t>
                    </w:r>
                  </w:p>
                </w:tc>
                <w:tc>
                  <w:tcPr>
                    <w:tcW w:w="850" w:type="dxa"/>
                    <w:vMerge w:val="restart"/>
                    <w:shd w:val="clear" w:color="auto" w:fill="FCE4D6"/>
                    <w:vAlign w:val="center"/>
                    <w:hideMark/>
                  </w:tcPr>
                  <w:p>
                    <w:pPr>
                      <w:jc w:val="center"/>
                      <w:rPr>
                        <w:sz w:val="20"/>
                      </w:rPr>
                    </w:pPr>
                    <w:r>
                      <w:rPr>
                        <w:sz w:val="20"/>
                      </w:rPr>
                      <w:t>JRK</w:t>
                    </w:r>
                  </w:p>
                </w:tc>
                <w:tc>
                  <w:tcPr>
                    <w:tcW w:w="709" w:type="dxa"/>
                    <w:vMerge w:val="restart"/>
                    <w:shd w:val="clear" w:color="auto" w:fill="FCE4D6"/>
                    <w:vAlign w:val="center"/>
                    <w:hideMark/>
                  </w:tcPr>
                  <w:p>
                    <w:pPr>
                      <w:jc w:val="center"/>
                      <w:rPr>
                        <w:sz w:val="20"/>
                      </w:rPr>
                    </w:pPr>
                    <w:r>
                      <w:rPr>
                        <w:sz w:val="20"/>
                      </w:rPr>
                      <w:t>2025</w:t>
                    </w:r>
                  </w:p>
                </w:tc>
                <w:tc>
                  <w:tcPr>
                    <w:tcW w:w="709" w:type="dxa"/>
                    <w:vMerge w:val="restart"/>
                    <w:shd w:val="clear" w:color="auto" w:fill="FCE4D6"/>
                    <w:vAlign w:val="center"/>
                    <w:hideMark/>
                  </w:tcPr>
                  <w:p>
                    <w:pPr>
                      <w:jc w:val="center"/>
                      <w:rPr>
                        <w:sz w:val="20"/>
                      </w:rPr>
                    </w:pPr>
                    <w:r>
                      <w:rPr>
                        <w:sz w:val="20"/>
                      </w:rPr>
                      <w:t>2033</w:t>
                    </w:r>
                  </w:p>
                </w:tc>
                <w:tc>
                  <w:tcPr>
                    <w:tcW w:w="1417" w:type="dxa"/>
                    <w:shd w:val="clear" w:color="auto" w:fill="FCE4D6"/>
                    <w:vAlign w:val="center"/>
                    <w:hideMark/>
                  </w:tcPr>
                  <w:p>
                    <w:pPr>
                      <w:rPr>
                        <w:sz w:val="20"/>
                      </w:rPr>
                    </w:pPr>
                    <w:r>
                      <w:rPr>
                        <w:sz w:val="20"/>
                      </w:rPr>
                      <w:t>R-18-03-01</w:t>
                    </w:r>
                  </w:p>
                </w:tc>
                <w:tc>
                  <w:tcPr>
                    <w:tcW w:w="4111" w:type="dxa"/>
                    <w:shd w:val="clear" w:color="auto" w:fill="FCE4D6"/>
                    <w:vAlign w:val="center"/>
                    <w:hideMark/>
                  </w:tcPr>
                  <w:p>
                    <w:pPr>
                      <w:rPr>
                        <w:sz w:val="20"/>
                      </w:rPr>
                    </w:pPr>
                    <w:r>
                      <w:rPr>
                        <w:sz w:val="20"/>
                      </w:rPr>
                      <w:t>Nepilnamečių, įtariamų padarius nusikalstamas veikas, skaičius, tenkantis 100 tūkst. 14−17 metų amžiaus vaikų (asm.) (santykis su LT vidurkiu)</w:t>
                    </w:r>
                  </w:p>
                </w:tc>
                <w:tc>
                  <w:tcPr>
                    <w:tcW w:w="1134" w:type="dxa"/>
                    <w:shd w:val="clear" w:color="auto" w:fill="FCE4D6"/>
                    <w:vAlign w:val="center"/>
                    <w:hideMark/>
                  </w:tcPr>
                  <w:p>
                    <w:pPr>
                      <w:jc w:val="center"/>
                      <w:rPr>
                        <w:sz w:val="20"/>
                      </w:rPr>
                    </w:pPr>
                    <w:r>
                      <w:rPr>
                        <w:sz w:val="20"/>
                      </w:rPr>
                      <w:t>VDA (JRK)</w:t>
                    </w:r>
                  </w:p>
                </w:tc>
                <w:tc>
                  <w:tcPr>
                    <w:tcW w:w="1134" w:type="dxa"/>
                    <w:tcBorders>
                      <w:top w:val="single" w:sz="4" w:space="0" w:color="auto"/>
                      <w:left w:val="single" w:sz="4" w:space="0" w:color="auto"/>
                      <w:bottom w:val="single" w:sz="4" w:space="0" w:color="auto"/>
                      <w:right w:val="single" w:sz="4" w:space="0" w:color="auto"/>
                    </w:tcBorders>
                    <w:shd w:val="clear" w:color="000000" w:fill="FCE4D6"/>
                    <w:vAlign w:val="center"/>
                    <w:hideMark/>
                  </w:tcPr>
                  <w:p>
                    <w:pPr>
                      <w:jc w:val="center"/>
                      <w:rPr>
                        <w:sz w:val="20"/>
                      </w:rPr>
                    </w:pPr>
                    <w:r>
                      <w:rPr>
                        <w:rFonts w:eastAsia="MS Mincho"/>
                        <w:kern w:val="2"/>
                        <w:sz w:val="20"/>
                      </w:rPr>
                      <w:t>828 (1,5) (2022)</w:t>
                    </w:r>
                  </w:p>
                </w:tc>
                <w:tc>
                  <w:tcPr>
                    <w:tcW w:w="1134" w:type="dxa"/>
                    <w:tcBorders>
                      <w:top w:val="single" w:sz="4" w:space="0" w:color="auto"/>
                      <w:left w:val="nil"/>
                      <w:bottom w:val="single" w:sz="4" w:space="0" w:color="auto"/>
                      <w:right w:val="single" w:sz="4" w:space="0" w:color="auto"/>
                    </w:tcBorders>
                    <w:shd w:val="clear" w:color="000000" w:fill="FCE4D6"/>
                    <w:vAlign w:val="center"/>
                    <w:hideMark/>
                  </w:tcPr>
                  <w:p>
                    <w:pPr>
                      <w:jc w:val="center"/>
                      <w:rPr>
                        <w:sz w:val="20"/>
                      </w:rPr>
                    </w:pPr>
                    <w:r>
                      <w:rPr>
                        <w:rFonts w:eastAsia="MS Mincho"/>
                        <w:kern w:val="2"/>
                        <w:sz w:val="20"/>
                      </w:rPr>
                      <w:t>569 (1) (2033)</w:t>
                    </w:r>
                  </w:p>
                </w:tc>
              </w:tr>
              <w:tr>
                <w:trPr>
                  <w:trHeight w:val="373"/>
                  <w:jc w:val="center"/>
                </w:trPr>
                <w:tc>
                  <w:tcPr>
                    <w:tcW w:w="988" w:type="dxa"/>
                    <w:vMerge/>
                    <w:shd w:val="clear" w:color="auto" w:fill="FCE4D6"/>
                    <w:vAlign w:val="center"/>
                    <w:hideMark/>
                  </w:tcPr>
                  <w:p>
                    <w:pPr>
                      <w:rPr>
                        <w:b/>
                        <w:bCs/>
                        <w:sz w:val="20"/>
                      </w:rPr>
                    </w:pPr>
                  </w:p>
                </w:tc>
                <w:tc>
                  <w:tcPr>
                    <w:tcW w:w="2126" w:type="dxa"/>
                    <w:vMerge/>
                    <w:shd w:val="clear" w:color="auto" w:fill="FCE4D6"/>
                    <w:vAlign w:val="center"/>
                    <w:hideMark/>
                  </w:tcPr>
                  <w:p>
                    <w:pPr>
                      <w:rPr>
                        <w:b/>
                        <w:bCs/>
                        <w:sz w:val="20"/>
                      </w:rPr>
                    </w:pPr>
                  </w:p>
                </w:tc>
                <w:tc>
                  <w:tcPr>
                    <w:tcW w:w="850" w:type="dxa"/>
                    <w:vMerge/>
                    <w:shd w:val="clear" w:color="auto" w:fill="FCE4D6"/>
                    <w:vAlign w:val="center"/>
                    <w:hideMark/>
                  </w:tcPr>
                  <w:p>
                    <w:pPr>
                      <w:rPr>
                        <w:sz w:val="20"/>
                      </w:rPr>
                    </w:pPr>
                  </w:p>
                </w:tc>
                <w:tc>
                  <w:tcPr>
                    <w:tcW w:w="709" w:type="dxa"/>
                    <w:vMerge/>
                    <w:shd w:val="clear" w:color="auto" w:fill="FCE4D6"/>
                    <w:vAlign w:val="center"/>
                    <w:hideMark/>
                  </w:tcPr>
                  <w:p>
                    <w:pPr>
                      <w:rPr>
                        <w:sz w:val="20"/>
                      </w:rPr>
                    </w:pPr>
                  </w:p>
                </w:tc>
                <w:tc>
                  <w:tcPr>
                    <w:tcW w:w="709" w:type="dxa"/>
                    <w:vMerge/>
                    <w:shd w:val="clear" w:color="auto" w:fill="FCE4D6"/>
                    <w:vAlign w:val="center"/>
                    <w:hideMark/>
                  </w:tcPr>
                  <w:p>
                    <w:pPr>
                      <w:rPr>
                        <w:sz w:val="20"/>
                      </w:rPr>
                    </w:pPr>
                  </w:p>
                </w:tc>
                <w:tc>
                  <w:tcPr>
                    <w:tcW w:w="1417" w:type="dxa"/>
                    <w:shd w:val="clear" w:color="auto" w:fill="FCE4D6"/>
                    <w:vAlign w:val="center"/>
                    <w:hideMark/>
                  </w:tcPr>
                  <w:p>
                    <w:pPr>
                      <w:rPr>
                        <w:sz w:val="20"/>
                      </w:rPr>
                    </w:pPr>
                    <w:r>
                      <w:rPr>
                        <w:sz w:val="20"/>
                      </w:rPr>
                      <w:t>R-18-03-02</w:t>
                    </w:r>
                  </w:p>
                </w:tc>
                <w:tc>
                  <w:tcPr>
                    <w:tcW w:w="4111" w:type="dxa"/>
                    <w:shd w:val="clear" w:color="auto" w:fill="FCE4D6"/>
                    <w:vAlign w:val="center"/>
                    <w:hideMark/>
                  </w:tcPr>
                  <w:p>
                    <w:pPr>
                      <w:rPr>
                        <w:sz w:val="20"/>
                      </w:rPr>
                    </w:pPr>
                    <w:r>
                      <w:rPr>
                        <w:sz w:val="20"/>
                      </w:rPr>
                      <w:t>Mokinių vasaros užimtumas nuo bendro mokinių skaičiaus (proc.)</w:t>
                    </w:r>
                  </w:p>
                </w:tc>
                <w:tc>
                  <w:tcPr>
                    <w:tcW w:w="1134" w:type="dxa"/>
                    <w:shd w:val="clear" w:color="auto" w:fill="FCE4D6"/>
                    <w:vAlign w:val="center"/>
                    <w:hideMark/>
                  </w:tcPr>
                  <w:p>
                    <w:pPr>
                      <w:jc w:val="center"/>
                      <w:rPr>
                        <w:sz w:val="20"/>
                      </w:rPr>
                    </w:pPr>
                    <w:r>
                      <w:rPr>
                        <w:sz w:val="20"/>
                      </w:rPr>
                      <w:t>ŠMSA (ŠS)</w:t>
                    </w:r>
                  </w:p>
                </w:tc>
                <w:tc>
                  <w:tcPr>
                    <w:tcW w:w="1134" w:type="dxa"/>
                    <w:shd w:val="clear" w:color="auto" w:fill="FCE4D6"/>
                    <w:vAlign w:val="center"/>
                    <w:hideMark/>
                  </w:tcPr>
                  <w:p>
                    <w:pPr>
                      <w:jc w:val="center"/>
                      <w:rPr>
                        <w:sz w:val="20"/>
                      </w:rPr>
                    </w:pPr>
                    <w:r>
                      <w:rPr>
                        <w:sz w:val="20"/>
                      </w:rPr>
                      <w:t>8 (2023)</w:t>
                    </w:r>
                  </w:p>
                </w:tc>
                <w:tc>
                  <w:tcPr>
                    <w:tcW w:w="1134" w:type="dxa"/>
                    <w:shd w:val="clear" w:color="auto" w:fill="FCE4D6"/>
                    <w:vAlign w:val="center"/>
                    <w:hideMark/>
                  </w:tcPr>
                  <w:p>
                    <w:pPr>
                      <w:jc w:val="center"/>
                      <w:rPr>
                        <w:sz w:val="20"/>
                      </w:rPr>
                    </w:pPr>
                    <w:r>
                      <w:rPr>
                        <w:sz w:val="20"/>
                      </w:rPr>
                      <w:t>10 (2033)</w:t>
                    </w:r>
                  </w:p>
                </w:tc>
              </w:tr>
              <w:tr>
                <w:trPr>
                  <w:trHeight w:val="409"/>
                  <w:jc w:val="center"/>
                </w:trPr>
                <w:tc>
                  <w:tcPr>
                    <w:tcW w:w="988" w:type="dxa"/>
                    <w:vMerge/>
                    <w:shd w:val="clear" w:color="auto" w:fill="FCE4D6"/>
                    <w:vAlign w:val="center"/>
                    <w:hideMark/>
                  </w:tcPr>
                  <w:p>
                    <w:pPr>
                      <w:rPr>
                        <w:b/>
                        <w:bCs/>
                        <w:sz w:val="20"/>
                      </w:rPr>
                    </w:pPr>
                  </w:p>
                </w:tc>
                <w:tc>
                  <w:tcPr>
                    <w:tcW w:w="2126" w:type="dxa"/>
                    <w:vMerge/>
                    <w:shd w:val="clear" w:color="auto" w:fill="FCE4D6"/>
                    <w:vAlign w:val="center"/>
                    <w:hideMark/>
                  </w:tcPr>
                  <w:p>
                    <w:pPr>
                      <w:rPr>
                        <w:b/>
                        <w:bCs/>
                        <w:sz w:val="20"/>
                      </w:rPr>
                    </w:pPr>
                  </w:p>
                </w:tc>
                <w:tc>
                  <w:tcPr>
                    <w:tcW w:w="850" w:type="dxa"/>
                    <w:vMerge/>
                    <w:shd w:val="clear" w:color="auto" w:fill="FCE4D6"/>
                    <w:vAlign w:val="center"/>
                    <w:hideMark/>
                  </w:tcPr>
                  <w:p>
                    <w:pPr>
                      <w:rPr>
                        <w:sz w:val="20"/>
                      </w:rPr>
                    </w:pPr>
                  </w:p>
                </w:tc>
                <w:tc>
                  <w:tcPr>
                    <w:tcW w:w="709" w:type="dxa"/>
                    <w:vMerge/>
                    <w:shd w:val="clear" w:color="auto" w:fill="FCE4D6"/>
                    <w:vAlign w:val="center"/>
                    <w:hideMark/>
                  </w:tcPr>
                  <w:p>
                    <w:pPr>
                      <w:rPr>
                        <w:sz w:val="20"/>
                      </w:rPr>
                    </w:pPr>
                  </w:p>
                </w:tc>
                <w:tc>
                  <w:tcPr>
                    <w:tcW w:w="709" w:type="dxa"/>
                    <w:vMerge/>
                    <w:shd w:val="clear" w:color="auto" w:fill="FCE4D6"/>
                    <w:vAlign w:val="center"/>
                    <w:hideMark/>
                  </w:tcPr>
                  <w:p>
                    <w:pPr>
                      <w:rPr>
                        <w:sz w:val="20"/>
                      </w:rPr>
                    </w:pPr>
                  </w:p>
                </w:tc>
                <w:tc>
                  <w:tcPr>
                    <w:tcW w:w="1417" w:type="dxa"/>
                    <w:shd w:val="clear" w:color="auto" w:fill="FCE4D6"/>
                    <w:vAlign w:val="center"/>
                    <w:hideMark/>
                  </w:tcPr>
                  <w:p>
                    <w:pPr>
                      <w:rPr>
                        <w:sz w:val="20"/>
                      </w:rPr>
                    </w:pPr>
                    <w:r>
                      <w:rPr>
                        <w:sz w:val="20"/>
                      </w:rPr>
                      <w:t>R-18-03-03</w:t>
                    </w:r>
                  </w:p>
                </w:tc>
                <w:tc>
                  <w:tcPr>
                    <w:tcW w:w="4111" w:type="dxa"/>
                    <w:shd w:val="clear" w:color="auto" w:fill="FCE4D6"/>
                    <w:vAlign w:val="center"/>
                    <w:hideMark/>
                  </w:tcPr>
                  <w:p>
                    <w:pPr>
                      <w:rPr>
                        <w:sz w:val="20"/>
                      </w:rPr>
                    </w:pPr>
                    <w:r>
                      <w:rPr>
                        <w:sz w:val="20"/>
                      </w:rPr>
                      <w:t>Jaunimo organizacijose dalyvaujančių asmenų skaičius (asm.)</w:t>
                    </w:r>
                  </w:p>
                </w:tc>
                <w:tc>
                  <w:tcPr>
                    <w:tcW w:w="1134" w:type="dxa"/>
                    <w:shd w:val="clear" w:color="auto" w:fill="FCE4D6"/>
                    <w:vAlign w:val="center"/>
                    <w:hideMark/>
                  </w:tcPr>
                  <w:p>
                    <w:pPr>
                      <w:jc w:val="center"/>
                      <w:rPr>
                        <w:sz w:val="20"/>
                      </w:rPr>
                    </w:pPr>
                    <w:r>
                      <w:rPr>
                        <w:sz w:val="20"/>
                      </w:rPr>
                      <w:t>ŠMSA (JRK)</w:t>
                    </w:r>
                  </w:p>
                </w:tc>
                <w:tc>
                  <w:tcPr>
                    <w:tcW w:w="1134" w:type="dxa"/>
                    <w:shd w:val="clear" w:color="auto" w:fill="FCE4D6"/>
                    <w:vAlign w:val="center"/>
                    <w:hideMark/>
                  </w:tcPr>
                  <w:p>
                    <w:pPr>
                      <w:jc w:val="center"/>
                      <w:rPr>
                        <w:sz w:val="20"/>
                      </w:rPr>
                    </w:pPr>
                    <w:r>
                      <w:rPr>
                        <w:sz w:val="20"/>
                      </w:rPr>
                      <w:t>1317 (2023)</w:t>
                    </w:r>
                  </w:p>
                </w:tc>
                <w:tc>
                  <w:tcPr>
                    <w:tcW w:w="1134" w:type="dxa"/>
                    <w:shd w:val="clear" w:color="auto" w:fill="FCE4D6"/>
                    <w:vAlign w:val="center"/>
                    <w:hideMark/>
                  </w:tcPr>
                  <w:p>
                    <w:pPr>
                      <w:jc w:val="center"/>
                      <w:rPr>
                        <w:sz w:val="20"/>
                      </w:rPr>
                    </w:pPr>
                    <w:r>
                      <w:rPr>
                        <w:sz w:val="20"/>
                      </w:rPr>
                      <w:t>2800 (2033)</w:t>
                    </w:r>
                  </w:p>
                </w:tc>
              </w:tr>
              <w:tr>
                <w:trPr>
                  <w:trHeight w:val="520"/>
                  <w:jc w:val="center"/>
                </w:trPr>
                <w:tc>
                  <w:tcPr>
                    <w:tcW w:w="988" w:type="dxa"/>
                    <w:vMerge w:val="restart"/>
                    <w:noWrap/>
                    <w:vAlign w:val="center"/>
                    <w:hideMark/>
                  </w:tcPr>
                  <w:p>
                    <w:pPr>
                      <w:rPr>
                        <w:sz w:val="20"/>
                      </w:rPr>
                    </w:pPr>
                    <w:r>
                      <w:rPr>
                        <w:sz w:val="20"/>
                      </w:rPr>
                      <w:t>18-03-01</w:t>
                    </w:r>
                  </w:p>
                </w:tc>
                <w:tc>
                  <w:tcPr>
                    <w:tcW w:w="2126" w:type="dxa"/>
                    <w:vMerge w:val="restart"/>
                    <w:vAlign w:val="center"/>
                    <w:hideMark/>
                  </w:tcPr>
                  <w:p>
                    <w:pPr>
                      <w:rPr>
                        <w:sz w:val="20"/>
                      </w:rPr>
                    </w:pPr>
                    <w:r>
                      <w:rPr>
                        <w:sz w:val="20"/>
                      </w:rPr>
                      <w:t>Organizuoti kokybišką jaunimo užimtumą ir laisvalaikio praleidimą</w:t>
                    </w:r>
                  </w:p>
                </w:tc>
                <w:tc>
                  <w:tcPr>
                    <w:tcW w:w="850" w:type="dxa"/>
                    <w:vMerge w:val="restart"/>
                    <w:vAlign w:val="center"/>
                    <w:hideMark/>
                  </w:tcPr>
                  <w:p>
                    <w:pPr>
                      <w:jc w:val="center"/>
                      <w:rPr>
                        <w:sz w:val="20"/>
                      </w:rPr>
                    </w:pPr>
                    <w:r>
                      <w:rPr>
                        <w:sz w:val="20"/>
                      </w:rPr>
                      <w:t>JRK</w:t>
                    </w:r>
                  </w:p>
                </w:tc>
                <w:tc>
                  <w:tcPr>
                    <w:tcW w:w="709" w:type="dxa"/>
                    <w:vMerge w:val="restart"/>
                    <w:vAlign w:val="center"/>
                    <w:hideMark/>
                  </w:tcPr>
                  <w:p>
                    <w:pPr>
                      <w:jc w:val="center"/>
                      <w:rPr>
                        <w:sz w:val="20"/>
                      </w:rPr>
                    </w:pPr>
                    <w:r>
                      <w:rPr>
                        <w:sz w:val="20"/>
                      </w:rPr>
                      <w:t>2025</w:t>
                    </w:r>
                  </w:p>
                </w:tc>
                <w:tc>
                  <w:tcPr>
                    <w:tcW w:w="709" w:type="dxa"/>
                    <w:vMerge w:val="restart"/>
                    <w:vAlign w:val="center"/>
                    <w:hideMark/>
                  </w:tcPr>
                  <w:p>
                    <w:pPr>
                      <w:jc w:val="center"/>
                      <w:rPr>
                        <w:sz w:val="20"/>
                      </w:rPr>
                    </w:pPr>
                    <w:r>
                      <w:rPr>
                        <w:sz w:val="20"/>
                      </w:rPr>
                      <w:t>2033</w:t>
                    </w:r>
                  </w:p>
                </w:tc>
                <w:tc>
                  <w:tcPr>
                    <w:tcW w:w="1417" w:type="dxa"/>
                    <w:vAlign w:val="center"/>
                    <w:hideMark/>
                  </w:tcPr>
                  <w:p>
                    <w:pPr>
                      <w:rPr>
                        <w:sz w:val="20"/>
                      </w:rPr>
                    </w:pPr>
                    <w:r>
                      <w:rPr>
                        <w:sz w:val="20"/>
                      </w:rPr>
                      <w:t>P-18-03-01-01</w:t>
                    </w:r>
                  </w:p>
                </w:tc>
                <w:tc>
                  <w:tcPr>
                    <w:tcW w:w="4111" w:type="dxa"/>
                    <w:vAlign w:val="center"/>
                    <w:hideMark/>
                  </w:tcPr>
                  <w:p>
                    <w:pPr>
                      <w:rPr>
                        <w:sz w:val="20"/>
                      </w:rPr>
                    </w:pPr>
                    <w:r>
                      <w:rPr>
                        <w:sz w:val="20"/>
                      </w:rPr>
                      <w:t>Atvirųjų jaunimo centrų ir atvirųjų jaunimo erdvių lankytojų skaičius (tūkst. asm.)</w:t>
                    </w:r>
                  </w:p>
                </w:tc>
                <w:tc>
                  <w:tcPr>
                    <w:tcW w:w="1134" w:type="dxa"/>
                    <w:vAlign w:val="center"/>
                    <w:hideMark/>
                  </w:tcPr>
                  <w:p>
                    <w:pPr>
                      <w:jc w:val="center"/>
                      <w:rPr>
                        <w:sz w:val="20"/>
                      </w:rPr>
                    </w:pPr>
                    <w:r>
                      <w:rPr>
                        <w:sz w:val="20"/>
                      </w:rPr>
                      <w:t>JRK</w:t>
                    </w:r>
                  </w:p>
                </w:tc>
                <w:tc>
                  <w:tcPr>
                    <w:tcW w:w="1134" w:type="dxa"/>
                    <w:vAlign w:val="center"/>
                    <w:hideMark/>
                  </w:tcPr>
                  <w:p>
                    <w:pPr>
                      <w:jc w:val="center"/>
                      <w:rPr>
                        <w:sz w:val="20"/>
                      </w:rPr>
                    </w:pPr>
                    <w:r>
                      <w:rPr>
                        <w:sz w:val="20"/>
                      </w:rPr>
                      <w:t>1 (2023)</w:t>
                    </w:r>
                  </w:p>
                </w:tc>
                <w:tc>
                  <w:tcPr>
                    <w:tcW w:w="1134" w:type="dxa"/>
                    <w:vAlign w:val="center"/>
                    <w:hideMark/>
                  </w:tcPr>
                  <w:p>
                    <w:pPr>
                      <w:jc w:val="center"/>
                      <w:rPr>
                        <w:sz w:val="20"/>
                      </w:rPr>
                    </w:pPr>
                    <w:r>
                      <w:rPr>
                        <w:sz w:val="20"/>
                      </w:rPr>
                      <w:t>11 (2033)</w:t>
                    </w:r>
                  </w:p>
                </w:tc>
              </w:tr>
              <w:tr>
                <w:trPr>
                  <w:trHeight w:val="453"/>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rPr>
                        <w:sz w:val="20"/>
                      </w:rPr>
                    </w:pPr>
                  </w:p>
                </w:tc>
                <w:tc>
                  <w:tcPr>
                    <w:tcW w:w="709" w:type="dxa"/>
                    <w:vMerge/>
                    <w:vAlign w:val="center"/>
                    <w:hideMark/>
                  </w:tcPr>
                  <w:p>
                    <w:pPr>
                      <w:rPr>
                        <w:sz w:val="20"/>
                      </w:rPr>
                    </w:pPr>
                  </w:p>
                </w:tc>
                <w:tc>
                  <w:tcPr>
                    <w:tcW w:w="709" w:type="dxa"/>
                    <w:vMerge/>
                    <w:vAlign w:val="center"/>
                    <w:hideMark/>
                  </w:tcPr>
                  <w:p>
                    <w:pPr>
                      <w:rPr>
                        <w:sz w:val="20"/>
                      </w:rPr>
                    </w:pPr>
                  </w:p>
                </w:tc>
                <w:tc>
                  <w:tcPr>
                    <w:tcW w:w="1417" w:type="dxa"/>
                    <w:vAlign w:val="center"/>
                    <w:hideMark/>
                  </w:tcPr>
                  <w:p>
                    <w:pPr>
                      <w:rPr>
                        <w:sz w:val="20"/>
                      </w:rPr>
                    </w:pPr>
                    <w:r>
                      <w:rPr>
                        <w:sz w:val="20"/>
                      </w:rPr>
                      <w:t>P-18-03-01-02</w:t>
                    </w:r>
                  </w:p>
                </w:tc>
                <w:tc>
                  <w:tcPr>
                    <w:tcW w:w="4111" w:type="dxa"/>
                    <w:vAlign w:val="center"/>
                    <w:hideMark/>
                  </w:tcPr>
                  <w:p>
                    <w:pPr>
                      <w:rPr>
                        <w:sz w:val="20"/>
                      </w:rPr>
                    </w:pPr>
                    <w:r>
                      <w:rPr>
                        <w:sz w:val="20"/>
                      </w:rPr>
                      <w:t>Jaunų žmonių, su kuriais palaikomas nuolatinis kontaktas, dirbant su jaunimu gatvėje, skaičius (asm.)</w:t>
                    </w:r>
                  </w:p>
                </w:tc>
                <w:tc>
                  <w:tcPr>
                    <w:tcW w:w="1134" w:type="dxa"/>
                    <w:vAlign w:val="center"/>
                    <w:hideMark/>
                  </w:tcPr>
                  <w:p>
                    <w:pPr>
                      <w:jc w:val="center"/>
                      <w:rPr>
                        <w:sz w:val="20"/>
                      </w:rPr>
                    </w:pPr>
                    <w:r>
                      <w:rPr>
                        <w:sz w:val="20"/>
                      </w:rPr>
                      <w:t>JRK</w:t>
                    </w:r>
                  </w:p>
                </w:tc>
                <w:tc>
                  <w:tcPr>
                    <w:tcW w:w="1134" w:type="dxa"/>
                    <w:vAlign w:val="center"/>
                    <w:hideMark/>
                  </w:tcPr>
                  <w:p>
                    <w:pPr>
                      <w:jc w:val="center"/>
                      <w:rPr>
                        <w:sz w:val="20"/>
                      </w:rPr>
                    </w:pPr>
                    <w:r>
                      <w:rPr>
                        <w:sz w:val="20"/>
                      </w:rPr>
                      <w:t>6 (2023)</w:t>
                    </w:r>
                  </w:p>
                </w:tc>
                <w:tc>
                  <w:tcPr>
                    <w:tcW w:w="1134" w:type="dxa"/>
                    <w:vAlign w:val="center"/>
                    <w:hideMark/>
                  </w:tcPr>
                  <w:p>
                    <w:pPr>
                      <w:jc w:val="center"/>
                      <w:rPr>
                        <w:sz w:val="20"/>
                      </w:rPr>
                    </w:pPr>
                    <w:r>
                      <w:rPr>
                        <w:sz w:val="20"/>
                      </w:rPr>
                      <w:t>60 (2033)</w:t>
                    </w:r>
                  </w:p>
                </w:tc>
              </w:tr>
              <w:tr>
                <w:trPr>
                  <w:trHeight w:val="179"/>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rPr>
                        <w:sz w:val="20"/>
                      </w:rPr>
                    </w:pPr>
                  </w:p>
                </w:tc>
                <w:tc>
                  <w:tcPr>
                    <w:tcW w:w="709" w:type="dxa"/>
                    <w:vMerge/>
                    <w:vAlign w:val="center"/>
                    <w:hideMark/>
                  </w:tcPr>
                  <w:p>
                    <w:pPr>
                      <w:rPr>
                        <w:sz w:val="20"/>
                      </w:rPr>
                    </w:pPr>
                  </w:p>
                </w:tc>
                <w:tc>
                  <w:tcPr>
                    <w:tcW w:w="709" w:type="dxa"/>
                    <w:vMerge/>
                    <w:vAlign w:val="center"/>
                    <w:hideMark/>
                  </w:tcPr>
                  <w:p>
                    <w:pPr>
                      <w:rPr>
                        <w:sz w:val="20"/>
                      </w:rPr>
                    </w:pPr>
                  </w:p>
                </w:tc>
                <w:tc>
                  <w:tcPr>
                    <w:tcW w:w="1417" w:type="dxa"/>
                    <w:vAlign w:val="center"/>
                    <w:hideMark/>
                  </w:tcPr>
                  <w:p>
                    <w:pPr>
                      <w:rPr>
                        <w:sz w:val="20"/>
                      </w:rPr>
                    </w:pPr>
                    <w:r>
                      <w:rPr>
                        <w:sz w:val="20"/>
                      </w:rPr>
                      <w:t>P-18-03-01-03</w:t>
                    </w:r>
                  </w:p>
                </w:tc>
                <w:tc>
                  <w:tcPr>
                    <w:tcW w:w="4111" w:type="dxa"/>
                    <w:vAlign w:val="center"/>
                    <w:hideMark/>
                  </w:tcPr>
                  <w:p>
                    <w:pPr>
                      <w:rPr>
                        <w:sz w:val="20"/>
                      </w:rPr>
                    </w:pPr>
                    <w:r>
                      <w:rPr>
                        <w:sz w:val="20"/>
                      </w:rPr>
                      <w:t>Suorganizuotų masinių renginių, festivalių jaunimui skaičius (vnt.)</w:t>
                    </w:r>
                  </w:p>
                </w:tc>
                <w:tc>
                  <w:tcPr>
                    <w:tcW w:w="1134" w:type="dxa"/>
                    <w:vAlign w:val="center"/>
                    <w:hideMark/>
                  </w:tcPr>
                  <w:p>
                    <w:pPr>
                      <w:jc w:val="center"/>
                      <w:rPr>
                        <w:sz w:val="20"/>
                      </w:rPr>
                    </w:pPr>
                    <w:r>
                      <w:rPr>
                        <w:sz w:val="20"/>
                      </w:rPr>
                      <w:t>JRK, KS</w:t>
                    </w:r>
                  </w:p>
                </w:tc>
                <w:tc>
                  <w:tcPr>
                    <w:tcW w:w="1134" w:type="dxa"/>
                    <w:vAlign w:val="center"/>
                    <w:hideMark/>
                  </w:tcPr>
                  <w:p>
                    <w:pPr>
                      <w:jc w:val="center"/>
                      <w:rPr>
                        <w:sz w:val="20"/>
                      </w:rPr>
                    </w:pPr>
                    <w:r>
                      <w:rPr>
                        <w:sz w:val="20"/>
                      </w:rPr>
                      <w:t>0 (2023)</w:t>
                    </w:r>
                  </w:p>
                </w:tc>
                <w:tc>
                  <w:tcPr>
                    <w:tcW w:w="1134" w:type="dxa"/>
                    <w:vAlign w:val="center"/>
                    <w:hideMark/>
                  </w:tcPr>
                  <w:p>
                    <w:pPr>
                      <w:jc w:val="center"/>
                      <w:rPr>
                        <w:sz w:val="20"/>
                      </w:rPr>
                    </w:pPr>
                    <w:r>
                      <w:rPr>
                        <w:sz w:val="20"/>
                      </w:rPr>
                      <w:t>8 (2033)</w:t>
                    </w:r>
                  </w:p>
                </w:tc>
              </w:tr>
              <w:tr>
                <w:trPr>
                  <w:trHeight w:val="555"/>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rPr>
                        <w:sz w:val="20"/>
                      </w:rPr>
                    </w:pPr>
                  </w:p>
                </w:tc>
                <w:tc>
                  <w:tcPr>
                    <w:tcW w:w="709" w:type="dxa"/>
                    <w:vMerge/>
                    <w:vAlign w:val="center"/>
                    <w:hideMark/>
                  </w:tcPr>
                  <w:p>
                    <w:pPr>
                      <w:rPr>
                        <w:sz w:val="20"/>
                      </w:rPr>
                    </w:pPr>
                  </w:p>
                </w:tc>
                <w:tc>
                  <w:tcPr>
                    <w:tcW w:w="709" w:type="dxa"/>
                    <w:vMerge/>
                    <w:vAlign w:val="center"/>
                    <w:hideMark/>
                  </w:tcPr>
                  <w:p>
                    <w:pPr>
                      <w:rPr>
                        <w:sz w:val="20"/>
                      </w:rPr>
                    </w:pPr>
                  </w:p>
                </w:tc>
                <w:tc>
                  <w:tcPr>
                    <w:tcW w:w="1417" w:type="dxa"/>
                    <w:vAlign w:val="center"/>
                    <w:hideMark/>
                  </w:tcPr>
                  <w:p>
                    <w:pPr>
                      <w:rPr>
                        <w:sz w:val="20"/>
                      </w:rPr>
                    </w:pPr>
                    <w:r>
                      <w:rPr>
                        <w:sz w:val="20"/>
                      </w:rPr>
                      <w:t>P-18-03-01-04</w:t>
                    </w:r>
                  </w:p>
                </w:tc>
                <w:tc>
                  <w:tcPr>
                    <w:tcW w:w="4111" w:type="dxa"/>
                    <w:vAlign w:val="center"/>
                    <w:hideMark/>
                  </w:tcPr>
                  <w:p>
                    <w:pPr>
                      <w:rPr>
                        <w:sz w:val="20"/>
                      </w:rPr>
                    </w:pPr>
                    <w:r>
                      <w:rPr>
                        <w:sz w:val="20"/>
                      </w:rPr>
                      <w:t xml:space="preserve">Sukurta aplikacija, programėlė, siekiant padidinti jaunimo užimtumo galimybių viešinimą  (vnt.)</w:t>
                    </w:r>
                  </w:p>
                </w:tc>
                <w:tc>
                  <w:tcPr>
                    <w:tcW w:w="1134" w:type="dxa"/>
                    <w:vAlign w:val="center"/>
                    <w:hideMark/>
                  </w:tcPr>
                  <w:p>
                    <w:pPr>
                      <w:jc w:val="center"/>
                      <w:rPr>
                        <w:sz w:val="20"/>
                      </w:rPr>
                    </w:pPr>
                    <w:r>
                      <w:rPr>
                        <w:sz w:val="20"/>
                      </w:rPr>
                      <w:t>JRK</w:t>
                    </w:r>
                  </w:p>
                </w:tc>
                <w:tc>
                  <w:tcPr>
                    <w:tcW w:w="1134" w:type="dxa"/>
                    <w:vAlign w:val="center"/>
                    <w:hideMark/>
                  </w:tcPr>
                  <w:p>
                    <w:pPr>
                      <w:jc w:val="center"/>
                      <w:rPr>
                        <w:sz w:val="20"/>
                      </w:rPr>
                    </w:pPr>
                    <w:r>
                      <w:rPr>
                        <w:sz w:val="20"/>
                      </w:rPr>
                      <w:t>0 (2023)</w:t>
                    </w:r>
                  </w:p>
                </w:tc>
                <w:tc>
                  <w:tcPr>
                    <w:tcW w:w="1134" w:type="dxa"/>
                    <w:vAlign w:val="center"/>
                    <w:hideMark/>
                  </w:tcPr>
                  <w:p>
                    <w:pPr>
                      <w:jc w:val="center"/>
                      <w:rPr>
                        <w:sz w:val="20"/>
                      </w:rPr>
                    </w:pPr>
                    <w:r>
                      <w:rPr>
                        <w:sz w:val="20"/>
                      </w:rPr>
                      <w:t>1 (2027)</w:t>
                    </w:r>
                  </w:p>
                </w:tc>
              </w:tr>
              <w:tr>
                <w:trPr>
                  <w:trHeight w:val="216"/>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rPr>
                        <w:sz w:val="20"/>
                      </w:rPr>
                    </w:pPr>
                  </w:p>
                </w:tc>
                <w:tc>
                  <w:tcPr>
                    <w:tcW w:w="709" w:type="dxa"/>
                    <w:vMerge/>
                    <w:vAlign w:val="center"/>
                    <w:hideMark/>
                  </w:tcPr>
                  <w:p>
                    <w:pPr>
                      <w:rPr>
                        <w:sz w:val="20"/>
                      </w:rPr>
                    </w:pPr>
                  </w:p>
                </w:tc>
                <w:tc>
                  <w:tcPr>
                    <w:tcW w:w="709" w:type="dxa"/>
                    <w:vMerge/>
                    <w:vAlign w:val="center"/>
                    <w:hideMark/>
                  </w:tcPr>
                  <w:p>
                    <w:pPr>
                      <w:rPr>
                        <w:sz w:val="20"/>
                      </w:rPr>
                    </w:pPr>
                  </w:p>
                </w:tc>
                <w:tc>
                  <w:tcPr>
                    <w:tcW w:w="1417" w:type="dxa"/>
                    <w:vAlign w:val="center"/>
                    <w:hideMark/>
                  </w:tcPr>
                  <w:p>
                    <w:pPr>
                      <w:rPr>
                        <w:sz w:val="20"/>
                      </w:rPr>
                    </w:pPr>
                    <w:r>
                      <w:rPr>
                        <w:sz w:val="20"/>
                      </w:rPr>
                      <w:t>P-18-03-01-05</w:t>
                    </w:r>
                  </w:p>
                </w:tc>
                <w:tc>
                  <w:tcPr>
                    <w:tcW w:w="4111" w:type="dxa"/>
                    <w:vAlign w:val="center"/>
                    <w:hideMark/>
                  </w:tcPr>
                  <w:p>
                    <w:pPr>
                      <w:rPr>
                        <w:sz w:val="20"/>
                      </w:rPr>
                    </w:pPr>
                    <w:r>
                      <w:rPr>
                        <w:sz w:val="20"/>
                      </w:rPr>
                      <w:t>Suorganizuotų vaikų ir jaunimo poilsio stovyklų dalyvių skaičius (asm. per metus)</w:t>
                    </w:r>
                  </w:p>
                </w:tc>
                <w:tc>
                  <w:tcPr>
                    <w:tcW w:w="1134" w:type="dxa"/>
                    <w:vAlign w:val="center"/>
                    <w:hideMark/>
                  </w:tcPr>
                  <w:p>
                    <w:pPr>
                      <w:jc w:val="center"/>
                      <w:rPr>
                        <w:sz w:val="20"/>
                      </w:rPr>
                    </w:pPr>
                    <w:r>
                      <w:rPr>
                        <w:sz w:val="20"/>
                      </w:rPr>
                      <w:t>ŠS</w:t>
                    </w:r>
                  </w:p>
                </w:tc>
                <w:tc>
                  <w:tcPr>
                    <w:tcW w:w="1134" w:type="dxa"/>
                    <w:vAlign w:val="center"/>
                    <w:hideMark/>
                  </w:tcPr>
                  <w:p>
                    <w:pPr>
                      <w:jc w:val="center"/>
                      <w:rPr>
                        <w:sz w:val="20"/>
                      </w:rPr>
                    </w:pPr>
                    <w:r>
                      <w:rPr>
                        <w:sz w:val="20"/>
                      </w:rPr>
                      <w:t>1131 (2023)</w:t>
                    </w:r>
                  </w:p>
                </w:tc>
                <w:tc>
                  <w:tcPr>
                    <w:tcW w:w="1134" w:type="dxa"/>
                    <w:vAlign w:val="center"/>
                    <w:hideMark/>
                  </w:tcPr>
                  <w:p>
                    <w:pPr>
                      <w:jc w:val="center"/>
                      <w:rPr>
                        <w:sz w:val="20"/>
                      </w:rPr>
                    </w:pPr>
                    <w:r>
                      <w:rPr>
                        <w:sz w:val="20"/>
                      </w:rPr>
                      <w:t>1500 (2033)</w:t>
                    </w:r>
                  </w:p>
                </w:tc>
              </w:tr>
              <w:tr>
                <w:trPr>
                  <w:trHeight w:val="216"/>
                  <w:jc w:val="center"/>
                </w:trPr>
                <w:tc>
                  <w:tcPr>
                    <w:tcW w:w="988" w:type="dxa"/>
                    <w:vMerge w:val="restart"/>
                    <w:noWrap/>
                    <w:vAlign w:val="center"/>
                    <w:hideMark/>
                  </w:tcPr>
                  <w:p>
                    <w:pPr>
                      <w:rPr>
                        <w:sz w:val="20"/>
                      </w:rPr>
                    </w:pPr>
                    <w:r>
                      <w:rPr>
                        <w:sz w:val="20"/>
                      </w:rPr>
                      <w:t>18-03-02</w:t>
                    </w:r>
                  </w:p>
                </w:tc>
                <w:tc>
                  <w:tcPr>
                    <w:tcW w:w="2126" w:type="dxa"/>
                    <w:vMerge w:val="restart"/>
                    <w:vAlign w:val="center"/>
                    <w:hideMark/>
                  </w:tcPr>
                  <w:p>
                    <w:pPr>
                      <w:rPr>
                        <w:sz w:val="20"/>
                      </w:rPr>
                    </w:pPr>
                    <w:r>
                      <w:rPr>
                        <w:sz w:val="20"/>
                      </w:rPr>
                      <w:t xml:space="preserve">Pritaikyti erdves  jaunimo poreikiams ir veiklai</w:t>
                    </w:r>
                  </w:p>
                </w:tc>
                <w:tc>
                  <w:tcPr>
                    <w:tcW w:w="850" w:type="dxa"/>
                    <w:vMerge w:val="restart"/>
                    <w:vAlign w:val="center"/>
                    <w:hideMark/>
                  </w:tcPr>
                  <w:p>
                    <w:pPr>
                      <w:jc w:val="center"/>
                      <w:rPr>
                        <w:sz w:val="20"/>
                      </w:rPr>
                    </w:pPr>
                    <w:r>
                      <w:rPr>
                        <w:sz w:val="20"/>
                      </w:rPr>
                      <w:t>JRK</w:t>
                    </w:r>
                  </w:p>
                </w:tc>
                <w:tc>
                  <w:tcPr>
                    <w:tcW w:w="709" w:type="dxa"/>
                    <w:vMerge w:val="restart"/>
                    <w:vAlign w:val="center"/>
                    <w:hideMark/>
                  </w:tcPr>
                  <w:p>
                    <w:pPr>
                      <w:jc w:val="center"/>
                      <w:rPr>
                        <w:sz w:val="20"/>
                      </w:rPr>
                    </w:pPr>
                    <w:r>
                      <w:rPr>
                        <w:sz w:val="20"/>
                      </w:rPr>
                      <w:t>2025</w:t>
                    </w:r>
                  </w:p>
                </w:tc>
                <w:tc>
                  <w:tcPr>
                    <w:tcW w:w="709" w:type="dxa"/>
                    <w:vMerge w:val="restart"/>
                    <w:vAlign w:val="center"/>
                    <w:hideMark/>
                  </w:tcPr>
                  <w:p>
                    <w:pPr>
                      <w:jc w:val="center"/>
                      <w:rPr>
                        <w:sz w:val="20"/>
                      </w:rPr>
                    </w:pPr>
                    <w:r>
                      <w:rPr>
                        <w:sz w:val="20"/>
                      </w:rPr>
                      <w:t>2033</w:t>
                    </w:r>
                  </w:p>
                </w:tc>
                <w:tc>
                  <w:tcPr>
                    <w:tcW w:w="1417" w:type="dxa"/>
                    <w:vAlign w:val="center"/>
                    <w:hideMark/>
                  </w:tcPr>
                  <w:p>
                    <w:pPr>
                      <w:rPr>
                        <w:sz w:val="20"/>
                      </w:rPr>
                    </w:pPr>
                    <w:r>
                      <w:rPr>
                        <w:sz w:val="20"/>
                      </w:rPr>
                      <w:t>P-18-03-02-01</w:t>
                    </w:r>
                  </w:p>
                </w:tc>
                <w:tc>
                  <w:tcPr>
                    <w:tcW w:w="4111" w:type="dxa"/>
                    <w:vAlign w:val="center"/>
                    <w:hideMark/>
                  </w:tcPr>
                  <w:p>
                    <w:pPr>
                      <w:rPr>
                        <w:sz w:val="20"/>
                      </w:rPr>
                    </w:pPr>
                    <w:r>
                      <w:rPr>
                        <w:sz w:val="20"/>
                      </w:rPr>
                      <w:t>Atnaujinta atviro jaunimo centro infrastruktūra (vnt.)</w:t>
                    </w:r>
                  </w:p>
                </w:tc>
                <w:tc>
                  <w:tcPr>
                    <w:tcW w:w="1134" w:type="dxa"/>
                    <w:vAlign w:val="center"/>
                    <w:hideMark/>
                  </w:tcPr>
                  <w:p>
                    <w:pPr>
                      <w:jc w:val="center"/>
                      <w:rPr>
                        <w:sz w:val="20"/>
                      </w:rPr>
                    </w:pPr>
                    <w:r>
                      <w:rPr>
                        <w:sz w:val="20"/>
                      </w:rPr>
                      <w:t>JRK, SRS</w:t>
                    </w:r>
                  </w:p>
                </w:tc>
                <w:tc>
                  <w:tcPr>
                    <w:tcW w:w="1134" w:type="dxa"/>
                    <w:vAlign w:val="center"/>
                    <w:hideMark/>
                  </w:tcPr>
                  <w:p>
                    <w:pPr>
                      <w:jc w:val="center"/>
                      <w:rPr>
                        <w:sz w:val="20"/>
                      </w:rPr>
                    </w:pPr>
                    <w:r>
                      <w:rPr>
                        <w:sz w:val="20"/>
                      </w:rPr>
                      <w:t>0 (2024)</w:t>
                    </w:r>
                  </w:p>
                </w:tc>
                <w:tc>
                  <w:tcPr>
                    <w:tcW w:w="1134" w:type="dxa"/>
                    <w:vAlign w:val="center"/>
                    <w:hideMark/>
                  </w:tcPr>
                  <w:p>
                    <w:pPr>
                      <w:jc w:val="center"/>
                      <w:rPr>
                        <w:sz w:val="20"/>
                      </w:rPr>
                    </w:pPr>
                    <w:r>
                      <w:rPr>
                        <w:sz w:val="20"/>
                      </w:rPr>
                      <w:t>1 (2027)</w:t>
                    </w:r>
                  </w:p>
                </w:tc>
              </w:tr>
              <w:tr>
                <w:trPr>
                  <w:trHeight w:val="251"/>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jc w:val="center"/>
                      <w:rPr>
                        <w:sz w:val="20"/>
                      </w:rPr>
                    </w:pPr>
                  </w:p>
                </w:tc>
                <w:tc>
                  <w:tcPr>
                    <w:tcW w:w="709" w:type="dxa"/>
                    <w:vMerge/>
                    <w:vAlign w:val="center"/>
                    <w:hideMark/>
                  </w:tcPr>
                  <w:p>
                    <w:pPr>
                      <w:jc w:val="center"/>
                      <w:rPr>
                        <w:sz w:val="20"/>
                      </w:rPr>
                    </w:pPr>
                  </w:p>
                </w:tc>
                <w:tc>
                  <w:tcPr>
                    <w:tcW w:w="709" w:type="dxa"/>
                    <w:vMerge/>
                    <w:vAlign w:val="center"/>
                    <w:hideMark/>
                  </w:tcPr>
                  <w:p>
                    <w:pPr>
                      <w:jc w:val="center"/>
                      <w:rPr>
                        <w:sz w:val="20"/>
                      </w:rPr>
                    </w:pPr>
                  </w:p>
                </w:tc>
                <w:tc>
                  <w:tcPr>
                    <w:tcW w:w="1417" w:type="dxa"/>
                    <w:vAlign w:val="center"/>
                    <w:hideMark/>
                  </w:tcPr>
                  <w:p>
                    <w:pPr>
                      <w:rPr>
                        <w:sz w:val="20"/>
                      </w:rPr>
                    </w:pPr>
                    <w:r>
                      <w:rPr>
                        <w:sz w:val="20"/>
                      </w:rPr>
                      <w:t>P-18-03-02-02</w:t>
                    </w:r>
                  </w:p>
                </w:tc>
                <w:tc>
                  <w:tcPr>
                    <w:tcW w:w="4111" w:type="dxa"/>
                    <w:vAlign w:val="center"/>
                    <w:hideMark/>
                  </w:tcPr>
                  <w:p>
                    <w:pPr>
                      <w:rPr>
                        <w:sz w:val="20"/>
                      </w:rPr>
                    </w:pPr>
                    <w:r>
                      <w:rPr>
                        <w:sz w:val="20"/>
                      </w:rPr>
                      <w:t>Veikiančių atvirų jaunimo erdvių, centrų skaičius (vnt.)</w:t>
                    </w:r>
                  </w:p>
                </w:tc>
                <w:tc>
                  <w:tcPr>
                    <w:tcW w:w="1134" w:type="dxa"/>
                    <w:vAlign w:val="center"/>
                    <w:hideMark/>
                  </w:tcPr>
                  <w:p>
                    <w:pPr>
                      <w:jc w:val="center"/>
                      <w:rPr>
                        <w:sz w:val="20"/>
                      </w:rPr>
                    </w:pPr>
                    <w:r>
                      <w:rPr>
                        <w:sz w:val="20"/>
                      </w:rPr>
                      <w:t>JRK</w:t>
                    </w:r>
                  </w:p>
                </w:tc>
                <w:tc>
                  <w:tcPr>
                    <w:tcW w:w="1134" w:type="dxa"/>
                    <w:vAlign w:val="center"/>
                    <w:hideMark/>
                  </w:tcPr>
                  <w:p>
                    <w:pPr>
                      <w:jc w:val="center"/>
                      <w:rPr>
                        <w:sz w:val="20"/>
                      </w:rPr>
                    </w:pPr>
                    <w:r>
                      <w:rPr>
                        <w:sz w:val="20"/>
                      </w:rPr>
                      <w:t>2 (2024)</w:t>
                    </w:r>
                  </w:p>
                </w:tc>
                <w:tc>
                  <w:tcPr>
                    <w:tcW w:w="1134" w:type="dxa"/>
                    <w:vAlign w:val="center"/>
                    <w:hideMark/>
                  </w:tcPr>
                  <w:p>
                    <w:pPr>
                      <w:jc w:val="center"/>
                      <w:rPr>
                        <w:sz w:val="20"/>
                      </w:rPr>
                    </w:pPr>
                    <w:r>
                      <w:rPr>
                        <w:sz w:val="20"/>
                      </w:rPr>
                      <w:t>4 (2028)</w:t>
                    </w:r>
                  </w:p>
                </w:tc>
              </w:tr>
              <w:tr>
                <w:trPr>
                  <w:trHeight w:val="520"/>
                  <w:jc w:val="center"/>
                </w:trPr>
                <w:tc>
                  <w:tcPr>
                    <w:tcW w:w="988" w:type="dxa"/>
                    <w:vMerge w:val="restart"/>
                    <w:shd w:val="clear" w:color="auto" w:fill="FFD966"/>
                    <w:noWrap/>
                    <w:vAlign w:val="center"/>
                    <w:hideMark/>
                  </w:tcPr>
                  <w:p>
                    <w:pPr>
                      <w:rPr>
                        <w:b/>
                        <w:bCs/>
                        <w:sz w:val="20"/>
                      </w:rPr>
                    </w:pPr>
                    <w:r>
                      <w:rPr>
                        <w:b/>
                        <w:bCs/>
                        <w:sz w:val="20"/>
                      </w:rPr>
                      <w:t>19</w:t>
                    </w:r>
                  </w:p>
                </w:tc>
                <w:tc>
                  <w:tcPr>
                    <w:tcW w:w="2126" w:type="dxa"/>
                    <w:vMerge w:val="restart"/>
                    <w:shd w:val="clear" w:color="auto" w:fill="FFD966"/>
                    <w:vAlign w:val="center"/>
                    <w:hideMark/>
                  </w:tcPr>
                  <w:p>
                    <w:pPr>
                      <w:rPr>
                        <w:b/>
                        <w:bCs/>
                        <w:sz w:val="20"/>
                      </w:rPr>
                    </w:pPr>
                    <w:r>
                      <w:rPr>
                        <w:b/>
                        <w:bCs/>
                        <w:sz w:val="20"/>
                      </w:rPr>
                      <w:t>Sudaryti palankias sąlygas miesto bendruomenei sveikatinti ir gerinti sveikatos priežiūros paslaugų kokybę ir prieinamumą</w:t>
                    </w:r>
                  </w:p>
                </w:tc>
                <w:tc>
                  <w:tcPr>
                    <w:tcW w:w="850" w:type="dxa"/>
                    <w:vMerge w:val="restart"/>
                    <w:shd w:val="clear" w:color="auto" w:fill="FFD966"/>
                    <w:vAlign w:val="center"/>
                    <w:hideMark/>
                  </w:tcPr>
                  <w:p>
                    <w:pPr>
                      <w:jc w:val="center"/>
                      <w:rPr>
                        <w:sz w:val="20"/>
                      </w:rPr>
                    </w:pPr>
                    <w:r>
                      <w:rPr>
                        <w:sz w:val="20"/>
                      </w:rPr>
                      <w:t>SvS</w:t>
                    </w:r>
                  </w:p>
                </w:tc>
                <w:tc>
                  <w:tcPr>
                    <w:tcW w:w="709" w:type="dxa"/>
                    <w:vMerge w:val="restart"/>
                    <w:shd w:val="clear" w:color="auto" w:fill="FFD966"/>
                    <w:noWrap/>
                    <w:vAlign w:val="center"/>
                    <w:hideMark/>
                  </w:tcPr>
                  <w:p>
                    <w:pPr>
                      <w:jc w:val="center"/>
                      <w:rPr>
                        <w:sz w:val="20"/>
                      </w:rPr>
                    </w:pPr>
                    <w:r>
                      <w:rPr>
                        <w:sz w:val="20"/>
                      </w:rPr>
                      <w:t>2025</w:t>
                    </w:r>
                  </w:p>
                </w:tc>
                <w:tc>
                  <w:tcPr>
                    <w:tcW w:w="709" w:type="dxa"/>
                    <w:vMerge w:val="restart"/>
                    <w:shd w:val="clear" w:color="auto" w:fill="FFD966"/>
                    <w:noWrap/>
                    <w:vAlign w:val="center"/>
                    <w:hideMark/>
                  </w:tcPr>
                  <w:p>
                    <w:pPr>
                      <w:jc w:val="center"/>
                      <w:rPr>
                        <w:sz w:val="20"/>
                      </w:rPr>
                    </w:pPr>
                    <w:r>
                      <w:rPr>
                        <w:sz w:val="20"/>
                      </w:rPr>
                      <w:t>2033</w:t>
                    </w:r>
                  </w:p>
                </w:tc>
                <w:tc>
                  <w:tcPr>
                    <w:tcW w:w="1417" w:type="dxa"/>
                    <w:shd w:val="clear" w:color="auto" w:fill="FFD966"/>
                    <w:noWrap/>
                    <w:vAlign w:val="center"/>
                    <w:hideMark/>
                  </w:tcPr>
                  <w:p>
                    <w:pPr>
                      <w:rPr>
                        <w:sz w:val="20"/>
                      </w:rPr>
                    </w:pPr>
                    <w:r>
                      <w:rPr>
                        <w:sz w:val="20"/>
                      </w:rPr>
                      <w:t>P-19-01</w:t>
                    </w:r>
                  </w:p>
                </w:tc>
                <w:tc>
                  <w:tcPr>
                    <w:tcW w:w="4111" w:type="dxa"/>
                    <w:shd w:val="clear" w:color="auto" w:fill="FFD966"/>
                    <w:vAlign w:val="center"/>
                    <w:hideMark/>
                  </w:tcPr>
                  <w:p>
                    <w:pPr>
                      <w:rPr>
                        <w:sz w:val="20"/>
                      </w:rPr>
                    </w:pPr>
                    <w:r>
                      <w:rPr>
                        <w:sz w:val="20"/>
                      </w:rPr>
                      <w:t>Gyventojų pasitenkinimas sveikatos priežiūros centrų (poliklinikų, sveikatos biuro) paslaugomis</w:t>
                    </w:r>
                  </w:p>
                </w:tc>
                <w:tc>
                  <w:tcPr>
                    <w:tcW w:w="1134" w:type="dxa"/>
                    <w:shd w:val="clear" w:color="auto" w:fill="FFD966"/>
                    <w:vAlign w:val="center"/>
                    <w:hideMark/>
                  </w:tcPr>
                  <w:p>
                    <w:pPr>
                      <w:jc w:val="center"/>
                      <w:rPr>
                        <w:sz w:val="20"/>
                      </w:rPr>
                    </w:pPr>
                    <w:r>
                      <w:rPr>
                        <w:sz w:val="20"/>
                      </w:rPr>
                      <w:t>Tyrimas (SvS)</w:t>
                    </w:r>
                  </w:p>
                </w:tc>
                <w:tc>
                  <w:tcPr>
                    <w:tcW w:w="1134" w:type="dxa"/>
                    <w:shd w:val="clear" w:color="auto" w:fill="FFD966"/>
                    <w:noWrap/>
                    <w:vAlign w:val="center"/>
                    <w:hideMark/>
                  </w:tcPr>
                  <w:p>
                    <w:pPr>
                      <w:jc w:val="center"/>
                      <w:rPr>
                        <w:sz w:val="20"/>
                      </w:rPr>
                    </w:pPr>
                    <w:r>
                      <w:rPr>
                        <w:sz w:val="20"/>
                      </w:rPr>
                      <w:t>6,6 (2023)</w:t>
                    </w:r>
                  </w:p>
                </w:tc>
                <w:tc>
                  <w:tcPr>
                    <w:tcW w:w="1134" w:type="dxa"/>
                    <w:shd w:val="clear" w:color="auto" w:fill="FFD966"/>
                    <w:noWrap/>
                    <w:vAlign w:val="center"/>
                    <w:hideMark/>
                  </w:tcPr>
                  <w:p>
                    <w:pPr>
                      <w:jc w:val="center"/>
                      <w:rPr>
                        <w:sz w:val="20"/>
                      </w:rPr>
                    </w:pPr>
                    <w:r>
                      <w:rPr>
                        <w:sz w:val="20"/>
                      </w:rPr>
                      <w:t>7,5 (2033)</w:t>
                    </w:r>
                  </w:p>
                </w:tc>
              </w:tr>
              <w:tr>
                <w:trPr>
                  <w:trHeight w:val="423"/>
                  <w:jc w:val="center"/>
                </w:trPr>
                <w:tc>
                  <w:tcPr>
                    <w:tcW w:w="988" w:type="dxa"/>
                    <w:vMerge/>
                    <w:shd w:val="clear" w:color="auto" w:fill="FFD966"/>
                    <w:vAlign w:val="center"/>
                    <w:hideMark/>
                  </w:tcPr>
                  <w:p>
                    <w:pPr>
                      <w:rPr>
                        <w:b/>
                        <w:bCs/>
                        <w:sz w:val="20"/>
                      </w:rPr>
                    </w:pPr>
                  </w:p>
                </w:tc>
                <w:tc>
                  <w:tcPr>
                    <w:tcW w:w="2126" w:type="dxa"/>
                    <w:vMerge/>
                    <w:shd w:val="clear" w:color="auto" w:fill="FFD966"/>
                    <w:vAlign w:val="center"/>
                    <w:hideMark/>
                  </w:tcPr>
                  <w:p>
                    <w:pPr>
                      <w:rPr>
                        <w:b/>
                        <w:bCs/>
                        <w:sz w:val="20"/>
                      </w:rPr>
                    </w:pPr>
                  </w:p>
                </w:tc>
                <w:tc>
                  <w:tcPr>
                    <w:tcW w:w="850" w:type="dxa"/>
                    <w:vMerge/>
                    <w:shd w:val="clear" w:color="auto" w:fill="FFD966"/>
                    <w:vAlign w:val="center"/>
                    <w:hideMark/>
                  </w:tcPr>
                  <w:p>
                    <w:pPr>
                      <w:jc w:val="center"/>
                      <w:rPr>
                        <w:sz w:val="20"/>
                      </w:rPr>
                    </w:pPr>
                  </w:p>
                </w:tc>
                <w:tc>
                  <w:tcPr>
                    <w:tcW w:w="709" w:type="dxa"/>
                    <w:vMerge/>
                    <w:shd w:val="clear" w:color="auto" w:fill="FFD966"/>
                    <w:vAlign w:val="center"/>
                    <w:hideMark/>
                  </w:tcPr>
                  <w:p>
                    <w:pPr>
                      <w:jc w:val="center"/>
                      <w:rPr>
                        <w:sz w:val="20"/>
                      </w:rPr>
                    </w:pPr>
                  </w:p>
                </w:tc>
                <w:tc>
                  <w:tcPr>
                    <w:tcW w:w="709" w:type="dxa"/>
                    <w:vMerge/>
                    <w:shd w:val="clear" w:color="auto" w:fill="FFD966"/>
                    <w:vAlign w:val="center"/>
                    <w:hideMark/>
                  </w:tcPr>
                  <w:p>
                    <w:pPr>
                      <w:jc w:val="center"/>
                      <w:rPr>
                        <w:sz w:val="20"/>
                      </w:rPr>
                    </w:pPr>
                  </w:p>
                </w:tc>
                <w:tc>
                  <w:tcPr>
                    <w:tcW w:w="1417" w:type="dxa"/>
                    <w:shd w:val="clear" w:color="auto" w:fill="FFD966"/>
                    <w:noWrap/>
                    <w:vAlign w:val="center"/>
                    <w:hideMark/>
                  </w:tcPr>
                  <w:p>
                    <w:pPr>
                      <w:rPr>
                        <w:sz w:val="20"/>
                      </w:rPr>
                    </w:pPr>
                    <w:r>
                      <w:rPr>
                        <w:sz w:val="20"/>
                      </w:rPr>
                      <w:t>P-19-02</w:t>
                    </w:r>
                  </w:p>
                </w:tc>
                <w:tc>
                  <w:tcPr>
                    <w:tcW w:w="4111" w:type="dxa"/>
                    <w:shd w:val="clear" w:color="auto" w:fill="FFD966"/>
                    <w:vAlign w:val="center"/>
                    <w:hideMark/>
                  </w:tcPr>
                  <w:p>
                    <w:pPr>
                      <w:rPr>
                        <w:sz w:val="20"/>
                      </w:rPr>
                    </w:pPr>
                    <w:r>
                      <w:rPr>
                        <w:sz w:val="20"/>
                      </w:rPr>
                      <w:t>Praktikuojančių sveikatos priežiūros specialistų skaičius, tenkantis 10 tūkst. gyventojų (asm.)</w:t>
                    </w:r>
                  </w:p>
                </w:tc>
                <w:tc>
                  <w:tcPr>
                    <w:tcW w:w="1134" w:type="dxa"/>
                    <w:shd w:val="clear" w:color="auto" w:fill="FFD966"/>
                    <w:vAlign w:val="center"/>
                    <w:hideMark/>
                  </w:tcPr>
                  <w:p>
                    <w:pPr>
                      <w:jc w:val="center"/>
                      <w:rPr>
                        <w:sz w:val="20"/>
                      </w:rPr>
                    </w:pPr>
                    <w:r>
                      <w:rPr>
                        <w:sz w:val="20"/>
                      </w:rPr>
                      <w:t>VDA (SvS)</w:t>
                    </w:r>
                  </w:p>
                </w:tc>
                <w:tc>
                  <w:tcPr>
                    <w:tcW w:w="1134" w:type="dxa"/>
                    <w:shd w:val="clear" w:color="auto" w:fill="FFD966"/>
                    <w:noWrap/>
                    <w:vAlign w:val="center"/>
                    <w:hideMark/>
                  </w:tcPr>
                  <w:p>
                    <w:pPr>
                      <w:jc w:val="center"/>
                      <w:rPr>
                        <w:sz w:val="20"/>
                      </w:rPr>
                    </w:pPr>
                    <w:r>
                      <w:rPr>
                        <w:sz w:val="20"/>
                      </w:rPr>
                      <w:t>175,33 (2022)</w:t>
                    </w:r>
                  </w:p>
                </w:tc>
                <w:tc>
                  <w:tcPr>
                    <w:tcW w:w="1134" w:type="dxa"/>
                    <w:shd w:val="clear" w:color="auto" w:fill="FFD966"/>
                    <w:noWrap/>
                    <w:vAlign w:val="center"/>
                    <w:hideMark/>
                  </w:tcPr>
                  <w:p>
                    <w:pPr>
                      <w:jc w:val="center"/>
                      <w:rPr>
                        <w:sz w:val="20"/>
                      </w:rPr>
                    </w:pPr>
                    <w:r>
                      <w:rPr>
                        <w:sz w:val="20"/>
                      </w:rPr>
                      <w:t>175 (2033)</w:t>
                    </w:r>
                  </w:p>
                </w:tc>
              </w:tr>
              <w:tr>
                <w:trPr>
                  <w:trHeight w:val="374"/>
                  <w:jc w:val="center"/>
                </w:trPr>
                <w:tc>
                  <w:tcPr>
                    <w:tcW w:w="988" w:type="dxa"/>
                    <w:vMerge/>
                    <w:shd w:val="clear" w:color="auto" w:fill="FFD966"/>
                    <w:vAlign w:val="center"/>
                    <w:hideMark/>
                  </w:tcPr>
                  <w:p>
                    <w:pPr>
                      <w:rPr>
                        <w:b/>
                        <w:bCs/>
                        <w:sz w:val="20"/>
                      </w:rPr>
                    </w:pPr>
                  </w:p>
                </w:tc>
                <w:tc>
                  <w:tcPr>
                    <w:tcW w:w="2126" w:type="dxa"/>
                    <w:vMerge/>
                    <w:shd w:val="clear" w:color="auto" w:fill="FFD966"/>
                    <w:vAlign w:val="center"/>
                    <w:hideMark/>
                  </w:tcPr>
                  <w:p>
                    <w:pPr>
                      <w:rPr>
                        <w:b/>
                        <w:bCs/>
                        <w:sz w:val="20"/>
                      </w:rPr>
                    </w:pPr>
                  </w:p>
                </w:tc>
                <w:tc>
                  <w:tcPr>
                    <w:tcW w:w="850" w:type="dxa"/>
                    <w:vMerge/>
                    <w:shd w:val="clear" w:color="auto" w:fill="FFD966"/>
                    <w:vAlign w:val="center"/>
                    <w:hideMark/>
                  </w:tcPr>
                  <w:p>
                    <w:pPr>
                      <w:jc w:val="center"/>
                      <w:rPr>
                        <w:sz w:val="20"/>
                      </w:rPr>
                    </w:pPr>
                  </w:p>
                </w:tc>
                <w:tc>
                  <w:tcPr>
                    <w:tcW w:w="709" w:type="dxa"/>
                    <w:vMerge/>
                    <w:shd w:val="clear" w:color="auto" w:fill="FFD966"/>
                    <w:vAlign w:val="center"/>
                    <w:hideMark/>
                  </w:tcPr>
                  <w:p>
                    <w:pPr>
                      <w:jc w:val="center"/>
                      <w:rPr>
                        <w:sz w:val="20"/>
                      </w:rPr>
                    </w:pPr>
                  </w:p>
                </w:tc>
                <w:tc>
                  <w:tcPr>
                    <w:tcW w:w="709" w:type="dxa"/>
                    <w:vMerge/>
                    <w:shd w:val="clear" w:color="auto" w:fill="FFD966"/>
                    <w:vAlign w:val="center"/>
                    <w:hideMark/>
                  </w:tcPr>
                  <w:p>
                    <w:pPr>
                      <w:jc w:val="center"/>
                      <w:rPr>
                        <w:sz w:val="20"/>
                      </w:rPr>
                    </w:pPr>
                  </w:p>
                </w:tc>
                <w:tc>
                  <w:tcPr>
                    <w:tcW w:w="1417" w:type="dxa"/>
                    <w:shd w:val="clear" w:color="auto" w:fill="FFD966"/>
                    <w:noWrap/>
                    <w:vAlign w:val="center"/>
                    <w:hideMark/>
                  </w:tcPr>
                  <w:p>
                    <w:pPr>
                      <w:rPr>
                        <w:sz w:val="20"/>
                      </w:rPr>
                    </w:pPr>
                    <w:r>
                      <w:rPr>
                        <w:sz w:val="20"/>
                      </w:rPr>
                      <w:t>P-19-03</w:t>
                    </w:r>
                  </w:p>
                </w:tc>
                <w:tc>
                  <w:tcPr>
                    <w:tcW w:w="4111" w:type="dxa"/>
                    <w:shd w:val="clear" w:color="auto" w:fill="FFD966"/>
                    <w:vAlign w:val="center"/>
                    <w:hideMark/>
                  </w:tcPr>
                  <w:p>
                    <w:pPr>
                      <w:rPr>
                        <w:sz w:val="20"/>
                      </w:rPr>
                    </w:pPr>
                    <w:r>
                      <w:rPr>
                        <w:sz w:val="20"/>
                      </w:rPr>
                      <w:t>Vidutinė gyvenimo trukmė (m.)</w:t>
                    </w:r>
                  </w:p>
                </w:tc>
                <w:tc>
                  <w:tcPr>
                    <w:tcW w:w="1134" w:type="dxa"/>
                    <w:shd w:val="clear" w:color="auto" w:fill="FFD966"/>
                    <w:vAlign w:val="center"/>
                    <w:hideMark/>
                  </w:tcPr>
                  <w:p>
                    <w:pPr>
                      <w:jc w:val="center"/>
                      <w:rPr>
                        <w:sz w:val="20"/>
                      </w:rPr>
                    </w:pPr>
                    <w:r>
                      <w:rPr>
                        <w:sz w:val="20"/>
                      </w:rPr>
                      <w:t>VDA (SvS)</w:t>
                    </w:r>
                  </w:p>
                </w:tc>
                <w:tc>
                  <w:tcPr>
                    <w:tcW w:w="1134" w:type="dxa"/>
                    <w:shd w:val="clear" w:color="auto" w:fill="FFD966"/>
                    <w:noWrap/>
                    <w:vAlign w:val="center"/>
                    <w:hideMark/>
                  </w:tcPr>
                  <w:p>
                    <w:pPr>
                      <w:jc w:val="center"/>
                      <w:rPr>
                        <w:sz w:val="20"/>
                      </w:rPr>
                    </w:pPr>
                    <w:r>
                      <w:rPr>
                        <w:sz w:val="20"/>
                      </w:rPr>
                      <w:t>75,4 (2022)</w:t>
                    </w:r>
                  </w:p>
                </w:tc>
                <w:tc>
                  <w:tcPr>
                    <w:tcW w:w="1134" w:type="dxa"/>
                    <w:shd w:val="clear" w:color="auto" w:fill="FFD966"/>
                    <w:noWrap/>
                    <w:vAlign w:val="center"/>
                    <w:hideMark/>
                  </w:tcPr>
                  <w:p>
                    <w:pPr>
                      <w:jc w:val="center"/>
                      <w:rPr>
                        <w:sz w:val="20"/>
                      </w:rPr>
                    </w:pPr>
                    <w:r>
                      <w:rPr>
                        <w:sz w:val="20"/>
                      </w:rPr>
                      <w:t>77 (2033)</w:t>
                    </w:r>
                  </w:p>
                </w:tc>
              </w:tr>
              <w:tr>
                <w:trPr>
                  <w:trHeight w:val="585"/>
                  <w:jc w:val="center"/>
                </w:trPr>
                <w:tc>
                  <w:tcPr>
                    <w:tcW w:w="988" w:type="dxa"/>
                    <w:vMerge w:val="restart"/>
                    <w:shd w:val="clear" w:color="auto" w:fill="FCE4D6"/>
                    <w:noWrap/>
                    <w:vAlign w:val="center"/>
                    <w:hideMark/>
                  </w:tcPr>
                  <w:p>
                    <w:pPr>
                      <w:rPr>
                        <w:b/>
                        <w:bCs/>
                        <w:sz w:val="20"/>
                      </w:rPr>
                    </w:pPr>
                    <w:r>
                      <w:rPr>
                        <w:b/>
                        <w:bCs/>
                        <w:sz w:val="20"/>
                      </w:rPr>
                      <w:t>19-01</w:t>
                    </w:r>
                  </w:p>
                </w:tc>
                <w:tc>
                  <w:tcPr>
                    <w:tcW w:w="2126" w:type="dxa"/>
                    <w:vMerge w:val="restart"/>
                    <w:shd w:val="clear" w:color="auto" w:fill="FCE4D6"/>
                    <w:vAlign w:val="center"/>
                    <w:hideMark/>
                  </w:tcPr>
                  <w:p>
                    <w:pPr>
                      <w:rPr>
                        <w:b/>
                        <w:bCs/>
                        <w:sz w:val="20"/>
                      </w:rPr>
                    </w:pPr>
                    <w:r>
                      <w:rPr>
                        <w:b/>
                        <w:bCs/>
                        <w:sz w:val="20"/>
                      </w:rPr>
                      <w:t>Plėtoti asmens ir visuomenės sveikatos priežiūros paslaugas, ugdyti visuomenės poreikį sveikai gyventi</w:t>
                    </w:r>
                  </w:p>
                </w:tc>
                <w:tc>
                  <w:tcPr>
                    <w:tcW w:w="850" w:type="dxa"/>
                    <w:vMerge w:val="restart"/>
                    <w:shd w:val="clear" w:color="auto" w:fill="FCE4D6"/>
                    <w:vAlign w:val="center"/>
                    <w:hideMark/>
                  </w:tcPr>
                  <w:p>
                    <w:pPr>
                      <w:jc w:val="center"/>
                      <w:rPr>
                        <w:sz w:val="20"/>
                      </w:rPr>
                    </w:pPr>
                    <w:r>
                      <w:rPr>
                        <w:sz w:val="20"/>
                      </w:rPr>
                      <w:t>SvS</w:t>
                    </w:r>
                  </w:p>
                </w:tc>
                <w:tc>
                  <w:tcPr>
                    <w:tcW w:w="709" w:type="dxa"/>
                    <w:vMerge w:val="restart"/>
                    <w:shd w:val="clear" w:color="auto" w:fill="FCE4D6"/>
                    <w:noWrap/>
                    <w:vAlign w:val="center"/>
                    <w:hideMark/>
                  </w:tcPr>
                  <w:p>
                    <w:pPr>
                      <w:jc w:val="center"/>
                      <w:rPr>
                        <w:sz w:val="20"/>
                      </w:rPr>
                    </w:pPr>
                    <w:r>
                      <w:rPr>
                        <w:sz w:val="20"/>
                      </w:rPr>
                      <w:t>2025</w:t>
                    </w:r>
                  </w:p>
                </w:tc>
                <w:tc>
                  <w:tcPr>
                    <w:tcW w:w="709" w:type="dxa"/>
                    <w:vMerge w:val="restart"/>
                    <w:shd w:val="clear" w:color="auto" w:fill="FCE4D6"/>
                    <w:noWrap/>
                    <w:vAlign w:val="center"/>
                    <w:hideMark/>
                  </w:tcPr>
                  <w:p>
                    <w:pPr>
                      <w:jc w:val="center"/>
                      <w:rPr>
                        <w:sz w:val="20"/>
                      </w:rPr>
                    </w:pPr>
                    <w:r>
                      <w:rPr>
                        <w:sz w:val="20"/>
                      </w:rPr>
                      <w:t>2033</w:t>
                    </w:r>
                  </w:p>
                </w:tc>
                <w:tc>
                  <w:tcPr>
                    <w:tcW w:w="1417" w:type="dxa"/>
                    <w:shd w:val="clear" w:color="auto" w:fill="FCE4D6"/>
                    <w:noWrap/>
                    <w:vAlign w:val="center"/>
                    <w:hideMark/>
                  </w:tcPr>
                  <w:p>
                    <w:pPr>
                      <w:rPr>
                        <w:sz w:val="20"/>
                      </w:rPr>
                    </w:pPr>
                    <w:r>
                      <w:rPr>
                        <w:sz w:val="20"/>
                      </w:rPr>
                      <w:t>R-19-01-01</w:t>
                    </w:r>
                  </w:p>
                </w:tc>
                <w:tc>
                  <w:tcPr>
                    <w:tcW w:w="4111" w:type="dxa"/>
                    <w:shd w:val="clear" w:color="auto" w:fill="FCE4D6"/>
                    <w:vAlign w:val="center"/>
                    <w:hideMark/>
                  </w:tcPr>
                  <w:p>
                    <w:pPr>
                      <w:rPr>
                        <w:sz w:val="20"/>
                      </w:rPr>
                    </w:pPr>
                    <w:r>
                      <w:rPr>
                        <w:sz w:val="20"/>
                      </w:rPr>
                      <w:t>Paliatyvios pagalbos, globos, slaugos ir palaikomojo gydymo lovų skaičius, tenkantis 1 tūkst. gyventojų (vnt.)</w:t>
                    </w:r>
                  </w:p>
                </w:tc>
                <w:tc>
                  <w:tcPr>
                    <w:tcW w:w="1134" w:type="dxa"/>
                    <w:shd w:val="clear" w:color="auto" w:fill="FCE4D6"/>
                    <w:vAlign w:val="center"/>
                    <w:hideMark/>
                  </w:tcPr>
                  <w:p>
                    <w:pPr>
                      <w:jc w:val="center"/>
                      <w:rPr>
                        <w:sz w:val="20"/>
                      </w:rPr>
                    </w:pPr>
                    <w:r>
                      <w:rPr>
                        <w:sz w:val="20"/>
                      </w:rPr>
                      <w:t>VDA (SvS)</w:t>
                    </w:r>
                  </w:p>
                </w:tc>
                <w:tc>
                  <w:tcPr>
                    <w:tcW w:w="1134" w:type="dxa"/>
                    <w:shd w:val="clear" w:color="auto" w:fill="FCE4D6"/>
                    <w:noWrap/>
                    <w:vAlign w:val="center"/>
                    <w:hideMark/>
                  </w:tcPr>
                  <w:p>
                    <w:pPr>
                      <w:jc w:val="center"/>
                      <w:rPr>
                        <w:sz w:val="20"/>
                      </w:rPr>
                    </w:pPr>
                    <w:r>
                      <w:rPr>
                        <w:sz w:val="20"/>
                      </w:rPr>
                      <w:t>2,22 (2022)</w:t>
                    </w:r>
                  </w:p>
                </w:tc>
                <w:tc>
                  <w:tcPr>
                    <w:tcW w:w="1134" w:type="dxa"/>
                    <w:shd w:val="clear" w:color="auto" w:fill="FCE4D6"/>
                    <w:noWrap/>
                    <w:vAlign w:val="center"/>
                    <w:hideMark/>
                  </w:tcPr>
                  <w:p>
                    <w:pPr>
                      <w:jc w:val="center"/>
                      <w:rPr>
                        <w:sz w:val="20"/>
                      </w:rPr>
                    </w:pPr>
                    <w:r>
                      <w:rPr>
                        <w:sz w:val="20"/>
                      </w:rPr>
                      <w:t>2,2 (2033)</w:t>
                    </w:r>
                  </w:p>
                </w:tc>
              </w:tr>
              <w:tr>
                <w:trPr>
                  <w:trHeight w:val="475"/>
                  <w:jc w:val="center"/>
                </w:trPr>
                <w:tc>
                  <w:tcPr>
                    <w:tcW w:w="988" w:type="dxa"/>
                    <w:vMerge/>
                    <w:shd w:val="clear" w:color="auto" w:fill="FCE4D6"/>
                    <w:vAlign w:val="center"/>
                    <w:hideMark/>
                  </w:tcPr>
                  <w:p>
                    <w:pPr>
                      <w:rPr>
                        <w:b/>
                        <w:bCs/>
                        <w:sz w:val="20"/>
                      </w:rPr>
                    </w:pPr>
                  </w:p>
                </w:tc>
                <w:tc>
                  <w:tcPr>
                    <w:tcW w:w="2126" w:type="dxa"/>
                    <w:vMerge/>
                    <w:shd w:val="clear" w:color="auto" w:fill="FCE4D6"/>
                    <w:vAlign w:val="center"/>
                    <w:hideMark/>
                  </w:tcPr>
                  <w:p>
                    <w:pPr>
                      <w:rPr>
                        <w:b/>
                        <w:bCs/>
                        <w:sz w:val="20"/>
                      </w:rPr>
                    </w:pPr>
                  </w:p>
                </w:tc>
                <w:tc>
                  <w:tcPr>
                    <w:tcW w:w="850" w:type="dxa"/>
                    <w:vMerge/>
                    <w:shd w:val="clear" w:color="auto" w:fill="FCE4D6"/>
                    <w:vAlign w:val="center"/>
                    <w:hideMark/>
                  </w:tcPr>
                  <w:p>
                    <w:pPr>
                      <w:rPr>
                        <w:sz w:val="20"/>
                      </w:rPr>
                    </w:pPr>
                  </w:p>
                </w:tc>
                <w:tc>
                  <w:tcPr>
                    <w:tcW w:w="709" w:type="dxa"/>
                    <w:vMerge/>
                    <w:shd w:val="clear" w:color="auto" w:fill="FCE4D6"/>
                    <w:vAlign w:val="center"/>
                    <w:hideMark/>
                  </w:tcPr>
                  <w:p>
                    <w:pPr>
                      <w:rPr>
                        <w:sz w:val="20"/>
                      </w:rPr>
                    </w:pPr>
                  </w:p>
                </w:tc>
                <w:tc>
                  <w:tcPr>
                    <w:tcW w:w="709" w:type="dxa"/>
                    <w:vMerge/>
                    <w:shd w:val="clear" w:color="auto" w:fill="FCE4D6"/>
                    <w:vAlign w:val="center"/>
                    <w:hideMark/>
                  </w:tcPr>
                  <w:p>
                    <w:pPr>
                      <w:rPr>
                        <w:sz w:val="20"/>
                      </w:rPr>
                    </w:pPr>
                  </w:p>
                </w:tc>
                <w:tc>
                  <w:tcPr>
                    <w:tcW w:w="1417" w:type="dxa"/>
                    <w:shd w:val="clear" w:color="auto" w:fill="FCE4D6"/>
                    <w:noWrap/>
                    <w:vAlign w:val="center"/>
                    <w:hideMark/>
                  </w:tcPr>
                  <w:p>
                    <w:pPr>
                      <w:rPr>
                        <w:sz w:val="20"/>
                      </w:rPr>
                    </w:pPr>
                    <w:r>
                      <w:rPr>
                        <w:sz w:val="20"/>
                      </w:rPr>
                      <w:t>R-19-01-02</w:t>
                    </w:r>
                  </w:p>
                </w:tc>
                <w:tc>
                  <w:tcPr>
                    <w:tcW w:w="4111" w:type="dxa"/>
                    <w:shd w:val="clear" w:color="auto" w:fill="FCE4D6"/>
                    <w:vAlign w:val="center"/>
                    <w:hideMark/>
                  </w:tcPr>
                  <w:p>
                    <w:pPr>
                      <w:rPr>
                        <w:sz w:val="20"/>
                      </w:rPr>
                    </w:pPr>
                    <w:r>
                      <w:rPr>
                        <w:sz w:val="20"/>
                      </w:rPr>
                      <w:t>Pacientų, kurie pas šeimos gydytoją patenka per 7 kalendorines dienas, dalis (proc.)</w:t>
                    </w:r>
                  </w:p>
                </w:tc>
                <w:tc>
                  <w:tcPr>
                    <w:tcW w:w="1134" w:type="dxa"/>
                    <w:shd w:val="clear" w:color="auto" w:fill="FCE4D6"/>
                    <w:vAlign w:val="center"/>
                    <w:hideMark/>
                  </w:tcPr>
                  <w:p>
                    <w:pPr>
                      <w:jc w:val="center"/>
                      <w:rPr>
                        <w:sz w:val="20"/>
                      </w:rPr>
                    </w:pPr>
                    <w:r>
                      <w:rPr>
                        <w:sz w:val="20"/>
                      </w:rPr>
                      <w:t>VLK (SvS)</w:t>
                    </w:r>
                  </w:p>
                </w:tc>
                <w:tc>
                  <w:tcPr>
                    <w:tcW w:w="1134" w:type="dxa"/>
                    <w:shd w:val="clear" w:color="auto" w:fill="FCE4D6"/>
                    <w:noWrap/>
                    <w:vAlign w:val="center"/>
                    <w:hideMark/>
                  </w:tcPr>
                  <w:p>
                    <w:pPr>
                      <w:jc w:val="center"/>
                      <w:rPr>
                        <w:sz w:val="20"/>
                      </w:rPr>
                    </w:pPr>
                    <w:r>
                      <w:rPr>
                        <w:sz w:val="20"/>
                      </w:rPr>
                      <w:t>79 (2023)</w:t>
                    </w:r>
                  </w:p>
                </w:tc>
                <w:tc>
                  <w:tcPr>
                    <w:tcW w:w="1134" w:type="dxa"/>
                    <w:shd w:val="clear" w:color="auto" w:fill="FCE4D6"/>
                    <w:noWrap/>
                    <w:vAlign w:val="center"/>
                    <w:hideMark/>
                  </w:tcPr>
                  <w:p>
                    <w:pPr>
                      <w:jc w:val="center"/>
                      <w:rPr>
                        <w:sz w:val="20"/>
                      </w:rPr>
                    </w:pPr>
                    <w:r>
                      <w:rPr>
                        <w:sz w:val="20"/>
                      </w:rPr>
                      <w:t>90 (2033)</w:t>
                    </w:r>
                  </w:p>
                </w:tc>
              </w:tr>
              <w:tr>
                <w:trPr>
                  <w:trHeight w:val="411"/>
                  <w:jc w:val="center"/>
                </w:trPr>
                <w:tc>
                  <w:tcPr>
                    <w:tcW w:w="988" w:type="dxa"/>
                    <w:vMerge/>
                    <w:shd w:val="clear" w:color="auto" w:fill="FCE4D6"/>
                    <w:vAlign w:val="center"/>
                    <w:hideMark/>
                  </w:tcPr>
                  <w:p>
                    <w:pPr>
                      <w:rPr>
                        <w:b/>
                        <w:bCs/>
                        <w:sz w:val="20"/>
                      </w:rPr>
                    </w:pPr>
                  </w:p>
                </w:tc>
                <w:tc>
                  <w:tcPr>
                    <w:tcW w:w="2126" w:type="dxa"/>
                    <w:vMerge/>
                    <w:shd w:val="clear" w:color="auto" w:fill="FCE4D6"/>
                    <w:vAlign w:val="center"/>
                    <w:hideMark/>
                  </w:tcPr>
                  <w:p>
                    <w:pPr>
                      <w:rPr>
                        <w:b/>
                        <w:bCs/>
                        <w:sz w:val="20"/>
                      </w:rPr>
                    </w:pPr>
                  </w:p>
                </w:tc>
                <w:tc>
                  <w:tcPr>
                    <w:tcW w:w="850" w:type="dxa"/>
                    <w:vMerge/>
                    <w:shd w:val="clear" w:color="auto" w:fill="FCE4D6"/>
                    <w:vAlign w:val="center"/>
                    <w:hideMark/>
                  </w:tcPr>
                  <w:p>
                    <w:pPr>
                      <w:rPr>
                        <w:sz w:val="20"/>
                      </w:rPr>
                    </w:pPr>
                  </w:p>
                </w:tc>
                <w:tc>
                  <w:tcPr>
                    <w:tcW w:w="709" w:type="dxa"/>
                    <w:vMerge/>
                    <w:shd w:val="clear" w:color="auto" w:fill="FCE4D6"/>
                    <w:vAlign w:val="center"/>
                    <w:hideMark/>
                  </w:tcPr>
                  <w:p>
                    <w:pPr>
                      <w:rPr>
                        <w:sz w:val="20"/>
                      </w:rPr>
                    </w:pPr>
                  </w:p>
                </w:tc>
                <w:tc>
                  <w:tcPr>
                    <w:tcW w:w="709" w:type="dxa"/>
                    <w:vMerge/>
                    <w:shd w:val="clear" w:color="auto" w:fill="FCE4D6"/>
                    <w:vAlign w:val="center"/>
                    <w:hideMark/>
                  </w:tcPr>
                  <w:p>
                    <w:pPr>
                      <w:rPr>
                        <w:sz w:val="20"/>
                      </w:rPr>
                    </w:pPr>
                  </w:p>
                </w:tc>
                <w:tc>
                  <w:tcPr>
                    <w:tcW w:w="1417" w:type="dxa"/>
                    <w:shd w:val="clear" w:color="auto" w:fill="FCE4D6"/>
                    <w:noWrap/>
                    <w:vAlign w:val="center"/>
                    <w:hideMark/>
                  </w:tcPr>
                  <w:p>
                    <w:pPr>
                      <w:rPr>
                        <w:sz w:val="20"/>
                      </w:rPr>
                    </w:pPr>
                    <w:r>
                      <w:rPr>
                        <w:sz w:val="20"/>
                      </w:rPr>
                      <w:t>R-19-01-03</w:t>
                    </w:r>
                  </w:p>
                </w:tc>
                <w:tc>
                  <w:tcPr>
                    <w:tcW w:w="4111" w:type="dxa"/>
                    <w:shd w:val="clear" w:color="auto" w:fill="FCE4D6"/>
                    <w:vAlign w:val="center"/>
                    <w:hideMark/>
                  </w:tcPr>
                  <w:p>
                    <w:pPr>
                      <w:rPr>
                        <w:sz w:val="20"/>
                      </w:rPr>
                    </w:pPr>
                    <w:r>
                      <w:rPr>
                        <w:sz w:val="20"/>
                      </w:rPr>
                      <w:t>Savižudybių skaičius, tenkantis 100 tūkst. gyventojų (asm.)</w:t>
                    </w:r>
                  </w:p>
                </w:tc>
                <w:tc>
                  <w:tcPr>
                    <w:tcW w:w="1134" w:type="dxa"/>
                    <w:shd w:val="clear" w:color="auto" w:fill="FCE4D6"/>
                    <w:vAlign w:val="center"/>
                    <w:hideMark/>
                  </w:tcPr>
                  <w:p>
                    <w:pPr>
                      <w:jc w:val="center"/>
                      <w:rPr>
                        <w:sz w:val="20"/>
                      </w:rPr>
                    </w:pPr>
                    <w:r>
                      <w:rPr>
                        <w:sz w:val="20"/>
                      </w:rPr>
                      <w:t>HI (SvS)</w:t>
                    </w:r>
                  </w:p>
                </w:tc>
                <w:tc>
                  <w:tcPr>
                    <w:tcW w:w="1134" w:type="dxa"/>
                    <w:shd w:val="clear" w:color="auto" w:fill="FCE4D6"/>
                    <w:noWrap/>
                    <w:vAlign w:val="center"/>
                    <w:hideMark/>
                  </w:tcPr>
                  <w:p>
                    <w:pPr>
                      <w:jc w:val="center"/>
                      <w:rPr>
                        <w:sz w:val="20"/>
                      </w:rPr>
                    </w:pPr>
                    <w:r>
                      <w:rPr>
                        <w:sz w:val="20"/>
                      </w:rPr>
                      <w:t>14,4 (2022)</w:t>
                    </w:r>
                  </w:p>
                </w:tc>
                <w:tc>
                  <w:tcPr>
                    <w:tcW w:w="1134" w:type="dxa"/>
                    <w:shd w:val="clear" w:color="auto" w:fill="FCE4D6"/>
                    <w:noWrap/>
                    <w:vAlign w:val="center"/>
                    <w:hideMark/>
                  </w:tcPr>
                  <w:p>
                    <w:pPr>
                      <w:jc w:val="center"/>
                      <w:rPr>
                        <w:sz w:val="20"/>
                      </w:rPr>
                    </w:pPr>
                    <w:r>
                      <w:rPr>
                        <w:sz w:val="20"/>
                      </w:rPr>
                      <w:t>10,5 (2033)</w:t>
                    </w:r>
                  </w:p>
                </w:tc>
              </w:tr>
              <w:tr>
                <w:trPr>
                  <w:trHeight w:val="375"/>
                  <w:jc w:val="center"/>
                </w:trPr>
                <w:tc>
                  <w:tcPr>
                    <w:tcW w:w="988" w:type="dxa"/>
                    <w:vMerge w:val="restart"/>
                    <w:noWrap/>
                    <w:vAlign w:val="center"/>
                    <w:hideMark/>
                  </w:tcPr>
                  <w:p>
                    <w:pPr>
                      <w:rPr>
                        <w:sz w:val="20"/>
                      </w:rPr>
                    </w:pPr>
                    <w:r>
                      <w:rPr>
                        <w:sz w:val="20"/>
                      </w:rPr>
                      <w:t>19-01-01</w:t>
                    </w:r>
                  </w:p>
                </w:tc>
                <w:tc>
                  <w:tcPr>
                    <w:tcW w:w="2126" w:type="dxa"/>
                    <w:vMerge w:val="restart"/>
                    <w:vAlign w:val="center"/>
                    <w:hideMark/>
                  </w:tcPr>
                  <w:p>
                    <w:pPr>
                      <w:rPr>
                        <w:sz w:val="20"/>
                      </w:rPr>
                    </w:pPr>
                    <w:r>
                      <w:rPr>
                        <w:sz w:val="20"/>
                      </w:rPr>
                      <w:t>Didinti sveikatos specialistų teikiamų paslaugų prieinamumą</w:t>
                    </w:r>
                  </w:p>
                </w:tc>
                <w:tc>
                  <w:tcPr>
                    <w:tcW w:w="850" w:type="dxa"/>
                    <w:vMerge w:val="restart"/>
                    <w:noWrap/>
                    <w:vAlign w:val="center"/>
                    <w:hideMark/>
                  </w:tcPr>
                  <w:p>
                    <w:pPr>
                      <w:jc w:val="center"/>
                      <w:rPr>
                        <w:sz w:val="20"/>
                      </w:rPr>
                    </w:pPr>
                    <w:r>
                      <w:rPr>
                        <w:sz w:val="20"/>
                      </w:rPr>
                      <w:t>SvS</w:t>
                    </w:r>
                  </w:p>
                </w:tc>
                <w:tc>
                  <w:tcPr>
                    <w:tcW w:w="709" w:type="dxa"/>
                    <w:vMerge w:val="restart"/>
                    <w:noWrap/>
                    <w:vAlign w:val="center"/>
                    <w:hideMark/>
                  </w:tcPr>
                  <w:p>
                    <w:pPr>
                      <w:jc w:val="center"/>
                      <w:rPr>
                        <w:sz w:val="20"/>
                      </w:rPr>
                    </w:pPr>
                    <w:r>
                      <w:rPr>
                        <w:sz w:val="20"/>
                      </w:rPr>
                      <w:t>2025</w:t>
                    </w:r>
                  </w:p>
                </w:tc>
                <w:tc>
                  <w:tcPr>
                    <w:tcW w:w="709" w:type="dxa"/>
                    <w:vMerge w:val="restart"/>
                    <w:noWrap/>
                    <w:vAlign w:val="center"/>
                    <w:hideMark/>
                  </w:tcPr>
                  <w:p>
                    <w:pPr>
                      <w:jc w:val="center"/>
                      <w:rPr>
                        <w:sz w:val="20"/>
                      </w:rPr>
                    </w:pPr>
                    <w:r>
                      <w:rPr>
                        <w:sz w:val="20"/>
                      </w:rPr>
                      <w:t>2033</w:t>
                    </w:r>
                  </w:p>
                </w:tc>
                <w:tc>
                  <w:tcPr>
                    <w:tcW w:w="1417" w:type="dxa"/>
                    <w:noWrap/>
                    <w:vAlign w:val="center"/>
                    <w:hideMark/>
                  </w:tcPr>
                  <w:p>
                    <w:pPr>
                      <w:rPr>
                        <w:sz w:val="20"/>
                      </w:rPr>
                    </w:pPr>
                    <w:r>
                      <w:rPr>
                        <w:sz w:val="20"/>
                      </w:rPr>
                      <w:t>P-19-01-01-01</w:t>
                    </w:r>
                  </w:p>
                </w:tc>
                <w:tc>
                  <w:tcPr>
                    <w:tcW w:w="4111" w:type="dxa"/>
                    <w:vAlign w:val="center"/>
                    <w:hideMark/>
                  </w:tcPr>
                  <w:p>
                    <w:pPr>
                      <w:rPr>
                        <w:sz w:val="20"/>
                      </w:rPr>
                    </w:pPr>
                    <w:r>
                      <w:rPr>
                        <w:sz w:val="20"/>
                      </w:rPr>
                      <w:t>Pritrauktų reikiamos kvalifikacijos sveikatos srities specialistų skaičius (asm.)</w:t>
                    </w:r>
                  </w:p>
                </w:tc>
                <w:tc>
                  <w:tcPr>
                    <w:tcW w:w="1134" w:type="dxa"/>
                    <w:vAlign w:val="center"/>
                    <w:hideMark/>
                  </w:tcPr>
                  <w:p>
                    <w:pPr>
                      <w:jc w:val="center"/>
                      <w:rPr>
                        <w:sz w:val="20"/>
                      </w:rPr>
                    </w:pPr>
                    <w:r>
                      <w:rPr>
                        <w:sz w:val="20"/>
                      </w:rPr>
                      <w:t>SvS</w:t>
                    </w:r>
                  </w:p>
                </w:tc>
                <w:tc>
                  <w:tcPr>
                    <w:tcW w:w="1134" w:type="dxa"/>
                    <w:noWrap/>
                    <w:vAlign w:val="center"/>
                    <w:hideMark/>
                  </w:tcPr>
                  <w:p>
                    <w:pPr>
                      <w:jc w:val="center"/>
                      <w:rPr>
                        <w:sz w:val="20"/>
                      </w:rPr>
                    </w:pPr>
                    <w:r>
                      <w:rPr>
                        <w:sz w:val="20"/>
                      </w:rPr>
                      <w:t>17 (2023)</w:t>
                    </w:r>
                  </w:p>
                </w:tc>
                <w:tc>
                  <w:tcPr>
                    <w:tcW w:w="1134" w:type="dxa"/>
                    <w:noWrap/>
                    <w:vAlign w:val="center"/>
                    <w:hideMark/>
                  </w:tcPr>
                  <w:p>
                    <w:pPr>
                      <w:jc w:val="center"/>
                      <w:rPr>
                        <w:sz w:val="20"/>
                      </w:rPr>
                    </w:pPr>
                    <w:r>
                      <w:rPr>
                        <w:sz w:val="20"/>
                      </w:rPr>
                      <w:t>135 (2033)</w:t>
                    </w:r>
                  </w:p>
                </w:tc>
              </w:tr>
              <w:tr>
                <w:trPr>
                  <w:trHeight w:val="477"/>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jc w:val="center"/>
                      <w:rPr>
                        <w:sz w:val="20"/>
                      </w:rPr>
                    </w:pPr>
                  </w:p>
                </w:tc>
                <w:tc>
                  <w:tcPr>
                    <w:tcW w:w="709" w:type="dxa"/>
                    <w:vMerge/>
                    <w:vAlign w:val="center"/>
                    <w:hideMark/>
                  </w:tcPr>
                  <w:p>
                    <w:pPr>
                      <w:jc w:val="center"/>
                      <w:rPr>
                        <w:sz w:val="20"/>
                      </w:rPr>
                    </w:pPr>
                  </w:p>
                </w:tc>
                <w:tc>
                  <w:tcPr>
                    <w:tcW w:w="709" w:type="dxa"/>
                    <w:vMerge/>
                    <w:vAlign w:val="center"/>
                    <w:hideMark/>
                  </w:tcPr>
                  <w:p>
                    <w:pPr>
                      <w:jc w:val="center"/>
                      <w:rPr>
                        <w:sz w:val="20"/>
                      </w:rPr>
                    </w:pPr>
                  </w:p>
                </w:tc>
                <w:tc>
                  <w:tcPr>
                    <w:tcW w:w="1417" w:type="dxa"/>
                    <w:noWrap/>
                    <w:vAlign w:val="center"/>
                    <w:hideMark/>
                  </w:tcPr>
                  <w:p>
                    <w:pPr>
                      <w:rPr>
                        <w:sz w:val="20"/>
                      </w:rPr>
                    </w:pPr>
                    <w:r>
                      <w:rPr>
                        <w:sz w:val="20"/>
                      </w:rPr>
                      <w:t>P-19-01-01-02</w:t>
                    </w:r>
                  </w:p>
                </w:tc>
                <w:tc>
                  <w:tcPr>
                    <w:tcW w:w="4111" w:type="dxa"/>
                    <w:vAlign w:val="center"/>
                    <w:hideMark/>
                  </w:tcPr>
                  <w:p>
                    <w:pPr>
                      <w:rPr>
                        <w:sz w:val="20"/>
                      </w:rPr>
                    </w:pPr>
                    <w:r>
                      <w:rPr>
                        <w:sz w:val="20"/>
                      </w:rPr>
                      <w:t>Finansuotų sveikatos mokslų studentų skaičius (asm.)</w:t>
                    </w:r>
                  </w:p>
                </w:tc>
                <w:tc>
                  <w:tcPr>
                    <w:tcW w:w="1134" w:type="dxa"/>
                    <w:vAlign w:val="center"/>
                    <w:hideMark/>
                  </w:tcPr>
                  <w:p>
                    <w:pPr>
                      <w:jc w:val="center"/>
                      <w:rPr>
                        <w:sz w:val="20"/>
                      </w:rPr>
                    </w:pPr>
                    <w:r>
                      <w:rPr>
                        <w:sz w:val="20"/>
                      </w:rPr>
                      <w:t>SvS</w:t>
                    </w:r>
                  </w:p>
                </w:tc>
                <w:tc>
                  <w:tcPr>
                    <w:tcW w:w="1134" w:type="dxa"/>
                    <w:noWrap/>
                    <w:vAlign w:val="center"/>
                    <w:hideMark/>
                  </w:tcPr>
                  <w:p>
                    <w:pPr>
                      <w:jc w:val="center"/>
                      <w:rPr>
                        <w:sz w:val="20"/>
                      </w:rPr>
                    </w:pPr>
                    <w:r>
                      <w:rPr>
                        <w:sz w:val="20"/>
                      </w:rPr>
                      <w:t>11 (2023)</w:t>
                    </w:r>
                  </w:p>
                </w:tc>
                <w:tc>
                  <w:tcPr>
                    <w:tcW w:w="1134" w:type="dxa"/>
                    <w:noWrap/>
                    <w:vAlign w:val="center"/>
                    <w:hideMark/>
                  </w:tcPr>
                  <w:p>
                    <w:pPr>
                      <w:jc w:val="center"/>
                      <w:rPr>
                        <w:sz w:val="20"/>
                      </w:rPr>
                    </w:pPr>
                    <w:r>
                      <w:rPr>
                        <w:sz w:val="20"/>
                      </w:rPr>
                      <w:t>36 (2033)</w:t>
                    </w:r>
                  </w:p>
                </w:tc>
              </w:tr>
              <w:tr>
                <w:trPr>
                  <w:trHeight w:val="661"/>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jc w:val="center"/>
                      <w:rPr>
                        <w:sz w:val="20"/>
                      </w:rPr>
                    </w:pPr>
                  </w:p>
                </w:tc>
                <w:tc>
                  <w:tcPr>
                    <w:tcW w:w="709" w:type="dxa"/>
                    <w:vMerge/>
                    <w:vAlign w:val="center"/>
                    <w:hideMark/>
                  </w:tcPr>
                  <w:p>
                    <w:pPr>
                      <w:jc w:val="center"/>
                      <w:rPr>
                        <w:sz w:val="20"/>
                      </w:rPr>
                    </w:pPr>
                  </w:p>
                </w:tc>
                <w:tc>
                  <w:tcPr>
                    <w:tcW w:w="709" w:type="dxa"/>
                    <w:vMerge/>
                    <w:vAlign w:val="center"/>
                    <w:hideMark/>
                  </w:tcPr>
                  <w:p>
                    <w:pPr>
                      <w:jc w:val="center"/>
                      <w:rPr>
                        <w:sz w:val="20"/>
                      </w:rPr>
                    </w:pPr>
                  </w:p>
                </w:tc>
                <w:tc>
                  <w:tcPr>
                    <w:tcW w:w="1417" w:type="dxa"/>
                    <w:noWrap/>
                    <w:vAlign w:val="center"/>
                    <w:hideMark/>
                  </w:tcPr>
                  <w:p>
                    <w:pPr>
                      <w:rPr>
                        <w:sz w:val="20"/>
                      </w:rPr>
                    </w:pPr>
                    <w:r>
                      <w:rPr>
                        <w:sz w:val="20"/>
                      </w:rPr>
                      <w:t>P-19-01-01-03</w:t>
                    </w:r>
                  </w:p>
                </w:tc>
                <w:tc>
                  <w:tcPr>
                    <w:tcW w:w="4111" w:type="dxa"/>
                    <w:vAlign w:val="center"/>
                    <w:hideMark/>
                  </w:tcPr>
                  <w:p>
                    <w:pPr>
                      <w:rPr>
                        <w:sz w:val="20"/>
                      </w:rPr>
                    </w:pPr>
                    <w:r>
                      <w:rPr>
                        <w:sz w:val="20"/>
                      </w:rPr>
                      <w:t>Pacientų dalis, kuri pas vaikų ir paauglių psichiatrą patenka per 8–14 kalendorinių dienų (proc.)</w:t>
                    </w:r>
                  </w:p>
                </w:tc>
                <w:tc>
                  <w:tcPr>
                    <w:tcW w:w="1134" w:type="dxa"/>
                    <w:vAlign w:val="center"/>
                    <w:hideMark/>
                  </w:tcPr>
                  <w:p>
                    <w:pPr>
                      <w:jc w:val="center"/>
                      <w:rPr>
                        <w:sz w:val="20"/>
                      </w:rPr>
                    </w:pPr>
                    <w:r>
                      <w:rPr>
                        <w:sz w:val="20"/>
                      </w:rPr>
                      <w:t>VLK (SvS)</w:t>
                    </w:r>
                  </w:p>
                </w:tc>
                <w:tc>
                  <w:tcPr>
                    <w:tcW w:w="1134" w:type="dxa"/>
                    <w:noWrap/>
                    <w:vAlign w:val="center"/>
                    <w:hideMark/>
                  </w:tcPr>
                  <w:p>
                    <w:pPr>
                      <w:jc w:val="center"/>
                      <w:rPr>
                        <w:sz w:val="20"/>
                      </w:rPr>
                    </w:pPr>
                    <w:r>
                      <w:rPr>
                        <w:sz w:val="20"/>
                      </w:rPr>
                      <w:t>0 (2023)</w:t>
                    </w:r>
                  </w:p>
                </w:tc>
                <w:tc>
                  <w:tcPr>
                    <w:tcW w:w="1134" w:type="dxa"/>
                    <w:noWrap/>
                    <w:vAlign w:val="center"/>
                    <w:hideMark/>
                  </w:tcPr>
                  <w:p>
                    <w:pPr>
                      <w:jc w:val="center"/>
                      <w:rPr>
                        <w:sz w:val="20"/>
                      </w:rPr>
                    </w:pPr>
                    <w:r>
                      <w:rPr>
                        <w:sz w:val="20"/>
                      </w:rPr>
                      <w:t>50 (2033)</w:t>
                    </w:r>
                  </w:p>
                </w:tc>
              </w:tr>
              <w:tr>
                <w:trPr>
                  <w:trHeight w:val="272"/>
                  <w:jc w:val="center"/>
                </w:trPr>
                <w:tc>
                  <w:tcPr>
                    <w:tcW w:w="988" w:type="dxa"/>
                    <w:vMerge w:val="restart"/>
                    <w:noWrap/>
                    <w:vAlign w:val="center"/>
                    <w:hideMark/>
                  </w:tcPr>
                  <w:p>
                    <w:pPr>
                      <w:rPr>
                        <w:sz w:val="20"/>
                      </w:rPr>
                    </w:pPr>
                    <w:r>
                      <w:rPr>
                        <w:sz w:val="20"/>
                      </w:rPr>
                      <w:t>19-01-02</w:t>
                    </w:r>
                  </w:p>
                </w:tc>
                <w:tc>
                  <w:tcPr>
                    <w:tcW w:w="2126" w:type="dxa"/>
                    <w:vMerge w:val="restart"/>
                    <w:vAlign w:val="center"/>
                    <w:hideMark/>
                  </w:tcPr>
                  <w:p>
                    <w:pPr>
                      <w:rPr>
                        <w:sz w:val="20"/>
                      </w:rPr>
                    </w:pPr>
                    <w:r>
                      <w:rPr>
                        <w:sz w:val="20"/>
                      </w:rPr>
                      <w:t>Didinti visuomenės sveikatos stiprinimo paslaugų teikimo aprėptį</w:t>
                    </w:r>
                  </w:p>
                </w:tc>
                <w:tc>
                  <w:tcPr>
                    <w:tcW w:w="850" w:type="dxa"/>
                    <w:vMerge w:val="restart"/>
                    <w:noWrap/>
                    <w:vAlign w:val="center"/>
                    <w:hideMark/>
                  </w:tcPr>
                  <w:p>
                    <w:pPr>
                      <w:jc w:val="center"/>
                      <w:rPr>
                        <w:sz w:val="20"/>
                      </w:rPr>
                    </w:pPr>
                    <w:r>
                      <w:rPr>
                        <w:sz w:val="20"/>
                      </w:rPr>
                      <w:t>SvS</w:t>
                    </w:r>
                  </w:p>
                </w:tc>
                <w:tc>
                  <w:tcPr>
                    <w:tcW w:w="709" w:type="dxa"/>
                    <w:vMerge w:val="restart"/>
                    <w:noWrap/>
                    <w:vAlign w:val="center"/>
                    <w:hideMark/>
                  </w:tcPr>
                  <w:p>
                    <w:pPr>
                      <w:jc w:val="center"/>
                      <w:rPr>
                        <w:sz w:val="20"/>
                      </w:rPr>
                    </w:pPr>
                    <w:r>
                      <w:rPr>
                        <w:sz w:val="20"/>
                      </w:rPr>
                      <w:t>2025</w:t>
                    </w:r>
                  </w:p>
                </w:tc>
                <w:tc>
                  <w:tcPr>
                    <w:tcW w:w="709" w:type="dxa"/>
                    <w:vMerge w:val="restart"/>
                    <w:noWrap/>
                    <w:vAlign w:val="center"/>
                    <w:hideMark/>
                  </w:tcPr>
                  <w:p>
                    <w:pPr>
                      <w:jc w:val="center"/>
                      <w:rPr>
                        <w:sz w:val="20"/>
                      </w:rPr>
                    </w:pPr>
                    <w:r>
                      <w:rPr>
                        <w:sz w:val="20"/>
                      </w:rPr>
                      <w:t>2033</w:t>
                    </w:r>
                  </w:p>
                </w:tc>
                <w:tc>
                  <w:tcPr>
                    <w:tcW w:w="1417" w:type="dxa"/>
                    <w:vMerge w:val="restart"/>
                    <w:noWrap/>
                    <w:vAlign w:val="center"/>
                    <w:hideMark/>
                  </w:tcPr>
                  <w:p>
                    <w:pPr>
                      <w:rPr>
                        <w:sz w:val="20"/>
                      </w:rPr>
                    </w:pPr>
                    <w:r>
                      <w:rPr>
                        <w:sz w:val="20"/>
                      </w:rPr>
                      <w:t>P-19-01-02-01</w:t>
                    </w:r>
                  </w:p>
                </w:tc>
                <w:tc>
                  <w:tcPr>
                    <w:tcW w:w="7513" w:type="dxa"/>
                    <w:gridSpan w:val="4"/>
                    <w:vAlign w:val="center"/>
                    <w:hideMark/>
                  </w:tcPr>
                  <w:p>
                    <w:pPr>
                      <w:rPr>
                        <w:sz w:val="20"/>
                      </w:rPr>
                    </w:pPr>
                    <w:r>
                      <w:rPr>
                        <w:sz w:val="20"/>
                      </w:rPr>
                      <w:t>Gyventojų dalyvavimas valstybinėse prevencinėse programose:</w:t>
                    </w:r>
                  </w:p>
                </w:tc>
              </w:tr>
              <w:tr>
                <w:trPr>
                  <w:trHeight w:val="374"/>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jc w:val="center"/>
                      <w:rPr>
                        <w:sz w:val="20"/>
                      </w:rPr>
                    </w:pPr>
                  </w:p>
                </w:tc>
                <w:tc>
                  <w:tcPr>
                    <w:tcW w:w="709" w:type="dxa"/>
                    <w:vMerge/>
                    <w:vAlign w:val="center"/>
                    <w:hideMark/>
                  </w:tcPr>
                  <w:p>
                    <w:pPr>
                      <w:jc w:val="center"/>
                      <w:rPr>
                        <w:sz w:val="20"/>
                      </w:rPr>
                    </w:pPr>
                  </w:p>
                </w:tc>
                <w:tc>
                  <w:tcPr>
                    <w:tcW w:w="709" w:type="dxa"/>
                    <w:vMerge/>
                    <w:vAlign w:val="center"/>
                    <w:hideMark/>
                  </w:tcPr>
                  <w:p>
                    <w:pPr>
                      <w:jc w:val="center"/>
                      <w:rPr>
                        <w:sz w:val="20"/>
                      </w:rPr>
                    </w:pPr>
                  </w:p>
                </w:tc>
                <w:tc>
                  <w:tcPr>
                    <w:tcW w:w="1417" w:type="dxa"/>
                    <w:vMerge/>
                    <w:vAlign w:val="center"/>
                    <w:hideMark/>
                  </w:tcPr>
                  <w:p>
                    <w:pPr>
                      <w:rPr>
                        <w:sz w:val="20"/>
                      </w:rPr>
                    </w:pPr>
                  </w:p>
                </w:tc>
                <w:tc>
                  <w:tcPr>
                    <w:tcW w:w="4111" w:type="dxa"/>
                    <w:vAlign w:val="center"/>
                    <w:hideMark/>
                  </w:tcPr>
                  <w:p>
                    <w:pPr>
                      <w:rPr>
                        <w:sz w:val="20"/>
                      </w:rPr>
                    </w:pPr>
                    <w:r>
                      <w:rPr>
                        <w:sz w:val="20"/>
                      </w:rPr>
                      <w:t>Tikslinė gyventojų, dalyvavusių atrankinės mamografinės patikros dėl krūties vėžio finansavimo programoje, dalis nuo visos tikslinės grupės (proc.)</w:t>
                    </w:r>
                  </w:p>
                </w:tc>
                <w:tc>
                  <w:tcPr>
                    <w:tcW w:w="1134" w:type="dxa"/>
                    <w:vAlign w:val="center"/>
                    <w:hideMark/>
                  </w:tcPr>
                  <w:p>
                    <w:pPr>
                      <w:jc w:val="center"/>
                      <w:rPr>
                        <w:sz w:val="20"/>
                      </w:rPr>
                    </w:pPr>
                    <w:r>
                      <w:rPr>
                        <w:sz w:val="20"/>
                      </w:rPr>
                      <w:t>HI (SvS)</w:t>
                    </w:r>
                  </w:p>
                </w:tc>
                <w:tc>
                  <w:tcPr>
                    <w:tcW w:w="1134" w:type="dxa"/>
                    <w:noWrap/>
                    <w:vAlign w:val="center"/>
                    <w:hideMark/>
                  </w:tcPr>
                  <w:p>
                    <w:pPr>
                      <w:jc w:val="center"/>
                      <w:rPr>
                        <w:sz w:val="20"/>
                      </w:rPr>
                    </w:pPr>
                    <w:r>
                      <w:rPr>
                        <w:sz w:val="20"/>
                      </w:rPr>
                      <w:t>64,6 (2022)</w:t>
                    </w:r>
                  </w:p>
                </w:tc>
                <w:tc>
                  <w:tcPr>
                    <w:tcW w:w="1134" w:type="dxa"/>
                    <w:noWrap/>
                    <w:vAlign w:val="center"/>
                    <w:hideMark/>
                  </w:tcPr>
                  <w:p>
                    <w:pPr>
                      <w:jc w:val="center"/>
                      <w:rPr>
                        <w:sz w:val="20"/>
                      </w:rPr>
                    </w:pPr>
                    <w:r>
                      <w:rPr>
                        <w:sz w:val="20"/>
                      </w:rPr>
                      <w:t>75 (2033)</w:t>
                    </w:r>
                  </w:p>
                </w:tc>
              </w:tr>
              <w:tr>
                <w:trPr>
                  <w:trHeight w:val="720"/>
                  <w:jc w:val="center"/>
                </w:trPr>
                <w:tc>
                  <w:tcPr>
                    <w:tcW w:w="988" w:type="dxa"/>
                    <w:vMerge/>
                    <w:hideMark/>
                  </w:tcPr>
                  <w:p>
                    <w:pPr>
                      <w:rPr>
                        <w:sz w:val="20"/>
                      </w:rPr>
                    </w:pPr>
                  </w:p>
                </w:tc>
                <w:tc>
                  <w:tcPr>
                    <w:tcW w:w="2126" w:type="dxa"/>
                    <w:vMerge/>
                    <w:hideMark/>
                  </w:tcPr>
                  <w:p>
                    <w:pPr>
                      <w:rPr>
                        <w:sz w:val="20"/>
                      </w:rPr>
                    </w:pPr>
                  </w:p>
                </w:tc>
                <w:tc>
                  <w:tcPr>
                    <w:tcW w:w="850" w:type="dxa"/>
                    <w:vMerge/>
                    <w:hideMark/>
                  </w:tcPr>
                  <w:p>
                    <w:pPr>
                      <w:rPr>
                        <w:sz w:val="20"/>
                      </w:rPr>
                    </w:pPr>
                  </w:p>
                </w:tc>
                <w:tc>
                  <w:tcPr>
                    <w:tcW w:w="709" w:type="dxa"/>
                    <w:vMerge/>
                    <w:hideMark/>
                  </w:tcPr>
                  <w:p>
                    <w:pPr>
                      <w:rPr>
                        <w:sz w:val="20"/>
                      </w:rPr>
                    </w:pPr>
                  </w:p>
                </w:tc>
                <w:tc>
                  <w:tcPr>
                    <w:tcW w:w="709" w:type="dxa"/>
                    <w:vMerge/>
                    <w:hideMark/>
                  </w:tcPr>
                  <w:p>
                    <w:pPr>
                      <w:rPr>
                        <w:sz w:val="20"/>
                      </w:rPr>
                    </w:pPr>
                  </w:p>
                </w:tc>
                <w:tc>
                  <w:tcPr>
                    <w:tcW w:w="1417" w:type="dxa"/>
                    <w:vMerge/>
                    <w:hideMark/>
                  </w:tcPr>
                  <w:p>
                    <w:pPr>
                      <w:rPr>
                        <w:sz w:val="20"/>
                      </w:rPr>
                    </w:pPr>
                  </w:p>
                </w:tc>
                <w:tc>
                  <w:tcPr>
                    <w:tcW w:w="4111" w:type="dxa"/>
                    <w:vAlign w:val="center"/>
                    <w:hideMark/>
                  </w:tcPr>
                  <w:p>
                    <w:pPr>
                      <w:rPr>
                        <w:sz w:val="20"/>
                      </w:rPr>
                    </w:pPr>
                    <w:r>
                      <w:rPr>
                        <w:sz w:val="20"/>
                      </w:rPr>
                      <w:t>Tikslinė gyventojų, dalyvavusių gimdos kaklelio piktybinių navikų prevencinių priemonių finansavimo programoje, dalis nuo visos tikslinės grupės (proc.)</w:t>
                    </w:r>
                  </w:p>
                </w:tc>
                <w:tc>
                  <w:tcPr>
                    <w:tcW w:w="1134" w:type="dxa"/>
                    <w:vAlign w:val="center"/>
                    <w:hideMark/>
                  </w:tcPr>
                  <w:p>
                    <w:pPr>
                      <w:jc w:val="center"/>
                      <w:rPr>
                        <w:sz w:val="20"/>
                      </w:rPr>
                    </w:pPr>
                    <w:r>
                      <w:rPr>
                        <w:sz w:val="20"/>
                      </w:rPr>
                      <w:t>HI (SvS)</w:t>
                    </w:r>
                  </w:p>
                </w:tc>
                <w:tc>
                  <w:tcPr>
                    <w:tcW w:w="1134" w:type="dxa"/>
                    <w:noWrap/>
                    <w:vAlign w:val="center"/>
                    <w:hideMark/>
                  </w:tcPr>
                  <w:p>
                    <w:pPr>
                      <w:jc w:val="center"/>
                      <w:rPr>
                        <w:sz w:val="20"/>
                      </w:rPr>
                    </w:pPr>
                    <w:r>
                      <w:rPr>
                        <w:sz w:val="20"/>
                      </w:rPr>
                      <w:t>56,3 (2022)</w:t>
                    </w:r>
                  </w:p>
                </w:tc>
                <w:tc>
                  <w:tcPr>
                    <w:tcW w:w="1134" w:type="dxa"/>
                    <w:noWrap/>
                    <w:vAlign w:val="center"/>
                    <w:hideMark/>
                  </w:tcPr>
                  <w:p>
                    <w:pPr>
                      <w:jc w:val="center"/>
                      <w:rPr>
                        <w:sz w:val="20"/>
                      </w:rPr>
                    </w:pPr>
                    <w:r>
                      <w:rPr>
                        <w:sz w:val="20"/>
                      </w:rPr>
                      <w:t>66 (2033)</w:t>
                    </w:r>
                  </w:p>
                </w:tc>
              </w:tr>
              <w:tr>
                <w:trPr>
                  <w:trHeight w:val="358"/>
                  <w:jc w:val="center"/>
                </w:trPr>
                <w:tc>
                  <w:tcPr>
                    <w:tcW w:w="988" w:type="dxa"/>
                    <w:vMerge/>
                    <w:hideMark/>
                  </w:tcPr>
                  <w:p>
                    <w:pPr>
                      <w:rPr>
                        <w:sz w:val="20"/>
                      </w:rPr>
                    </w:pPr>
                  </w:p>
                </w:tc>
                <w:tc>
                  <w:tcPr>
                    <w:tcW w:w="2126" w:type="dxa"/>
                    <w:vMerge/>
                    <w:hideMark/>
                  </w:tcPr>
                  <w:p>
                    <w:pPr>
                      <w:rPr>
                        <w:sz w:val="20"/>
                      </w:rPr>
                    </w:pPr>
                  </w:p>
                </w:tc>
                <w:tc>
                  <w:tcPr>
                    <w:tcW w:w="850" w:type="dxa"/>
                    <w:vMerge/>
                    <w:hideMark/>
                  </w:tcPr>
                  <w:p>
                    <w:pPr>
                      <w:rPr>
                        <w:sz w:val="20"/>
                      </w:rPr>
                    </w:pPr>
                  </w:p>
                </w:tc>
                <w:tc>
                  <w:tcPr>
                    <w:tcW w:w="709" w:type="dxa"/>
                    <w:vMerge/>
                    <w:hideMark/>
                  </w:tcPr>
                  <w:p>
                    <w:pPr>
                      <w:rPr>
                        <w:sz w:val="20"/>
                      </w:rPr>
                    </w:pPr>
                  </w:p>
                </w:tc>
                <w:tc>
                  <w:tcPr>
                    <w:tcW w:w="709" w:type="dxa"/>
                    <w:vMerge/>
                    <w:hideMark/>
                  </w:tcPr>
                  <w:p>
                    <w:pPr>
                      <w:rPr>
                        <w:sz w:val="20"/>
                      </w:rPr>
                    </w:pPr>
                  </w:p>
                </w:tc>
                <w:tc>
                  <w:tcPr>
                    <w:tcW w:w="1417" w:type="dxa"/>
                    <w:vMerge/>
                    <w:hideMark/>
                  </w:tcPr>
                  <w:p>
                    <w:pPr>
                      <w:rPr>
                        <w:sz w:val="20"/>
                      </w:rPr>
                    </w:pPr>
                  </w:p>
                </w:tc>
                <w:tc>
                  <w:tcPr>
                    <w:tcW w:w="4111" w:type="dxa"/>
                    <w:vAlign w:val="center"/>
                    <w:hideMark/>
                  </w:tcPr>
                  <w:p>
                    <w:pPr>
                      <w:rPr>
                        <w:sz w:val="20"/>
                      </w:rPr>
                    </w:pPr>
                    <w:r>
                      <w:rPr>
                        <w:sz w:val="20"/>
                      </w:rPr>
                      <w:t>Tikslinė gyventojų, dalyvavusių storosios žarnos vėžio ankstyvosios diagnostikos finansavimo programoje, dalis nuo visos tikslinės grupės (proc.)</w:t>
                    </w:r>
                  </w:p>
                </w:tc>
                <w:tc>
                  <w:tcPr>
                    <w:tcW w:w="1134" w:type="dxa"/>
                    <w:vAlign w:val="center"/>
                    <w:hideMark/>
                  </w:tcPr>
                  <w:p>
                    <w:pPr>
                      <w:jc w:val="center"/>
                      <w:rPr>
                        <w:sz w:val="20"/>
                      </w:rPr>
                    </w:pPr>
                    <w:r>
                      <w:rPr>
                        <w:sz w:val="20"/>
                      </w:rPr>
                      <w:t>HI (SvS)</w:t>
                    </w:r>
                  </w:p>
                </w:tc>
                <w:tc>
                  <w:tcPr>
                    <w:tcW w:w="1134" w:type="dxa"/>
                    <w:noWrap/>
                    <w:vAlign w:val="center"/>
                    <w:hideMark/>
                  </w:tcPr>
                  <w:p>
                    <w:pPr>
                      <w:jc w:val="center"/>
                      <w:rPr>
                        <w:sz w:val="20"/>
                      </w:rPr>
                    </w:pPr>
                    <w:r>
                      <w:rPr>
                        <w:sz w:val="20"/>
                      </w:rPr>
                      <w:t>64,8 (2022)</w:t>
                    </w:r>
                  </w:p>
                </w:tc>
                <w:tc>
                  <w:tcPr>
                    <w:tcW w:w="1134" w:type="dxa"/>
                    <w:noWrap/>
                    <w:vAlign w:val="center"/>
                    <w:hideMark/>
                  </w:tcPr>
                  <w:p>
                    <w:pPr>
                      <w:jc w:val="center"/>
                      <w:rPr>
                        <w:sz w:val="20"/>
                      </w:rPr>
                    </w:pPr>
                    <w:r>
                      <w:rPr>
                        <w:sz w:val="20"/>
                      </w:rPr>
                      <w:t>75 (2033)</w:t>
                    </w:r>
                  </w:p>
                </w:tc>
              </w:tr>
              <w:tr>
                <w:trPr>
                  <w:trHeight w:val="1040"/>
                  <w:jc w:val="center"/>
                </w:trPr>
                <w:tc>
                  <w:tcPr>
                    <w:tcW w:w="988" w:type="dxa"/>
                    <w:vMerge/>
                    <w:hideMark/>
                  </w:tcPr>
                  <w:p>
                    <w:pPr>
                      <w:rPr>
                        <w:sz w:val="20"/>
                      </w:rPr>
                    </w:pPr>
                  </w:p>
                </w:tc>
                <w:tc>
                  <w:tcPr>
                    <w:tcW w:w="2126" w:type="dxa"/>
                    <w:vMerge/>
                    <w:hideMark/>
                  </w:tcPr>
                  <w:p>
                    <w:pPr>
                      <w:rPr>
                        <w:sz w:val="20"/>
                      </w:rPr>
                    </w:pPr>
                  </w:p>
                </w:tc>
                <w:tc>
                  <w:tcPr>
                    <w:tcW w:w="850" w:type="dxa"/>
                    <w:vMerge/>
                    <w:hideMark/>
                  </w:tcPr>
                  <w:p>
                    <w:pPr>
                      <w:rPr>
                        <w:sz w:val="20"/>
                      </w:rPr>
                    </w:pPr>
                  </w:p>
                </w:tc>
                <w:tc>
                  <w:tcPr>
                    <w:tcW w:w="709" w:type="dxa"/>
                    <w:vMerge/>
                    <w:hideMark/>
                  </w:tcPr>
                  <w:p>
                    <w:pPr>
                      <w:rPr>
                        <w:sz w:val="20"/>
                      </w:rPr>
                    </w:pPr>
                  </w:p>
                </w:tc>
                <w:tc>
                  <w:tcPr>
                    <w:tcW w:w="709" w:type="dxa"/>
                    <w:vMerge/>
                    <w:hideMark/>
                  </w:tcPr>
                  <w:p>
                    <w:pPr>
                      <w:rPr>
                        <w:sz w:val="20"/>
                      </w:rPr>
                    </w:pPr>
                  </w:p>
                </w:tc>
                <w:tc>
                  <w:tcPr>
                    <w:tcW w:w="1417" w:type="dxa"/>
                    <w:vMerge/>
                    <w:hideMark/>
                  </w:tcPr>
                  <w:p>
                    <w:pPr>
                      <w:rPr>
                        <w:sz w:val="20"/>
                      </w:rPr>
                    </w:pPr>
                  </w:p>
                </w:tc>
                <w:tc>
                  <w:tcPr>
                    <w:tcW w:w="4111" w:type="dxa"/>
                    <w:vAlign w:val="center"/>
                    <w:hideMark/>
                  </w:tcPr>
                  <w:p>
                    <w:pPr>
                      <w:rPr>
                        <w:sz w:val="20"/>
                      </w:rPr>
                    </w:pPr>
                    <w:r>
                      <w:rPr>
                        <w:sz w:val="20"/>
                      </w:rPr>
                      <w:t>Tikslinė gyventojų, dalyvavusių asmenų, priskirtinų širdies ir kraujagyslių ligų didelės rizikos grupei, atrankos ir prevencijos priemonių finansavimo programoje, dalis nuo visos tikslinės grupės (proc.)</w:t>
                    </w:r>
                  </w:p>
                </w:tc>
                <w:tc>
                  <w:tcPr>
                    <w:tcW w:w="1134" w:type="dxa"/>
                    <w:vAlign w:val="center"/>
                    <w:hideMark/>
                  </w:tcPr>
                  <w:p>
                    <w:pPr>
                      <w:jc w:val="center"/>
                      <w:rPr>
                        <w:sz w:val="20"/>
                      </w:rPr>
                    </w:pPr>
                    <w:r>
                      <w:rPr>
                        <w:sz w:val="20"/>
                      </w:rPr>
                      <w:t>HI (SvS)</w:t>
                    </w:r>
                  </w:p>
                </w:tc>
                <w:tc>
                  <w:tcPr>
                    <w:tcW w:w="1134" w:type="dxa"/>
                    <w:noWrap/>
                    <w:vAlign w:val="center"/>
                    <w:hideMark/>
                  </w:tcPr>
                  <w:p>
                    <w:pPr>
                      <w:jc w:val="center"/>
                      <w:rPr>
                        <w:sz w:val="20"/>
                      </w:rPr>
                    </w:pPr>
                    <w:r>
                      <w:rPr>
                        <w:sz w:val="20"/>
                      </w:rPr>
                      <w:t>64 (2022)</w:t>
                    </w:r>
                  </w:p>
                </w:tc>
                <w:tc>
                  <w:tcPr>
                    <w:tcW w:w="1134" w:type="dxa"/>
                    <w:noWrap/>
                    <w:vAlign w:val="center"/>
                    <w:hideMark/>
                  </w:tcPr>
                  <w:p>
                    <w:pPr>
                      <w:jc w:val="center"/>
                      <w:rPr>
                        <w:sz w:val="20"/>
                      </w:rPr>
                    </w:pPr>
                    <w:r>
                      <w:rPr>
                        <w:sz w:val="20"/>
                      </w:rPr>
                      <w:t>75 (2033)</w:t>
                    </w:r>
                  </w:p>
                </w:tc>
              </w:tr>
              <w:tr>
                <w:trPr>
                  <w:trHeight w:val="520"/>
                  <w:jc w:val="center"/>
                </w:trPr>
                <w:tc>
                  <w:tcPr>
                    <w:tcW w:w="988" w:type="dxa"/>
                    <w:vMerge/>
                    <w:hideMark/>
                  </w:tcPr>
                  <w:p>
                    <w:pPr>
                      <w:rPr>
                        <w:sz w:val="20"/>
                      </w:rPr>
                    </w:pPr>
                  </w:p>
                </w:tc>
                <w:tc>
                  <w:tcPr>
                    <w:tcW w:w="2126" w:type="dxa"/>
                    <w:vMerge/>
                    <w:hideMark/>
                  </w:tcPr>
                  <w:p>
                    <w:pPr>
                      <w:rPr>
                        <w:sz w:val="20"/>
                      </w:rPr>
                    </w:pPr>
                  </w:p>
                </w:tc>
                <w:tc>
                  <w:tcPr>
                    <w:tcW w:w="850" w:type="dxa"/>
                    <w:vMerge/>
                    <w:hideMark/>
                  </w:tcPr>
                  <w:p>
                    <w:pPr>
                      <w:rPr>
                        <w:sz w:val="20"/>
                      </w:rPr>
                    </w:pPr>
                  </w:p>
                </w:tc>
                <w:tc>
                  <w:tcPr>
                    <w:tcW w:w="709" w:type="dxa"/>
                    <w:vMerge/>
                    <w:hideMark/>
                  </w:tcPr>
                  <w:p>
                    <w:pPr>
                      <w:rPr>
                        <w:sz w:val="20"/>
                      </w:rPr>
                    </w:pPr>
                  </w:p>
                </w:tc>
                <w:tc>
                  <w:tcPr>
                    <w:tcW w:w="709" w:type="dxa"/>
                    <w:vMerge/>
                    <w:hideMark/>
                  </w:tcPr>
                  <w:p>
                    <w:pPr>
                      <w:rPr>
                        <w:sz w:val="20"/>
                      </w:rPr>
                    </w:pPr>
                  </w:p>
                </w:tc>
                <w:tc>
                  <w:tcPr>
                    <w:tcW w:w="1417" w:type="dxa"/>
                    <w:noWrap/>
                    <w:vAlign w:val="center"/>
                    <w:hideMark/>
                  </w:tcPr>
                  <w:p>
                    <w:pPr>
                      <w:rPr>
                        <w:sz w:val="20"/>
                      </w:rPr>
                    </w:pPr>
                    <w:r>
                      <w:rPr>
                        <w:sz w:val="20"/>
                      </w:rPr>
                      <w:t>P-19-01-02-02</w:t>
                    </w:r>
                  </w:p>
                </w:tc>
                <w:tc>
                  <w:tcPr>
                    <w:tcW w:w="4111" w:type="dxa"/>
                    <w:vAlign w:val="center"/>
                    <w:hideMark/>
                  </w:tcPr>
                  <w:p>
                    <w:pPr>
                      <w:rPr>
                        <w:sz w:val="20"/>
                      </w:rPr>
                    </w:pPr>
                    <w:r>
                      <w:rPr>
                        <w:sz w:val="20"/>
                      </w:rPr>
                      <w:t>Sveikatinimo iniciatyvose dalyvavusių asmenų skaičius (asm.)</w:t>
                    </w:r>
                  </w:p>
                </w:tc>
                <w:tc>
                  <w:tcPr>
                    <w:tcW w:w="1134" w:type="dxa"/>
                    <w:vAlign w:val="center"/>
                    <w:hideMark/>
                  </w:tcPr>
                  <w:p>
                    <w:pPr>
                      <w:jc w:val="center"/>
                      <w:rPr>
                        <w:sz w:val="20"/>
                      </w:rPr>
                    </w:pPr>
                    <w:r>
                      <w:rPr>
                        <w:sz w:val="20"/>
                      </w:rPr>
                      <w:t>SvS</w:t>
                    </w:r>
                  </w:p>
                </w:tc>
                <w:tc>
                  <w:tcPr>
                    <w:tcW w:w="1134" w:type="dxa"/>
                    <w:noWrap/>
                    <w:vAlign w:val="center"/>
                    <w:hideMark/>
                  </w:tcPr>
                  <w:p>
                    <w:pPr>
                      <w:jc w:val="center"/>
                      <w:rPr>
                        <w:sz w:val="20"/>
                      </w:rPr>
                    </w:pPr>
                    <w:r>
                      <w:rPr>
                        <w:sz w:val="20"/>
                      </w:rPr>
                      <w:t>13000 (2023)</w:t>
                    </w:r>
                  </w:p>
                </w:tc>
                <w:tc>
                  <w:tcPr>
                    <w:tcW w:w="1134" w:type="dxa"/>
                    <w:noWrap/>
                    <w:vAlign w:val="center"/>
                    <w:hideMark/>
                  </w:tcPr>
                  <w:p>
                    <w:pPr>
                      <w:jc w:val="center"/>
                      <w:rPr>
                        <w:sz w:val="20"/>
                      </w:rPr>
                    </w:pPr>
                    <w:r>
                      <w:rPr>
                        <w:sz w:val="20"/>
                      </w:rPr>
                      <w:t>18000 (2033)</w:t>
                    </w:r>
                  </w:p>
                </w:tc>
              </w:tr>
              <w:tr>
                <w:trPr>
                  <w:trHeight w:val="459"/>
                  <w:jc w:val="center"/>
                </w:trPr>
                <w:tc>
                  <w:tcPr>
                    <w:tcW w:w="988" w:type="dxa"/>
                    <w:vMerge/>
                    <w:hideMark/>
                  </w:tcPr>
                  <w:p>
                    <w:pPr>
                      <w:rPr>
                        <w:sz w:val="20"/>
                      </w:rPr>
                    </w:pPr>
                  </w:p>
                </w:tc>
                <w:tc>
                  <w:tcPr>
                    <w:tcW w:w="2126" w:type="dxa"/>
                    <w:vMerge/>
                    <w:hideMark/>
                  </w:tcPr>
                  <w:p>
                    <w:pPr>
                      <w:rPr>
                        <w:sz w:val="20"/>
                      </w:rPr>
                    </w:pPr>
                  </w:p>
                </w:tc>
                <w:tc>
                  <w:tcPr>
                    <w:tcW w:w="850" w:type="dxa"/>
                    <w:vMerge/>
                    <w:hideMark/>
                  </w:tcPr>
                  <w:p>
                    <w:pPr>
                      <w:rPr>
                        <w:sz w:val="20"/>
                      </w:rPr>
                    </w:pPr>
                  </w:p>
                </w:tc>
                <w:tc>
                  <w:tcPr>
                    <w:tcW w:w="709" w:type="dxa"/>
                    <w:vMerge/>
                    <w:hideMark/>
                  </w:tcPr>
                  <w:p>
                    <w:pPr>
                      <w:rPr>
                        <w:sz w:val="20"/>
                      </w:rPr>
                    </w:pPr>
                  </w:p>
                </w:tc>
                <w:tc>
                  <w:tcPr>
                    <w:tcW w:w="709" w:type="dxa"/>
                    <w:vMerge/>
                    <w:hideMark/>
                  </w:tcPr>
                  <w:p>
                    <w:pPr>
                      <w:rPr>
                        <w:sz w:val="20"/>
                      </w:rPr>
                    </w:pPr>
                  </w:p>
                </w:tc>
                <w:tc>
                  <w:tcPr>
                    <w:tcW w:w="1417" w:type="dxa"/>
                    <w:noWrap/>
                    <w:vAlign w:val="center"/>
                    <w:hideMark/>
                  </w:tcPr>
                  <w:p>
                    <w:pPr>
                      <w:rPr>
                        <w:sz w:val="20"/>
                      </w:rPr>
                    </w:pPr>
                    <w:r>
                      <w:rPr>
                        <w:sz w:val="20"/>
                      </w:rPr>
                      <w:t>P-19-01-02-03</w:t>
                    </w:r>
                  </w:p>
                </w:tc>
                <w:tc>
                  <w:tcPr>
                    <w:tcW w:w="4111" w:type="dxa"/>
                    <w:vAlign w:val="center"/>
                    <w:hideMark/>
                  </w:tcPr>
                  <w:p>
                    <w:pPr>
                      <w:rPr>
                        <w:sz w:val="20"/>
                      </w:rPr>
                    </w:pPr>
                    <w:r>
                      <w:rPr>
                        <w:sz w:val="20"/>
                      </w:rPr>
                      <w:t>Gyventojų, dalyvaujančių ŠVSB veiklose, dalis nuo visų gyventojų (proc.)</w:t>
                    </w:r>
                  </w:p>
                </w:tc>
                <w:tc>
                  <w:tcPr>
                    <w:tcW w:w="1134" w:type="dxa"/>
                    <w:vAlign w:val="center"/>
                    <w:hideMark/>
                  </w:tcPr>
                  <w:p>
                    <w:pPr>
                      <w:jc w:val="center"/>
                      <w:rPr>
                        <w:sz w:val="20"/>
                      </w:rPr>
                    </w:pPr>
                    <w:r>
                      <w:rPr>
                        <w:sz w:val="20"/>
                      </w:rPr>
                      <w:t>ŠVSB</w:t>
                    </w:r>
                  </w:p>
                </w:tc>
                <w:tc>
                  <w:tcPr>
                    <w:tcW w:w="1134" w:type="dxa"/>
                    <w:noWrap/>
                    <w:vAlign w:val="center"/>
                    <w:hideMark/>
                  </w:tcPr>
                  <w:p>
                    <w:pPr>
                      <w:jc w:val="center"/>
                      <w:rPr>
                        <w:sz w:val="20"/>
                      </w:rPr>
                    </w:pPr>
                    <w:r>
                      <w:rPr>
                        <w:sz w:val="20"/>
                      </w:rPr>
                      <w:t>34,2 (2023)</w:t>
                    </w:r>
                  </w:p>
                </w:tc>
                <w:tc>
                  <w:tcPr>
                    <w:tcW w:w="1134" w:type="dxa"/>
                    <w:noWrap/>
                    <w:vAlign w:val="center"/>
                    <w:hideMark/>
                  </w:tcPr>
                  <w:p>
                    <w:pPr>
                      <w:jc w:val="center"/>
                      <w:rPr>
                        <w:sz w:val="20"/>
                      </w:rPr>
                    </w:pPr>
                    <w:r>
                      <w:rPr>
                        <w:sz w:val="20"/>
                      </w:rPr>
                      <w:t>38,4 (2033)</w:t>
                    </w:r>
                  </w:p>
                </w:tc>
              </w:tr>
              <w:tr>
                <w:trPr>
                  <w:trHeight w:val="689"/>
                  <w:jc w:val="center"/>
                </w:trPr>
                <w:tc>
                  <w:tcPr>
                    <w:tcW w:w="988" w:type="dxa"/>
                    <w:vMerge w:val="restart"/>
                    <w:noWrap/>
                    <w:vAlign w:val="center"/>
                    <w:hideMark/>
                  </w:tcPr>
                  <w:p>
                    <w:pPr>
                      <w:rPr>
                        <w:sz w:val="20"/>
                      </w:rPr>
                    </w:pPr>
                    <w:r>
                      <w:rPr>
                        <w:sz w:val="20"/>
                      </w:rPr>
                      <w:t>19-01-03</w:t>
                    </w:r>
                  </w:p>
                </w:tc>
                <w:tc>
                  <w:tcPr>
                    <w:tcW w:w="2126" w:type="dxa"/>
                    <w:vMerge w:val="restart"/>
                    <w:vAlign w:val="center"/>
                    <w:hideMark/>
                  </w:tcPr>
                  <w:p>
                    <w:pPr>
                      <w:rPr>
                        <w:sz w:val="20"/>
                      </w:rPr>
                    </w:pPr>
                    <w:r>
                      <w:rPr>
                        <w:sz w:val="20"/>
                      </w:rPr>
                      <w:t>Užtikrinti platesnį psichoemocinės pagalbos prieinamumą</w:t>
                    </w:r>
                  </w:p>
                </w:tc>
                <w:tc>
                  <w:tcPr>
                    <w:tcW w:w="850" w:type="dxa"/>
                    <w:vMerge w:val="restart"/>
                    <w:noWrap/>
                    <w:vAlign w:val="center"/>
                    <w:hideMark/>
                  </w:tcPr>
                  <w:p>
                    <w:pPr>
                      <w:jc w:val="center"/>
                      <w:rPr>
                        <w:sz w:val="20"/>
                      </w:rPr>
                    </w:pPr>
                    <w:r>
                      <w:rPr>
                        <w:sz w:val="20"/>
                      </w:rPr>
                      <w:t>SvS</w:t>
                    </w:r>
                  </w:p>
                </w:tc>
                <w:tc>
                  <w:tcPr>
                    <w:tcW w:w="709" w:type="dxa"/>
                    <w:vMerge w:val="restart"/>
                    <w:noWrap/>
                    <w:vAlign w:val="center"/>
                    <w:hideMark/>
                  </w:tcPr>
                  <w:p>
                    <w:pPr>
                      <w:jc w:val="center"/>
                      <w:rPr>
                        <w:sz w:val="20"/>
                      </w:rPr>
                    </w:pPr>
                    <w:r>
                      <w:rPr>
                        <w:sz w:val="20"/>
                      </w:rPr>
                      <w:t>2025</w:t>
                    </w:r>
                  </w:p>
                </w:tc>
                <w:tc>
                  <w:tcPr>
                    <w:tcW w:w="709" w:type="dxa"/>
                    <w:vMerge w:val="restart"/>
                    <w:noWrap/>
                    <w:vAlign w:val="center"/>
                    <w:hideMark/>
                  </w:tcPr>
                  <w:p>
                    <w:pPr>
                      <w:jc w:val="center"/>
                      <w:rPr>
                        <w:sz w:val="20"/>
                      </w:rPr>
                    </w:pPr>
                    <w:r>
                      <w:rPr>
                        <w:sz w:val="20"/>
                      </w:rPr>
                      <w:t>2033</w:t>
                    </w:r>
                  </w:p>
                </w:tc>
                <w:tc>
                  <w:tcPr>
                    <w:tcW w:w="1417" w:type="dxa"/>
                    <w:vMerge w:val="restart"/>
                    <w:noWrap/>
                    <w:vAlign w:val="center"/>
                    <w:hideMark/>
                  </w:tcPr>
                  <w:p>
                    <w:pPr>
                      <w:rPr>
                        <w:sz w:val="20"/>
                      </w:rPr>
                    </w:pPr>
                    <w:r>
                      <w:rPr>
                        <w:sz w:val="20"/>
                      </w:rPr>
                      <w:t>P-19-01-03-01</w:t>
                    </w:r>
                  </w:p>
                </w:tc>
                <w:tc>
                  <w:tcPr>
                    <w:tcW w:w="4111" w:type="dxa"/>
                    <w:vAlign w:val="center"/>
                    <w:hideMark/>
                  </w:tcPr>
                  <w:p>
                    <w:pPr>
                      <w:rPr>
                        <w:sz w:val="20"/>
                      </w:rPr>
                    </w:pPr>
                    <w:r>
                      <w:rPr>
                        <w:sz w:val="20"/>
                      </w:rPr>
                      <w:t>Asmenų, gavusių psichologinės gerovės ir psichikos sveikatos stiprinimo paslaugas, skaičius (asm. per metus):</w:t>
                    </w:r>
                  </w:p>
                </w:tc>
                <w:tc>
                  <w:tcPr>
                    <w:tcW w:w="1134" w:type="dxa"/>
                    <w:vAlign w:val="center"/>
                    <w:hideMark/>
                  </w:tcPr>
                  <w:p>
                    <w:pPr>
                      <w:jc w:val="center"/>
                      <w:rPr>
                        <w:sz w:val="20"/>
                      </w:rPr>
                    </w:pPr>
                    <w:r>
                      <w:rPr>
                        <w:sz w:val="20"/>
                      </w:rPr>
                      <w:t>SvS</w:t>
                    </w:r>
                  </w:p>
                </w:tc>
                <w:tc>
                  <w:tcPr>
                    <w:tcW w:w="1134" w:type="dxa"/>
                    <w:noWrap/>
                    <w:vAlign w:val="center"/>
                    <w:hideMark/>
                  </w:tcPr>
                  <w:p>
                    <w:pPr>
                      <w:jc w:val="center"/>
                      <w:rPr>
                        <w:sz w:val="20"/>
                      </w:rPr>
                    </w:pPr>
                    <w:r>
                      <w:rPr>
                        <w:sz w:val="20"/>
                      </w:rPr>
                      <w:t>35008 (2023)</w:t>
                    </w:r>
                  </w:p>
                </w:tc>
                <w:tc>
                  <w:tcPr>
                    <w:tcW w:w="1134" w:type="dxa"/>
                    <w:noWrap/>
                    <w:vAlign w:val="center"/>
                    <w:hideMark/>
                  </w:tcPr>
                  <w:p>
                    <w:pPr>
                      <w:jc w:val="center"/>
                      <w:rPr>
                        <w:sz w:val="20"/>
                      </w:rPr>
                    </w:pPr>
                    <w:r>
                      <w:rPr>
                        <w:sz w:val="20"/>
                      </w:rPr>
                      <w:t>39909 (2033)</w:t>
                    </w:r>
                  </w:p>
                </w:tc>
              </w:tr>
              <w:tr>
                <w:trPr>
                  <w:trHeight w:val="520"/>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jc w:val="center"/>
                      <w:rPr>
                        <w:sz w:val="20"/>
                      </w:rPr>
                    </w:pPr>
                  </w:p>
                </w:tc>
                <w:tc>
                  <w:tcPr>
                    <w:tcW w:w="709" w:type="dxa"/>
                    <w:vMerge/>
                    <w:vAlign w:val="center"/>
                    <w:hideMark/>
                  </w:tcPr>
                  <w:p>
                    <w:pPr>
                      <w:jc w:val="center"/>
                      <w:rPr>
                        <w:sz w:val="20"/>
                      </w:rPr>
                    </w:pPr>
                  </w:p>
                </w:tc>
                <w:tc>
                  <w:tcPr>
                    <w:tcW w:w="709" w:type="dxa"/>
                    <w:vMerge/>
                    <w:vAlign w:val="center"/>
                    <w:hideMark/>
                  </w:tcPr>
                  <w:p>
                    <w:pPr>
                      <w:jc w:val="center"/>
                      <w:rPr>
                        <w:sz w:val="20"/>
                      </w:rPr>
                    </w:pPr>
                  </w:p>
                </w:tc>
                <w:tc>
                  <w:tcPr>
                    <w:tcW w:w="1417" w:type="dxa"/>
                    <w:vMerge/>
                    <w:vAlign w:val="center"/>
                    <w:hideMark/>
                  </w:tcPr>
                  <w:p>
                    <w:pPr>
                      <w:rPr>
                        <w:sz w:val="20"/>
                      </w:rPr>
                    </w:pPr>
                  </w:p>
                </w:tc>
                <w:tc>
                  <w:tcPr>
                    <w:tcW w:w="4111" w:type="dxa"/>
                    <w:vAlign w:val="center"/>
                    <w:hideMark/>
                  </w:tcPr>
                  <w:p>
                    <w:pPr>
                      <w:rPr>
                        <w:sz w:val="20"/>
                      </w:rPr>
                    </w:pPr>
                    <w:r>
                      <w:rPr>
                        <w:sz w:val="20"/>
                      </w:rPr>
                      <w:t>Šiaulių miesto savivaldybės visuomenės sveikatos biuras</w:t>
                    </w:r>
                  </w:p>
                </w:tc>
                <w:tc>
                  <w:tcPr>
                    <w:tcW w:w="1134" w:type="dxa"/>
                    <w:vAlign w:val="center"/>
                    <w:hideMark/>
                  </w:tcPr>
                  <w:p>
                    <w:pPr>
                      <w:jc w:val="center"/>
                      <w:rPr>
                        <w:sz w:val="20"/>
                      </w:rPr>
                    </w:pPr>
                    <w:r>
                      <w:rPr>
                        <w:sz w:val="20"/>
                      </w:rPr>
                      <w:t>ŠVSB</w:t>
                    </w:r>
                  </w:p>
                </w:tc>
                <w:tc>
                  <w:tcPr>
                    <w:tcW w:w="1134" w:type="dxa"/>
                    <w:noWrap/>
                    <w:vAlign w:val="center"/>
                    <w:hideMark/>
                  </w:tcPr>
                  <w:p>
                    <w:pPr>
                      <w:jc w:val="center"/>
                      <w:rPr>
                        <w:sz w:val="20"/>
                      </w:rPr>
                    </w:pPr>
                    <w:r>
                      <w:rPr>
                        <w:sz w:val="20"/>
                      </w:rPr>
                      <w:t>1077 (2023)</w:t>
                    </w:r>
                  </w:p>
                </w:tc>
                <w:tc>
                  <w:tcPr>
                    <w:tcW w:w="1134" w:type="dxa"/>
                    <w:noWrap/>
                    <w:vAlign w:val="center"/>
                    <w:hideMark/>
                  </w:tcPr>
                  <w:p>
                    <w:pPr>
                      <w:jc w:val="center"/>
                      <w:rPr>
                        <w:sz w:val="20"/>
                      </w:rPr>
                    </w:pPr>
                    <w:r>
                      <w:rPr>
                        <w:sz w:val="20"/>
                      </w:rPr>
                      <w:t>2800 (2033)</w:t>
                    </w:r>
                  </w:p>
                </w:tc>
              </w:tr>
              <w:tr>
                <w:trPr>
                  <w:trHeight w:val="520"/>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jc w:val="center"/>
                      <w:rPr>
                        <w:sz w:val="20"/>
                      </w:rPr>
                    </w:pPr>
                  </w:p>
                </w:tc>
                <w:tc>
                  <w:tcPr>
                    <w:tcW w:w="709" w:type="dxa"/>
                    <w:vMerge/>
                    <w:vAlign w:val="center"/>
                    <w:hideMark/>
                  </w:tcPr>
                  <w:p>
                    <w:pPr>
                      <w:jc w:val="center"/>
                      <w:rPr>
                        <w:sz w:val="20"/>
                      </w:rPr>
                    </w:pPr>
                  </w:p>
                </w:tc>
                <w:tc>
                  <w:tcPr>
                    <w:tcW w:w="709" w:type="dxa"/>
                    <w:vMerge/>
                    <w:vAlign w:val="center"/>
                    <w:hideMark/>
                  </w:tcPr>
                  <w:p>
                    <w:pPr>
                      <w:jc w:val="center"/>
                      <w:rPr>
                        <w:sz w:val="20"/>
                      </w:rPr>
                    </w:pPr>
                  </w:p>
                </w:tc>
                <w:tc>
                  <w:tcPr>
                    <w:tcW w:w="1417" w:type="dxa"/>
                    <w:vMerge/>
                    <w:vAlign w:val="center"/>
                    <w:hideMark/>
                  </w:tcPr>
                  <w:p>
                    <w:pPr>
                      <w:rPr>
                        <w:sz w:val="20"/>
                      </w:rPr>
                    </w:pPr>
                  </w:p>
                </w:tc>
                <w:tc>
                  <w:tcPr>
                    <w:tcW w:w="4111" w:type="dxa"/>
                    <w:vAlign w:val="center"/>
                    <w:hideMark/>
                  </w:tcPr>
                  <w:p>
                    <w:pPr>
                      <w:rPr>
                        <w:sz w:val="20"/>
                      </w:rPr>
                    </w:pPr>
                    <w:r>
                      <w:rPr>
                        <w:sz w:val="20"/>
                      </w:rPr>
                      <w:t>VšĮ Šiaulių centro poliklinikos Psichikos sveikatos centras</w:t>
                    </w:r>
                  </w:p>
                </w:tc>
                <w:tc>
                  <w:tcPr>
                    <w:tcW w:w="1134" w:type="dxa"/>
                    <w:vAlign w:val="center"/>
                    <w:hideMark/>
                  </w:tcPr>
                  <w:p>
                    <w:pPr>
                      <w:jc w:val="center"/>
                      <w:rPr>
                        <w:sz w:val="20"/>
                      </w:rPr>
                    </w:pPr>
                    <w:r>
                      <w:rPr>
                        <w:sz w:val="20"/>
                      </w:rPr>
                      <w:t>SPĮ</w:t>
                    </w:r>
                  </w:p>
                </w:tc>
                <w:tc>
                  <w:tcPr>
                    <w:tcW w:w="1134" w:type="dxa"/>
                    <w:noWrap/>
                    <w:vAlign w:val="center"/>
                    <w:hideMark/>
                  </w:tcPr>
                  <w:p>
                    <w:pPr>
                      <w:jc w:val="center"/>
                      <w:rPr>
                        <w:sz w:val="20"/>
                      </w:rPr>
                    </w:pPr>
                    <w:r>
                      <w:rPr>
                        <w:sz w:val="20"/>
                      </w:rPr>
                      <w:t>8446 (2023)</w:t>
                    </w:r>
                  </w:p>
                </w:tc>
                <w:tc>
                  <w:tcPr>
                    <w:tcW w:w="1134" w:type="dxa"/>
                    <w:noWrap/>
                    <w:vAlign w:val="center"/>
                    <w:hideMark/>
                  </w:tcPr>
                  <w:p>
                    <w:pPr>
                      <w:jc w:val="center"/>
                      <w:rPr>
                        <w:sz w:val="20"/>
                      </w:rPr>
                    </w:pPr>
                    <w:r>
                      <w:rPr>
                        <w:sz w:val="20"/>
                      </w:rPr>
                      <w:t>9237 (2033)</w:t>
                    </w:r>
                  </w:p>
                </w:tc>
              </w:tr>
              <w:tr>
                <w:trPr>
                  <w:trHeight w:val="260"/>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jc w:val="center"/>
                      <w:rPr>
                        <w:sz w:val="20"/>
                      </w:rPr>
                    </w:pPr>
                  </w:p>
                </w:tc>
                <w:tc>
                  <w:tcPr>
                    <w:tcW w:w="709" w:type="dxa"/>
                    <w:vMerge/>
                    <w:vAlign w:val="center"/>
                    <w:hideMark/>
                  </w:tcPr>
                  <w:p>
                    <w:pPr>
                      <w:jc w:val="center"/>
                      <w:rPr>
                        <w:sz w:val="20"/>
                      </w:rPr>
                    </w:pPr>
                  </w:p>
                </w:tc>
                <w:tc>
                  <w:tcPr>
                    <w:tcW w:w="709" w:type="dxa"/>
                    <w:vMerge/>
                    <w:vAlign w:val="center"/>
                    <w:hideMark/>
                  </w:tcPr>
                  <w:p>
                    <w:pPr>
                      <w:jc w:val="center"/>
                      <w:rPr>
                        <w:sz w:val="20"/>
                      </w:rPr>
                    </w:pPr>
                  </w:p>
                </w:tc>
                <w:tc>
                  <w:tcPr>
                    <w:tcW w:w="1417" w:type="dxa"/>
                    <w:vMerge/>
                    <w:vAlign w:val="center"/>
                    <w:hideMark/>
                  </w:tcPr>
                  <w:p>
                    <w:pPr>
                      <w:rPr>
                        <w:sz w:val="20"/>
                      </w:rPr>
                    </w:pPr>
                  </w:p>
                </w:tc>
                <w:tc>
                  <w:tcPr>
                    <w:tcW w:w="4111" w:type="dxa"/>
                    <w:vAlign w:val="center"/>
                    <w:hideMark/>
                  </w:tcPr>
                  <w:p>
                    <w:pPr>
                      <w:rPr>
                        <w:sz w:val="20"/>
                      </w:rPr>
                    </w:pPr>
                    <w:r>
                      <w:rPr>
                        <w:sz w:val="20"/>
                      </w:rPr>
                      <w:t>VšĮ Dainų pirminės sveikatos priežiūros centras</w:t>
                    </w:r>
                  </w:p>
                </w:tc>
                <w:tc>
                  <w:tcPr>
                    <w:tcW w:w="1134" w:type="dxa"/>
                    <w:vAlign w:val="center"/>
                    <w:hideMark/>
                  </w:tcPr>
                  <w:p>
                    <w:pPr>
                      <w:jc w:val="center"/>
                      <w:rPr>
                        <w:sz w:val="20"/>
                      </w:rPr>
                    </w:pPr>
                    <w:r>
                      <w:rPr>
                        <w:sz w:val="20"/>
                      </w:rPr>
                      <w:t>SPĮ</w:t>
                    </w:r>
                  </w:p>
                </w:tc>
                <w:tc>
                  <w:tcPr>
                    <w:tcW w:w="1134" w:type="dxa"/>
                    <w:noWrap/>
                    <w:vAlign w:val="center"/>
                    <w:hideMark/>
                  </w:tcPr>
                  <w:p>
                    <w:pPr>
                      <w:jc w:val="center"/>
                      <w:rPr>
                        <w:sz w:val="20"/>
                      </w:rPr>
                    </w:pPr>
                    <w:r>
                      <w:rPr>
                        <w:sz w:val="20"/>
                      </w:rPr>
                      <w:t>25485 (2023)</w:t>
                    </w:r>
                  </w:p>
                </w:tc>
                <w:tc>
                  <w:tcPr>
                    <w:tcW w:w="1134" w:type="dxa"/>
                    <w:noWrap/>
                    <w:vAlign w:val="center"/>
                    <w:hideMark/>
                  </w:tcPr>
                  <w:p>
                    <w:pPr>
                      <w:jc w:val="center"/>
                      <w:rPr>
                        <w:sz w:val="20"/>
                      </w:rPr>
                    </w:pPr>
                    <w:r>
                      <w:rPr>
                        <w:sz w:val="20"/>
                      </w:rPr>
                      <w:t>27872 (2033)</w:t>
                    </w:r>
                  </w:p>
                </w:tc>
              </w:tr>
              <w:tr>
                <w:trPr>
                  <w:trHeight w:val="530"/>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jc w:val="center"/>
                      <w:rPr>
                        <w:sz w:val="20"/>
                      </w:rPr>
                    </w:pPr>
                  </w:p>
                </w:tc>
                <w:tc>
                  <w:tcPr>
                    <w:tcW w:w="709" w:type="dxa"/>
                    <w:vMerge/>
                    <w:vAlign w:val="center"/>
                    <w:hideMark/>
                  </w:tcPr>
                  <w:p>
                    <w:pPr>
                      <w:jc w:val="center"/>
                      <w:rPr>
                        <w:sz w:val="20"/>
                      </w:rPr>
                    </w:pPr>
                  </w:p>
                </w:tc>
                <w:tc>
                  <w:tcPr>
                    <w:tcW w:w="709" w:type="dxa"/>
                    <w:vMerge/>
                    <w:vAlign w:val="center"/>
                    <w:hideMark/>
                  </w:tcPr>
                  <w:p>
                    <w:pPr>
                      <w:jc w:val="center"/>
                      <w:rPr>
                        <w:sz w:val="20"/>
                      </w:rPr>
                    </w:pPr>
                  </w:p>
                </w:tc>
                <w:tc>
                  <w:tcPr>
                    <w:tcW w:w="1417" w:type="dxa"/>
                    <w:noWrap/>
                    <w:vAlign w:val="center"/>
                    <w:hideMark/>
                  </w:tcPr>
                  <w:p>
                    <w:pPr>
                      <w:rPr>
                        <w:sz w:val="20"/>
                      </w:rPr>
                    </w:pPr>
                    <w:r>
                      <w:rPr>
                        <w:sz w:val="20"/>
                      </w:rPr>
                      <w:t>P-19-01-03-02</w:t>
                    </w:r>
                  </w:p>
                </w:tc>
                <w:tc>
                  <w:tcPr>
                    <w:tcW w:w="4111" w:type="dxa"/>
                    <w:vAlign w:val="center"/>
                    <w:hideMark/>
                  </w:tcPr>
                  <w:p>
                    <w:pPr>
                      <w:rPr>
                        <w:sz w:val="20"/>
                      </w:rPr>
                    </w:pPr>
                    <w:r>
                      <w:rPr>
                        <w:sz w:val="20"/>
                      </w:rPr>
                      <w:t>Asmenų, dalyvavusių Socialinio recepto iniciatyvoje (asm.)</w:t>
                    </w:r>
                  </w:p>
                </w:tc>
                <w:tc>
                  <w:tcPr>
                    <w:tcW w:w="1134" w:type="dxa"/>
                    <w:vAlign w:val="center"/>
                    <w:hideMark/>
                  </w:tcPr>
                  <w:p>
                    <w:pPr>
                      <w:jc w:val="center"/>
                      <w:rPr>
                        <w:sz w:val="20"/>
                      </w:rPr>
                    </w:pPr>
                    <w:r>
                      <w:rPr>
                        <w:sz w:val="20"/>
                      </w:rPr>
                      <w:t>ŠVSB</w:t>
                    </w:r>
                  </w:p>
                </w:tc>
                <w:tc>
                  <w:tcPr>
                    <w:tcW w:w="1134" w:type="dxa"/>
                    <w:noWrap/>
                    <w:vAlign w:val="center"/>
                    <w:hideMark/>
                  </w:tcPr>
                  <w:p>
                    <w:pPr>
                      <w:jc w:val="center"/>
                      <w:rPr>
                        <w:sz w:val="20"/>
                      </w:rPr>
                    </w:pPr>
                    <w:r>
                      <w:rPr>
                        <w:sz w:val="20"/>
                      </w:rPr>
                      <w:t>117 (2023)</w:t>
                    </w:r>
                  </w:p>
                </w:tc>
                <w:tc>
                  <w:tcPr>
                    <w:tcW w:w="1134" w:type="dxa"/>
                    <w:noWrap/>
                    <w:vAlign w:val="center"/>
                    <w:hideMark/>
                  </w:tcPr>
                  <w:p>
                    <w:pPr>
                      <w:jc w:val="center"/>
                      <w:rPr>
                        <w:sz w:val="20"/>
                      </w:rPr>
                    </w:pPr>
                    <w:r>
                      <w:rPr>
                        <w:sz w:val="20"/>
                      </w:rPr>
                      <w:t>1440 (2033)</w:t>
                    </w:r>
                  </w:p>
                </w:tc>
              </w:tr>
              <w:tr>
                <w:trPr>
                  <w:trHeight w:val="520"/>
                  <w:jc w:val="center"/>
                </w:trPr>
                <w:tc>
                  <w:tcPr>
                    <w:tcW w:w="988" w:type="dxa"/>
                    <w:vMerge w:val="restart"/>
                    <w:noWrap/>
                    <w:vAlign w:val="center"/>
                    <w:hideMark/>
                  </w:tcPr>
                  <w:p>
                    <w:pPr>
                      <w:rPr>
                        <w:sz w:val="20"/>
                      </w:rPr>
                    </w:pPr>
                    <w:r>
                      <w:rPr>
                        <w:sz w:val="20"/>
                      </w:rPr>
                      <w:t>19-01-04</w:t>
                    </w:r>
                  </w:p>
                </w:tc>
                <w:tc>
                  <w:tcPr>
                    <w:tcW w:w="2126" w:type="dxa"/>
                    <w:vMerge w:val="restart"/>
                    <w:vAlign w:val="center"/>
                    <w:hideMark/>
                  </w:tcPr>
                  <w:p>
                    <w:pPr>
                      <w:rPr>
                        <w:sz w:val="20"/>
                      </w:rPr>
                    </w:pPr>
                    <w:r>
                      <w:rPr>
                        <w:sz w:val="20"/>
                      </w:rPr>
                      <w:t>Medicinos srities įvaizdžio gerinimas visuomenėje</w:t>
                    </w:r>
                  </w:p>
                </w:tc>
                <w:tc>
                  <w:tcPr>
                    <w:tcW w:w="850" w:type="dxa"/>
                    <w:vMerge w:val="restart"/>
                    <w:vAlign w:val="center"/>
                    <w:hideMark/>
                  </w:tcPr>
                  <w:p>
                    <w:pPr>
                      <w:jc w:val="center"/>
                      <w:rPr>
                        <w:sz w:val="20"/>
                      </w:rPr>
                    </w:pPr>
                    <w:r>
                      <w:rPr>
                        <w:sz w:val="20"/>
                      </w:rPr>
                      <w:t>SvS</w:t>
                    </w:r>
                  </w:p>
                </w:tc>
                <w:tc>
                  <w:tcPr>
                    <w:tcW w:w="709" w:type="dxa"/>
                    <w:vMerge w:val="restart"/>
                    <w:noWrap/>
                    <w:vAlign w:val="center"/>
                    <w:hideMark/>
                  </w:tcPr>
                  <w:p>
                    <w:pPr>
                      <w:jc w:val="center"/>
                      <w:rPr>
                        <w:sz w:val="20"/>
                      </w:rPr>
                    </w:pPr>
                    <w:r>
                      <w:rPr>
                        <w:sz w:val="20"/>
                      </w:rPr>
                      <w:t>2025</w:t>
                    </w:r>
                  </w:p>
                </w:tc>
                <w:tc>
                  <w:tcPr>
                    <w:tcW w:w="709" w:type="dxa"/>
                    <w:vMerge w:val="restart"/>
                    <w:noWrap/>
                    <w:vAlign w:val="center"/>
                    <w:hideMark/>
                  </w:tcPr>
                  <w:p>
                    <w:pPr>
                      <w:jc w:val="center"/>
                      <w:rPr>
                        <w:sz w:val="20"/>
                      </w:rPr>
                    </w:pPr>
                    <w:r>
                      <w:rPr>
                        <w:sz w:val="20"/>
                      </w:rPr>
                      <w:t>2033</w:t>
                    </w:r>
                  </w:p>
                </w:tc>
                <w:tc>
                  <w:tcPr>
                    <w:tcW w:w="1417" w:type="dxa"/>
                    <w:noWrap/>
                    <w:vAlign w:val="center"/>
                    <w:hideMark/>
                  </w:tcPr>
                  <w:p>
                    <w:pPr>
                      <w:rPr>
                        <w:sz w:val="20"/>
                      </w:rPr>
                    </w:pPr>
                    <w:r>
                      <w:rPr>
                        <w:sz w:val="20"/>
                      </w:rPr>
                      <w:t>P-19-01-04-01</w:t>
                    </w:r>
                  </w:p>
                </w:tc>
                <w:tc>
                  <w:tcPr>
                    <w:tcW w:w="4111" w:type="dxa"/>
                    <w:vAlign w:val="center"/>
                    <w:hideMark/>
                  </w:tcPr>
                  <w:p>
                    <w:pPr>
                      <w:rPr>
                        <w:sz w:val="20"/>
                      </w:rPr>
                    </w:pPr>
                    <w:r>
                      <w:rPr>
                        <w:sz w:val="20"/>
                      </w:rPr>
                      <w:t>Švietimo įstaigų, dalyvavusių sveikatos srities patrauklumo didinimo projektuose, skaičius (vnt.)</w:t>
                    </w:r>
                  </w:p>
                </w:tc>
                <w:tc>
                  <w:tcPr>
                    <w:tcW w:w="1134" w:type="dxa"/>
                    <w:vAlign w:val="center"/>
                    <w:hideMark/>
                  </w:tcPr>
                  <w:p>
                    <w:pPr>
                      <w:jc w:val="center"/>
                      <w:rPr>
                        <w:sz w:val="20"/>
                      </w:rPr>
                    </w:pPr>
                    <w:r>
                      <w:rPr>
                        <w:sz w:val="20"/>
                      </w:rPr>
                      <w:t>SPĮ / SvS, NVO ir kt.</w:t>
                    </w:r>
                  </w:p>
                </w:tc>
                <w:tc>
                  <w:tcPr>
                    <w:tcW w:w="1134" w:type="dxa"/>
                    <w:noWrap/>
                    <w:vAlign w:val="center"/>
                    <w:hideMark/>
                  </w:tcPr>
                  <w:p>
                    <w:pPr>
                      <w:jc w:val="center"/>
                      <w:rPr>
                        <w:sz w:val="20"/>
                      </w:rPr>
                    </w:pPr>
                    <w:r>
                      <w:rPr>
                        <w:sz w:val="20"/>
                      </w:rPr>
                      <w:t>0 (2023)</w:t>
                    </w:r>
                  </w:p>
                </w:tc>
                <w:tc>
                  <w:tcPr>
                    <w:tcW w:w="1134" w:type="dxa"/>
                    <w:noWrap/>
                    <w:vAlign w:val="center"/>
                    <w:hideMark/>
                  </w:tcPr>
                  <w:p>
                    <w:pPr>
                      <w:jc w:val="center"/>
                      <w:rPr>
                        <w:sz w:val="20"/>
                      </w:rPr>
                    </w:pPr>
                    <w:r>
                      <w:rPr>
                        <w:sz w:val="20"/>
                      </w:rPr>
                      <w:t>56 (2033)</w:t>
                    </w:r>
                  </w:p>
                </w:tc>
              </w:tr>
              <w:tr>
                <w:trPr>
                  <w:trHeight w:val="800"/>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rPr>
                        <w:sz w:val="20"/>
                      </w:rPr>
                    </w:pPr>
                  </w:p>
                </w:tc>
                <w:tc>
                  <w:tcPr>
                    <w:tcW w:w="709" w:type="dxa"/>
                    <w:vMerge/>
                    <w:vAlign w:val="center"/>
                    <w:hideMark/>
                  </w:tcPr>
                  <w:p>
                    <w:pPr>
                      <w:rPr>
                        <w:sz w:val="20"/>
                      </w:rPr>
                    </w:pPr>
                  </w:p>
                </w:tc>
                <w:tc>
                  <w:tcPr>
                    <w:tcW w:w="709" w:type="dxa"/>
                    <w:vMerge/>
                    <w:vAlign w:val="center"/>
                    <w:hideMark/>
                  </w:tcPr>
                  <w:p>
                    <w:pPr>
                      <w:rPr>
                        <w:sz w:val="20"/>
                      </w:rPr>
                    </w:pPr>
                  </w:p>
                </w:tc>
                <w:tc>
                  <w:tcPr>
                    <w:tcW w:w="1417" w:type="dxa"/>
                    <w:noWrap/>
                    <w:vAlign w:val="center"/>
                    <w:hideMark/>
                  </w:tcPr>
                  <w:p>
                    <w:pPr>
                      <w:rPr>
                        <w:sz w:val="20"/>
                      </w:rPr>
                    </w:pPr>
                    <w:r>
                      <w:rPr>
                        <w:sz w:val="20"/>
                      </w:rPr>
                      <w:t>P-19-01-04-02</w:t>
                    </w:r>
                  </w:p>
                </w:tc>
                <w:tc>
                  <w:tcPr>
                    <w:tcW w:w="4111" w:type="dxa"/>
                    <w:vAlign w:val="center"/>
                    <w:hideMark/>
                  </w:tcPr>
                  <w:p>
                    <w:pPr>
                      <w:rPr>
                        <w:sz w:val="20"/>
                      </w:rPr>
                    </w:pPr>
                    <w:r>
                      <w:rPr>
                        <w:sz w:val="20"/>
                      </w:rPr>
                      <w:t>Sveikatos priežiūros įstaigų darbuotojų, dalyvavusių „Klientų aptarnavimo kokybės gerinimo“ ir pan. mokymuose, dalis nuo visų darbuotojų (proc.)</w:t>
                    </w:r>
                  </w:p>
                </w:tc>
                <w:tc>
                  <w:tcPr>
                    <w:tcW w:w="1134" w:type="dxa"/>
                    <w:vAlign w:val="center"/>
                    <w:hideMark/>
                  </w:tcPr>
                  <w:p>
                    <w:pPr>
                      <w:jc w:val="center"/>
                      <w:rPr>
                        <w:sz w:val="20"/>
                      </w:rPr>
                    </w:pPr>
                    <w:r>
                      <w:rPr>
                        <w:sz w:val="20"/>
                      </w:rPr>
                      <w:t>SPĮ / SvS</w:t>
                    </w:r>
                  </w:p>
                </w:tc>
                <w:tc>
                  <w:tcPr>
                    <w:tcW w:w="1134" w:type="dxa"/>
                    <w:noWrap/>
                    <w:vAlign w:val="center"/>
                    <w:hideMark/>
                  </w:tcPr>
                  <w:p>
                    <w:pPr>
                      <w:jc w:val="center"/>
                      <w:rPr>
                        <w:sz w:val="20"/>
                      </w:rPr>
                    </w:pPr>
                    <w:r>
                      <w:rPr>
                        <w:sz w:val="20"/>
                      </w:rPr>
                      <w:t>n.d. (2023)</w:t>
                    </w:r>
                  </w:p>
                </w:tc>
                <w:tc>
                  <w:tcPr>
                    <w:tcW w:w="1134" w:type="dxa"/>
                    <w:noWrap/>
                    <w:vAlign w:val="center"/>
                    <w:hideMark/>
                  </w:tcPr>
                  <w:p>
                    <w:pPr>
                      <w:jc w:val="center"/>
                      <w:rPr>
                        <w:sz w:val="20"/>
                      </w:rPr>
                    </w:pPr>
                    <w:r>
                      <w:rPr>
                        <w:sz w:val="20"/>
                      </w:rPr>
                      <w:t>15 (2033)</w:t>
                    </w:r>
                  </w:p>
                </w:tc>
              </w:tr>
              <w:tr>
                <w:trPr>
                  <w:trHeight w:val="530"/>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rPr>
                        <w:sz w:val="20"/>
                      </w:rPr>
                    </w:pPr>
                  </w:p>
                </w:tc>
                <w:tc>
                  <w:tcPr>
                    <w:tcW w:w="709" w:type="dxa"/>
                    <w:vMerge/>
                    <w:vAlign w:val="center"/>
                    <w:hideMark/>
                  </w:tcPr>
                  <w:p>
                    <w:pPr>
                      <w:rPr>
                        <w:sz w:val="20"/>
                      </w:rPr>
                    </w:pPr>
                  </w:p>
                </w:tc>
                <w:tc>
                  <w:tcPr>
                    <w:tcW w:w="709" w:type="dxa"/>
                    <w:vMerge/>
                    <w:vAlign w:val="center"/>
                    <w:hideMark/>
                  </w:tcPr>
                  <w:p>
                    <w:pPr>
                      <w:rPr>
                        <w:sz w:val="20"/>
                      </w:rPr>
                    </w:pPr>
                  </w:p>
                </w:tc>
                <w:tc>
                  <w:tcPr>
                    <w:tcW w:w="1417" w:type="dxa"/>
                    <w:noWrap/>
                    <w:vAlign w:val="center"/>
                    <w:hideMark/>
                  </w:tcPr>
                  <w:p>
                    <w:pPr>
                      <w:rPr>
                        <w:sz w:val="20"/>
                      </w:rPr>
                    </w:pPr>
                    <w:r>
                      <w:rPr>
                        <w:sz w:val="20"/>
                      </w:rPr>
                      <w:t>P-19-01-04-03</w:t>
                    </w:r>
                  </w:p>
                </w:tc>
                <w:tc>
                  <w:tcPr>
                    <w:tcW w:w="4111" w:type="dxa"/>
                    <w:vAlign w:val="center"/>
                    <w:hideMark/>
                  </w:tcPr>
                  <w:p>
                    <w:pPr>
                      <w:rPr>
                        <w:sz w:val="20"/>
                      </w:rPr>
                    </w:pPr>
                    <w:r>
                      <w:rPr>
                        <w:sz w:val="20"/>
                      </w:rPr>
                      <w:t>Daugiašalių bendradarbiavimo iniciatyvų, siekiant gerinti medicinos srities įvaizdį, skaičius (vnt.)</w:t>
                    </w:r>
                  </w:p>
                </w:tc>
                <w:tc>
                  <w:tcPr>
                    <w:tcW w:w="1134" w:type="dxa"/>
                    <w:vAlign w:val="center"/>
                    <w:hideMark/>
                  </w:tcPr>
                  <w:p>
                    <w:pPr>
                      <w:jc w:val="center"/>
                      <w:rPr>
                        <w:sz w:val="20"/>
                      </w:rPr>
                    </w:pPr>
                    <w:r>
                      <w:rPr>
                        <w:sz w:val="20"/>
                      </w:rPr>
                      <w:t>SPĮ / SvS, ŠĮ ir kt.</w:t>
                    </w:r>
                  </w:p>
                </w:tc>
                <w:tc>
                  <w:tcPr>
                    <w:tcW w:w="1134" w:type="dxa"/>
                    <w:noWrap/>
                    <w:vAlign w:val="center"/>
                    <w:hideMark/>
                  </w:tcPr>
                  <w:p>
                    <w:pPr>
                      <w:jc w:val="center"/>
                      <w:rPr>
                        <w:sz w:val="20"/>
                      </w:rPr>
                    </w:pPr>
                    <w:r>
                      <w:rPr>
                        <w:sz w:val="20"/>
                      </w:rPr>
                      <w:t>1 (2024)</w:t>
                    </w:r>
                  </w:p>
                </w:tc>
                <w:tc>
                  <w:tcPr>
                    <w:tcW w:w="1134" w:type="dxa"/>
                    <w:noWrap/>
                    <w:vAlign w:val="center"/>
                    <w:hideMark/>
                  </w:tcPr>
                  <w:p>
                    <w:pPr>
                      <w:jc w:val="center"/>
                      <w:rPr>
                        <w:sz w:val="20"/>
                      </w:rPr>
                    </w:pPr>
                    <w:r>
                      <w:rPr>
                        <w:sz w:val="20"/>
                      </w:rPr>
                      <w:t>9 (2033)</w:t>
                    </w:r>
                  </w:p>
                </w:tc>
              </w:tr>
              <w:tr>
                <w:trPr>
                  <w:trHeight w:val="1325"/>
                  <w:jc w:val="center"/>
                </w:trPr>
                <w:tc>
                  <w:tcPr>
                    <w:tcW w:w="988" w:type="dxa"/>
                    <w:shd w:val="clear" w:color="auto" w:fill="FCE4D6"/>
                    <w:noWrap/>
                    <w:vAlign w:val="center"/>
                    <w:hideMark/>
                  </w:tcPr>
                  <w:p>
                    <w:pPr>
                      <w:rPr>
                        <w:b/>
                        <w:bCs/>
                        <w:sz w:val="20"/>
                      </w:rPr>
                    </w:pPr>
                    <w:r>
                      <w:rPr>
                        <w:b/>
                        <w:bCs/>
                        <w:sz w:val="20"/>
                      </w:rPr>
                      <w:t>19-02</w:t>
                    </w:r>
                  </w:p>
                </w:tc>
                <w:tc>
                  <w:tcPr>
                    <w:tcW w:w="2126" w:type="dxa"/>
                    <w:shd w:val="clear" w:color="auto" w:fill="FCE4D6"/>
                    <w:vAlign w:val="center"/>
                    <w:hideMark/>
                  </w:tcPr>
                  <w:p>
                    <w:pPr>
                      <w:rPr>
                        <w:b/>
                        <w:bCs/>
                        <w:sz w:val="20"/>
                      </w:rPr>
                    </w:pPr>
                    <w:r>
                      <w:rPr>
                        <w:b/>
                        <w:bCs/>
                        <w:sz w:val="20"/>
                      </w:rPr>
                      <w:t>Užtikrinti asmens sveikatos priežiūros paslaugų prieinamumą ir kokybę, atnaujinant esamą bei įrengiant naują infrastruktūrą</w:t>
                    </w:r>
                  </w:p>
                </w:tc>
                <w:tc>
                  <w:tcPr>
                    <w:tcW w:w="850" w:type="dxa"/>
                    <w:shd w:val="clear" w:color="auto" w:fill="FCE4D6"/>
                    <w:noWrap/>
                    <w:vAlign w:val="center"/>
                    <w:hideMark/>
                  </w:tcPr>
                  <w:p>
                    <w:pPr>
                      <w:jc w:val="center"/>
                      <w:rPr>
                        <w:sz w:val="20"/>
                      </w:rPr>
                    </w:pPr>
                    <w:r>
                      <w:rPr>
                        <w:sz w:val="20"/>
                      </w:rPr>
                      <w:t>SvS</w:t>
                    </w:r>
                  </w:p>
                </w:tc>
                <w:tc>
                  <w:tcPr>
                    <w:tcW w:w="709" w:type="dxa"/>
                    <w:shd w:val="clear" w:color="auto" w:fill="FCE4D6"/>
                    <w:noWrap/>
                    <w:vAlign w:val="center"/>
                    <w:hideMark/>
                  </w:tcPr>
                  <w:p>
                    <w:pPr>
                      <w:jc w:val="center"/>
                      <w:rPr>
                        <w:sz w:val="20"/>
                      </w:rPr>
                    </w:pPr>
                    <w:r>
                      <w:rPr>
                        <w:sz w:val="20"/>
                      </w:rPr>
                      <w:t>2025</w:t>
                    </w:r>
                  </w:p>
                </w:tc>
                <w:tc>
                  <w:tcPr>
                    <w:tcW w:w="709" w:type="dxa"/>
                    <w:shd w:val="clear" w:color="auto" w:fill="FCE4D6"/>
                    <w:noWrap/>
                    <w:vAlign w:val="center"/>
                    <w:hideMark/>
                  </w:tcPr>
                  <w:p>
                    <w:pPr>
                      <w:jc w:val="center"/>
                      <w:rPr>
                        <w:sz w:val="20"/>
                      </w:rPr>
                    </w:pPr>
                    <w:r>
                      <w:rPr>
                        <w:sz w:val="20"/>
                      </w:rPr>
                      <w:t>2033</w:t>
                    </w:r>
                  </w:p>
                </w:tc>
                <w:tc>
                  <w:tcPr>
                    <w:tcW w:w="1417" w:type="dxa"/>
                    <w:shd w:val="clear" w:color="auto" w:fill="FCE4D6"/>
                    <w:noWrap/>
                    <w:vAlign w:val="center"/>
                    <w:hideMark/>
                  </w:tcPr>
                  <w:p>
                    <w:pPr>
                      <w:rPr>
                        <w:sz w:val="20"/>
                      </w:rPr>
                    </w:pPr>
                    <w:r>
                      <w:rPr>
                        <w:sz w:val="20"/>
                      </w:rPr>
                      <w:t>R-19-02-01</w:t>
                    </w:r>
                  </w:p>
                </w:tc>
                <w:tc>
                  <w:tcPr>
                    <w:tcW w:w="4111" w:type="dxa"/>
                    <w:shd w:val="clear" w:color="auto" w:fill="FCE4D6"/>
                    <w:vAlign w:val="center"/>
                    <w:hideMark/>
                  </w:tcPr>
                  <w:p>
                    <w:pPr>
                      <w:rPr>
                        <w:sz w:val="20"/>
                      </w:rPr>
                    </w:pPr>
                    <w:r>
                      <w:rPr>
                        <w:sz w:val="20"/>
                      </w:rPr>
                      <w:t>Savivaldybės sveikatos įstaigų pastatų, kurie yra geros būklės, skaičius nuo visų sveikatos įstaigų pastatų skaičiaus (vnt. / vnt.)</w:t>
                    </w:r>
                  </w:p>
                </w:tc>
                <w:tc>
                  <w:tcPr>
                    <w:tcW w:w="1134" w:type="dxa"/>
                    <w:shd w:val="clear" w:color="auto" w:fill="FCE4D6"/>
                    <w:vAlign w:val="center"/>
                    <w:hideMark/>
                  </w:tcPr>
                  <w:p>
                    <w:pPr>
                      <w:jc w:val="center"/>
                      <w:rPr>
                        <w:sz w:val="20"/>
                      </w:rPr>
                    </w:pPr>
                    <w:r>
                      <w:rPr>
                        <w:sz w:val="20"/>
                      </w:rPr>
                      <w:t>ŠMSA (SvS)</w:t>
                    </w:r>
                  </w:p>
                </w:tc>
                <w:tc>
                  <w:tcPr>
                    <w:tcW w:w="1134" w:type="dxa"/>
                    <w:shd w:val="clear" w:color="auto" w:fill="FCE4D6"/>
                    <w:noWrap/>
                    <w:vAlign w:val="center"/>
                    <w:hideMark/>
                  </w:tcPr>
                  <w:p>
                    <w:pPr>
                      <w:jc w:val="center"/>
                      <w:rPr>
                        <w:sz w:val="20"/>
                      </w:rPr>
                    </w:pPr>
                    <w:r>
                      <w:rPr>
                        <w:sz w:val="20"/>
                      </w:rPr>
                      <w:t>2/9 (2024)</w:t>
                    </w:r>
                  </w:p>
                </w:tc>
                <w:tc>
                  <w:tcPr>
                    <w:tcW w:w="1134" w:type="dxa"/>
                    <w:shd w:val="clear" w:color="auto" w:fill="FCE4D6"/>
                    <w:noWrap/>
                    <w:vAlign w:val="center"/>
                    <w:hideMark/>
                  </w:tcPr>
                  <w:p>
                    <w:pPr>
                      <w:jc w:val="center"/>
                      <w:rPr>
                        <w:sz w:val="20"/>
                      </w:rPr>
                    </w:pPr>
                    <w:r>
                      <w:rPr>
                        <w:sz w:val="20"/>
                      </w:rPr>
                      <w:t>9/9 (2033)</w:t>
                    </w:r>
                  </w:p>
                </w:tc>
              </w:tr>
              <w:tr>
                <w:trPr>
                  <w:trHeight w:val="358"/>
                  <w:jc w:val="center"/>
                </w:trPr>
                <w:tc>
                  <w:tcPr>
                    <w:tcW w:w="988" w:type="dxa"/>
                    <w:vMerge w:val="restart"/>
                    <w:noWrap/>
                    <w:vAlign w:val="center"/>
                    <w:hideMark/>
                  </w:tcPr>
                  <w:p>
                    <w:pPr>
                      <w:rPr>
                        <w:sz w:val="20"/>
                      </w:rPr>
                    </w:pPr>
                    <w:r>
                      <w:rPr>
                        <w:sz w:val="20"/>
                      </w:rPr>
                      <w:t>19-02-01</w:t>
                    </w:r>
                  </w:p>
                </w:tc>
                <w:tc>
                  <w:tcPr>
                    <w:tcW w:w="2126" w:type="dxa"/>
                    <w:vMerge w:val="restart"/>
                    <w:vAlign w:val="center"/>
                    <w:hideMark/>
                  </w:tcPr>
                  <w:p>
                    <w:pPr>
                      <w:rPr>
                        <w:sz w:val="20"/>
                      </w:rPr>
                    </w:pPr>
                    <w:r>
                      <w:rPr>
                        <w:sz w:val="20"/>
                      </w:rPr>
                      <w:t>Atnaujinti ir modernizuoti asmens sveikatos priežiūros įstaigas</w:t>
                    </w:r>
                  </w:p>
                </w:tc>
                <w:tc>
                  <w:tcPr>
                    <w:tcW w:w="850" w:type="dxa"/>
                    <w:vMerge w:val="restart"/>
                    <w:noWrap/>
                    <w:vAlign w:val="center"/>
                    <w:hideMark/>
                  </w:tcPr>
                  <w:p>
                    <w:pPr>
                      <w:jc w:val="center"/>
                      <w:rPr>
                        <w:sz w:val="20"/>
                      </w:rPr>
                    </w:pPr>
                    <w:r>
                      <w:rPr>
                        <w:sz w:val="20"/>
                      </w:rPr>
                      <w:t>SvS</w:t>
                    </w:r>
                  </w:p>
                </w:tc>
                <w:tc>
                  <w:tcPr>
                    <w:tcW w:w="709" w:type="dxa"/>
                    <w:vMerge w:val="restart"/>
                    <w:noWrap/>
                    <w:vAlign w:val="center"/>
                    <w:hideMark/>
                  </w:tcPr>
                  <w:p>
                    <w:pPr>
                      <w:jc w:val="center"/>
                      <w:rPr>
                        <w:sz w:val="20"/>
                      </w:rPr>
                    </w:pPr>
                    <w:r>
                      <w:rPr>
                        <w:sz w:val="20"/>
                      </w:rPr>
                      <w:t>2025</w:t>
                    </w:r>
                  </w:p>
                </w:tc>
                <w:tc>
                  <w:tcPr>
                    <w:tcW w:w="709" w:type="dxa"/>
                    <w:vMerge w:val="restart"/>
                    <w:noWrap/>
                    <w:vAlign w:val="center"/>
                    <w:hideMark/>
                  </w:tcPr>
                  <w:p>
                    <w:pPr>
                      <w:jc w:val="center"/>
                      <w:rPr>
                        <w:sz w:val="20"/>
                      </w:rPr>
                    </w:pPr>
                    <w:r>
                      <w:rPr>
                        <w:sz w:val="20"/>
                      </w:rPr>
                      <w:t>2031</w:t>
                    </w:r>
                  </w:p>
                </w:tc>
                <w:tc>
                  <w:tcPr>
                    <w:tcW w:w="1417" w:type="dxa"/>
                    <w:noWrap/>
                    <w:vAlign w:val="center"/>
                    <w:hideMark/>
                  </w:tcPr>
                  <w:p>
                    <w:pPr>
                      <w:rPr>
                        <w:sz w:val="20"/>
                      </w:rPr>
                    </w:pPr>
                    <w:r>
                      <w:rPr>
                        <w:sz w:val="20"/>
                      </w:rPr>
                      <w:t>P-19-02-01-01</w:t>
                    </w:r>
                  </w:p>
                </w:tc>
                <w:tc>
                  <w:tcPr>
                    <w:tcW w:w="4111" w:type="dxa"/>
                    <w:vAlign w:val="center"/>
                    <w:hideMark/>
                  </w:tcPr>
                  <w:p>
                    <w:pPr>
                      <w:rPr>
                        <w:sz w:val="20"/>
                      </w:rPr>
                    </w:pPr>
                    <w:r>
                      <w:rPr>
                        <w:sz w:val="20"/>
                      </w:rPr>
                      <w:t>Renovuotų / modernizuotų sveikatos įstaigų, plečiant I ir II lygio paslaugas, skaičius (vnt.)</w:t>
                    </w:r>
                  </w:p>
                </w:tc>
                <w:tc>
                  <w:tcPr>
                    <w:tcW w:w="1134" w:type="dxa"/>
                    <w:vAlign w:val="center"/>
                    <w:hideMark/>
                  </w:tcPr>
                  <w:p>
                    <w:pPr>
                      <w:jc w:val="center"/>
                      <w:rPr>
                        <w:sz w:val="20"/>
                      </w:rPr>
                    </w:pPr>
                    <w:r>
                      <w:rPr>
                        <w:sz w:val="20"/>
                      </w:rPr>
                      <w:t>SvS / SPĮ</w:t>
                    </w:r>
                  </w:p>
                </w:tc>
                <w:tc>
                  <w:tcPr>
                    <w:tcW w:w="1134" w:type="dxa"/>
                    <w:noWrap/>
                    <w:vAlign w:val="center"/>
                    <w:hideMark/>
                  </w:tcPr>
                  <w:p>
                    <w:pPr>
                      <w:jc w:val="center"/>
                      <w:rPr>
                        <w:sz w:val="20"/>
                      </w:rPr>
                    </w:pPr>
                    <w:r>
                      <w:rPr>
                        <w:sz w:val="20"/>
                      </w:rPr>
                      <w:t>0 (2024)</w:t>
                    </w:r>
                  </w:p>
                </w:tc>
                <w:tc>
                  <w:tcPr>
                    <w:tcW w:w="1134" w:type="dxa"/>
                    <w:noWrap/>
                    <w:vAlign w:val="center"/>
                    <w:hideMark/>
                  </w:tcPr>
                  <w:p>
                    <w:pPr>
                      <w:jc w:val="center"/>
                      <w:rPr>
                        <w:sz w:val="20"/>
                      </w:rPr>
                    </w:pPr>
                    <w:r>
                      <w:rPr>
                        <w:sz w:val="20"/>
                      </w:rPr>
                      <w:t>8 (2027)</w:t>
                    </w:r>
                  </w:p>
                </w:tc>
              </w:tr>
              <w:tr>
                <w:trPr>
                  <w:trHeight w:val="393"/>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rPr>
                        <w:sz w:val="20"/>
                      </w:rPr>
                    </w:pPr>
                  </w:p>
                </w:tc>
                <w:tc>
                  <w:tcPr>
                    <w:tcW w:w="709" w:type="dxa"/>
                    <w:vMerge/>
                    <w:vAlign w:val="center"/>
                    <w:hideMark/>
                  </w:tcPr>
                  <w:p>
                    <w:pPr>
                      <w:rPr>
                        <w:sz w:val="20"/>
                      </w:rPr>
                    </w:pPr>
                  </w:p>
                </w:tc>
                <w:tc>
                  <w:tcPr>
                    <w:tcW w:w="709" w:type="dxa"/>
                    <w:vMerge/>
                    <w:vAlign w:val="center"/>
                    <w:hideMark/>
                  </w:tcPr>
                  <w:p>
                    <w:pPr>
                      <w:rPr>
                        <w:sz w:val="20"/>
                      </w:rPr>
                    </w:pPr>
                  </w:p>
                </w:tc>
                <w:tc>
                  <w:tcPr>
                    <w:tcW w:w="1417" w:type="dxa"/>
                    <w:noWrap/>
                    <w:vAlign w:val="center"/>
                    <w:hideMark/>
                  </w:tcPr>
                  <w:p>
                    <w:pPr>
                      <w:rPr>
                        <w:sz w:val="20"/>
                      </w:rPr>
                    </w:pPr>
                    <w:r>
                      <w:rPr>
                        <w:sz w:val="20"/>
                      </w:rPr>
                      <w:t>P-19-02-01-02</w:t>
                    </w:r>
                  </w:p>
                </w:tc>
                <w:tc>
                  <w:tcPr>
                    <w:tcW w:w="4111" w:type="dxa"/>
                    <w:vAlign w:val="center"/>
                    <w:hideMark/>
                  </w:tcPr>
                  <w:p>
                    <w:pPr>
                      <w:rPr>
                        <w:sz w:val="20"/>
                      </w:rPr>
                    </w:pPr>
                    <w:r>
                      <w:rPr>
                        <w:sz w:val="20"/>
                      </w:rPr>
                      <w:t>Įkurtas specializuotas dienos priežiūros centras (vnt.)</w:t>
                    </w:r>
                  </w:p>
                </w:tc>
                <w:tc>
                  <w:tcPr>
                    <w:tcW w:w="1134" w:type="dxa"/>
                    <w:vAlign w:val="center"/>
                    <w:hideMark/>
                  </w:tcPr>
                  <w:p>
                    <w:pPr>
                      <w:jc w:val="center"/>
                      <w:rPr>
                        <w:sz w:val="20"/>
                      </w:rPr>
                    </w:pPr>
                    <w:r>
                      <w:rPr>
                        <w:sz w:val="20"/>
                      </w:rPr>
                      <w:t>SvS / SPĮ</w:t>
                    </w:r>
                  </w:p>
                </w:tc>
                <w:tc>
                  <w:tcPr>
                    <w:tcW w:w="1134" w:type="dxa"/>
                    <w:noWrap/>
                    <w:vAlign w:val="center"/>
                    <w:hideMark/>
                  </w:tcPr>
                  <w:p>
                    <w:pPr>
                      <w:jc w:val="center"/>
                      <w:rPr>
                        <w:sz w:val="20"/>
                      </w:rPr>
                    </w:pPr>
                    <w:r>
                      <w:rPr>
                        <w:sz w:val="20"/>
                      </w:rPr>
                      <w:t>0 (2024)</w:t>
                    </w:r>
                  </w:p>
                </w:tc>
                <w:tc>
                  <w:tcPr>
                    <w:tcW w:w="1134" w:type="dxa"/>
                    <w:noWrap/>
                    <w:vAlign w:val="center"/>
                    <w:hideMark/>
                  </w:tcPr>
                  <w:p>
                    <w:pPr>
                      <w:jc w:val="center"/>
                      <w:rPr>
                        <w:sz w:val="20"/>
                      </w:rPr>
                    </w:pPr>
                    <w:r>
                      <w:rPr>
                        <w:sz w:val="20"/>
                      </w:rPr>
                      <w:t>1 (2025)</w:t>
                    </w:r>
                  </w:p>
                </w:tc>
              </w:tr>
              <w:tr>
                <w:trPr>
                  <w:trHeight w:val="520"/>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rPr>
                        <w:sz w:val="20"/>
                      </w:rPr>
                    </w:pPr>
                  </w:p>
                </w:tc>
                <w:tc>
                  <w:tcPr>
                    <w:tcW w:w="709" w:type="dxa"/>
                    <w:vMerge/>
                    <w:vAlign w:val="center"/>
                    <w:hideMark/>
                  </w:tcPr>
                  <w:p>
                    <w:pPr>
                      <w:rPr>
                        <w:sz w:val="20"/>
                      </w:rPr>
                    </w:pPr>
                  </w:p>
                </w:tc>
                <w:tc>
                  <w:tcPr>
                    <w:tcW w:w="709" w:type="dxa"/>
                    <w:vMerge/>
                    <w:vAlign w:val="center"/>
                    <w:hideMark/>
                  </w:tcPr>
                  <w:p>
                    <w:pPr>
                      <w:rPr>
                        <w:sz w:val="20"/>
                      </w:rPr>
                    </w:pPr>
                  </w:p>
                </w:tc>
                <w:tc>
                  <w:tcPr>
                    <w:tcW w:w="1417" w:type="dxa"/>
                    <w:noWrap/>
                    <w:vAlign w:val="center"/>
                    <w:hideMark/>
                  </w:tcPr>
                  <w:p>
                    <w:pPr>
                      <w:rPr>
                        <w:sz w:val="20"/>
                      </w:rPr>
                    </w:pPr>
                    <w:r>
                      <w:rPr>
                        <w:sz w:val="20"/>
                      </w:rPr>
                      <w:t>P-19-02-01-03</w:t>
                    </w:r>
                  </w:p>
                </w:tc>
                <w:tc>
                  <w:tcPr>
                    <w:tcW w:w="4111" w:type="dxa"/>
                    <w:vAlign w:val="center"/>
                    <w:hideMark/>
                  </w:tcPr>
                  <w:p>
                    <w:pPr>
                      <w:rPr>
                        <w:sz w:val="20"/>
                      </w:rPr>
                    </w:pPr>
                    <w:r>
                      <w:rPr>
                        <w:sz w:val="20"/>
                      </w:rPr>
                      <w:t>Aprūpintų darbui reikiama įranga ir priemonėmis mobilių komandų skaičius (vnt.)</w:t>
                    </w:r>
                  </w:p>
                </w:tc>
                <w:tc>
                  <w:tcPr>
                    <w:tcW w:w="1134" w:type="dxa"/>
                    <w:vAlign w:val="center"/>
                    <w:hideMark/>
                  </w:tcPr>
                  <w:p>
                    <w:pPr>
                      <w:jc w:val="center"/>
                      <w:rPr>
                        <w:sz w:val="20"/>
                      </w:rPr>
                    </w:pPr>
                    <w:r>
                      <w:rPr>
                        <w:sz w:val="20"/>
                      </w:rPr>
                      <w:t>SvS / SPĮ</w:t>
                    </w:r>
                  </w:p>
                </w:tc>
                <w:tc>
                  <w:tcPr>
                    <w:tcW w:w="1134" w:type="dxa"/>
                    <w:noWrap/>
                    <w:vAlign w:val="center"/>
                    <w:hideMark/>
                  </w:tcPr>
                  <w:p>
                    <w:pPr>
                      <w:jc w:val="center"/>
                      <w:rPr>
                        <w:sz w:val="20"/>
                      </w:rPr>
                    </w:pPr>
                    <w:r>
                      <w:rPr>
                        <w:sz w:val="20"/>
                      </w:rPr>
                      <w:t>0 (2024)</w:t>
                    </w:r>
                  </w:p>
                </w:tc>
                <w:tc>
                  <w:tcPr>
                    <w:tcW w:w="1134" w:type="dxa"/>
                    <w:noWrap/>
                    <w:vAlign w:val="center"/>
                    <w:hideMark/>
                  </w:tcPr>
                  <w:p>
                    <w:pPr>
                      <w:jc w:val="center"/>
                      <w:rPr>
                        <w:sz w:val="20"/>
                      </w:rPr>
                    </w:pPr>
                    <w:r>
                      <w:rPr>
                        <w:sz w:val="20"/>
                      </w:rPr>
                      <w:t>4 (2025)</w:t>
                    </w:r>
                  </w:p>
                </w:tc>
              </w:tr>
              <w:tr>
                <w:trPr>
                  <w:trHeight w:val="520"/>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rPr>
                        <w:sz w:val="20"/>
                      </w:rPr>
                    </w:pPr>
                  </w:p>
                </w:tc>
                <w:tc>
                  <w:tcPr>
                    <w:tcW w:w="709" w:type="dxa"/>
                    <w:vMerge/>
                    <w:vAlign w:val="center"/>
                    <w:hideMark/>
                  </w:tcPr>
                  <w:p>
                    <w:pPr>
                      <w:rPr>
                        <w:sz w:val="20"/>
                      </w:rPr>
                    </w:pPr>
                  </w:p>
                </w:tc>
                <w:tc>
                  <w:tcPr>
                    <w:tcW w:w="709" w:type="dxa"/>
                    <w:vMerge/>
                    <w:vAlign w:val="center"/>
                    <w:hideMark/>
                  </w:tcPr>
                  <w:p>
                    <w:pPr>
                      <w:rPr>
                        <w:sz w:val="20"/>
                      </w:rPr>
                    </w:pPr>
                  </w:p>
                </w:tc>
                <w:tc>
                  <w:tcPr>
                    <w:tcW w:w="1417" w:type="dxa"/>
                    <w:noWrap/>
                    <w:vAlign w:val="center"/>
                    <w:hideMark/>
                  </w:tcPr>
                  <w:p>
                    <w:pPr>
                      <w:rPr>
                        <w:sz w:val="20"/>
                      </w:rPr>
                    </w:pPr>
                    <w:r>
                      <w:rPr>
                        <w:sz w:val="20"/>
                      </w:rPr>
                      <w:t>P-19-02-01-04</w:t>
                    </w:r>
                  </w:p>
                </w:tc>
                <w:tc>
                  <w:tcPr>
                    <w:tcW w:w="4111" w:type="dxa"/>
                    <w:vAlign w:val="center"/>
                    <w:hideMark/>
                  </w:tcPr>
                  <w:p>
                    <w:pPr>
                      <w:rPr>
                        <w:sz w:val="20"/>
                      </w:rPr>
                    </w:pPr>
                    <w:r>
                      <w:rPr>
                        <w:sz w:val="20"/>
                      </w:rPr>
                      <w:t>Atlikta VšĮ Šiaulių ilgalaikio gydymo ir geriatrijos centro pastatų rekonstrukcija (vnt.)</w:t>
                    </w:r>
                  </w:p>
                </w:tc>
                <w:tc>
                  <w:tcPr>
                    <w:tcW w:w="1134" w:type="dxa"/>
                    <w:vAlign w:val="center"/>
                    <w:hideMark/>
                  </w:tcPr>
                  <w:p>
                    <w:pPr>
                      <w:jc w:val="center"/>
                      <w:rPr>
                        <w:sz w:val="20"/>
                      </w:rPr>
                    </w:pPr>
                    <w:r>
                      <w:rPr>
                        <w:sz w:val="20"/>
                      </w:rPr>
                      <w:t>SvS / SPĮ</w:t>
                    </w:r>
                  </w:p>
                </w:tc>
                <w:tc>
                  <w:tcPr>
                    <w:tcW w:w="1134" w:type="dxa"/>
                    <w:noWrap/>
                    <w:vAlign w:val="center"/>
                    <w:hideMark/>
                  </w:tcPr>
                  <w:p>
                    <w:pPr>
                      <w:jc w:val="center"/>
                      <w:rPr>
                        <w:sz w:val="20"/>
                      </w:rPr>
                    </w:pPr>
                    <w:r>
                      <w:rPr>
                        <w:sz w:val="20"/>
                      </w:rPr>
                      <w:t>0 (2024)</w:t>
                    </w:r>
                  </w:p>
                </w:tc>
                <w:tc>
                  <w:tcPr>
                    <w:tcW w:w="1134" w:type="dxa"/>
                    <w:noWrap/>
                    <w:vAlign w:val="center"/>
                    <w:hideMark/>
                  </w:tcPr>
                  <w:p>
                    <w:pPr>
                      <w:jc w:val="center"/>
                      <w:rPr>
                        <w:sz w:val="20"/>
                      </w:rPr>
                    </w:pPr>
                    <w:r>
                      <w:rPr>
                        <w:sz w:val="20"/>
                      </w:rPr>
                      <w:t>1 (2027)</w:t>
                    </w:r>
                  </w:p>
                </w:tc>
              </w:tr>
              <w:tr>
                <w:trPr>
                  <w:trHeight w:val="260"/>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rPr>
                        <w:sz w:val="20"/>
                      </w:rPr>
                    </w:pPr>
                  </w:p>
                </w:tc>
                <w:tc>
                  <w:tcPr>
                    <w:tcW w:w="709" w:type="dxa"/>
                    <w:vMerge/>
                    <w:vAlign w:val="center"/>
                    <w:hideMark/>
                  </w:tcPr>
                  <w:p>
                    <w:pPr>
                      <w:rPr>
                        <w:sz w:val="20"/>
                      </w:rPr>
                    </w:pPr>
                  </w:p>
                </w:tc>
                <w:tc>
                  <w:tcPr>
                    <w:tcW w:w="709" w:type="dxa"/>
                    <w:vMerge/>
                    <w:vAlign w:val="center"/>
                    <w:hideMark/>
                  </w:tcPr>
                  <w:p>
                    <w:pPr>
                      <w:rPr>
                        <w:sz w:val="20"/>
                      </w:rPr>
                    </w:pPr>
                  </w:p>
                </w:tc>
                <w:tc>
                  <w:tcPr>
                    <w:tcW w:w="1417" w:type="dxa"/>
                    <w:noWrap/>
                    <w:vAlign w:val="center"/>
                    <w:hideMark/>
                  </w:tcPr>
                  <w:p>
                    <w:pPr>
                      <w:rPr>
                        <w:sz w:val="20"/>
                      </w:rPr>
                    </w:pPr>
                    <w:r>
                      <w:rPr>
                        <w:sz w:val="20"/>
                      </w:rPr>
                      <w:t>P-19-02-01-05</w:t>
                    </w:r>
                  </w:p>
                </w:tc>
                <w:tc>
                  <w:tcPr>
                    <w:tcW w:w="4111" w:type="dxa"/>
                    <w:vAlign w:val="center"/>
                    <w:hideMark/>
                  </w:tcPr>
                  <w:p>
                    <w:pPr>
                      <w:rPr>
                        <w:sz w:val="20"/>
                      </w:rPr>
                    </w:pPr>
                    <w:r>
                      <w:rPr>
                        <w:sz w:val="20"/>
                      </w:rPr>
                      <w:t>Modernizuota VšĮ Šiaulių centro poliklinika (vnt.)</w:t>
                    </w:r>
                  </w:p>
                </w:tc>
                <w:tc>
                  <w:tcPr>
                    <w:tcW w:w="1134" w:type="dxa"/>
                    <w:vAlign w:val="center"/>
                    <w:hideMark/>
                  </w:tcPr>
                  <w:p>
                    <w:pPr>
                      <w:jc w:val="center"/>
                      <w:rPr>
                        <w:sz w:val="20"/>
                      </w:rPr>
                    </w:pPr>
                    <w:r>
                      <w:rPr>
                        <w:sz w:val="20"/>
                      </w:rPr>
                      <w:t>SvS / SPĮ</w:t>
                    </w:r>
                  </w:p>
                </w:tc>
                <w:tc>
                  <w:tcPr>
                    <w:tcW w:w="1134" w:type="dxa"/>
                    <w:noWrap/>
                    <w:vAlign w:val="center"/>
                    <w:hideMark/>
                  </w:tcPr>
                  <w:p>
                    <w:pPr>
                      <w:jc w:val="center"/>
                      <w:rPr>
                        <w:sz w:val="20"/>
                      </w:rPr>
                    </w:pPr>
                    <w:r>
                      <w:rPr>
                        <w:sz w:val="20"/>
                      </w:rPr>
                      <w:t>0 (2024)</w:t>
                    </w:r>
                  </w:p>
                </w:tc>
                <w:tc>
                  <w:tcPr>
                    <w:tcW w:w="1134" w:type="dxa"/>
                    <w:noWrap/>
                    <w:vAlign w:val="center"/>
                    <w:hideMark/>
                  </w:tcPr>
                  <w:p>
                    <w:pPr>
                      <w:jc w:val="center"/>
                      <w:rPr>
                        <w:sz w:val="20"/>
                      </w:rPr>
                    </w:pPr>
                    <w:r>
                      <w:rPr>
                        <w:sz w:val="20"/>
                      </w:rPr>
                      <w:t>1 (2030)</w:t>
                    </w:r>
                  </w:p>
                </w:tc>
              </w:tr>
              <w:tr>
                <w:trPr>
                  <w:trHeight w:val="138"/>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rPr>
                        <w:sz w:val="20"/>
                      </w:rPr>
                    </w:pPr>
                  </w:p>
                </w:tc>
                <w:tc>
                  <w:tcPr>
                    <w:tcW w:w="709" w:type="dxa"/>
                    <w:vMerge/>
                    <w:vAlign w:val="center"/>
                    <w:hideMark/>
                  </w:tcPr>
                  <w:p>
                    <w:pPr>
                      <w:rPr>
                        <w:sz w:val="20"/>
                      </w:rPr>
                    </w:pPr>
                  </w:p>
                </w:tc>
                <w:tc>
                  <w:tcPr>
                    <w:tcW w:w="709" w:type="dxa"/>
                    <w:vMerge/>
                    <w:vAlign w:val="center"/>
                    <w:hideMark/>
                  </w:tcPr>
                  <w:p>
                    <w:pPr>
                      <w:rPr>
                        <w:sz w:val="20"/>
                      </w:rPr>
                    </w:pPr>
                  </w:p>
                </w:tc>
                <w:tc>
                  <w:tcPr>
                    <w:tcW w:w="1417" w:type="dxa"/>
                    <w:noWrap/>
                    <w:vAlign w:val="center"/>
                    <w:hideMark/>
                  </w:tcPr>
                  <w:p>
                    <w:pPr>
                      <w:rPr>
                        <w:sz w:val="20"/>
                      </w:rPr>
                    </w:pPr>
                    <w:r>
                      <w:rPr>
                        <w:sz w:val="20"/>
                      </w:rPr>
                      <w:t>P-19-02-01-06</w:t>
                    </w:r>
                  </w:p>
                </w:tc>
                <w:tc>
                  <w:tcPr>
                    <w:tcW w:w="4111" w:type="dxa"/>
                    <w:vAlign w:val="center"/>
                    <w:hideMark/>
                  </w:tcPr>
                  <w:p>
                    <w:pPr>
                      <w:rPr>
                        <w:sz w:val="20"/>
                      </w:rPr>
                    </w:pPr>
                    <w:r>
                      <w:rPr>
                        <w:sz w:val="20"/>
                      </w:rPr>
                      <w:t>Modernizuotas VšĮ Dainų pirminės sveikatos priežiūros centras (vnt.)</w:t>
                    </w:r>
                  </w:p>
                </w:tc>
                <w:tc>
                  <w:tcPr>
                    <w:tcW w:w="1134" w:type="dxa"/>
                    <w:vAlign w:val="center"/>
                    <w:hideMark/>
                  </w:tcPr>
                  <w:p>
                    <w:pPr>
                      <w:jc w:val="center"/>
                      <w:rPr>
                        <w:sz w:val="20"/>
                      </w:rPr>
                    </w:pPr>
                    <w:r>
                      <w:rPr>
                        <w:sz w:val="20"/>
                      </w:rPr>
                      <w:t>SvS / SPĮ</w:t>
                    </w:r>
                  </w:p>
                </w:tc>
                <w:tc>
                  <w:tcPr>
                    <w:tcW w:w="1134" w:type="dxa"/>
                    <w:noWrap/>
                    <w:vAlign w:val="center"/>
                    <w:hideMark/>
                  </w:tcPr>
                  <w:p>
                    <w:pPr>
                      <w:jc w:val="center"/>
                      <w:rPr>
                        <w:sz w:val="20"/>
                      </w:rPr>
                    </w:pPr>
                    <w:r>
                      <w:rPr>
                        <w:sz w:val="20"/>
                      </w:rPr>
                      <w:t>0 (2024)</w:t>
                    </w:r>
                  </w:p>
                </w:tc>
                <w:tc>
                  <w:tcPr>
                    <w:tcW w:w="1134" w:type="dxa"/>
                    <w:noWrap/>
                    <w:vAlign w:val="center"/>
                    <w:hideMark/>
                  </w:tcPr>
                  <w:p>
                    <w:pPr>
                      <w:jc w:val="center"/>
                      <w:rPr>
                        <w:sz w:val="20"/>
                      </w:rPr>
                    </w:pPr>
                    <w:r>
                      <w:rPr>
                        <w:sz w:val="20"/>
                      </w:rPr>
                      <w:t>1 (2031)</w:t>
                    </w:r>
                  </w:p>
                </w:tc>
              </w:tr>
              <w:tr>
                <w:trPr>
                  <w:trHeight w:val="244"/>
                  <w:jc w:val="center"/>
                </w:trPr>
                <w:tc>
                  <w:tcPr>
                    <w:tcW w:w="988" w:type="dxa"/>
                    <w:vMerge/>
                    <w:vAlign w:val="center"/>
                    <w:hideMark/>
                  </w:tcPr>
                  <w:p>
                    <w:pPr>
                      <w:rPr>
                        <w:sz w:val="20"/>
                      </w:rPr>
                    </w:pPr>
                  </w:p>
                </w:tc>
                <w:tc>
                  <w:tcPr>
                    <w:tcW w:w="2126" w:type="dxa"/>
                    <w:vMerge/>
                    <w:vAlign w:val="center"/>
                    <w:hideMark/>
                  </w:tcPr>
                  <w:p>
                    <w:pPr>
                      <w:rPr>
                        <w:sz w:val="20"/>
                      </w:rPr>
                    </w:pPr>
                  </w:p>
                </w:tc>
                <w:tc>
                  <w:tcPr>
                    <w:tcW w:w="850" w:type="dxa"/>
                    <w:vMerge/>
                    <w:vAlign w:val="center"/>
                    <w:hideMark/>
                  </w:tcPr>
                  <w:p>
                    <w:pPr>
                      <w:rPr>
                        <w:sz w:val="20"/>
                      </w:rPr>
                    </w:pPr>
                  </w:p>
                </w:tc>
                <w:tc>
                  <w:tcPr>
                    <w:tcW w:w="709" w:type="dxa"/>
                    <w:vMerge/>
                    <w:vAlign w:val="center"/>
                    <w:hideMark/>
                  </w:tcPr>
                  <w:p>
                    <w:pPr>
                      <w:rPr>
                        <w:sz w:val="20"/>
                      </w:rPr>
                    </w:pPr>
                  </w:p>
                </w:tc>
                <w:tc>
                  <w:tcPr>
                    <w:tcW w:w="709" w:type="dxa"/>
                    <w:vMerge/>
                    <w:vAlign w:val="center"/>
                    <w:hideMark/>
                  </w:tcPr>
                  <w:p>
                    <w:pPr>
                      <w:rPr>
                        <w:sz w:val="20"/>
                      </w:rPr>
                    </w:pPr>
                  </w:p>
                </w:tc>
                <w:tc>
                  <w:tcPr>
                    <w:tcW w:w="1417" w:type="dxa"/>
                    <w:noWrap/>
                    <w:vAlign w:val="center"/>
                    <w:hideMark/>
                  </w:tcPr>
                  <w:p>
                    <w:pPr>
                      <w:rPr>
                        <w:sz w:val="20"/>
                      </w:rPr>
                    </w:pPr>
                    <w:r>
                      <w:rPr>
                        <w:sz w:val="20"/>
                      </w:rPr>
                      <w:t>P-19-02-01-07</w:t>
                    </w:r>
                  </w:p>
                </w:tc>
                <w:tc>
                  <w:tcPr>
                    <w:tcW w:w="4111" w:type="dxa"/>
                    <w:vAlign w:val="center"/>
                    <w:hideMark/>
                  </w:tcPr>
                  <w:p>
                    <w:pPr>
                      <w:rPr>
                        <w:sz w:val="20"/>
                      </w:rPr>
                    </w:pPr>
                    <w:r>
                      <w:rPr>
                        <w:sz w:val="20"/>
                      </w:rPr>
                      <w:t>Įsteigtas dienos stacionaras Šiaulių centro poliklinikos Psichikos sveikatos centre (vnt.)</w:t>
                    </w:r>
                  </w:p>
                </w:tc>
                <w:tc>
                  <w:tcPr>
                    <w:tcW w:w="1134" w:type="dxa"/>
                    <w:vAlign w:val="center"/>
                    <w:hideMark/>
                  </w:tcPr>
                  <w:p>
                    <w:pPr>
                      <w:jc w:val="center"/>
                      <w:rPr>
                        <w:sz w:val="20"/>
                      </w:rPr>
                    </w:pPr>
                    <w:r>
                      <w:rPr>
                        <w:sz w:val="20"/>
                      </w:rPr>
                      <w:t>SvS / SPĮ</w:t>
                    </w:r>
                  </w:p>
                </w:tc>
                <w:tc>
                  <w:tcPr>
                    <w:tcW w:w="1134" w:type="dxa"/>
                    <w:noWrap/>
                    <w:vAlign w:val="center"/>
                    <w:hideMark/>
                  </w:tcPr>
                  <w:p>
                    <w:pPr>
                      <w:jc w:val="center"/>
                      <w:rPr>
                        <w:sz w:val="20"/>
                      </w:rPr>
                    </w:pPr>
                    <w:r>
                      <w:rPr>
                        <w:sz w:val="20"/>
                      </w:rPr>
                      <w:t>0 (2024)</w:t>
                    </w:r>
                  </w:p>
                </w:tc>
                <w:tc>
                  <w:tcPr>
                    <w:tcW w:w="1134" w:type="dxa"/>
                    <w:noWrap/>
                    <w:vAlign w:val="center"/>
                    <w:hideMark/>
                  </w:tcPr>
                  <w:p>
                    <w:pPr>
                      <w:jc w:val="center"/>
                      <w:rPr>
                        <w:sz w:val="20"/>
                      </w:rPr>
                    </w:pPr>
                    <w:r>
                      <w:rPr>
                        <w:sz w:val="20"/>
                      </w:rPr>
                      <w:t>1 (2025)</w:t>
                    </w:r>
                  </w:p>
                </w:tc>
              </w:tr>
            </w:tbl>
            <w:p>
              <w:pPr>
                <w:spacing w:line="276" w:lineRule="auto"/>
                <w:rPr>
                  <w:b/>
                  <w:color w:val="000000"/>
                  <w:szCs w:val="24"/>
                </w:rPr>
                <w:sectPr>
                  <w:pgSz w:w="16838" w:h="11906" w:orient="landscape"/>
                  <w:pgMar w:top="1134" w:right="1134" w:bottom="568" w:left="1134" w:header="567" w:footer="567" w:gutter="0"/>
                  <w:cols w:space="1296"/>
                  <w:titlePg/>
                  <w:docGrid w:linePitch="360"/>
                </w:sectPr>
              </w:pPr>
            </w:p>
            <w:p>
              <w:pPr>
                <w:rPr>
                  <w:sz w:val="10"/>
                  <w:szCs w:val="10"/>
                </w:rPr>
              </w:pPr>
            </w:p>
            <w:p>
              <w:pPr>
                <w:tabs>
                  <w:tab w:val="center" w:pos="4819"/>
                  <w:tab w:val="right" w:pos="9638"/>
                </w:tabs>
                <w:ind w:left="284" w:right="142"/>
                <w:jc w:val="both"/>
                <w:rPr>
                  <w:rFonts w:eastAsia="MS Mincho"/>
                  <w:kern w:val="2"/>
                  <w:sz w:val="22"/>
                  <w:szCs w:val="24"/>
                </w:rPr>
              </w:pPr>
            </w:p>
          </w:sdtContent>
        </w:sdt>
        <w:sdt>
          <w:sdtPr>
            <w:alias w:val="skyrius"/>
            <w:tag w:val="part_b01f09e8c77944d38812e867e012c1d3"/>
            <w:lock w:val="sdtLocked"/>
            <w:richText/>
          </w:sdtPr>
          <w:sdtContent>
            <w:p>
              <w:pPr>
                <w:jc w:val="center"/>
                <w:rPr>
                  <w:b/>
                  <w:color w:val="000000"/>
                  <w:szCs w:val="24"/>
                </w:rPr>
              </w:pPr>
              <w:sdt>
                <w:sdtPr>
                  <w:alias w:val="Numeris"/>
                  <w:tag w:val="nr_b01f09e8c77944d38812e867e012c1d3"/>
                  <w:lock w:val="sdtLocked"/>
                  <w:richText/>
                </w:sdtPr>
                <w:sdtContent>
                  <w:r>
                    <w:rPr>
                      <w:b/>
                      <w:color w:val="000000"/>
                      <w:szCs w:val="24"/>
                    </w:rPr>
                    <w:t>VI</w:t>
                  </w:r>
                </w:sdtContent>
              </w:sdt>
              <w:r>
                <w:rPr>
                  <w:b/>
                  <w:color w:val="000000"/>
                  <w:szCs w:val="24"/>
                </w:rPr>
                <w:t xml:space="preserve"> SKYRIUS</w:t>
              </w:r>
            </w:p>
            <w:p>
              <w:pPr>
                <w:jc w:val="center"/>
                <w:rPr>
                  <w:b/>
                  <w:color w:val="000000"/>
                  <w:szCs w:val="24"/>
                </w:rPr>
              </w:pPr>
              <w:sdt>
                <w:sdtPr>
                  <w:alias w:val="Pavadinimas"/>
                  <w:tag w:val="title_b01f09e8c77944d38812e867e012c1d3"/>
                  <w:lock w:val="sdtLocked"/>
                  <w:richText/>
                </w:sdtPr>
                <w:sdtContent>
                  <w:r>
                    <w:rPr>
                      <w:b/>
                      <w:color w:val="000000"/>
                      <w:szCs w:val="24"/>
                    </w:rPr>
                    <w:t>FINANSAVIMO PLANAS</w:t>
                  </w:r>
                </w:sdtContent>
              </w:sdt>
            </w:p>
            <w:p>
              <w:pPr>
                <w:jc w:val="center"/>
                <w:rPr>
                  <w:sz w:val="22"/>
                  <w:szCs w:val="22"/>
                </w:rPr>
              </w:pPr>
            </w:p>
            <w:p>
              <w:pPr>
                <w:rPr>
                  <w:sz w:val="10"/>
                  <w:szCs w:val="10"/>
                </w:rPr>
              </w:pPr>
            </w:p>
            <w:p>
              <w:pPr>
                <w:ind w:firstLine="720"/>
                <w:jc w:val="both"/>
                <w:rPr>
                  <w:sz w:val="22"/>
                  <w:szCs w:val="22"/>
                </w:rPr>
              </w:pPr>
              <w:r>
                <w:rPr>
                  <w:sz w:val="22"/>
                  <w:szCs w:val="22"/>
                </w:rPr>
                <w:t xml:space="preserve">Siekiant įgyvendinti ŠSPP iki 2033 m. numatytą viziją, tikslus, uždavinius ir priemones, parengtas ilgalaikis 2025–2033 m. preliminarus finansavimo poreikio planas. Į finansavimo poreikio planą įtrauktas ne tik ŠSPP projektų įgyvendinimas, sietinas su investicijomis į infrastruktūrą ir turtą (svarbiausių investicinių projektų sąrašas pateikiamas lentelėje Nr. 2), tačiau ir savivaldybės SVP priemonių įgyvendinimas, kuris taip pat prisideda prie ŠSPP plėtros uždavinių pasiekimo.  </w:t>
              </w:r>
            </w:p>
            <w:p>
              <w:pPr>
                <w:rPr>
                  <w:sz w:val="10"/>
                  <w:szCs w:val="10"/>
                </w:rPr>
              </w:pPr>
            </w:p>
            <w:p>
              <w:pPr>
                <w:jc w:val="both"/>
                <w:rPr>
                  <w:sz w:val="22"/>
                  <w:szCs w:val="22"/>
                </w:rPr>
              </w:pPr>
              <w:r>
                <w:rPr>
                  <w:sz w:val="22"/>
                  <w:szCs w:val="22"/>
                </w:rPr>
                <w:t xml:space="preserve">Finansavimo planas parengtas: </w:t>
              </w:r>
            </w:p>
            <w:p>
              <w:pPr>
                <w:rPr>
                  <w:sz w:val="10"/>
                  <w:szCs w:val="10"/>
                </w:rPr>
              </w:pPr>
            </w:p>
            <w:p>
              <w:pPr>
                <w:ind w:left="720" w:hanging="360"/>
                <w:jc w:val="both"/>
                <w:rPr>
                  <w:sz w:val="22"/>
                  <w:szCs w:val="22"/>
                </w:rPr>
              </w:pPr>
              <w:r>
                <w:rPr>
                  <w:rFonts w:ascii="Arial" w:hAnsi="Arial"/>
                  <w:color w:val="EAB818"/>
                  <w:sz w:val="22"/>
                  <w:szCs w:val="22"/>
                </w:rPr>
                <w:t>►</w:t>
                <w:tab/>
              </w:r>
              <w:r>
                <w:rPr>
                  <w:sz w:val="22"/>
                  <w:szCs w:val="22"/>
                </w:rPr>
                <w:t>atlikus finansinę 2019–2023 m. SVP įgyvendinimo ataskaitų analizę, remiantis istoriniais duomenimis apie lėšų pasiskirstymą tarp programų, jų uždavinių ir nustačius santykį tarp lėšų, skirtą investicijoms ir veiklai vykdyti;</w:t>
              </w:r>
            </w:p>
            <w:p>
              <w:pPr>
                <w:ind w:left="720" w:hanging="360"/>
                <w:jc w:val="both"/>
                <w:rPr>
                  <w:sz w:val="22"/>
                  <w:szCs w:val="22"/>
                </w:rPr>
              </w:pPr>
              <w:r>
                <w:rPr>
                  <w:rFonts w:ascii="Arial" w:hAnsi="Arial"/>
                  <w:color w:val="EAB818"/>
                  <w:sz w:val="22"/>
                  <w:szCs w:val="22"/>
                </w:rPr>
                <w:t>►</w:t>
                <w:tab/>
              </w:r>
              <w:r>
                <w:rPr>
                  <w:sz w:val="22"/>
                  <w:szCs w:val="22"/>
                </w:rPr>
                <w:t>išanalizavus planuojamus įgyvendinti ŠSPP iki 2025–2033 m. projektus;</w:t>
              </w:r>
            </w:p>
            <w:p>
              <w:pPr>
                <w:ind w:left="720" w:hanging="360"/>
                <w:jc w:val="both"/>
                <w:rPr>
                  <w:sz w:val="22"/>
                  <w:szCs w:val="22"/>
                </w:rPr>
              </w:pPr>
              <w:r>
                <w:rPr>
                  <w:rFonts w:ascii="Arial" w:hAnsi="Arial"/>
                  <w:color w:val="EAB818"/>
                  <w:sz w:val="22"/>
                  <w:szCs w:val="22"/>
                </w:rPr>
                <w:t>►</w:t>
                <w:tab/>
              </w:r>
              <w:r>
                <w:rPr>
                  <w:sz w:val="22"/>
                  <w:szCs w:val="22"/>
                </w:rPr>
                <w:t>remiantis ekonominių rodiklių prognozėmis (realių pajamų, infliacijos ir pan.), kurių pagrindu prognozuojamas finansavimas.</w:t>
              </w:r>
            </w:p>
            <w:p>
              <w:pPr>
                <w:rPr>
                  <w:sz w:val="10"/>
                  <w:szCs w:val="10"/>
                </w:rPr>
              </w:pPr>
            </w:p>
            <w:p>
              <w:pPr>
                <w:ind w:firstLine="720"/>
                <w:jc w:val="both"/>
                <w:rPr>
                  <w:sz w:val="22"/>
                  <w:szCs w:val="22"/>
                </w:rPr>
              </w:pPr>
              <w:r>
                <w:rPr>
                  <w:sz w:val="22"/>
                  <w:szCs w:val="22"/>
                </w:rPr>
                <w:t>2 lentelėje pateikiama ŠSPP 2025–2033 m. finansavimo poreikio prognozė. Numatoma, kad didžiausias lėšų poreikis išliks įgyvendinant plėtros uždavinius švietimo, socialinių paslaugų teikimo, infrastruktūros gerinimo srityse, didelis dėmesys ir lėšų poreikis taip pat išliks įgyvendinant išsikeltus uždavinius valdymo ir sporto srityse:</w:t>
              </w:r>
            </w:p>
            <w:p>
              <w:pPr>
                <w:rPr>
                  <w:sz w:val="10"/>
                  <w:szCs w:val="10"/>
                </w:rPr>
              </w:pPr>
            </w:p>
            <w:p>
              <w:pPr>
                <w:keepNext/>
                <w:ind w:left="284" w:right="142"/>
                <w:jc w:val="both"/>
                <w:rPr>
                  <w:b/>
                  <w:bCs/>
                  <w:color w:val="FDB515"/>
                  <w:sz w:val="20"/>
                </w:rPr>
              </w:pPr>
              <w:r>
                <w:rPr>
                  <w:rFonts w:eastAsia="MS Mincho"/>
                  <w:b/>
                  <w:bCs/>
                  <w:color w:val="FDB515"/>
                  <w:kern w:val="2"/>
                  <w:sz w:val="20"/>
                </w:rPr>
                <w:t xml:space="preserve">Lentelė 2. </w:t>
              </w:r>
              <w:r>
                <w:rPr>
                  <w:b/>
                  <w:bCs/>
                  <w:color w:val="FDB515"/>
                  <w:sz w:val="20"/>
                </w:rPr>
                <w:t>Preliminarus finansavimo poreikis</w:t>
              </w:r>
            </w:p>
            <w:p>
              <w:pPr>
                <w:rPr>
                  <w:sz w:val="10"/>
                  <w:szCs w:val="10"/>
                </w:rPr>
              </w:pPr>
            </w:p>
            <w:tbl>
              <w:tblPr>
                <w:tblW w:w="9356" w:type="dxa"/>
                <w:tblInd w:w="-5" w:type="dxa"/>
                <w:tblLook w:val="04A0" w:firstRow="1" w:lastRow="0" w:firstColumn="1" w:lastColumn="0" w:noHBand="0" w:noVBand="1"/>
              </w:tblPr>
              <w:tblGrid>
                <w:gridCol w:w="4111"/>
                <w:gridCol w:w="1418"/>
                <w:gridCol w:w="3827"/>
              </w:tblGrid>
              <w:tr>
                <w:trPr>
                  <w:trHeight w:val="600"/>
                  <w:tblHeader/>
                </w:trPr>
                <w:tc>
                  <w:tcPr>
                    <w:tcW w:w="4111" w:type="dxa"/>
                    <w:tcBorders>
                      <w:top w:val="single" w:sz="4" w:space="0" w:color="auto"/>
                      <w:left w:val="single" w:sz="4" w:space="0" w:color="auto"/>
                      <w:bottom w:val="single" w:sz="4" w:space="0" w:color="auto"/>
                      <w:right w:val="single" w:sz="4" w:space="0" w:color="auto"/>
                    </w:tcBorders>
                    <w:shd w:val="clear" w:color="000000" w:fill="DBE5F1"/>
                    <w:vAlign w:val="center"/>
                    <w:hideMark/>
                  </w:tcPr>
                  <w:p>
                    <w:pPr>
                      <w:jc w:val="center"/>
                      <w:rPr>
                        <w:b/>
                        <w:bCs/>
                        <w:color w:val="000000"/>
                        <w:sz w:val="20"/>
                        <w:lang w:eastAsia="lt-LT"/>
                      </w:rPr>
                    </w:pPr>
                    <w:r>
                      <w:rPr>
                        <w:b/>
                        <w:bCs/>
                        <w:color w:val="000000"/>
                        <w:sz w:val="20"/>
                        <w:lang w:eastAsia="lt-LT"/>
                      </w:rPr>
                      <w:t>Savivaldybės plėtros uždaviniai</w:t>
                    </w:r>
                  </w:p>
                </w:tc>
                <w:tc>
                  <w:tcPr>
                    <w:tcW w:w="1418" w:type="dxa"/>
                    <w:tcBorders>
                      <w:top w:val="single" w:sz="4" w:space="0" w:color="auto"/>
                      <w:left w:val="nil"/>
                      <w:bottom w:val="single" w:sz="4" w:space="0" w:color="auto"/>
                      <w:right w:val="single" w:sz="4" w:space="0" w:color="auto"/>
                    </w:tcBorders>
                    <w:shd w:val="clear" w:color="000000" w:fill="DBE5F1"/>
                    <w:vAlign w:val="center"/>
                    <w:hideMark/>
                  </w:tcPr>
                  <w:p>
                    <w:pPr>
                      <w:jc w:val="center"/>
                      <w:rPr>
                        <w:b/>
                        <w:bCs/>
                        <w:color w:val="000000"/>
                        <w:sz w:val="20"/>
                        <w:lang w:eastAsia="lt-LT"/>
                      </w:rPr>
                    </w:pPr>
                    <w:r>
                      <w:rPr>
                        <w:b/>
                        <w:bCs/>
                        <w:color w:val="000000"/>
                        <w:sz w:val="20"/>
                        <w:lang w:eastAsia="lt-LT"/>
                      </w:rPr>
                      <w:t>Lėšų poreikis, tūkst. eurų</w:t>
                    </w:r>
                  </w:p>
                </w:tc>
                <w:tc>
                  <w:tcPr>
                    <w:tcW w:w="3827" w:type="dxa"/>
                    <w:tcBorders>
                      <w:top w:val="single" w:sz="4" w:space="0" w:color="auto"/>
                      <w:left w:val="nil"/>
                      <w:bottom w:val="single" w:sz="4" w:space="0" w:color="auto"/>
                      <w:right w:val="single" w:sz="4" w:space="0" w:color="auto"/>
                    </w:tcBorders>
                    <w:shd w:val="clear" w:color="000000" w:fill="DBE5F1"/>
                    <w:vAlign w:val="center"/>
                    <w:hideMark/>
                  </w:tcPr>
                  <w:p>
                    <w:pPr>
                      <w:jc w:val="center"/>
                      <w:rPr>
                        <w:b/>
                        <w:bCs/>
                        <w:color w:val="000000"/>
                        <w:sz w:val="20"/>
                        <w:lang w:eastAsia="lt-LT"/>
                      </w:rPr>
                    </w:pPr>
                    <w:r>
                      <w:rPr>
                        <w:b/>
                        <w:bCs/>
                        <w:color w:val="000000"/>
                        <w:sz w:val="20"/>
                        <w:lang w:eastAsia="lt-LT"/>
                      </w:rPr>
                      <w:t>Galimi finansavimo šaltiniai</w:t>
                    </w:r>
                  </w:p>
                </w:tc>
              </w:tr>
              <w:tr>
                <w:trPr>
                  <w:trHeight w:val="310"/>
                  <w:tblHeader/>
                </w:trPr>
                <w:tc>
                  <w:tcPr>
                    <w:tcW w:w="4111" w:type="dxa"/>
                    <w:tcBorders>
                      <w:top w:val="nil"/>
                      <w:left w:val="single" w:sz="4" w:space="0" w:color="auto"/>
                      <w:bottom w:val="single" w:sz="4" w:space="0" w:color="auto"/>
                      <w:right w:val="single" w:sz="4" w:space="0" w:color="auto"/>
                    </w:tcBorders>
                    <w:shd w:val="clear" w:color="000000" w:fill="DBE5F1"/>
                    <w:vAlign w:val="center"/>
                    <w:hideMark/>
                  </w:tcPr>
                  <w:p>
                    <w:pPr>
                      <w:jc w:val="center"/>
                      <w:rPr>
                        <w:color w:val="000000"/>
                        <w:sz w:val="20"/>
                        <w:lang w:eastAsia="lt-LT"/>
                      </w:rPr>
                    </w:pPr>
                    <w:r>
                      <w:rPr>
                        <w:color w:val="000000"/>
                        <w:sz w:val="20"/>
                        <w:lang w:eastAsia="lt-LT"/>
                      </w:rPr>
                      <w:t>1</w:t>
                    </w:r>
                  </w:p>
                </w:tc>
                <w:tc>
                  <w:tcPr>
                    <w:tcW w:w="1418" w:type="dxa"/>
                    <w:tcBorders>
                      <w:top w:val="nil"/>
                      <w:left w:val="nil"/>
                      <w:bottom w:val="single" w:sz="4" w:space="0" w:color="auto"/>
                      <w:right w:val="single" w:sz="4" w:space="0" w:color="auto"/>
                    </w:tcBorders>
                    <w:shd w:val="clear" w:color="000000" w:fill="DBE5F1"/>
                    <w:vAlign w:val="center"/>
                    <w:hideMark/>
                  </w:tcPr>
                  <w:p>
                    <w:pPr>
                      <w:jc w:val="center"/>
                      <w:rPr>
                        <w:color w:val="000000"/>
                        <w:sz w:val="20"/>
                        <w:lang w:eastAsia="lt-LT"/>
                      </w:rPr>
                    </w:pPr>
                    <w:r>
                      <w:rPr>
                        <w:color w:val="000000"/>
                        <w:sz w:val="20"/>
                        <w:lang w:eastAsia="lt-LT"/>
                      </w:rPr>
                      <w:t>2</w:t>
                    </w:r>
                  </w:p>
                </w:tc>
                <w:tc>
                  <w:tcPr>
                    <w:tcW w:w="3827" w:type="dxa"/>
                    <w:tcBorders>
                      <w:top w:val="nil"/>
                      <w:left w:val="nil"/>
                      <w:bottom w:val="single" w:sz="4" w:space="0" w:color="auto"/>
                      <w:right w:val="single" w:sz="4" w:space="0" w:color="auto"/>
                    </w:tcBorders>
                    <w:shd w:val="clear" w:color="000000" w:fill="DBE5F1"/>
                    <w:vAlign w:val="center"/>
                    <w:hideMark/>
                  </w:tcPr>
                  <w:p>
                    <w:pPr>
                      <w:jc w:val="center"/>
                      <w:rPr>
                        <w:color w:val="000000"/>
                        <w:sz w:val="20"/>
                        <w:lang w:eastAsia="lt-LT"/>
                      </w:rPr>
                    </w:pPr>
                    <w:r>
                      <w:rPr>
                        <w:color w:val="000000"/>
                        <w:sz w:val="20"/>
                        <w:lang w:eastAsia="lt-LT"/>
                      </w:rPr>
                      <w:t>3</w:t>
                    </w:r>
                  </w:p>
                </w:tc>
              </w:tr>
              <w:tr>
                <w:trPr>
                  <w:trHeight w:val="580"/>
                </w:trPr>
                <w:tc>
                  <w:tcPr>
                    <w:tcW w:w="4111" w:type="dxa"/>
                    <w:tcBorders>
                      <w:top w:val="nil"/>
                      <w:left w:val="single" w:sz="4" w:space="0" w:color="auto"/>
                      <w:bottom w:val="single" w:sz="4" w:space="0" w:color="auto"/>
                      <w:right w:val="single" w:sz="4" w:space="0" w:color="auto"/>
                    </w:tcBorders>
                    <w:shd w:val="clear" w:color="auto" w:fill="auto"/>
                    <w:noWrap/>
                    <w:vAlign w:val="center"/>
                  </w:tcPr>
                  <w:p>
                    <w:pPr>
                      <w:rPr>
                        <w:color w:val="000000"/>
                        <w:sz w:val="20"/>
                        <w:lang w:eastAsia="lt-LT"/>
                      </w:rPr>
                    </w:pPr>
                    <w:r>
                      <w:rPr>
                        <w:color w:val="000000"/>
                        <w:sz w:val="20"/>
                        <w:lang w:eastAsia="lt-LT"/>
                      </w:rPr>
                      <w:t>11-01 Gerinti veiklos valdymą ir efektyviai išnaudoti pažangius skaitmeninius sprendimus paslaugų teikime</w:t>
                    </w:r>
                  </w:p>
                </w:tc>
                <w:tc>
                  <w:tcPr>
                    <w:tcW w:w="1418" w:type="dxa"/>
                    <w:tcBorders>
                      <w:top w:val="nil"/>
                      <w:left w:val="nil"/>
                      <w:bottom w:val="single" w:sz="4" w:space="0" w:color="auto"/>
                      <w:right w:val="single" w:sz="4" w:space="0" w:color="auto"/>
                    </w:tcBorders>
                    <w:shd w:val="clear" w:color="000000" w:fill="DCE6F1"/>
                    <w:noWrap/>
                    <w:vAlign w:val="center"/>
                  </w:tcPr>
                  <w:p>
                    <w:pPr>
                      <w:spacing w:line="259" w:lineRule="auto"/>
                      <w:jc w:val="center"/>
                      <w:rPr>
                        <w:rFonts w:eastAsia="Calibri"/>
                        <w:color w:val="000000"/>
                        <w:kern w:val="2"/>
                        <w:sz w:val="20"/>
                      </w:rPr>
                    </w:pPr>
                    <w:r>
                      <w:rPr>
                        <w:rFonts w:eastAsia="Calibri"/>
                        <w:color w:val="000000"/>
                        <w:kern w:val="2"/>
                        <w:sz w:val="20"/>
                      </w:rPr>
                      <w:t>247 217</w:t>
                    </w:r>
                  </w:p>
                </w:tc>
                <w:tc>
                  <w:tcPr>
                    <w:tcW w:w="3827" w:type="dxa"/>
                    <w:tcBorders>
                      <w:top w:val="nil"/>
                      <w:left w:val="nil"/>
                      <w:bottom w:val="single" w:sz="4" w:space="0" w:color="auto"/>
                      <w:right w:val="single" w:sz="4" w:space="0" w:color="auto"/>
                    </w:tcBorders>
                    <w:shd w:val="clear" w:color="auto" w:fill="auto"/>
                    <w:vAlign w:val="center"/>
                  </w:tcPr>
                  <w:p>
                    <w:pPr>
                      <w:rPr>
                        <w:color w:val="000000"/>
                        <w:sz w:val="20"/>
                        <w:lang w:eastAsia="lt-LT"/>
                      </w:rPr>
                    </w:pPr>
                    <w:r>
                      <w:rPr>
                        <w:color w:val="000000"/>
                        <w:sz w:val="20"/>
                        <w:lang w:eastAsia="lt-LT"/>
                      </w:rPr>
                      <w:t>Savivaldybės biudžetas; Valstybės biudžeto dotacijos; Europos Sąjungos finansinė parama ir kitos teisėtai gautos lėšos.</w:t>
                    </w:r>
                  </w:p>
                </w:tc>
              </w:tr>
              <w:tr>
                <w:trPr>
                  <w:trHeight w:val="580"/>
                </w:trPr>
                <w:tc>
                  <w:tcPr>
                    <w:tcW w:w="4111" w:type="dxa"/>
                    <w:tcBorders>
                      <w:top w:val="nil"/>
                      <w:left w:val="single" w:sz="4" w:space="0" w:color="auto"/>
                      <w:bottom w:val="single" w:sz="4" w:space="0" w:color="auto"/>
                      <w:right w:val="single" w:sz="4" w:space="0" w:color="auto"/>
                    </w:tcBorders>
                    <w:shd w:val="clear" w:color="auto" w:fill="auto"/>
                    <w:noWrap/>
                    <w:vAlign w:val="center"/>
                  </w:tcPr>
                  <w:p>
                    <w:pPr>
                      <w:rPr>
                        <w:color w:val="000000"/>
                        <w:sz w:val="20"/>
                        <w:lang w:eastAsia="lt-LT"/>
                      </w:rPr>
                    </w:pPr>
                    <w:r>
                      <w:rPr>
                        <w:color w:val="000000"/>
                        <w:sz w:val="20"/>
                        <w:lang w:eastAsia="lt-LT"/>
                      </w:rPr>
                      <w:t>11-02 Skatinti įtraukų bendradarbiavimą su visuomene ir suinteresuotomis šalimis</w:t>
                    </w:r>
                  </w:p>
                </w:tc>
                <w:tc>
                  <w:tcPr>
                    <w:tcW w:w="1418" w:type="dxa"/>
                    <w:tcBorders>
                      <w:top w:val="nil"/>
                      <w:left w:val="nil"/>
                      <w:bottom w:val="single" w:sz="4" w:space="0" w:color="auto"/>
                      <w:right w:val="single" w:sz="4" w:space="0" w:color="auto"/>
                    </w:tcBorders>
                    <w:shd w:val="clear" w:color="000000" w:fill="DCE6F1"/>
                    <w:noWrap/>
                    <w:vAlign w:val="center"/>
                  </w:tcPr>
                  <w:p>
                    <w:pPr>
                      <w:jc w:val="center"/>
                      <w:rPr>
                        <w:color w:val="000000"/>
                        <w:sz w:val="20"/>
                        <w:lang w:eastAsia="lt-LT"/>
                      </w:rPr>
                    </w:pPr>
                    <w:r>
                      <w:rPr>
                        <w:color w:val="000000"/>
                        <w:sz w:val="20"/>
                        <w:lang w:eastAsia="lt-LT"/>
                      </w:rPr>
                      <w:t>7 643</w:t>
                    </w:r>
                  </w:p>
                </w:tc>
                <w:tc>
                  <w:tcPr>
                    <w:tcW w:w="3827" w:type="dxa"/>
                    <w:tcBorders>
                      <w:top w:val="nil"/>
                      <w:left w:val="nil"/>
                      <w:bottom w:val="single" w:sz="4" w:space="0" w:color="auto"/>
                      <w:right w:val="single" w:sz="4" w:space="0" w:color="auto"/>
                    </w:tcBorders>
                    <w:shd w:val="clear" w:color="auto" w:fill="auto"/>
                    <w:vAlign w:val="center"/>
                  </w:tcPr>
                  <w:p>
                    <w:pPr>
                      <w:rPr>
                        <w:color w:val="000000"/>
                        <w:sz w:val="20"/>
                        <w:lang w:eastAsia="lt-LT"/>
                      </w:rPr>
                    </w:pPr>
                    <w:r>
                      <w:rPr>
                        <w:color w:val="000000"/>
                        <w:sz w:val="20"/>
                        <w:lang w:eastAsia="lt-LT"/>
                      </w:rPr>
                      <w:t>Savivaldybės biudžetas; Valstybės biudžeto dotacijos; Europos Sąjungos finansinė parama ir kitos teisėtai gautos lėšos.</w:t>
                    </w:r>
                  </w:p>
                </w:tc>
              </w:tr>
              <w:tr>
                <w:trPr>
                  <w:trHeight w:val="580"/>
                </w:trPr>
                <w:tc>
                  <w:tcPr>
                    <w:tcW w:w="4111" w:type="dxa"/>
                    <w:tcBorders>
                      <w:top w:val="nil"/>
                      <w:left w:val="single" w:sz="4" w:space="0" w:color="auto"/>
                      <w:bottom w:val="single" w:sz="4" w:space="0" w:color="auto"/>
                      <w:right w:val="single" w:sz="4" w:space="0" w:color="auto"/>
                    </w:tcBorders>
                    <w:shd w:val="clear" w:color="auto" w:fill="auto"/>
                    <w:noWrap/>
                    <w:vAlign w:val="center"/>
                  </w:tcPr>
                  <w:p>
                    <w:pPr>
                      <w:rPr>
                        <w:color w:val="000000"/>
                        <w:sz w:val="20"/>
                        <w:lang w:eastAsia="lt-LT"/>
                      </w:rPr>
                    </w:pPr>
                    <w:r>
                      <w:rPr>
                        <w:color w:val="000000"/>
                        <w:sz w:val="20"/>
                        <w:lang w:eastAsia="lt-LT"/>
                      </w:rPr>
                      <w:t>12-01 Stiprinti miesto kultūrinio gyvenimo aktyvumą</w:t>
                    </w:r>
                  </w:p>
                </w:tc>
                <w:tc>
                  <w:tcPr>
                    <w:tcW w:w="1418" w:type="dxa"/>
                    <w:tcBorders>
                      <w:top w:val="nil"/>
                      <w:left w:val="nil"/>
                      <w:bottom w:val="single" w:sz="4" w:space="0" w:color="auto"/>
                      <w:right w:val="single" w:sz="4" w:space="0" w:color="auto"/>
                    </w:tcBorders>
                    <w:shd w:val="clear" w:color="000000" w:fill="DCE6F1"/>
                    <w:noWrap/>
                    <w:vAlign w:val="center"/>
                  </w:tcPr>
                  <w:p>
                    <w:pPr>
                      <w:jc w:val="center"/>
                      <w:rPr>
                        <w:color w:val="000000"/>
                        <w:sz w:val="20"/>
                        <w:lang w:eastAsia="lt-LT"/>
                      </w:rPr>
                    </w:pPr>
                    <w:r>
                      <w:rPr>
                        <w:color w:val="000000"/>
                        <w:sz w:val="20"/>
                        <w:lang w:eastAsia="lt-LT"/>
                      </w:rPr>
                      <w:t>22 250</w:t>
                    </w:r>
                  </w:p>
                </w:tc>
                <w:tc>
                  <w:tcPr>
                    <w:tcW w:w="3827" w:type="dxa"/>
                    <w:tcBorders>
                      <w:top w:val="nil"/>
                      <w:left w:val="nil"/>
                      <w:bottom w:val="single" w:sz="4" w:space="0" w:color="auto"/>
                      <w:right w:val="single" w:sz="4" w:space="0" w:color="auto"/>
                    </w:tcBorders>
                    <w:shd w:val="clear" w:color="auto" w:fill="auto"/>
                    <w:vAlign w:val="center"/>
                  </w:tcPr>
                  <w:p>
                    <w:pPr>
                      <w:rPr>
                        <w:color w:val="000000"/>
                        <w:sz w:val="20"/>
                        <w:lang w:eastAsia="lt-LT"/>
                      </w:rPr>
                    </w:pPr>
                    <w:r>
                      <w:rPr>
                        <w:color w:val="000000"/>
                        <w:sz w:val="20"/>
                        <w:lang w:eastAsia="lt-LT"/>
                      </w:rPr>
                      <w:t>Savivaldybės biudžetas; Valstybės biudžeto dotacijos; Europos Sąjungos finansinė parama ir kitos teisėtai gautos lėšos.</w:t>
                    </w:r>
                  </w:p>
                </w:tc>
              </w:tr>
              <w:tr>
                <w:trPr>
                  <w:trHeight w:val="580"/>
                </w:trPr>
                <w:tc>
                  <w:tcPr>
                    <w:tcW w:w="4111" w:type="dxa"/>
                    <w:tcBorders>
                      <w:top w:val="nil"/>
                      <w:left w:val="single" w:sz="4" w:space="0" w:color="auto"/>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12-02 Išvystyti gyventojų poreikius atitinkančią kultūros įstaigų infrastruktūrą</w:t>
                    </w:r>
                  </w:p>
                </w:tc>
                <w:tc>
                  <w:tcPr>
                    <w:tcW w:w="1418" w:type="dxa"/>
                    <w:tcBorders>
                      <w:top w:val="nil"/>
                      <w:left w:val="nil"/>
                      <w:bottom w:val="single" w:sz="4" w:space="0" w:color="auto"/>
                      <w:right w:val="single" w:sz="4" w:space="0" w:color="auto"/>
                    </w:tcBorders>
                    <w:shd w:val="clear" w:color="000000" w:fill="DCE6F1"/>
                    <w:noWrap/>
                    <w:vAlign w:val="center"/>
                    <w:hideMark/>
                  </w:tcPr>
                  <w:p>
                    <w:pPr>
                      <w:jc w:val="center"/>
                      <w:rPr>
                        <w:color w:val="000000"/>
                        <w:sz w:val="20"/>
                        <w:lang w:eastAsia="lt-LT"/>
                      </w:rPr>
                    </w:pPr>
                    <w:r>
                      <w:rPr>
                        <w:color w:val="000000"/>
                        <w:sz w:val="20"/>
                        <w:lang w:eastAsia="lt-LT"/>
                      </w:rPr>
                      <w:t>43 875</w:t>
                    </w:r>
                  </w:p>
                </w:tc>
                <w:tc>
                  <w:tcPr>
                    <w:tcW w:w="3827"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Savivaldybės biudžetas; Valstybės biudžeto dotacijos; Europos Sąjungos finansinė parama ir kitos teisėtai gautos lėšos; VPSP.</w:t>
                    </w:r>
                  </w:p>
                </w:tc>
              </w:tr>
              <w:tr>
                <w:trPr>
                  <w:trHeight w:val="580"/>
                </w:trPr>
                <w:tc>
                  <w:tcPr>
                    <w:tcW w:w="4111" w:type="dxa"/>
                    <w:tcBorders>
                      <w:top w:val="nil"/>
                      <w:left w:val="single" w:sz="4" w:space="0" w:color="auto"/>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13-01 Mažinti aplinkos taršą ir kurti miesto ekosistemą, siekiant didinti atsparumą klimato kaitos padariniams</w:t>
                    </w:r>
                  </w:p>
                </w:tc>
                <w:tc>
                  <w:tcPr>
                    <w:tcW w:w="1418" w:type="dxa"/>
                    <w:tcBorders>
                      <w:top w:val="nil"/>
                      <w:left w:val="nil"/>
                      <w:bottom w:val="single" w:sz="4" w:space="0" w:color="auto"/>
                      <w:right w:val="single" w:sz="4" w:space="0" w:color="auto"/>
                    </w:tcBorders>
                    <w:shd w:val="clear" w:color="000000" w:fill="DCE6F1"/>
                    <w:noWrap/>
                    <w:vAlign w:val="center"/>
                    <w:hideMark/>
                  </w:tcPr>
                  <w:p>
                    <w:pPr>
                      <w:jc w:val="center"/>
                      <w:rPr>
                        <w:color w:val="000000"/>
                        <w:sz w:val="20"/>
                        <w:lang w:eastAsia="lt-LT"/>
                      </w:rPr>
                    </w:pPr>
                    <w:r>
                      <w:rPr>
                        <w:color w:val="000000"/>
                        <w:sz w:val="20"/>
                        <w:lang w:eastAsia="lt-LT"/>
                      </w:rPr>
                      <w:t>13 183</w:t>
                    </w:r>
                  </w:p>
                </w:tc>
                <w:tc>
                  <w:tcPr>
                    <w:tcW w:w="3827"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Savivaldybės biudžetas; Valstybės biudžeto dotacijos; Europos Sąjungos finansinė parama ir kitos teisėtai gautos lėšos.</w:t>
                    </w:r>
                  </w:p>
                </w:tc>
              </w:tr>
              <w:tr>
                <w:trPr>
                  <w:trHeight w:val="580"/>
                </w:trPr>
                <w:tc>
                  <w:tcPr>
                    <w:tcW w:w="4111" w:type="dxa"/>
                    <w:tcBorders>
                      <w:top w:val="nil"/>
                      <w:left w:val="single" w:sz="4" w:space="0" w:color="auto"/>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13-02 Taikyti žiedinės ekonomikos principus komunalinių atliekų tvarkyme</w:t>
                    </w:r>
                  </w:p>
                </w:tc>
                <w:tc>
                  <w:tcPr>
                    <w:tcW w:w="1418" w:type="dxa"/>
                    <w:tcBorders>
                      <w:top w:val="nil"/>
                      <w:left w:val="nil"/>
                      <w:bottom w:val="single" w:sz="4" w:space="0" w:color="auto"/>
                      <w:right w:val="single" w:sz="4" w:space="0" w:color="auto"/>
                    </w:tcBorders>
                    <w:shd w:val="clear" w:color="000000" w:fill="DCE6F1"/>
                    <w:noWrap/>
                    <w:vAlign w:val="center"/>
                    <w:hideMark/>
                  </w:tcPr>
                  <w:p>
                    <w:pPr>
                      <w:jc w:val="center"/>
                      <w:rPr>
                        <w:color w:val="000000"/>
                        <w:sz w:val="20"/>
                        <w:lang w:eastAsia="lt-LT"/>
                      </w:rPr>
                    </w:pPr>
                    <w:r>
                      <w:rPr>
                        <w:color w:val="000000"/>
                        <w:sz w:val="20"/>
                        <w:lang w:eastAsia="lt-LT"/>
                      </w:rPr>
                      <w:t>35 155</w:t>
                    </w:r>
                  </w:p>
                </w:tc>
                <w:tc>
                  <w:tcPr>
                    <w:tcW w:w="3827"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Savivaldybės biudžetas; Valstybės biudžeto dotacijos; Europos Sąjungos finansinė parama ir kitos teisėtai gautos lėšos.</w:t>
                    </w:r>
                  </w:p>
                </w:tc>
              </w:tr>
              <w:tr>
                <w:trPr>
                  <w:trHeight w:val="580"/>
                </w:trPr>
                <w:tc>
                  <w:tcPr>
                    <w:tcW w:w="4111" w:type="dxa"/>
                    <w:tcBorders>
                      <w:top w:val="nil"/>
                      <w:left w:val="single" w:sz="4" w:space="0" w:color="auto"/>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14-01 Kompleksiškai planuoti gyvybingą ir nuoseklią miesto struktūrą</w:t>
                    </w:r>
                  </w:p>
                </w:tc>
                <w:tc>
                  <w:tcPr>
                    <w:tcW w:w="1418" w:type="dxa"/>
                    <w:tcBorders>
                      <w:top w:val="nil"/>
                      <w:left w:val="nil"/>
                      <w:bottom w:val="single" w:sz="4" w:space="0" w:color="auto"/>
                      <w:right w:val="single" w:sz="4" w:space="0" w:color="auto"/>
                    </w:tcBorders>
                    <w:shd w:val="clear" w:color="000000" w:fill="DCE6F1"/>
                    <w:noWrap/>
                    <w:vAlign w:val="center"/>
                    <w:hideMark/>
                  </w:tcPr>
                  <w:p>
                    <w:pPr>
                      <w:jc w:val="center"/>
                      <w:rPr>
                        <w:color w:val="000000"/>
                        <w:sz w:val="20"/>
                        <w:lang w:eastAsia="lt-LT"/>
                      </w:rPr>
                    </w:pPr>
                    <w:r>
                      <w:rPr>
                        <w:color w:val="000000"/>
                        <w:sz w:val="20"/>
                        <w:lang w:eastAsia="lt-LT"/>
                      </w:rPr>
                      <w:t>109 109</w:t>
                    </w:r>
                  </w:p>
                </w:tc>
                <w:tc>
                  <w:tcPr>
                    <w:tcW w:w="3827"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Savivaldybės biudžetas; Valstybės biudžeto dotacijos; Europos Sąjungos finansinė parama ir kitos teisėtai gautos lėšos.</w:t>
                    </w:r>
                  </w:p>
                </w:tc>
              </w:tr>
              <w:tr>
                <w:trPr>
                  <w:trHeight w:val="580"/>
                </w:trPr>
                <w:tc>
                  <w:tcPr>
                    <w:tcW w:w="4111" w:type="dxa"/>
                    <w:tcBorders>
                      <w:top w:val="nil"/>
                      <w:left w:val="single" w:sz="4" w:space="0" w:color="auto"/>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14-02 Formuoti darnias miesto jungtis, užtikrinančias tvarų ir saugų judėjimą mieste</w:t>
                    </w:r>
                  </w:p>
                </w:tc>
                <w:tc>
                  <w:tcPr>
                    <w:tcW w:w="1418" w:type="dxa"/>
                    <w:tcBorders>
                      <w:top w:val="nil"/>
                      <w:left w:val="nil"/>
                      <w:bottom w:val="single" w:sz="4" w:space="0" w:color="auto"/>
                      <w:right w:val="single" w:sz="4" w:space="0" w:color="auto"/>
                    </w:tcBorders>
                    <w:shd w:val="clear" w:color="000000" w:fill="DCE6F1"/>
                    <w:noWrap/>
                    <w:vAlign w:val="center"/>
                    <w:hideMark/>
                  </w:tcPr>
                  <w:p>
                    <w:pPr>
                      <w:jc w:val="center"/>
                      <w:rPr>
                        <w:color w:val="000000"/>
                        <w:sz w:val="20"/>
                        <w:lang w:eastAsia="lt-LT"/>
                      </w:rPr>
                    </w:pPr>
                    <w:r>
                      <w:rPr>
                        <w:color w:val="000000"/>
                        <w:sz w:val="20"/>
                        <w:lang w:eastAsia="lt-LT"/>
                      </w:rPr>
                      <w:t>290 961</w:t>
                    </w:r>
                  </w:p>
                </w:tc>
                <w:tc>
                  <w:tcPr>
                    <w:tcW w:w="3827"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Savivaldybės biudžetas; Valstybės biudžeto dotacijos; Europos Sąjungos finansinė parama ir kitos teisėtai gautos lėšos.</w:t>
                    </w:r>
                  </w:p>
                </w:tc>
              </w:tr>
              <w:tr>
                <w:trPr>
                  <w:trHeight w:val="580"/>
                </w:trPr>
                <w:tc>
                  <w:tcPr>
                    <w:tcW w:w="4111" w:type="dxa"/>
                    <w:tcBorders>
                      <w:top w:val="nil"/>
                      <w:left w:val="single" w:sz="4" w:space="0" w:color="auto"/>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14-03 Užtikrinti tvarią, kokybišką miesto ir infrastruktūros plėtrą</w:t>
                    </w:r>
                  </w:p>
                </w:tc>
                <w:tc>
                  <w:tcPr>
                    <w:tcW w:w="1418" w:type="dxa"/>
                    <w:tcBorders>
                      <w:top w:val="nil"/>
                      <w:left w:val="nil"/>
                      <w:bottom w:val="single" w:sz="4" w:space="0" w:color="auto"/>
                      <w:right w:val="single" w:sz="4" w:space="0" w:color="auto"/>
                    </w:tcBorders>
                    <w:shd w:val="clear" w:color="000000" w:fill="DCE6F1"/>
                    <w:noWrap/>
                    <w:vAlign w:val="center"/>
                    <w:hideMark/>
                  </w:tcPr>
                  <w:p>
                    <w:pPr>
                      <w:jc w:val="center"/>
                      <w:rPr>
                        <w:color w:val="000000"/>
                        <w:sz w:val="20"/>
                        <w:lang w:eastAsia="lt-LT"/>
                      </w:rPr>
                    </w:pPr>
                    <w:r>
                      <w:rPr>
                        <w:color w:val="000000"/>
                        <w:sz w:val="20"/>
                        <w:lang w:eastAsia="lt-LT"/>
                      </w:rPr>
                      <w:t>14 994</w:t>
                    </w:r>
                  </w:p>
                </w:tc>
                <w:tc>
                  <w:tcPr>
                    <w:tcW w:w="3827"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Savivaldybės biudžetas; Valstybės biudžeto dotacijos; Europos Sąjungos finansinė parama ir kitos teisėtai gautos lėšos.</w:t>
                    </w:r>
                  </w:p>
                </w:tc>
              </w:tr>
              <w:tr>
                <w:trPr>
                  <w:trHeight w:val="580"/>
                </w:trPr>
                <w:tc>
                  <w:tcPr>
                    <w:tcW w:w="4111" w:type="dxa"/>
                    <w:tcBorders>
                      <w:top w:val="nil"/>
                      <w:left w:val="single" w:sz="4" w:space="0" w:color="auto"/>
                      <w:bottom w:val="single" w:sz="4" w:space="0" w:color="auto"/>
                      <w:right w:val="single" w:sz="4" w:space="0" w:color="auto"/>
                    </w:tcBorders>
                    <w:shd w:val="clear" w:color="auto" w:fill="auto"/>
                    <w:noWrap/>
                    <w:vAlign w:val="center"/>
                    <w:hideMark/>
                  </w:tcPr>
                  <w:p>
                    <w:pPr>
                      <w:rPr>
                        <w:color w:val="000000"/>
                        <w:sz w:val="20"/>
                        <w:lang w:eastAsia="lt-LT"/>
                      </w:rPr>
                    </w:pPr>
                    <w:r>
                      <w:rPr>
                        <w:color w:val="000000"/>
                        <w:sz w:val="20"/>
                        <w:lang w:eastAsia="lt-LT"/>
                      </w:rPr>
                      <w:t xml:space="preserve">15-01 Pagerinti investicijų pritraukimo ir verslo plėtros sąlygas </w:t>
                    </w:r>
                  </w:p>
                </w:tc>
                <w:tc>
                  <w:tcPr>
                    <w:tcW w:w="1418" w:type="dxa"/>
                    <w:tcBorders>
                      <w:top w:val="nil"/>
                      <w:left w:val="nil"/>
                      <w:bottom w:val="single" w:sz="4" w:space="0" w:color="auto"/>
                      <w:right w:val="single" w:sz="4" w:space="0" w:color="auto"/>
                    </w:tcBorders>
                    <w:shd w:val="clear" w:color="000000" w:fill="DCE6F1"/>
                    <w:noWrap/>
                    <w:vAlign w:val="center"/>
                    <w:hideMark/>
                  </w:tcPr>
                  <w:p>
                    <w:pPr>
                      <w:spacing w:line="259" w:lineRule="auto"/>
                      <w:jc w:val="center"/>
                      <w:rPr>
                        <w:rFonts w:eastAsia="Calibri"/>
                        <w:color w:val="000000"/>
                        <w:kern w:val="2"/>
                        <w:sz w:val="20"/>
                      </w:rPr>
                    </w:pPr>
                    <w:r>
                      <w:rPr>
                        <w:color w:val="000000"/>
                        <w:sz w:val="20"/>
                        <w:lang w:eastAsia="lt-LT"/>
                      </w:rPr>
                      <w:t xml:space="preserve">15 528 </w:t>
                    </w:r>
                  </w:p>
                </w:tc>
                <w:tc>
                  <w:tcPr>
                    <w:tcW w:w="3827"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Savivaldybės biudžetas; Valstybės biudžeto dotacijos; Europos Sąjungos finansinė parama ir kitos teisėtai gautos lėšos.</w:t>
                    </w:r>
                  </w:p>
                </w:tc>
              </w:tr>
              <w:tr>
                <w:trPr>
                  <w:trHeight w:val="580"/>
                </w:trPr>
                <w:tc>
                  <w:tcPr>
                    <w:tcW w:w="4111" w:type="dxa"/>
                    <w:tcBorders>
                      <w:top w:val="nil"/>
                      <w:left w:val="single" w:sz="4" w:space="0" w:color="auto"/>
                      <w:bottom w:val="single" w:sz="4" w:space="0" w:color="auto"/>
                      <w:right w:val="single" w:sz="4" w:space="0" w:color="auto"/>
                    </w:tcBorders>
                    <w:shd w:val="clear" w:color="auto" w:fill="auto"/>
                    <w:noWrap/>
                    <w:vAlign w:val="center"/>
                    <w:hideMark/>
                  </w:tcPr>
                  <w:p>
                    <w:pPr>
                      <w:rPr>
                        <w:color w:val="000000"/>
                        <w:sz w:val="20"/>
                        <w:lang w:eastAsia="lt-LT"/>
                      </w:rPr>
                    </w:pPr>
                    <w:r>
                      <w:rPr>
                        <w:color w:val="000000"/>
                        <w:sz w:val="20"/>
                        <w:lang w:eastAsia="lt-LT"/>
                      </w:rPr>
                      <w:t>15-02 Stiprinti miesto patrauklumą plėtojant turizmo sektorių</w:t>
                    </w:r>
                  </w:p>
                </w:tc>
                <w:tc>
                  <w:tcPr>
                    <w:tcW w:w="1418" w:type="dxa"/>
                    <w:tcBorders>
                      <w:top w:val="nil"/>
                      <w:left w:val="nil"/>
                      <w:bottom w:val="single" w:sz="4" w:space="0" w:color="auto"/>
                      <w:right w:val="single" w:sz="4" w:space="0" w:color="auto"/>
                    </w:tcBorders>
                    <w:shd w:val="clear" w:color="000000" w:fill="DCE6F1"/>
                    <w:noWrap/>
                    <w:vAlign w:val="center"/>
                    <w:hideMark/>
                  </w:tcPr>
                  <w:p>
                    <w:pPr>
                      <w:jc w:val="center"/>
                      <w:rPr>
                        <w:color w:val="000000"/>
                        <w:sz w:val="20"/>
                        <w:lang w:eastAsia="lt-LT"/>
                      </w:rPr>
                    </w:pPr>
                    <w:r>
                      <w:rPr>
                        <w:rFonts w:eastAsia="Calibri"/>
                        <w:color w:val="000000"/>
                        <w:kern w:val="2"/>
                        <w:sz w:val="20"/>
                      </w:rPr>
                      <w:t>28 151</w:t>
                    </w:r>
                  </w:p>
                </w:tc>
                <w:tc>
                  <w:tcPr>
                    <w:tcW w:w="3827"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Savivaldybės biudžetas; Valstybės biudžeto dotacijos; Europos Sąjungos finansinė parama ir kitos teisėtai gautos lėšos; VPSP.</w:t>
                    </w:r>
                  </w:p>
                </w:tc>
              </w:tr>
              <w:tr>
                <w:trPr>
                  <w:trHeight w:val="580"/>
                </w:trPr>
                <w:tc>
                  <w:tcPr>
                    <w:tcW w:w="4111" w:type="dxa"/>
                    <w:tcBorders>
                      <w:top w:val="nil"/>
                      <w:left w:val="single" w:sz="4" w:space="0" w:color="auto"/>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15-03 Didinti Šiaulių miesto žinomumą ir teigiamą įvaizdį, stiprinant miesto identitetą ir rinkodarą</w:t>
                    </w:r>
                  </w:p>
                </w:tc>
                <w:tc>
                  <w:tcPr>
                    <w:tcW w:w="1418" w:type="dxa"/>
                    <w:tcBorders>
                      <w:top w:val="nil"/>
                      <w:left w:val="nil"/>
                      <w:bottom w:val="single" w:sz="4" w:space="0" w:color="auto"/>
                      <w:right w:val="single" w:sz="4" w:space="0" w:color="auto"/>
                    </w:tcBorders>
                    <w:shd w:val="clear" w:color="000000" w:fill="DCE6F1"/>
                    <w:noWrap/>
                    <w:vAlign w:val="center"/>
                    <w:hideMark/>
                  </w:tcPr>
                  <w:p>
                    <w:pPr>
                      <w:spacing w:line="259" w:lineRule="auto"/>
                      <w:jc w:val="center"/>
                      <w:rPr>
                        <w:rFonts w:eastAsia="Calibri"/>
                        <w:color w:val="000000"/>
                        <w:kern w:val="2"/>
                        <w:sz w:val="20"/>
                      </w:rPr>
                    </w:pPr>
                    <w:r>
                      <w:rPr>
                        <w:rFonts w:eastAsia="Calibri"/>
                        <w:color w:val="000000"/>
                        <w:kern w:val="2"/>
                        <w:sz w:val="20"/>
                      </w:rPr>
                      <w:t>3 389</w:t>
                    </w:r>
                  </w:p>
                </w:tc>
                <w:tc>
                  <w:tcPr>
                    <w:tcW w:w="3827"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Savivaldybės biudžetas; Valstybės biudžeto dotacijos; Europos Sąjungos finansinė parama ir kitos teisėtai gautos lėšos.</w:t>
                    </w:r>
                  </w:p>
                </w:tc>
              </w:tr>
              <w:tr>
                <w:trPr>
                  <w:trHeight w:val="580"/>
                </w:trPr>
                <w:tc>
                  <w:tcPr>
                    <w:tcW w:w="4111" w:type="dxa"/>
                    <w:tcBorders>
                      <w:top w:val="nil"/>
                      <w:left w:val="single" w:sz="4" w:space="0" w:color="auto"/>
                      <w:bottom w:val="single" w:sz="4" w:space="0" w:color="auto"/>
                      <w:right w:val="single" w:sz="4" w:space="0" w:color="auto"/>
                    </w:tcBorders>
                    <w:shd w:val="clear" w:color="auto" w:fill="auto"/>
                    <w:vAlign w:val="center"/>
                  </w:tcPr>
                  <w:p>
                    <w:pPr>
                      <w:rPr>
                        <w:color w:val="000000"/>
                        <w:sz w:val="20"/>
                        <w:lang w:eastAsia="lt-LT"/>
                      </w:rPr>
                    </w:pPr>
                    <w:r>
                      <w:rPr>
                        <w:color w:val="000000"/>
                        <w:sz w:val="20"/>
                        <w:lang w:eastAsia="lt-LT"/>
                      </w:rPr>
                      <w:t>16-01 Užtikrinti nuoseklų ir efektyvų socialinių paslaugų teikimą</w:t>
                    </w:r>
                  </w:p>
                </w:tc>
                <w:tc>
                  <w:tcPr>
                    <w:tcW w:w="1418" w:type="dxa"/>
                    <w:tcBorders>
                      <w:top w:val="nil"/>
                      <w:left w:val="nil"/>
                      <w:bottom w:val="single" w:sz="4" w:space="0" w:color="auto"/>
                      <w:right w:val="single" w:sz="4" w:space="0" w:color="auto"/>
                    </w:tcBorders>
                    <w:shd w:val="clear" w:color="000000" w:fill="DCE6F1"/>
                    <w:noWrap/>
                    <w:vAlign w:val="center"/>
                  </w:tcPr>
                  <w:p>
                    <w:pPr>
                      <w:jc w:val="center"/>
                      <w:rPr>
                        <w:color w:val="000000"/>
                        <w:sz w:val="20"/>
                        <w:lang w:eastAsia="lt-LT"/>
                      </w:rPr>
                    </w:pPr>
                    <w:r>
                      <w:rPr>
                        <w:color w:val="000000"/>
                        <w:sz w:val="20"/>
                        <w:lang w:eastAsia="lt-LT"/>
                      </w:rPr>
                      <w:t>607 540</w:t>
                    </w:r>
                  </w:p>
                </w:tc>
                <w:tc>
                  <w:tcPr>
                    <w:tcW w:w="3827" w:type="dxa"/>
                    <w:tcBorders>
                      <w:top w:val="nil"/>
                      <w:left w:val="nil"/>
                      <w:bottom w:val="single" w:sz="4" w:space="0" w:color="auto"/>
                      <w:right w:val="single" w:sz="4" w:space="0" w:color="auto"/>
                    </w:tcBorders>
                    <w:shd w:val="clear" w:color="auto" w:fill="auto"/>
                    <w:vAlign w:val="center"/>
                  </w:tcPr>
                  <w:p>
                    <w:pPr>
                      <w:rPr>
                        <w:color w:val="000000"/>
                        <w:sz w:val="20"/>
                        <w:lang w:eastAsia="lt-LT"/>
                      </w:rPr>
                    </w:pPr>
                    <w:r>
                      <w:rPr>
                        <w:color w:val="000000"/>
                        <w:sz w:val="20"/>
                        <w:lang w:eastAsia="lt-LT"/>
                      </w:rPr>
                      <w:t>Savivaldybės biudžetas; Valstybės biudžeto dotacijos; Europos Sąjungos finansinė parama ir kitos teisėtai gautos lėšos.</w:t>
                    </w:r>
                  </w:p>
                </w:tc>
              </w:tr>
              <w:tr>
                <w:trPr>
                  <w:trHeight w:val="580"/>
                </w:trPr>
                <w:tc>
                  <w:tcPr>
                    <w:tcW w:w="4111" w:type="dxa"/>
                    <w:tcBorders>
                      <w:top w:val="nil"/>
                      <w:left w:val="single" w:sz="4" w:space="0" w:color="auto"/>
                      <w:bottom w:val="single" w:sz="4" w:space="0" w:color="auto"/>
                      <w:right w:val="single" w:sz="4" w:space="0" w:color="auto"/>
                    </w:tcBorders>
                    <w:shd w:val="clear" w:color="auto" w:fill="auto"/>
                    <w:vAlign w:val="center"/>
                  </w:tcPr>
                  <w:p>
                    <w:pPr>
                      <w:rPr>
                        <w:color w:val="000000"/>
                        <w:sz w:val="20"/>
                        <w:lang w:eastAsia="lt-LT"/>
                      </w:rPr>
                    </w:pPr>
                    <w:r>
                      <w:rPr>
                        <w:color w:val="000000"/>
                        <w:sz w:val="20"/>
                        <w:lang w:eastAsia="lt-LT"/>
                      </w:rPr>
                      <w:t>16-02 Užtikrinti socialinių paslaugų prieinamumą ir kokybę, plečiant, atnaujinant ir modernizuojant socialinių paslaugų infrastruktūrą</w:t>
                    </w:r>
                  </w:p>
                </w:tc>
                <w:tc>
                  <w:tcPr>
                    <w:tcW w:w="1418" w:type="dxa"/>
                    <w:tcBorders>
                      <w:top w:val="nil"/>
                      <w:left w:val="nil"/>
                      <w:bottom w:val="single" w:sz="4" w:space="0" w:color="auto"/>
                      <w:right w:val="single" w:sz="4" w:space="0" w:color="auto"/>
                    </w:tcBorders>
                    <w:shd w:val="clear" w:color="000000" w:fill="DCE6F1"/>
                    <w:noWrap/>
                    <w:vAlign w:val="center"/>
                  </w:tcPr>
                  <w:p>
                    <w:pPr>
                      <w:jc w:val="center"/>
                      <w:rPr>
                        <w:color w:val="000000"/>
                        <w:sz w:val="20"/>
                        <w:lang w:eastAsia="lt-LT"/>
                      </w:rPr>
                    </w:pPr>
                    <w:r>
                      <w:rPr>
                        <w:color w:val="000000"/>
                        <w:sz w:val="20"/>
                        <w:lang w:eastAsia="lt-LT"/>
                      </w:rPr>
                      <w:t>122 751</w:t>
                    </w:r>
                  </w:p>
                </w:tc>
                <w:tc>
                  <w:tcPr>
                    <w:tcW w:w="3827" w:type="dxa"/>
                    <w:tcBorders>
                      <w:top w:val="nil"/>
                      <w:left w:val="nil"/>
                      <w:bottom w:val="single" w:sz="4" w:space="0" w:color="auto"/>
                      <w:right w:val="single" w:sz="4" w:space="0" w:color="auto"/>
                    </w:tcBorders>
                    <w:shd w:val="clear" w:color="auto" w:fill="auto"/>
                    <w:vAlign w:val="center"/>
                  </w:tcPr>
                  <w:p>
                    <w:pPr>
                      <w:rPr>
                        <w:color w:val="000000"/>
                        <w:sz w:val="20"/>
                        <w:lang w:eastAsia="lt-LT"/>
                      </w:rPr>
                    </w:pPr>
                    <w:r>
                      <w:rPr>
                        <w:color w:val="000000"/>
                        <w:sz w:val="20"/>
                        <w:lang w:eastAsia="lt-LT"/>
                      </w:rPr>
                      <w:t>Savivaldybės biudžetas; Valstybės biudžeto dotacijos; Europos Sąjungos finansinė parama ir kitos teisėtai gautos lėšos.</w:t>
                    </w:r>
                  </w:p>
                </w:tc>
              </w:tr>
              <w:tr>
                <w:trPr>
                  <w:trHeight w:val="580"/>
                </w:trPr>
                <w:tc>
                  <w:tcPr>
                    <w:tcW w:w="4111" w:type="dxa"/>
                    <w:tcBorders>
                      <w:top w:val="nil"/>
                      <w:left w:val="single" w:sz="4" w:space="0" w:color="auto"/>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17-01 Skatinti gyventojų fizinio aktyvumo veiklas ir plėtoti aukšto meistriškumo sportininkų rengimo sistemą</w:t>
                    </w:r>
                  </w:p>
                </w:tc>
                <w:tc>
                  <w:tcPr>
                    <w:tcW w:w="1418" w:type="dxa"/>
                    <w:tcBorders>
                      <w:top w:val="nil"/>
                      <w:left w:val="nil"/>
                      <w:bottom w:val="single" w:sz="4" w:space="0" w:color="auto"/>
                      <w:right w:val="single" w:sz="4" w:space="0" w:color="auto"/>
                    </w:tcBorders>
                    <w:shd w:val="clear" w:color="000000" w:fill="DCE6F1"/>
                    <w:noWrap/>
                    <w:vAlign w:val="center"/>
                    <w:hideMark/>
                  </w:tcPr>
                  <w:p>
                    <w:pPr>
                      <w:jc w:val="center"/>
                      <w:rPr>
                        <w:color w:val="000000"/>
                        <w:sz w:val="20"/>
                        <w:lang w:eastAsia="lt-LT"/>
                      </w:rPr>
                    </w:pPr>
                    <w:r>
                      <w:rPr>
                        <w:color w:val="000000"/>
                        <w:sz w:val="20"/>
                        <w:lang w:eastAsia="lt-LT"/>
                      </w:rPr>
                      <w:t>172 294</w:t>
                    </w:r>
                  </w:p>
                </w:tc>
                <w:tc>
                  <w:tcPr>
                    <w:tcW w:w="3827"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Savivaldybės biudžetas; Valstybės biudžeto dotacijos; Europos Sąjungos finansinė parama ir kitos teisėtai gautos lėšos.</w:t>
                    </w:r>
                  </w:p>
                </w:tc>
              </w:tr>
              <w:tr>
                <w:trPr>
                  <w:trHeight w:val="580"/>
                </w:trPr>
                <w:tc>
                  <w:tcPr>
                    <w:tcW w:w="4111" w:type="dxa"/>
                    <w:tcBorders>
                      <w:top w:val="nil"/>
                      <w:left w:val="single" w:sz="4" w:space="0" w:color="auto"/>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17-02 Išvystyti gyventojų poreikius atitinkančią sporto ir fizinio aktyvumo infrastruktūrą</w:t>
                    </w:r>
                  </w:p>
                </w:tc>
                <w:tc>
                  <w:tcPr>
                    <w:tcW w:w="1418" w:type="dxa"/>
                    <w:tcBorders>
                      <w:top w:val="nil"/>
                      <w:left w:val="nil"/>
                      <w:bottom w:val="single" w:sz="4" w:space="0" w:color="auto"/>
                      <w:right w:val="single" w:sz="4" w:space="0" w:color="auto"/>
                    </w:tcBorders>
                    <w:shd w:val="clear" w:color="000000" w:fill="DCE6F1"/>
                    <w:noWrap/>
                    <w:vAlign w:val="center"/>
                    <w:hideMark/>
                  </w:tcPr>
                  <w:p>
                    <w:pPr>
                      <w:jc w:val="center"/>
                      <w:rPr>
                        <w:color w:val="000000"/>
                        <w:sz w:val="20"/>
                        <w:lang w:eastAsia="lt-LT"/>
                      </w:rPr>
                    </w:pPr>
                    <w:r>
                      <w:rPr>
                        <w:color w:val="000000"/>
                        <w:sz w:val="20"/>
                        <w:lang w:eastAsia="lt-LT"/>
                      </w:rPr>
                      <w:t>30 966</w:t>
                    </w:r>
                  </w:p>
                </w:tc>
                <w:tc>
                  <w:tcPr>
                    <w:tcW w:w="3827"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Savivaldybės biudžetas; Valstybės biudžeto dotacijos; Europos Sąjungos finansinė parama ir kitos teisėtai gautos lėšos; VPSP.</w:t>
                    </w:r>
                  </w:p>
                </w:tc>
              </w:tr>
              <w:tr>
                <w:trPr>
                  <w:trHeight w:val="580"/>
                </w:trPr>
                <w:tc>
                  <w:tcPr>
                    <w:tcW w:w="4111" w:type="dxa"/>
                    <w:tcBorders>
                      <w:top w:val="nil"/>
                      <w:left w:val="single" w:sz="4" w:space="0" w:color="auto"/>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18-01 Plėtoti inovatyvią švietimo sistemą, ugdančią aktyvią ir kūrybingą asmenybę</w:t>
                    </w:r>
                  </w:p>
                </w:tc>
                <w:tc>
                  <w:tcPr>
                    <w:tcW w:w="1418" w:type="dxa"/>
                    <w:tcBorders>
                      <w:top w:val="nil"/>
                      <w:left w:val="nil"/>
                      <w:bottom w:val="single" w:sz="4" w:space="0" w:color="auto"/>
                      <w:right w:val="single" w:sz="4" w:space="0" w:color="auto"/>
                    </w:tcBorders>
                    <w:shd w:val="clear" w:color="000000" w:fill="DCE6F1"/>
                    <w:noWrap/>
                    <w:vAlign w:val="center"/>
                    <w:hideMark/>
                  </w:tcPr>
                  <w:p>
                    <w:pPr>
                      <w:jc w:val="center"/>
                      <w:rPr>
                        <w:color w:val="000000"/>
                        <w:sz w:val="20"/>
                        <w:lang w:eastAsia="lt-LT"/>
                      </w:rPr>
                    </w:pPr>
                    <w:r>
                      <w:rPr>
                        <w:color w:val="000000"/>
                        <w:sz w:val="20"/>
                        <w:lang w:eastAsia="lt-LT"/>
                      </w:rPr>
                      <w:t>1 260 576</w:t>
                    </w:r>
                  </w:p>
                </w:tc>
                <w:tc>
                  <w:tcPr>
                    <w:tcW w:w="3827"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Savivaldybės biudžetas; Valstybės biudžeto dotacijos; Europos Sąjungos finansinė parama ir kitos teisėtai gautos lėšos.</w:t>
                    </w:r>
                  </w:p>
                </w:tc>
              </w:tr>
              <w:tr>
                <w:trPr>
                  <w:trHeight w:val="580"/>
                </w:trPr>
                <w:tc>
                  <w:tcPr>
                    <w:tcW w:w="4111" w:type="dxa"/>
                    <w:tcBorders>
                      <w:top w:val="nil"/>
                      <w:left w:val="single" w:sz="4" w:space="0" w:color="auto"/>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18-02 Užtikrinti švietimo paslaugų prieinamumą ir kokybę, gerinant ugdymo (-si) aplinką</w:t>
                    </w:r>
                  </w:p>
                </w:tc>
                <w:tc>
                  <w:tcPr>
                    <w:tcW w:w="1418" w:type="dxa"/>
                    <w:tcBorders>
                      <w:top w:val="nil"/>
                      <w:left w:val="nil"/>
                      <w:bottom w:val="single" w:sz="4" w:space="0" w:color="auto"/>
                      <w:right w:val="single" w:sz="4" w:space="0" w:color="auto"/>
                    </w:tcBorders>
                    <w:shd w:val="clear" w:color="000000" w:fill="DCE6F1"/>
                    <w:noWrap/>
                    <w:vAlign w:val="center"/>
                    <w:hideMark/>
                  </w:tcPr>
                  <w:p>
                    <w:pPr>
                      <w:jc w:val="center"/>
                      <w:rPr>
                        <w:color w:val="000000"/>
                        <w:sz w:val="20"/>
                        <w:lang w:eastAsia="lt-LT"/>
                      </w:rPr>
                    </w:pPr>
                    <w:r>
                      <w:rPr>
                        <w:color w:val="000000"/>
                        <w:sz w:val="20"/>
                        <w:lang w:eastAsia="lt-LT"/>
                      </w:rPr>
                      <w:t>122 669</w:t>
                    </w:r>
                  </w:p>
                </w:tc>
                <w:tc>
                  <w:tcPr>
                    <w:tcW w:w="3827"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Savivaldybės biudžetas; Valstybės biudžeto dotacijos; Europos Sąjungos finansinė parama ir kitos teisėtai gautos lėšos.</w:t>
                    </w:r>
                  </w:p>
                </w:tc>
              </w:tr>
              <w:tr>
                <w:trPr>
                  <w:trHeight w:val="580"/>
                </w:trPr>
                <w:tc>
                  <w:tcPr>
                    <w:tcW w:w="4111" w:type="dxa"/>
                    <w:tcBorders>
                      <w:top w:val="nil"/>
                      <w:left w:val="single" w:sz="4" w:space="0" w:color="auto"/>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18-03 Sudaryti sąlygas jaunimo savirealizacijai jų poreikiams pritaikytoje aplinkoje</w:t>
                    </w:r>
                  </w:p>
                </w:tc>
                <w:tc>
                  <w:tcPr>
                    <w:tcW w:w="1418" w:type="dxa"/>
                    <w:tcBorders>
                      <w:top w:val="nil"/>
                      <w:left w:val="nil"/>
                      <w:bottom w:val="single" w:sz="4" w:space="0" w:color="auto"/>
                      <w:right w:val="single" w:sz="4" w:space="0" w:color="auto"/>
                    </w:tcBorders>
                    <w:shd w:val="clear" w:color="000000" w:fill="DCE6F1"/>
                    <w:noWrap/>
                    <w:vAlign w:val="center"/>
                    <w:hideMark/>
                  </w:tcPr>
                  <w:p>
                    <w:pPr>
                      <w:jc w:val="center"/>
                      <w:rPr>
                        <w:color w:val="000000"/>
                        <w:sz w:val="20"/>
                        <w:lang w:eastAsia="lt-LT"/>
                      </w:rPr>
                    </w:pPr>
                    <w:r>
                      <w:rPr>
                        <w:color w:val="000000"/>
                        <w:sz w:val="20"/>
                        <w:lang w:eastAsia="lt-LT"/>
                      </w:rPr>
                      <w:t>5 662</w:t>
                    </w:r>
                  </w:p>
                </w:tc>
                <w:tc>
                  <w:tcPr>
                    <w:tcW w:w="3827"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Savivaldybės biudžetas; Valstybės biudžeto dotacijos; Europos Sąjungos finansinė parama ir kitos teisėtai gautos lėšos.</w:t>
                    </w:r>
                  </w:p>
                </w:tc>
              </w:tr>
              <w:tr>
                <w:trPr>
                  <w:trHeight w:val="580"/>
                </w:trPr>
                <w:tc>
                  <w:tcPr>
                    <w:tcW w:w="4111" w:type="dxa"/>
                    <w:tcBorders>
                      <w:top w:val="nil"/>
                      <w:left w:val="single" w:sz="4" w:space="0" w:color="auto"/>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19-01 Plėtoti asmens ir visuomenės sveikatos priežiūros paslaugas, ugdyti visuomenės poreikį sveikai gyventi</w:t>
                    </w:r>
                  </w:p>
                </w:tc>
                <w:tc>
                  <w:tcPr>
                    <w:tcW w:w="1418" w:type="dxa"/>
                    <w:tcBorders>
                      <w:top w:val="nil"/>
                      <w:left w:val="nil"/>
                      <w:bottom w:val="single" w:sz="4" w:space="0" w:color="auto"/>
                      <w:right w:val="single" w:sz="4" w:space="0" w:color="auto"/>
                    </w:tcBorders>
                    <w:shd w:val="clear" w:color="000000" w:fill="DCE6F1"/>
                    <w:noWrap/>
                    <w:vAlign w:val="center"/>
                    <w:hideMark/>
                  </w:tcPr>
                  <w:p>
                    <w:pPr>
                      <w:jc w:val="center"/>
                      <w:rPr>
                        <w:color w:val="000000"/>
                        <w:sz w:val="20"/>
                        <w:lang w:eastAsia="lt-LT"/>
                      </w:rPr>
                    </w:pPr>
                    <w:r>
                      <w:rPr>
                        <w:color w:val="000000"/>
                        <w:sz w:val="20"/>
                        <w:lang w:eastAsia="lt-LT"/>
                      </w:rPr>
                      <w:t>22 012</w:t>
                    </w:r>
                  </w:p>
                </w:tc>
                <w:tc>
                  <w:tcPr>
                    <w:tcW w:w="3827"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Savivaldybės biudžetas; Valstybės biudžeto dotacijos; Europos Sąjungos finansinė parama ir kitos teisėtai gautos lėšos.</w:t>
                    </w:r>
                  </w:p>
                </w:tc>
              </w:tr>
              <w:tr>
                <w:trPr>
                  <w:trHeight w:val="619"/>
                </w:trPr>
                <w:tc>
                  <w:tcPr>
                    <w:tcW w:w="4111" w:type="dxa"/>
                    <w:tcBorders>
                      <w:top w:val="nil"/>
                      <w:left w:val="single" w:sz="4" w:space="0" w:color="auto"/>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19-02 Užtikrinti asmens sveikatos priežiūros paslaugų prieinamumą ir kokybę, atnaujinant esamą bei įrengiant naują infrastruktūrą</w:t>
                    </w:r>
                  </w:p>
                </w:tc>
                <w:tc>
                  <w:tcPr>
                    <w:tcW w:w="1418" w:type="dxa"/>
                    <w:tcBorders>
                      <w:top w:val="nil"/>
                      <w:left w:val="nil"/>
                      <w:bottom w:val="single" w:sz="4" w:space="0" w:color="auto"/>
                      <w:right w:val="single" w:sz="4" w:space="0" w:color="auto"/>
                    </w:tcBorders>
                    <w:shd w:val="clear" w:color="000000" w:fill="DCE6F1"/>
                    <w:noWrap/>
                    <w:vAlign w:val="center"/>
                    <w:hideMark/>
                  </w:tcPr>
                  <w:p>
                    <w:pPr>
                      <w:jc w:val="center"/>
                      <w:rPr>
                        <w:color w:val="000000"/>
                        <w:sz w:val="20"/>
                        <w:lang w:eastAsia="lt-LT"/>
                      </w:rPr>
                    </w:pPr>
                    <w:r>
                      <w:rPr>
                        <w:color w:val="000000"/>
                        <w:sz w:val="20"/>
                        <w:lang w:eastAsia="lt-LT"/>
                      </w:rPr>
                      <w:t>16 358</w:t>
                    </w:r>
                  </w:p>
                </w:tc>
                <w:tc>
                  <w:tcPr>
                    <w:tcW w:w="3827"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Savivaldybės biudžetas; Valstybės biudžeto dotacijos; Europos Sąjungos finansinė parama ir kitos teisėtai gautos lėšos.</w:t>
                    </w:r>
                  </w:p>
                </w:tc>
              </w:tr>
              <w:tr>
                <w:trPr>
                  <w:trHeight w:val="290"/>
                </w:trPr>
                <w:tc>
                  <w:tcPr>
                    <w:tcW w:w="4111" w:type="dxa"/>
                    <w:tcBorders>
                      <w:top w:val="nil"/>
                      <w:left w:val="single" w:sz="4" w:space="0" w:color="auto"/>
                      <w:bottom w:val="single" w:sz="4" w:space="0" w:color="auto"/>
                      <w:right w:val="single" w:sz="4" w:space="0" w:color="auto"/>
                    </w:tcBorders>
                    <w:shd w:val="clear" w:color="auto" w:fill="auto"/>
                    <w:vAlign w:val="bottom"/>
                    <w:hideMark/>
                  </w:tcPr>
                  <w:p>
                    <w:pPr>
                      <w:rPr>
                        <w:b/>
                        <w:bCs/>
                        <w:color w:val="000000"/>
                        <w:sz w:val="20"/>
                        <w:lang w:eastAsia="lt-LT"/>
                      </w:rPr>
                    </w:pPr>
                    <w:r>
                      <w:rPr>
                        <w:b/>
                        <w:bCs/>
                        <w:color w:val="000000"/>
                        <w:sz w:val="20"/>
                        <w:lang w:eastAsia="lt-LT"/>
                      </w:rPr>
                      <w:t>IŠ VISO</w:t>
                    </w:r>
                  </w:p>
                </w:tc>
                <w:tc>
                  <w:tcPr>
                    <w:tcW w:w="1418" w:type="dxa"/>
                    <w:tcBorders>
                      <w:top w:val="nil"/>
                      <w:left w:val="nil"/>
                      <w:bottom w:val="single" w:sz="4" w:space="0" w:color="auto"/>
                      <w:right w:val="single" w:sz="4" w:space="0" w:color="auto"/>
                    </w:tcBorders>
                    <w:shd w:val="clear" w:color="000000" w:fill="DCE6F1"/>
                    <w:noWrap/>
                    <w:vAlign w:val="center"/>
                    <w:hideMark/>
                  </w:tcPr>
                  <w:p>
                    <w:pPr>
                      <w:jc w:val="center"/>
                      <w:rPr>
                        <w:b/>
                        <w:bCs/>
                        <w:color w:val="000000"/>
                        <w:sz w:val="20"/>
                        <w:lang w:eastAsia="lt-LT"/>
                      </w:rPr>
                    </w:pPr>
                    <w:r>
                      <w:rPr>
                        <w:b/>
                        <w:bCs/>
                        <w:color w:val="000000"/>
                        <w:sz w:val="20"/>
                        <w:lang w:eastAsia="lt-LT"/>
                      </w:rPr>
                      <w:t>3 192 281</w:t>
                    </w:r>
                  </w:p>
                </w:tc>
                <w:tc>
                  <w:tcPr>
                    <w:tcW w:w="3827" w:type="dxa"/>
                    <w:tcBorders>
                      <w:top w:val="nil"/>
                      <w:left w:val="nil"/>
                      <w:bottom w:val="single" w:sz="4" w:space="0" w:color="auto"/>
                      <w:right w:val="single" w:sz="4" w:space="0" w:color="auto"/>
                    </w:tcBorders>
                    <w:shd w:val="clear" w:color="auto" w:fill="auto"/>
                    <w:noWrap/>
                    <w:vAlign w:val="bottom"/>
                    <w:hideMark/>
                  </w:tcPr>
                  <w:p>
                    <w:pPr>
                      <w:ind w:firstLine="53"/>
                      <w:rPr>
                        <w:color w:val="000000"/>
                        <w:sz w:val="20"/>
                        <w:lang w:eastAsia="lt-LT"/>
                      </w:rPr>
                    </w:pPr>
                  </w:p>
                </w:tc>
              </w:tr>
            </w:tbl>
            <w:p>
              <w:pPr>
                <w:rPr>
                  <w:sz w:val="10"/>
                  <w:szCs w:val="10"/>
                </w:rPr>
              </w:pPr>
            </w:p>
            <w:p>
              <w:pPr>
                <w:spacing w:line="276" w:lineRule="auto"/>
                <w:ind w:right="142" w:firstLine="720"/>
                <w:jc w:val="both"/>
                <w:rPr>
                  <w:rFonts w:eastAsia="MS Mincho"/>
                  <w:kern w:val="2"/>
                  <w:sz w:val="22"/>
                  <w:szCs w:val="24"/>
                </w:rPr>
              </w:pPr>
              <w:r>
                <w:rPr>
                  <w:rFonts w:eastAsia="MS Mincho"/>
                  <w:kern w:val="2"/>
                  <w:sz w:val="22"/>
                  <w:szCs w:val="24"/>
                </w:rPr>
                <w:t>Planuojama, kad siekiant sėkmingai įgyvendinti ŠSPP iki 2033 m. plėtros uždavinius, t. y. užtikrinti ne tik svarbiausių investicinių ŠSPP projektų įgyvendinimą, bet ir visą Savivaldybės administracijos veiklos efektyvų funkcionavimą, visam ŠSPP įgyvendinimo laikotarpiui bus reikalinga apie 3 mlrd. Eur suma. Atsižvelgiant į praeities tendencijas, numatoma, kad apie 30 proc. visos sumos sudarys investicijos į naujos infrastruktūros sukūrimą ir turto įsigijimą.</w:t>
              </w:r>
            </w:p>
            <w:p>
              <w:pPr>
                <w:rPr>
                  <w:sz w:val="10"/>
                  <w:szCs w:val="10"/>
                </w:rPr>
              </w:pPr>
            </w:p>
            <w:p>
              <w:pPr>
                <w:jc w:val="center"/>
                <w:rPr>
                  <w:b/>
                  <w:color w:val="000000"/>
                  <w:szCs w:val="24"/>
                </w:rPr>
                <w:sectPr>
                  <w:pgSz w:w="11906" w:h="16838"/>
                  <w:pgMar w:top="1134" w:right="1134" w:bottom="1134" w:left="1418" w:header="567" w:footer="567" w:gutter="0"/>
                  <w:cols w:space="1296"/>
                  <w:titlePg/>
                  <w:docGrid w:linePitch="360"/>
                </w:sectPr>
              </w:pPr>
            </w:p>
            <w:p>
              <w:pPr>
                <w:tabs>
                  <w:tab w:val="center" w:pos="4819"/>
                  <w:tab w:val="right" w:pos="9638"/>
                </w:tabs>
                <w:ind w:left="284" w:right="142"/>
                <w:jc w:val="both"/>
                <w:rPr>
                  <w:rFonts w:eastAsia="MS Mincho"/>
                  <w:kern w:val="2"/>
                  <w:sz w:val="22"/>
                  <w:szCs w:val="24"/>
                </w:rPr>
              </w:pPr>
            </w:p>
          </w:sdtContent>
        </w:sdt>
        <w:sdt>
          <w:sdtPr>
            <w:alias w:val="skyrius"/>
            <w:tag w:val="part_c4d794f616244c1e91388535d5824c66"/>
            <w:lock w:val="sdtLocked"/>
            <w:richText/>
          </w:sdtPr>
          <w:sdtContent>
            <w:p>
              <w:pPr>
                <w:jc w:val="center"/>
                <w:rPr>
                  <w:b/>
                  <w:color w:val="000000"/>
                  <w:szCs w:val="24"/>
                </w:rPr>
              </w:pPr>
              <w:sdt>
                <w:sdtPr>
                  <w:alias w:val="Numeris"/>
                  <w:tag w:val="nr_c4d794f616244c1e91388535d5824c66"/>
                  <w:lock w:val="sdtLocked"/>
                  <w:richText/>
                </w:sdtPr>
                <w:sdtContent>
                  <w:r>
                    <w:rPr>
                      <w:b/>
                      <w:color w:val="000000"/>
                      <w:szCs w:val="24"/>
                    </w:rPr>
                    <w:t>VII</w:t>
                  </w:r>
                </w:sdtContent>
              </w:sdt>
              <w:r>
                <w:rPr>
                  <w:b/>
                  <w:color w:val="000000"/>
                  <w:szCs w:val="24"/>
                </w:rPr>
                <w:t xml:space="preserve"> SKYRIUS</w:t>
              </w:r>
            </w:p>
            <w:p>
              <w:pPr>
                <w:jc w:val="center"/>
                <w:rPr>
                  <w:b/>
                  <w:color w:val="000000"/>
                  <w:szCs w:val="24"/>
                </w:rPr>
              </w:pPr>
              <w:sdt>
                <w:sdtPr>
                  <w:alias w:val="Pavadinimas"/>
                  <w:tag w:val="title_c4d794f616244c1e91388535d5824c66"/>
                  <w:lock w:val="sdtLocked"/>
                  <w:richText/>
                </w:sdtPr>
                <w:sdtContent>
                  <w:r>
                    <w:rPr>
                      <w:b/>
                      <w:color w:val="000000"/>
                      <w:szCs w:val="24"/>
                    </w:rPr>
                    <w:t>SVARBIAUSI SAVIVALDYBĖS PROJEKTAI</w:t>
                  </w:r>
                </w:sdtContent>
              </w:sdt>
            </w:p>
            <w:p>
              <w:pPr>
                <w:jc w:val="both"/>
                <w:rPr>
                  <w:i/>
                  <w:iCs/>
                  <w:color w:val="808080"/>
                </w:rPr>
              </w:pPr>
            </w:p>
            <w:p>
              <w:pPr>
                <w:rPr>
                  <w:sz w:val="10"/>
                  <w:szCs w:val="10"/>
                </w:rPr>
              </w:pPr>
            </w:p>
            <w:p>
              <w:pPr>
                <w:ind w:firstLine="720"/>
                <w:jc w:val="both"/>
                <w:rPr>
                  <w:sz w:val="22"/>
                  <w:szCs w:val="22"/>
                </w:rPr>
              </w:pPr>
              <w:r>
                <w:rPr>
                  <w:sz w:val="22"/>
                  <w:szCs w:val="22"/>
                </w:rPr>
                <w:t xml:space="preserve">3 lentelėje pateikiami svarbiausi (prioritetiniai) įgyvendinami ir (arba) planuojami įgyvendinti investiciniai projektai, kuriais siekiama ŠSPP nustatytų plėtros tikslų ir uždavinių (įgyvendinant priemones). </w:t>
              </w:r>
            </w:p>
            <w:p>
              <w:pPr>
                <w:rPr>
                  <w:sz w:val="10"/>
                  <w:szCs w:val="10"/>
                </w:rPr>
              </w:pPr>
            </w:p>
            <w:p>
              <w:pPr>
                <w:keepNext/>
                <w:ind w:left="284" w:right="142"/>
                <w:jc w:val="both"/>
                <w:rPr>
                  <w:b/>
                  <w:bCs/>
                  <w:color w:val="FDB515"/>
                  <w:sz w:val="20"/>
                </w:rPr>
              </w:pPr>
              <w:r>
                <w:rPr>
                  <w:rFonts w:eastAsia="MS Mincho"/>
                  <w:b/>
                  <w:bCs/>
                  <w:color w:val="FDB515"/>
                  <w:kern w:val="2"/>
                  <w:sz w:val="20"/>
                </w:rPr>
                <w:t xml:space="preserve">Lentelė 3. </w:t>
              </w:r>
              <w:r>
                <w:rPr>
                  <w:b/>
                  <w:bCs/>
                  <w:color w:val="FDB515"/>
                  <w:sz w:val="20"/>
                </w:rPr>
                <w:t>Svarbiausi savivaldybės investiciniai projektai</w:t>
              </w:r>
            </w:p>
            <w:p>
              <w:pPr>
                <w:rPr>
                  <w:sz w:val="10"/>
                  <w:szCs w:val="10"/>
                </w:rPr>
              </w:pPr>
            </w:p>
            <w:tbl>
              <w:tblPr>
                <w:tblW w:w="13986" w:type="dxa"/>
                <w:tblLook w:val="04A0" w:firstRow="1" w:lastRow="0" w:firstColumn="1" w:lastColumn="0" w:noHBand="0" w:noVBand="1"/>
              </w:tblPr>
              <w:tblGrid>
                <w:gridCol w:w="1538"/>
                <w:gridCol w:w="1328"/>
                <w:gridCol w:w="961"/>
                <w:gridCol w:w="1587"/>
                <w:gridCol w:w="3228"/>
                <w:gridCol w:w="872"/>
                <w:gridCol w:w="895"/>
                <w:gridCol w:w="1166"/>
                <w:gridCol w:w="1295"/>
                <w:gridCol w:w="1116"/>
              </w:tblGrid>
              <w:tr>
                <w:trPr>
                  <w:trHeight w:val="460"/>
                  <w:tblHeader/>
                </w:trPr>
                <w:tc>
                  <w:tcPr>
                    <w:tcW w:w="1538"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pPr>
                      <w:jc w:val="center"/>
                      <w:rPr>
                        <w:b/>
                        <w:bCs/>
                        <w:color w:val="000000"/>
                        <w:sz w:val="20"/>
                        <w:lang w:eastAsia="lt-LT"/>
                      </w:rPr>
                    </w:pPr>
                    <w:r>
                      <w:rPr>
                        <w:b/>
                        <w:bCs/>
                        <w:color w:val="000000"/>
                        <w:sz w:val="20"/>
                        <w:lang w:eastAsia="lt-LT"/>
                      </w:rPr>
                      <w:t>Regiono plėtros plano pažangos priemonės pavadinimas</w:t>
                    </w:r>
                    <w:r>
                      <w:rPr>
                        <w:b/>
                        <w:bCs/>
                        <w:color w:val="000000"/>
                        <w:sz w:val="20"/>
                        <w:vertAlign w:val="superscript"/>
                        <w:lang w:eastAsia="lt-LT"/>
                      </w:rPr>
                      <w:footnoteReference w:id="5"/>
                    </w:r>
                  </w:p>
                </w:tc>
                <w:tc>
                  <w:tcPr>
                    <w:tcW w:w="1328"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pPr>
                      <w:jc w:val="center"/>
                      <w:rPr>
                        <w:b/>
                        <w:bCs/>
                        <w:color w:val="000000"/>
                        <w:sz w:val="20"/>
                        <w:lang w:eastAsia="lt-LT"/>
                      </w:rPr>
                    </w:pPr>
                    <w:r>
                      <w:rPr>
                        <w:b/>
                        <w:bCs/>
                        <w:color w:val="000000"/>
                        <w:sz w:val="20"/>
                        <w:lang w:eastAsia="lt-LT"/>
                      </w:rPr>
                      <w:t>Savivaldybės strateginio plėtros plano priemonės kodas</w:t>
                    </w:r>
                  </w:p>
                </w:tc>
                <w:tc>
                  <w:tcPr>
                    <w:tcW w:w="961"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pPr>
                      <w:jc w:val="center"/>
                      <w:rPr>
                        <w:b/>
                        <w:bCs/>
                        <w:color w:val="000000"/>
                        <w:sz w:val="20"/>
                        <w:lang w:eastAsia="lt-LT"/>
                      </w:rPr>
                    </w:pPr>
                    <w:r>
                      <w:rPr>
                        <w:b/>
                        <w:bCs/>
                        <w:color w:val="000000"/>
                        <w:sz w:val="20"/>
                        <w:lang w:eastAsia="lt-LT"/>
                      </w:rPr>
                      <w:t xml:space="preserve">Projekto numeris </w:t>
                      <w:br/>
                      <w:t>(jei žinoma)</w:t>
                    </w:r>
                  </w:p>
                </w:tc>
                <w:tc>
                  <w:tcPr>
                    <w:tcW w:w="1587"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pPr>
                      <w:jc w:val="center"/>
                      <w:rPr>
                        <w:b/>
                        <w:bCs/>
                        <w:color w:val="000000"/>
                        <w:sz w:val="20"/>
                        <w:lang w:eastAsia="lt-LT"/>
                      </w:rPr>
                    </w:pPr>
                    <w:r>
                      <w:rPr>
                        <w:b/>
                        <w:bCs/>
                        <w:color w:val="000000"/>
                        <w:sz w:val="20"/>
                        <w:lang w:eastAsia="lt-LT"/>
                      </w:rPr>
                      <w:t>Projekto vykdytojo pavadinimas</w:t>
                    </w:r>
                  </w:p>
                </w:tc>
                <w:tc>
                  <w:tcPr>
                    <w:tcW w:w="3228"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pPr>
                      <w:jc w:val="center"/>
                      <w:rPr>
                        <w:b/>
                        <w:bCs/>
                        <w:color w:val="000000"/>
                        <w:sz w:val="20"/>
                        <w:lang w:eastAsia="lt-LT"/>
                      </w:rPr>
                    </w:pPr>
                    <w:r>
                      <w:rPr>
                        <w:b/>
                        <w:bCs/>
                        <w:color w:val="000000"/>
                        <w:sz w:val="20"/>
                        <w:lang w:eastAsia="lt-LT"/>
                      </w:rPr>
                      <w:t>Projekto pavadinimas</w:t>
                    </w:r>
                  </w:p>
                </w:tc>
                <w:tc>
                  <w:tcPr>
                    <w:tcW w:w="1767" w:type="dxa"/>
                    <w:gridSpan w:val="2"/>
                    <w:tcBorders>
                      <w:top w:val="single" w:sz="4" w:space="0" w:color="auto"/>
                      <w:left w:val="nil"/>
                      <w:bottom w:val="single" w:sz="4" w:space="0" w:color="auto"/>
                      <w:right w:val="single" w:sz="4" w:space="0" w:color="auto"/>
                    </w:tcBorders>
                    <w:shd w:val="clear" w:color="000000" w:fill="DBE5F1"/>
                    <w:vAlign w:val="center"/>
                    <w:hideMark/>
                  </w:tcPr>
                  <w:p>
                    <w:pPr>
                      <w:jc w:val="center"/>
                      <w:rPr>
                        <w:b/>
                        <w:bCs/>
                        <w:color w:val="000000"/>
                        <w:sz w:val="20"/>
                        <w:lang w:eastAsia="lt-LT"/>
                      </w:rPr>
                    </w:pPr>
                    <w:r>
                      <w:rPr>
                        <w:b/>
                        <w:bCs/>
                        <w:color w:val="000000"/>
                        <w:sz w:val="20"/>
                        <w:lang w:eastAsia="lt-LT"/>
                      </w:rPr>
                      <w:t>Įgyvendinimo terminai (metais)</w:t>
                    </w:r>
                  </w:p>
                </w:tc>
                <w:tc>
                  <w:tcPr>
                    <w:tcW w:w="3577" w:type="dxa"/>
                    <w:gridSpan w:val="3"/>
                    <w:tcBorders>
                      <w:top w:val="single" w:sz="4" w:space="0" w:color="auto"/>
                      <w:left w:val="nil"/>
                      <w:bottom w:val="single" w:sz="4" w:space="0" w:color="auto"/>
                      <w:right w:val="single" w:sz="4" w:space="0" w:color="auto"/>
                    </w:tcBorders>
                    <w:shd w:val="clear" w:color="000000" w:fill="DBE5F1"/>
                    <w:vAlign w:val="center"/>
                    <w:hideMark/>
                  </w:tcPr>
                  <w:p>
                    <w:pPr>
                      <w:jc w:val="center"/>
                      <w:rPr>
                        <w:b/>
                        <w:bCs/>
                        <w:color w:val="000000"/>
                        <w:sz w:val="20"/>
                        <w:lang w:eastAsia="lt-LT"/>
                      </w:rPr>
                    </w:pPr>
                    <w:r>
                      <w:rPr>
                        <w:b/>
                        <w:bCs/>
                        <w:color w:val="000000"/>
                        <w:sz w:val="20"/>
                        <w:lang w:eastAsia="lt-LT"/>
                      </w:rPr>
                      <w:t>Bendra projekto vertė, eurais</w:t>
                    </w:r>
                  </w:p>
                </w:tc>
              </w:tr>
              <w:tr>
                <w:trPr>
                  <w:trHeight w:val="370"/>
                  <w:tblHeader/>
                </w:trPr>
                <w:tc>
                  <w:tcPr>
                    <w:tcW w:w="1538"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20"/>
                        <w:lang w:eastAsia="lt-LT"/>
                      </w:rPr>
                    </w:pPr>
                  </w:p>
                </w:tc>
                <w:tc>
                  <w:tcPr>
                    <w:tcW w:w="1328"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20"/>
                        <w:lang w:eastAsia="lt-LT"/>
                      </w:rPr>
                    </w:pPr>
                  </w:p>
                </w:tc>
                <w:tc>
                  <w:tcPr>
                    <w:tcW w:w="961"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20"/>
                        <w:lang w:eastAsia="lt-LT"/>
                      </w:rPr>
                    </w:pPr>
                  </w:p>
                </w:tc>
                <w:tc>
                  <w:tcPr>
                    <w:tcW w:w="1587"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20"/>
                        <w:lang w:eastAsia="lt-LT"/>
                      </w:rPr>
                    </w:pPr>
                  </w:p>
                </w:tc>
                <w:tc>
                  <w:tcPr>
                    <w:tcW w:w="3228"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20"/>
                        <w:lang w:eastAsia="lt-LT"/>
                      </w:rPr>
                    </w:pPr>
                  </w:p>
                </w:tc>
                <w:tc>
                  <w:tcPr>
                    <w:tcW w:w="872" w:type="dxa"/>
                    <w:vMerge w:val="restart"/>
                    <w:tcBorders>
                      <w:top w:val="nil"/>
                      <w:left w:val="single" w:sz="4" w:space="0" w:color="auto"/>
                      <w:bottom w:val="single" w:sz="4" w:space="0" w:color="auto"/>
                      <w:right w:val="single" w:sz="4" w:space="0" w:color="auto"/>
                    </w:tcBorders>
                    <w:shd w:val="clear" w:color="000000" w:fill="DBE5F1"/>
                    <w:vAlign w:val="center"/>
                    <w:hideMark/>
                  </w:tcPr>
                  <w:p>
                    <w:pPr>
                      <w:jc w:val="center"/>
                      <w:rPr>
                        <w:b/>
                        <w:bCs/>
                        <w:color w:val="000000"/>
                        <w:sz w:val="20"/>
                        <w:lang w:eastAsia="lt-LT"/>
                      </w:rPr>
                    </w:pPr>
                    <w:r>
                      <w:rPr>
                        <w:b/>
                        <w:bCs/>
                        <w:color w:val="000000"/>
                        <w:sz w:val="20"/>
                        <w:lang w:eastAsia="lt-LT"/>
                      </w:rPr>
                      <w:t>pradžia</w:t>
                    </w:r>
                  </w:p>
                </w:tc>
                <w:tc>
                  <w:tcPr>
                    <w:tcW w:w="895" w:type="dxa"/>
                    <w:vMerge w:val="restart"/>
                    <w:tcBorders>
                      <w:top w:val="nil"/>
                      <w:left w:val="single" w:sz="4" w:space="0" w:color="auto"/>
                      <w:bottom w:val="single" w:sz="4" w:space="0" w:color="auto"/>
                      <w:right w:val="single" w:sz="4" w:space="0" w:color="auto"/>
                    </w:tcBorders>
                    <w:shd w:val="clear" w:color="000000" w:fill="DBE5F1"/>
                    <w:vAlign w:val="center"/>
                    <w:hideMark/>
                  </w:tcPr>
                  <w:p>
                    <w:pPr>
                      <w:jc w:val="center"/>
                      <w:rPr>
                        <w:b/>
                        <w:bCs/>
                        <w:color w:val="000000"/>
                        <w:sz w:val="20"/>
                        <w:lang w:eastAsia="lt-LT"/>
                      </w:rPr>
                    </w:pPr>
                    <w:r>
                      <w:rPr>
                        <w:b/>
                        <w:bCs/>
                        <w:color w:val="000000"/>
                        <w:sz w:val="20"/>
                        <w:lang w:eastAsia="lt-LT"/>
                      </w:rPr>
                      <w:t>pabaiga</w:t>
                    </w:r>
                  </w:p>
                </w:tc>
                <w:tc>
                  <w:tcPr>
                    <w:tcW w:w="1166" w:type="dxa"/>
                    <w:vMerge w:val="restart"/>
                    <w:tcBorders>
                      <w:top w:val="nil"/>
                      <w:left w:val="single" w:sz="4" w:space="0" w:color="auto"/>
                      <w:bottom w:val="single" w:sz="4" w:space="0" w:color="auto"/>
                      <w:right w:val="single" w:sz="4" w:space="0" w:color="auto"/>
                    </w:tcBorders>
                    <w:shd w:val="clear" w:color="000000" w:fill="DBE5F1"/>
                    <w:vAlign w:val="center"/>
                    <w:hideMark/>
                  </w:tcPr>
                  <w:p>
                    <w:pPr>
                      <w:jc w:val="center"/>
                      <w:rPr>
                        <w:b/>
                        <w:bCs/>
                        <w:color w:val="000000"/>
                        <w:sz w:val="20"/>
                        <w:lang w:eastAsia="lt-LT"/>
                      </w:rPr>
                    </w:pPr>
                    <w:r>
                      <w:rPr>
                        <w:b/>
                        <w:bCs/>
                        <w:color w:val="000000"/>
                        <w:sz w:val="20"/>
                        <w:lang w:eastAsia="lt-LT"/>
                      </w:rPr>
                      <w:t>Iš viso</w:t>
                    </w:r>
                  </w:p>
                </w:tc>
                <w:tc>
                  <w:tcPr>
                    <w:tcW w:w="1295" w:type="dxa"/>
                    <w:vMerge w:val="restart"/>
                    <w:tcBorders>
                      <w:top w:val="nil"/>
                      <w:left w:val="single" w:sz="4" w:space="0" w:color="auto"/>
                      <w:bottom w:val="single" w:sz="4" w:space="0" w:color="auto"/>
                      <w:right w:val="single" w:sz="4" w:space="0" w:color="auto"/>
                    </w:tcBorders>
                    <w:shd w:val="clear" w:color="000000" w:fill="DBE5F1"/>
                    <w:vAlign w:val="center"/>
                    <w:hideMark/>
                  </w:tcPr>
                  <w:p>
                    <w:pPr>
                      <w:jc w:val="center"/>
                      <w:rPr>
                        <w:b/>
                        <w:bCs/>
                        <w:color w:val="000000"/>
                        <w:sz w:val="20"/>
                        <w:lang w:eastAsia="lt-LT"/>
                      </w:rPr>
                    </w:pPr>
                    <w:r>
                      <w:rPr>
                        <w:b/>
                        <w:bCs/>
                        <w:color w:val="000000"/>
                        <w:sz w:val="20"/>
                        <w:lang w:eastAsia="lt-LT"/>
                      </w:rPr>
                      <w:t>Iš jų: savivaldybės biudžeto lėšos</w:t>
                    </w:r>
                  </w:p>
                </w:tc>
                <w:tc>
                  <w:tcPr>
                    <w:tcW w:w="1116" w:type="dxa"/>
                    <w:tcBorders>
                      <w:top w:val="nil"/>
                      <w:left w:val="nil"/>
                      <w:bottom w:val="single" w:sz="4" w:space="0" w:color="auto"/>
                      <w:right w:val="single" w:sz="4" w:space="0" w:color="auto"/>
                    </w:tcBorders>
                    <w:shd w:val="clear" w:color="000000" w:fill="DBE5F1"/>
                    <w:vAlign w:val="center"/>
                    <w:hideMark/>
                  </w:tcPr>
                  <w:p>
                    <w:pPr>
                      <w:jc w:val="center"/>
                      <w:rPr>
                        <w:b/>
                        <w:bCs/>
                        <w:color w:val="000000"/>
                        <w:sz w:val="20"/>
                        <w:lang w:eastAsia="lt-LT"/>
                      </w:rPr>
                    </w:pPr>
                    <w:r>
                      <w:rPr>
                        <w:b/>
                        <w:bCs/>
                        <w:color w:val="000000"/>
                        <w:sz w:val="20"/>
                        <w:lang w:eastAsia="lt-LT"/>
                      </w:rPr>
                      <w:t xml:space="preserve">Iš jų: </w:t>
                    </w:r>
                  </w:p>
                </w:tc>
              </w:tr>
              <w:tr>
                <w:trPr>
                  <w:trHeight w:val="510"/>
                  <w:tblHeader/>
                </w:trPr>
                <w:tc>
                  <w:tcPr>
                    <w:tcW w:w="1538"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20"/>
                        <w:lang w:eastAsia="lt-LT"/>
                      </w:rPr>
                    </w:pPr>
                  </w:p>
                </w:tc>
                <w:tc>
                  <w:tcPr>
                    <w:tcW w:w="1328"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20"/>
                        <w:lang w:eastAsia="lt-LT"/>
                      </w:rPr>
                    </w:pPr>
                  </w:p>
                </w:tc>
                <w:tc>
                  <w:tcPr>
                    <w:tcW w:w="961"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20"/>
                        <w:lang w:eastAsia="lt-LT"/>
                      </w:rPr>
                    </w:pPr>
                  </w:p>
                </w:tc>
                <w:tc>
                  <w:tcPr>
                    <w:tcW w:w="1587"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20"/>
                        <w:lang w:eastAsia="lt-LT"/>
                      </w:rPr>
                    </w:pPr>
                  </w:p>
                </w:tc>
                <w:tc>
                  <w:tcPr>
                    <w:tcW w:w="3228"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20"/>
                        <w:lang w:eastAsia="lt-LT"/>
                      </w:rPr>
                    </w:pPr>
                  </w:p>
                </w:tc>
                <w:tc>
                  <w:tcPr>
                    <w:tcW w:w="872" w:type="dxa"/>
                    <w:vMerge/>
                    <w:tcBorders>
                      <w:top w:val="nil"/>
                      <w:left w:val="single" w:sz="4" w:space="0" w:color="auto"/>
                      <w:bottom w:val="single" w:sz="4" w:space="0" w:color="auto"/>
                      <w:right w:val="single" w:sz="4" w:space="0" w:color="auto"/>
                    </w:tcBorders>
                    <w:vAlign w:val="center"/>
                    <w:hideMark/>
                  </w:tcPr>
                  <w:p>
                    <w:pPr>
                      <w:rPr>
                        <w:b/>
                        <w:bCs/>
                        <w:color w:val="000000"/>
                        <w:sz w:val="20"/>
                        <w:lang w:eastAsia="lt-LT"/>
                      </w:rPr>
                    </w:pPr>
                  </w:p>
                </w:tc>
                <w:tc>
                  <w:tcPr>
                    <w:tcW w:w="895" w:type="dxa"/>
                    <w:vMerge/>
                    <w:tcBorders>
                      <w:top w:val="nil"/>
                      <w:left w:val="single" w:sz="4" w:space="0" w:color="auto"/>
                      <w:bottom w:val="single" w:sz="4" w:space="0" w:color="auto"/>
                      <w:right w:val="single" w:sz="4" w:space="0" w:color="auto"/>
                    </w:tcBorders>
                    <w:vAlign w:val="center"/>
                    <w:hideMark/>
                  </w:tcPr>
                  <w:p>
                    <w:pPr>
                      <w:rPr>
                        <w:b/>
                        <w:bCs/>
                        <w:color w:val="000000"/>
                        <w:sz w:val="20"/>
                        <w:lang w:eastAsia="lt-LT"/>
                      </w:rPr>
                    </w:pPr>
                  </w:p>
                </w:tc>
                <w:tc>
                  <w:tcPr>
                    <w:tcW w:w="1166" w:type="dxa"/>
                    <w:vMerge/>
                    <w:tcBorders>
                      <w:top w:val="nil"/>
                      <w:left w:val="single" w:sz="4" w:space="0" w:color="auto"/>
                      <w:bottom w:val="single" w:sz="4" w:space="0" w:color="auto"/>
                      <w:right w:val="single" w:sz="4" w:space="0" w:color="auto"/>
                    </w:tcBorders>
                    <w:vAlign w:val="center"/>
                    <w:hideMark/>
                  </w:tcPr>
                  <w:p>
                    <w:pPr>
                      <w:rPr>
                        <w:b/>
                        <w:bCs/>
                        <w:color w:val="000000"/>
                        <w:sz w:val="20"/>
                        <w:lang w:eastAsia="lt-LT"/>
                      </w:rPr>
                    </w:pPr>
                  </w:p>
                </w:tc>
                <w:tc>
                  <w:tcPr>
                    <w:tcW w:w="1295" w:type="dxa"/>
                    <w:vMerge/>
                    <w:tcBorders>
                      <w:top w:val="nil"/>
                      <w:left w:val="single" w:sz="4" w:space="0" w:color="auto"/>
                      <w:bottom w:val="single" w:sz="4" w:space="0" w:color="auto"/>
                      <w:right w:val="single" w:sz="4" w:space="0" w:color="auto"/>
                    </w:tcBorders>
                    <w:vAlign w:val="center"/>
                    <w:hideMark/>
                  </w:tcPr>
                  <w:p>
                    <w:pPr>
                      <w:rPr>
                        <w:b/>
                        <w:bCs/>
                        <w:color w:val="000000"/>
                        <w:sz w:val="20"/>
                        <w:lang w:eastAsia="lt-LT"/>
                      </w:rPr>
                    </w:pPr>
                  </w:p>
                </w:tc>
                <w:tc>
                  <w:tcPr>
                    <w:tcW w:w="1116" w:type="dxa"/>
                    <w:tcBorders>
                      <w:top w:val="nil"/>
                      <w:left w:val="nil"/>
                      <w:bottom w:val="single" w:sz="4" w:space="0" w:color="auto"/>
                      <w:right w:val="single" w:sz="4" w:space="0" w:color="auto"/>
                    </w:tcBorders>
                    <w:shd w:val="clear" w:color="000000" w:fill="DBE5F1"/>
                    <w:vAlign w:val="center"/>
                    <w:hideMark/>
                  </w:tcPr>
                  <w:p>
                    <w:pPr>
                      <w:jc w:val="center"/>
                      <w:rPr>
                        <w:b/>
                        <w:bCs/>
                        <w:color w:val="000000"/>
                        <w:sz w:val="20"/>
                        <w:lang w:eastAsia="lt-LT"/>
                      </w:rPr>
                    </w:pPr>
                    <w:r>
                      <w:rPr>
                        <w:b/>
                        <w:bCs/>
                        <w:color w:val="000000"/>
                        <w:sz w:val="20"/>
                        <w:lang w:eastAsia="lt-LT"/>
                      </w:rPr>
                      <w:t>kiti šaltiniai</w:t>
                    </w:r>
                  </w:p>
                </w:tc>
              </w:tr>
              <w:tr>
                <w:trPr>
                  <w:trHeight w:val="63"/>
                  <w:tblHeader/>
                </w:trPr>
                <w:tc>
                  <w:tcPr>
                    <w:tcW w:w="1538" w:type="dxa"/>
                    <w:tcBorders>
                      <w:top w:val="nil"/>
                      <w:left w:val="single" w:sz="4" w:space="0" w:color="auto"/>
                      <w:bottom w:val="single" w:sz="4" w:space="0" w:color="auto"/>
                      <w:right w:val="single" w:sz="4" w:space="0" w:color="auto"/>
                    </w:tcBorders>
                    <w:shd w:val="clear" w:color="000000" w:fill="DBE5F1"/>
                    <w:vAlign w:val="center"/>
                    <w:hideMark/>
                  </w:tcPr>
                  <w:p>
                    <w:pPr>
                      <w:jc w:val="center"/>
                      <w:rPr>
                        <w:color w:val="000000"/>
                        <w:sz w:val="20"/>
                        <w:lang w:eastAsia="lt-LT"/>
                      </w:rPr>
                    </w:pPr>
                    <w:r>
                      <w:rPr>
                        <w:color w:val="000000"/>
                        <w:sz w:val="20"/>
                        <w:lang w:eastAsia="lt-LT"/>
                      </w:rPr>
                      <w:t>1</w:t>
                    </w:r>
                  </w:p>
                </w:tc>
                <w:tc>
                  <w:tcPr>
                    <w:tcW w:w="1328" w:type="dxa"/>
                    <w:tcBorders>
                      <w:top w:val="nil"/>
                      <w:left w:val="nil"/>
                      <w:bottom w:val="single" w:sz="4" w:space="0" w:color="auto"/>
                      <w:right w:val="single" w:sz="4" w:space="0" w:color="auto"/>
                    </w:tcBorders>
                    <w:shd w:val="clear" w:color="000000" w:fill="DBE5F1"/>
                    <w:vAlign w:val="center"/>
                    <w:hideMark/>
                  </w:tcPr>
                  <w:p>
                    <w:pPr>
                      <w:jc w:val="center"/>
                      <w:rPr>
                        <w:color w:val="000000"/>
                        <w:sz w:val="20"/>
                        <w:lang w:eastAsia="lt-LT"/>
                      </w:rPr>
                    </w:pPr>
                    <w:r>
                      <w:rPr>
                        <w:color w:val="000000"/>
                        <w:sz w:val="20"/>
                        <w:lang w:eastAsia="lt-LT"/>
                      </w:rPr>
                      <w:t>2</w:t>
                    </w:r>
                  </w:p>
                </w:tc>
                <w:tc>
                  <w:tcPr>
                    <w:tcW w:w="961" w:type="dxa"/>
                    <w:tcBorders>
                      <w:top w:val="nil"/>
                      <w:left w:val="nil"/>
                      <w:bottom w:val="single" w:sz="4" w:space="0" w:color="auto"/>
                      <w:right w:val="single" w:sz="4" w:space="0" w:color="auto"/>
                    </w:tcBorders>
                    <w:shd w:val="clear" w:color="000000" w:fill="DBE5F1"/>
                    <w:noWrap/>
                    <w:vAlign w:val="center"/>
                    <w:hideMark/>
                  </w:tcPr>
                  <w:p>
                    <w:pPr>
                      <w:jc w:val="center"/>
                      <w:rPr>
                        <w:color w:val="000000"/>
                        <w:sz w:val="20"/>
                        <w:lang w:eastAsia="lt-LT"/>
                      </w:rPr>
                    </w:pPr>
                    <w:r>
                      <w:rPr>
                        <w:color w:val="000000"/>
                        <w:sz w:val="20"/>
                        <w:lang w:eastAsia="lt-LT"/>
                      </w:rPr>
                      <w:t>3</w:t>
                    </w:r>
                  </w:p>
                </w:tc>
                <w:tc>
                  <w:tcPr>
                    <w:tcW w:w="1587" w:type="dxa"/>
                    <w:tcBorders>
                      <w:top w:val="nil"/>
                      <w:left w:val="nil"/>
                      <w:bottom w:val="single" w:sz="4" w:space="0" w:color="auto"/>
                      <w:right w:val="single" w:sz="4" w:space="0" w:color="auto"/>
                    </w:tcBorders>
                    <w:shd w:val="clear" w:color="000000" w:fill="DBE5F1"/>
                    <w:vAlign w:val="center"/>
                    <w:hideMark/>
                  </w:tcPr>
                  <w:p>
                    <w:pPr>
                      <w:jc w:val="center"/>
                      <w:rPr>
                        <w:color w:val="000000"/>
                        <w:sz w:val="20"/>
                        <w:lang w:eastAsia="lt-LT"/>
                      </w:rPr>
                    </w:pPr>
                    <w:r>
                      <w:rPr>
                        <w:color w:val="000000"/>
                        <w:sz w:val="20"/>
                        <w:lang w:eastAsia="lt-LT"/>
                      </w:rPr>
                      <w:t>4</w:t>
                    </w:r>
                  </w:p>
                </w:tc>
                <w:tc>
                  <w:tcPr>
                    <w:tcW w:w="3228" w:type="dxa"/>
                    <w:tcBorders>
                      <w:top w:val="nil"/>
                      <w:left w:val="nil"/>
                      <w:bottom w:val="single" w:sz="4" w:space="0" w:color="auto"/>
                      <w:right w:val="single" w:sz="4" w:space="0" w:color="auto"/>
                    </w:tcBorders>
                    <w:shd w:val="clear" w:color="000000" w:fill="DBE5F1"/>
                    <w:vAlign w:val="center"/>
                    <w:hideMark/>
                  </w:tcPr>
                  <w:p>
                    <w:pPr>
                      <w:jc w:val="center"/>
                      <w:rPr>
                        <w:color w:val="000000"/>
                        <w:sz w:val="20"/>
                        <w:lang w:eastAsia="lt-LT"/>
                      </w:rPr>
                    </w:pPr>
                    <w:r>
                      <w:rPr>
                        <w:color w:val="000000"/>
                        <w:sz w:val="20"/>
                        <w:lang w:eastAsia="lt-LT"/>
                      </w:rPr>
                      <w:t>5</w:t>
                    </w:r>
                  </w:p>
                </w:tc>
                <w:tc>
                  <w:tcPr>
                    <w:tcW w:w="872" w:type="dxa"/>
                    <w:tcBorders>
                      <w:top w:val="nil"/>
                      <w:left w:val="nil"/>
                      <w:bottom w:val="single" w:sz="4" w:space="0" w:color="auto"/>
                      <w:right w:val="single" w:sz="4" w:space="0" w:color="auto"/>
                    </w:tcBorders>
                    <w:shd w:val="clear" w:color="000000" w:fill="DBE5F1"/>
                    <w:noWrap/>
                    <w:vAlign w:val="center"/>
                    <w:hideMark/>
                  </w:tcPr>
                  <w:p>
                    <w:pPr>
                      <w:jc w:val="center"/>
                      <w:rPr>
                        <w:color w:val="000000"/>
                        <w:sz w:val="20"/>
                        <w:lang w:eastAsia="lt-LT"/>
                      </w:rPr>
                    </w:pPr>
                    <w:r>
                      <w:rPr>
                        <w:color w:val="000000"/>
                        <w:sz w:val="20"/>
                        <w:lang w:eastAsia="lt-LT"/>
                      </w:rPr>
                      <w:t>6</w:t>
                    </w:r>
                  </w:p>
                </w:tc>
                <w:tc>
                  <w:tcPr>
                    <w:tcW w:w="895" w:type="dxa"/>
                    <w:tcBorders>
                      <w:top w:val="nil"/>
                      <w:left w:val="nil"/>
                      <w:bottom w:val="single" w:sz="4" w:space="0" w:color="auto"/>
                      <w:right w:val="single" w:sz="4" w:space="0" w:color="auto"/>
                    </w:tcBorders>
                    <w:shd w:val="clear" w:color="000000" w:fill="DBE5F1"/>
                    <w:noWrap/>
                    <w:vAlign w:val="center"/>
                    <w:hideMark/>
                  </w:tcPr>
                  <w:p>
                    <w:pPr>
                      <w:jc w:val="center"/>
                      <w:rPr>
                        <w:color w:val="000000"/>
                        <w:sz w:val="20"/>
                        <w:lang w:eastAsia="lt-LT"/>
                      </w:rPr>
                    </w:pPr>
                    <w:r>
                      <w:rPr>
                        <w:color w:val="000000"/>
                        <w:sz w:val="20"/>
                        <w:lang w:eastAsia="lt-LT"/>
                      </w:rPr>
                      <w:t>7</w:t>
                    </w:r>
                  </w:p>
                </w:tc>
                <w:tc>
                  <w:tcPr>
                    <w:tcW w:w="1166" w:type="dxa"/>
                    <w:tcBorders>
                      <w:top w:val="nil"/>
                      <w:left w:val="nil"/>
                      <w:bottom w:val="single" w:sz="4" w:space="0" w:color="auto"/>
                      <w:right w:val="single" w:sz="4" w:space="0" w:color="auto"/>
                    </w:tcBorders>
                    <w:shd w:val="clear" w:color="000000" w:fill="DBE5F1"/>
                    <w:vAlign w:val="center"/>
                    <w:hideMark/>
                  </w:tcPr>
                  <w:p>
                    <w:pPr>
                      <w:jc w:val="center"/>
                      <w:rPr>
                        <w:color w:val="000000"/>
                        <w:sz w:val="20"/>
                        <w:lang w:eastAsia="lt-LT"/>
                      </w:rPr>
                    </w:pPr>
                    <w:r>
                      <w:rPr>
                        <w:color w:val="000000"/>
                        <w:sz w:val="20"/>
                        <w:lang w:eastAsia="lt-LT"/>
                      </w:rPr>
                      <w:t>8</w:t>
                    </w:r>
                  </w:p>
                </w:tc>
                <w:tc>
                  <w:tcPr>
                    <w:tcW w:w="1295" w:type="dxa"/>
                    <w:tcBorders>
                      <w:top w:val="nil"/>
                      <w:left w:val="nil"/>
                      <w:bottom w:val="single" w:sz="4" w:space="0" w:color="auto"/>
                      <w:right w:val="single" w:sz="4" w:space="0" w:color="auto"/>
                    </w:tcBorders>
                    <w:shd w:val="clear" w:color="000000" w:fill="DBE5F1"/>
                    <w:vAlign w:val="center"/>
                    <w:hideMark/>
                  </w:tcPr>
                  <w:p>
                    <w:pPr>
                      <w:jc w:val="center"/>
                      <w:rPr>
                        <w:color w:val="000000"/>
                        <w:sz w:val="20"/>
                        <w:lang w:eastAsia="lt-LT"/>
                      </w:rPr>
                    </w:pPr>
                    <w:r>
                      <w:rPr>
                        <w:color w:val="000000"/>
                        <w:sz w:val="20"/>
                        <w:lang w:eastAsia="lt-LT"/>
                      </w:rPr>
                      <w:t>9</w:t>
                    </w:r>
                  </w:p>
                </w:tc>
                <w:tc>
                  <w:tcPr>
                    <w:tcW w:w="1116" w:type="dxa"/>
                    <w:tcBorders>
                      <w:top w:val="nil"/>
                      <w:left w:val="nil"/>
                      <w:bottom w:val="single" w:sz="4" w:space="0" w:color="auto"/>
                      <w:right w:val="single" w:sz="4" w:space="0" w:color="auto"/>
                    </w:tcBorders>
                    <w:shd w:val="clear" w:color="000000" w:fill="DBE5F1"/>
                    <w:vAlign w:val="center"/>
                    <w:hideMark/>
                  </w:tcPr>
                  <w:p>
                    <w:pPr>
                      <w:jc w:val="center"/>
                      <w:rPr>
                        <w:color w:val="000000"/>
                        <w:sz w:val="20"/>
                        <w:lang w:eastAsia="lt-LT"/>
                      </w:rPr>
                    </w:pPr>
                    <w:r>
                      <w:rPr>
                        <w:color w:val="000000"/>
                        <w:sz w:val="20"/>
                        <w:lang w:eastAsia="lt-LT"/>
                      </w:rPr>
                      <w:t>10</w:t>
                    </w:r>
                  </w:p>
                </w:tc>
              </w:tr>
              <w:tr>
                <w:trPr>
                  <w:trHeight w:val="510"/>
                </w:trPr>
                <w:tc>
                  <w:tcPr>
                    <w:tcW w:w="1538" w:type="dxa"/>
                    <w:tcBorders>
                      <w:top w:val="nil"/>
                      <w:left w:val="single" w:sz="4" w:space="0" w:color="auto"/>
                      <w:bottom w:val="single" w:sz="4" w:space="0" w:color="auto"/>
                      <w:right w:val="single" w:sz="4" w:space="0" w:color="auto"/>
                    </w:tcBorders>
                    <w:shd w:val="clear" w:color="auto" w:fill="auto"/>
                    <w:vAlign w:val="center"/>
                    <w:hideMark/>
                  </w:tcPr>
                  <w:p>
                    <w:pPr>
                      <w:ind w:firstLine="53"/>
                      <w:rPr>
                        <w:color w:val="000000"/>
                        <w:sz w:val="20"/>
                        <w:lang w:eastAsia="lt-LT"/>
                      </w:rPr>
                    </w:pPr>
                  </w:p>
                </w:tc>
                <w:tc>
                  <w:tcPr>
                    <w:tcW w:w="1328"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12-02-01</w:t>
                    </w:r>
                  </w:p>
                </w:tc>
                <w:tc>
                  <w:tcPr>
                    <w:tcW w:w="961" w:type="dxa"/>
                    <w:tcBorders>
                      <w:top w:val="nil"/>
                      <w:left w:val="nil"/>
                      <w:bottom w:val="single" w:sz="4" w:space="0" w:color="auto"/>
                      <w:right w:val="single" w:sz="4" w:space="0" w:color="auto"/>
                    </w:tcBorders>
                    <w:shd w:val="clear" w:color="auto" w:fill="auto"/>
                    <w:noWrap/>
                    <w:vAlign w:val="center"/>
                    <w:hideMark/>
                  </w:tcPr>
                  <w:p>
                    <w:pPr>
                      <w:ind w:firstLine="53"/>
                      <w:jc w:val="center"/>
                      <w:rPr>
                        <w:color w:val="000000"/>
                        <w:sz w:val="20"/>
                        <w:lang w:eastAsia="lt-LT"/>
                      </w:rPr>
                    </w:pPr>
                  </w:p>
                </w:tc>
                <w:tc>
                  <w:tcPr>
                    <w:tcW w:w="1587"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ŠMSA (KS, SRS)</w:t>
                    </w:r>
                  </w:p>
                </w:tc>
                <w:tc>
                  <w:tcPr>
                    <w:tcW w:w="3228"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Atnaujinta / modernizuota Šiaulių dailės galerija</w:t>
                    </w:r>
                  </w:p>
                </w:tc>
                <w:tc>
                  <w:tcPr>
                    <w:tcW w:w="872"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2028</w:t>
                    </w:r>
                  </w:p>
                </w:tc>
                <w:tc>
                  <w:tcPr>
                    <w:tcW w:w="895"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2033</w:t>
                    </w:r>
                  </w:p>
                </w:tc>
                <w:tc>
                  <w:tcPr>
                    <w:tcW w:w="1166"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800000</w:t>
                    </w:r>
                  </w:p>
                </w:tc>
                <w:tc>
                  <w:tcPr>
                    <w:tcW w:w="1295"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120000</w:t>
                    </w:r>
                  </w:p>
                </w:tc>
                <w:tc>
                  <w:tcPr>
                    <w:tcW w:w="1116"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680000</w:t>
                    </w:r>
                  </w:p>
                </w:tc>
              </w:tr>
              <w:tr>
                <w:trPr>
                  <w:trHeight w:val="510"/>
                </w:trPr>
                <w:tc>
                  <w:tcPr>
                    <w:tcW w:w="1538" w:type="dxa"/>
                    <w:tcBorders>
                      <w:top w:val="nil"/>
                      <w:left w:val="single" w:sz="4" w:space="0" w:color="auto"/>
                      <w:bottom w:val="single" w:sz="4" w:space="0" w:color="auto"/>
                      <w:right w:val="single" w:sz="4" w:space="0" w:color="auto"/>
                    </w:tcBorders>
                    <w:shd w:val="clear" w:color="auto" w:fill="auto"/>
                    <w:vAlign w:val="center"/>
                    <w:hideMark/>
                  </w:tcPr>
                  <w:p>
                    <w:pPr>
                      <w:ind w:firstLine="53"/>
                      <w:rPr>
                        <w:color w:val="000000"/>
                        <w:sz w:val="20"/>
                        <w:lang w:eastAsia="lt-LT"/>
                      </w:rPr>
                    </w:pPr>
                  </w:p>
                </w:tc>
                <w:tc>
                  <w:tcPr>
                    <w:tcW w:w="1328"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12-02-02</w:t>
                    </w:r>
                  </w:p>
                </w:tc>
                <w:tc>
                  <w:tcPr>
                    <w:tcW w:w="961" w:type="dxa"/>
                    <w:tcBorders>
                      <w:top w:val="nil"/>
                      <w:left w:val="nil"/>
                      <w:bottom w:val="single" w:sz="4" w:space="0" w:color="auto"/>
                      <w:right w:val="single" w:sz="4" w:space="0" w:color="auto"/>
                    </w:tcBorders>
                    <w:shd w:val="clear" w:color="auto" w:fill="auto"/>
                    <w:noWrap/>
                    <w:vAlign w:val="center"/>
                    <w:hideMark/>
                  </w:tcPr>
                  <w:p>
                    <w:pPr>
                      <w:ind w:firstLine="53"/>
                      <w:jc w:val="center"/>
                      <w:rPr>
                        <w:color w:val="000000"/>
                        <w:sz w:val="20"/>
                        <w:lang w:eastAsia="lt-LT"/>
                      </w:rPr>
                    </w:pPr>
                  </w:p>
                </w:tc>
                <w:tc>
                  <w:tcPr>
                    <w:tcW w:w="1587"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ŠMSA (KS)</w:t>
                    </w:r>
                  </w:p>
                </w:tc>
                <w:tc>
                  <w:tcPr>
                    <w:tcW w:w="3228"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Pastatyta šiuolaikinė koncertų salė</w:t>
                    </w:r>
                  </w:p>
                </w:tc>
                <w:tc>
                  <w:tcPr>
                    <w:tcW w:w="872"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2030</w:t>
                    </w:r>
                  </w:p>
                </w:tc>
                <w:tc>
                  <w:tcPr>
                    <w:tcW w:w="895"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2033</w:t>
                    </w:r>
                  </w:p>
                </w:tc>
                <w:tc>
                  <w:tcPr>
                    <w:tcW w:w="1166"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30000000</w:t>
                    </w:r>
                  </w:p>
                </w:tc>
                <w:tc>
                  <w:tcPr>
                    <w:tcW w:w="1295"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4500000</w:t>
                    </w:r>
                  </w:p>
                </w:tc>
                <w:tc>
                  <w:tcPr>
                    <w:tcW w:w="1116"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25500000</w:t>
                    </w:r>
                  </w:p>
                </w:tc>
              </w:tr>
              <w:tr>
                <w:trPr>
                  <w:trHeight w:val="510"/>
                </w:trPr>
                <w:tc>
                  <w:tcPr>
                    <w:tcW w:w="1538" w:type="dxa"/>
                    <w:tcBorders>
                      <w:top w:val="nil"/>
                      <w:left w:val="single" w:sz="4" w:space="0" w:color="auto"/>
                      <w:bottom w:val="single" w:sz="4" w:space="0" w:color="auto"/>
                      <w:right w:val="single" w:sz="4" w:space="0" w:color="auto"/>
                    </w:tcBorders>
                    <w:shd w:val="clear" w:color="auto" w:fill="auto"/>
                    <w:vAlign w:val="center"/>
                    <w:hideMark/>
                  </w:tcPr>
                  <w:p>
                    <w:pPr>
                      <w:ind w:firstLine="53"/>
                      <w:rPr>
                        <w:color w:val="000000"/>
                        <w:sz w:val="20"/>
                        <w:lang w:eastAsia="lt-LT"/>
                      </w:rPr>
                    </w:pPr>
                  </w:p>
                </w:tc>
                <w:tc>
                  <w:tcPr>
                    <w:tcW w:w="1328"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12-02-03</w:t>
                    </w:r>
                  </w:p>
                </w:tc>
                <w:tc>
                  <w:tcPr>
                    <w:tcW w:w="961" w:type="dxa"/>
                    <w:tcBorders>
                      <w:top w:val="nil"/>
                      <w:left w:val="nil"/>
                      <w:bottom w:val="single" w:sz="4" w:space="0" w:color="auto"/>
                      <w:right w:val="single" w:sz="4" w:space="0" w:color="auto"/>
                    </w:tcBorders>
                    <w:shd w:val="clear" w:color="auto" w:fill="auto"/>
                    <w:noWrap/>
                    <w:vAlign w:val="center"/>
                    <w:hideMark/>
                  </w:tcPr>
                  <w:p>
                    <w:pPr>
                      <w:ind w:firstLine="53"/>
                      <w:jc w:val="center"/>
                      <w:rPr>
                        <w:color w:val="000000"/>
                        <w:sz w:val="20"/>
                        <w:lang w:eastAsia="lt-LT"/>
                      </w:rPr>
                    </w:pPr>
                  </w:p>
                </w:tc>
                <w:tc>
                  <w:tcPr>
                    <w:tcW w:w="1587"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ŠMSA (KS, MPPS, AS, TVS, SRS)</w:t>
                    </w:r>
                  </w:p>
                </w:tc>
                <w:tc>
                  <w:tcPr>
                    <w:tcW w:w="3228"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Perimti, sutvarkyti ir įveiklinti Šiaulių dvaro sodybos, vad. Didždvario, rūmai (Zubovų rūmai)</w:t>
                    </w:r>
                  </w:p>
                </w:tc>
                <w:tc>
                  <w:tcPr>
                    <w:tcW w:w="872"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2027</w:t>
                    </w:r>
                  </w:p>
                </w:tc>
                <w:tc>
                  <w:tcPr>
                    <w:tcW w:w="895"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2030</w:t>
                    </w:r>
                  </w:p>
                </w:tc>
                <w:tc>
                  <w:tcPr>
                    <w:tcW w:w="1166"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3000000</w:t>
                    </w:r>
                  </w:p>
                </w:tc>
                <w:tc>
                  <w:tcPr>
                    <w:tcW w:w="1295"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450000</w:t>
                    </w:r>
                  </w:p>
                </w:tc>
                <w:tc>
                  <w:tcPr>
                    <w:tcW w:w="1116"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2550000</w:t>
                    </w:r>
                  </w:p>
                </w:tc>
              </w:tr>
              <w:tr>
                <w:trPr>
                  <w:trHeight w:val="510"/>
                </w:trPr>
                <w:tc>
                  <w:tcPr>
                    <w:tcW w:w="1538" w:type="dxa"/>
                    <w:tcBorders>
                      <w:top w:val="nil"/>
                      <w:left w:val="single" w:sz="4" w:space="0" w:color="auto"/>
                      <w:bottom w:val="single" w:sz="4" w:space="0" w:color="auto"/>
                      <w:right w:val="single" w:sz="4" w:space="0" w:color="auto"/>
                    </w:tcBorders>
                    <w:shd w:val="clear" w:color="auto" w:fill="auto"/>
                    <w:vAlign w:val="center"/>
                    <w:hideMark/>
                  </w:tcPr>
                  <w:p>
                    <w:pPr>
                      <w:ind w:firstLine="53"/>
                      <w:rPr>
                        <w:color w:val="000000"/>
                        <w:sz w:val="20"/>
                        <w:lang w:eastAsia="lt-LT"/>
                      </w:rPr>
                    </w:pPr>
                  </w:p>
                </w:tc>
                <w:tc>
                  <w:tcPr>
                    <w:tcW w:w="1328"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13-01-04</w:t>
                    </w:r>
                  </w:p>
                </w:tc>
                <w:tc>
                  <w:tcPr>
                    <w:tcW w:w="961" w:type="dxa"/>
                    <w:tcBorders>
                      <w:top w:val="nil"/>
                      <w:left w:val="nil"/>
                      <w:bottom w:val="single" w:sz="4" w:space="0" w:color="auto"/>
                      <w:right w:val="single" w:sz="4" w:space="0" w:color="auto"/>
                    </w:tcBorders>
                    <w:shd w:val="clear" w:color="auto" w:fill="auto"/>
                    <w:noWrap/>
                    <w:vAlign w:val="center"/>
                    <w:hideMark/>
                  </w:tcPr>
                  <w:p>
                    <w:pPr>
                      <w:ind w:firstLine="53"/>
                      <w:jc w:val="center"/>
                      <w:rPr>
                        <w:color w:val="000000"/>
                        <w:sz w:val="20"/>
                        <w:lang w:eastAsia="lt-LT"/>
                      </w:rPr>
                    </w:pPr>
                  </w:p>
                </w:tc>
                <w:tc>
                  <w:tcPr>
                    <w:tcW w:w="1587"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ŠMSA (CSP, SRS)</w:t>
                    </w:r>
                  </w:p>
                </w:tc>
                <w:tc>
                  <w:tcPr>
                    <w:tcW w:w="3228"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Įrengta slėptuvė Savivaldybės ekstremaliųjų situacijų operacijų centro veiklai, darbui</w:t>
                    </w:r>
                  </w:p>
                </w:tc>
                <w:tc>
                  <w:tcPr>
                    <w:tcW w:w="872"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2025</w:t>
                    </w:r>
                  </w:p>
                </w:tc>
                <w:tc>
                  <w:tcPr>
                    <w:tcW w:w="895"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2026</w:t>
                    </w:r>
                  </w:p>
                </w:tc>
                <w:tc>
                  <w:tcPr>
                    <w:tcW w:w="1166"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800000</w:t>
                    </w:r>
                  </w:p>
                </w:tc>
                <w:tc>
                  <w:tcPr>
                    <w:tcW w:w="1295"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800000</w:t>
                    </w:r>
                  </w:p>
                </w:tc>
                <w:tc>
                  <w:tcPr>
                    <w:tcW w:w="1116" w:type="dxa"/>
                    <w:tcBorders>
                      <w:top w:val="nil"/>
                      <w:left w:val="nil"/>
                      <w:bottom w:val="single" w:sz="4" w:space="0" w:color="auto"/>
                      <w:right w:val="single" w:sz="4" w:space="0" w:color="auto"/>
                    </w:tcBorders>
                    <w:shd w:val="clear" w:color="auto" w:fill="auto"/>
                    <w:vAlign w:val="center"/>
                    <w:hideMark/>
                  </w:tcPr>
                  <w:p>
                    <w:pPr>
                      <w:ind w:firstLine="53"/>
                      <w:jc w:val="center"/>
                      <w:rPr>
                        <w:color w:val="000000"/>
                        <w:sz w:val="20"/>
                        <w:lang w:eastAsia="lt-LT"/>
                      </w:rPr>
                    </w:pPr>
                  </w:p>
                </w:tc>
              </w:tr>
              <w:tr>
                <w:trPr>
                  <w:trHeight w:val="510"/>
                </w:trPr>
                <w:tc>
                  <w:tcPr>
                    <w:tcW w:w="1538" w:type="dxa"/>
                    <w:tcBorders>
                      <w:top w:val="nil"/>
                      <w:left w:val="single" w:sz="4" w:space="0" w:color="auto"/>
                      <w:bottom w:val="single" w:sz="4" w:space="0" w:color="auto"/>
                      <w:right w:val="single" w:sz="4" w:space="0" w:color="auto"/>
                    </w:tcBorders>
                    <w:shd w:val="clear" w:color="auto" w:fill="auto"/>
                    <w:vAlign w:val="center"/>
                    <w:hideMark/>
                  </w:tcPr>
                  <w:p>
                    <w:pPr>
                      <w:ind w:firstLine="53"/>
                      <w:rPr>
                        <w:color w:val="000000"/>
                        <w:sz w:val="20"/>
                        <w:lang w:eastAsia="lt-LT"/>
                      </w:rPr>
                    </w:pPr>
                  </w:p>
                </w:tc>
                <w:tc>
                  <w:tcPr>
                    <w:tcW w:w="1328"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13-01-02</w:t>
                    </w:r>
                  </w:p>
                </w:tc>
                <w:tc>
                  <w:tcPr>
                    <w:tcW w:w="961" w:type="dxa"/>
                    <w:tcBorders>
                      <w:top w:val="nil"/>
                      <w:left w:val="nil"/>
                      <w:bottom w:val="single" w:sz="4" w:space="0" w:color="auto"/>
                      <w:right w:val="single" w:sz="4" w:space="0" w:color="auto"/>
                    </w:tcBorders>
                    <w:shd w:val="clear" w:color="auto" w:fill="auto"/>
                    <w:noWrap/>
                    <w:vAlign w:val="center"/>
                    <w:hideMark/>
                  </w:tcPr>
                  <w:p>
                    <w:pPr>
                      <w:ind w:firstLine="53"/>
                      <w:jc w:val="center"/>
                      <w:rPr>
                        <w:color w:val="000000"/>
                        <w:sz w:val="20"/>
                        <w:lang w:eastAsia="lt-LT"/>
                      </w:rPr>
                    </w:pPr>
                  </w:p>
                </w:tc>
                <w:tc>
                  <w:tcPr>
                    <w:tcW w:w="1587"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ŠMSA (TVS)</w:t>
                    </w:r>
                  </w:p>
                </w:tc>
                <w:tc>
                  <w:tcPr>
                    <w:tcW w:w="3228"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Sukurtas pažangus Savivaldybės įmonių ir įstaigų turto valdymo sprendimas</w:t>
                    </w:r>
                  </w:p>
                </w:tc>
                <w:tc>
                  <w:tcPr>
                    <w:tcW w:w="872"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2025</w:t>
                    </w:r>
                  </w:p>
                </w:tc>
                <w:tc>
                  <w:tcPr>
                    <w:tcW w:w="895"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2026</w:t>
                    </w:r>
                  </w:p>
                </w:tc>
                <w:tc>
                  <w:tcPr>
                    <w:tcW w:w="1166" w:type="dxa"/>
                    <w:vMerge w:val="restart"/>
                    <w:tcBorders>
                      <w:top w:val="nil"/>
                      <w:left w:val="single" w:sz="4" w:space="0" w:color="auto"/>
                      <w:bottom w:val="single" w:sz="4" w:space="0" w:color="000000"/>
                      <w:right w:val="single" w:sz="4" w:space="0" w:color="auto"/>
                    </w:tcBorders>
                    <w:shd w:val="clear" w:color="auto" w:fill="auto"/>
                    <w:vAlign w:val="center"/>
                    <w:hideMark/>
                  </w:tcPr>
                  <w:p>
                    <w:pPr>
                      <w:jc w:val="center"/>
                      <w:rPr>
                        <w:color w:val="000000"/>
                        <w:sz w:val="20"/>
                        <w:lang w:eastAsia="lt-LT"/>
                      </w:rPr>
                    </w:pPr>
                    <w:r>
                      <w:rPr>
                        <w:color w:val="000000"/>
                        <w:sz w:val="20"/>
                        <w:lang w:eastAsia="lt-LT"/>
                      </w:rPr>
                      <w:t>850879</w:t>
                    </w:r>
                  </w:p>
                </w:tc>
                <w:tc>
                  <w:tcPr>
                    <w:tcW w:w="1295" w:type="dxa"/>
                    <w:vMerge w:val="restart"/>
                    <w:tcBorders>
                      <w:top w:val="nil"/>
                      <w:left w:val="single" w:sz="4" w:space="0" w:color="auto"/>
                      <w:bottom w:val="single" w:sz="4" w:space="0" w:color="000000"/>
                      <w:right w:val="single" w:sz="4" w:space="0" w:color="auto"/>
                    </w:tcBorders>
                    <w:shd w:val="clear" w:color="auto" w:fill="auto"/>
                    <w:vAlign w:val="center"/>
                    <w:hideMark/>
                  </w:tcPr>
                  <w:p>
                    <w:pPr>
                      <w:ind w:firstLine="53"/>
                      <w:jc w:val="center"/>
                      <w:rPr>
                        <w:color w:val="000000"/>
                        <w:sz w:val="20"/>
                        <w:lang w:eastAsia="lt-LT"/>
                      </w:rPr>
                    </w:pPr>
                  </w:p>
                </w:tc>
                <w:tc>
                  <w:tcPr>
                    <w:tcW w:w="1116" w:type="dxa"/>
                    <w:vMerge w:val="restart"/>
                    <w:tcBorders>
                      <w:top w:val="nil"/>
                      <w:left w:val="single" w:sz="4" w:space="0" w:color="auto"/>
                      <w:bottom w:val="single" w:sz="4" w:space="0" w:color="000000"/>
                      <w:right w:val="single" w:sz="4" w:space="0" w:color="auto"/>
                    </w:tcBorders>
                    <w:shd w:val="clear" w:color="auto" w:fill="auto"/>
                    <w:vAlign w:val="center"/>
                    <w:hideMark/>
                  </w:tcPr>
                  <w:p>
                    <w:pPr>
                      <w:jc w:val="center"/>
                      <w:rPr>
                        <w:color w:val="000000"/>
                        <w:sz w:val="20"/>
                        <w:lang w:eastAsia="lt-LT"/>
                      </w:rPr>
                    </w:pPr>
                    <w:r>
                      <w:rPr>
                        <w:color w:val="000000"/>
                        <w:sz w:val="20"/>
                        <w:lang w:eastAsia="lt-LT"/>
                      </w:rPr>
                      <w:t>850879</w:t>
                    </w:r>
                  </w:p>
                </w:tc>
              </w:tr>
              <w:tr>
                <w:trPr>
                  <w:trHeight w:val="510"/>
                </w:trPr>
                <w:tc>
                  <w:tcPr>
                    <w:tcW w:w="1538" w:type="dxa"/>
                    <w:tcBorders>
                      <w:top w:val="nil"/>
                      <w:left w:val="single" w:sz="4" w:space="0" w:color="auto"/>
                      <w:bottom w:val="single" w:sz="4" w:space="0" w:color="auto"/>
                      <w:right w:val="single" w:sz="4" w:space="0" w:color="auto"/>
                    </w:tcBorders>
                    <w:shd w:val="clear" w:color="auto" w:fill="auto"/>
                    <w:vAlign w:val="center"/>
                    <w:hideMark/>
                  </w:tcPr>
                  <w:p>
                    <w:pPr>
                      <w:ind w:firstLine="53"/>
                      <w:rPr>
                        <w:color w:val="000000"/>
                        <w:sz w:val="20"/>
                        <w:lang w:eastAsia="lt-LT"/>
                      </w:rPr>
                    </w:pPr>
                  </w:p>
                </w:tc>
                <w:tc>
                  <w:tcPr>
                    <w:tcW w:w="1328"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14-02-04</w:t>
                    </w:r>
                  </w:p>
                </w:tc>
                <w:tc>
                  <w:tcPr>
                    <w:tcW w:w="961" w:type="dxa"/>
                    <w:tcBorders>
                      <w:top w:val="nil"/>
                      <w:left w:val="nil"/>
                      <w:bottom w:val="single" w:sz="4" w:space="0" w:color="auto"/>
                      <w:right w:val="single" w:sz="4" w:space="0" w:color="auto"/>
                    </w:tcBorders>
                    <w:shd w:val="clear" w:color="auto" w:fill="auto"/>
                    <w:noWrap/>
                    <w:vAlign w:val="center"/>
                    <w:hideMark/>
                  </w:tcPr>
                  <w:p>
                    <w:pPr>
                      <w:ind w:firstLine="53"/>
                      <w:jc w:val="center"/>
                      <w:rPr>
                        <w:color w:val="000000"/>
                        <w:sz w:val="20"/>
                        <w:lang w:eastAsia="lt-LT"/>
                      </w:rPr>
                    </w:pPr>
                  </w:p>
                </w:tc>
                <w:tc>
                  <w:tcPr>
                    <w:tcW w:w="1587"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ŠMSA (TVS)</w:t>
                    </w:r>
                  </w:p>
                </w:tc>
                <w:tc>
                  <w:tcPr>
                    <w:tcW w:w="3228"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Sukurtas automatizuotas, interaktyvus Šiaulių NT žemėlapis</w:t>
                    </w:r>
                  </w:p>
                </w:tc>
                <w:tc>
                  <w:tcPr>
                    <w:tcW w:w="872"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2025</w:t>
                    </w:r>
                  </w:p>
                </w:tc>
                <w:tc>
                  <w:tcPr>
                    <w:tcW w:w="895"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2026</w:t>
                    </w:r>
                  </w:p>
                </w:tc>
                <w:tc>
                  <w:tcPr>
                    <w:tcW w:w="1166" w:type="dxa"/>
                    <w:vMerge/>
                    <w:tcBorders>
                      <w:top w:val="nil"/>
                      <w:left w:val="single" w:sz="4" w:space="0" w:color="auto"/>
                      <w:bottom w:val="single" w:sz="4" w:space="0" w:color="000000"/>
                      <w:right w:val="single" w:sz="4" w:space="0" w:color="auto"/>
                    </w:tcBorders>
                    <w:vAlign w:val="center"/>
                    <w:hideMark/>
                  </w:tcPr>
                  <w:p>
                    <w:pPr>
                      <w:rPr>
                        <w:color w:val="000000"/>
                        <w:sz w:val="20"/>
                        <w:lang w:eastAsia="lt-LT"/>
                      </w:rPr>
                    </w:pPr>
                  </w:p>
                </w:tc>
                <w:tc>
                  <w:tcPr>
                    <w:tcW w:w="1295" w:type="dxa"/>
                    <w:vMerge/>
                    <w:tcBorders>
                      <w:top w:val="nil"/>
                      <w:left w:val="single" w:sz="4" w:space="0" w:color="auto"/>
                      <w:bottom w:val="single" w:sz="4" w:space="0" w:color="000000"/>
                      <w:right w:val="single" w:sz="4" w:space="0" w:color="auto"/>
                    </w:tcBorders>
                    <w:vAlign w:val="center"/>
                    <w:hideMark/>
                  </w:tcPr>
                  <w:p>
                    <w:pPr>
                      <w:rPr>
                        <w:color w:val="000000"/>
                        <w:sz w:val="20"/>
                        <w:lang w:eastAsia="lt-LT"/>
                      </w:rPr>
                    </w:pPr>
                  </w:p>
                </w:tc>
                <w:tc>
                  <w:tcPr>
                    <w:tcW w:w="1116" w:type="dxa"/>
                    <w:vMerge/>
                    <w:tcBorders>
                      <w:top w:val="nil"/>
                      <w:left w:val="single" w:sz="4" w:space="0" w:color="auto"/>
                      <w:bottom w:val="single" w:sz="4" w:space="0" w:color="000000"/>
                      <w:right w:val="single" w:sz="4" w:space="0" w:color="auto"/>
                    </w:tcBorders>
                    <w:vAlign w:val="center"/>
                    <w:hideMark/>
                  </w:tcPr>
                  <w:p>
                    <w:pPr>
                      <w:rPr>
                        <w:color w:val="000000"/>
                        <w:sz w:val="20"/>
                        <w:lang w:eastAsia="lt-LT"/>
                      </w:rPr>
                    </w:pPr>
                  </w:p>
                </w:tc>
              </w:tr>
              <w:tr>
                <w:trPr>
                  <w:trHeight w:val="510"/>
                </w:trPr>
                <w:tc>
                  <w:tcPr>
                    <w:tcW w:w="1538" w:type="dxa"/>
                    <w:tcBorders>
                      <w:top w:val="nil"/>
                      <w:left w:val="single" w:sz="4" w:space="0" w:color="auto"/>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Šiaulių miesto integruota plėtra</w:t>
                    </w:r>
                  </w:p>
                </w:tc>
                <w:tc>
                  <w:tcPr>
                    <w:tcW w:w="1328"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13-01-01 / 14-01-03</w:t>
                    </w:r>
                  </w:p>
                </w:tc>
                <w:tc>
                  <w:tcPr>
                    <w:tcW w:w="961" w:type="dxa"/>
                    <w:tcBorders>
                      <w:top w:val="nil"/>
                      <w:left w:val="nil"/>
                      <w:bottom w:val="single" w:sz="4" w:space="0" w:color="auto"/>
                      <w:right w:val="single" w:sz="4" w:space="0" w:color="auto"/>
                    </w:tcBorders>
                    <w:shd w:val="clear" w:color="auto" w:fill="auto"/>
                    <w:noWrap/>
                    <w:vAlign w:val="center"/>
                    <w:hideMark/>
                  </w:tcPr>
                  <w:p>
                    <w:pPr>
                      <w:ind w:firstLine="53"/>
                      <w:jc w:val="center"/>
                      <w:rPr>
                        <w:color w:val="000000"/>
                        <w:sz w:val="20"/>
                        <w:lang w:eastAsia="lt-LT"/>
                      </w:rPr>
                    </w:pPr>
                  </w:p>
                </w:tc>
                <w:tc>
                  <w:tcPr>
                    <w:tcW w:w="1587"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ŠMSA (AS, PVS, MPPS, MŪAS)</w:t>
                    </w:r>
                  </w:p>
                </w:tc>
                <w:tc>
                  <w:tcPr>
                    <w:tcW w:w="3228"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 xml:space="preserve">Lieporių parko atgaivinimas ir pritaikymas bendruomenės veiklai </w:t>
                    </w:r>
                  </w:p>
                </w:tc>
                <w:tc>
                  <w:tcPr>
                    <w:tcW w:w="872"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2024</w:t>
                    </w:r>
                  </w:p>
                </w:tc>
                <w:tc>
                  <w:tcPr>
                    <w:tcW w:w="895"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2027</w:t>
                    </w:r>
                  </w:p>
                </w:tc>
                <w:tc>
                  <w:tcPr>
                    <w:tcW w:w="1166"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3000000</w:t>
                    </w:r>
                  </w:p>
                </w:tc>
                <w:tc>
                  <w:tcPr>
                    <w:tcW w:w="1295"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450000</w:t>
                    </w:r>
                  </w:p>
                </w:tc>
                <w:tc>
                  <w:tcPr>
                    <w:tcW w:w="1116"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2550000 (ES)</w:t>
                    </w:r>
                  </w:p>
                </w:tc>
              </w:tr>
              <w:tr>
                <w:trPr>
                  <w:trHeight w:val="510"/>
                </w:trPr>
                <w:tc>
                  <w:tcPr>
                    <w:tcW w:w="1538" w:type="dxa"/>
                    <w:tcBorders>
                      <w:top w:val="nil"/>
                      <w:left w:val="single" w:sz="4" w:space="0" w:color="auto"/>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Šiaulių miesto integruota plėtra</w:t>
                    </w:r>
                  </w:p>
                </w:tc>
                <w:tc>
                  <w:tcPr>
                    <w:tcW w:w="1328"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14-01-01</w:t>
                    </w:r>
                  </w:p>
                </w:tc>
                <w:tc>
                  <w:tcPr>
                    <w:tcW w:w="961" w:type="dxa"/>
                    <w:tcBorders>
                      <w:top w:val="nil"/>
                      <w:left w:val="nil"/>
                      <w:bottom w:val="single" w:sz="4" w:space="0" w:color="auto"/>
                      <w:right w:val="single" w:sz="4" w:space="0" w:color="auto"/>
                    </w:tcBorders>
                    <w:shd w:val="clear" w:color="auto" w:fill="auto"/>
                    <w:noWrap/>
                    <w:vAlign w:val="center"/>
                    <w:hideMark/>
                  </w:tcPr>
                  <w:p>
                    <w:pPr>
                      <w:ind w:firstLine="53"/>
                      <w:jc w:val="center"/>
                      <w:rPr>
                        <w:color w:val="000000"/>
                        <w:sz w:val="20"/>
                        <w:lang w:eastAsia="lt-LT"/>
                      </w:rPr>
                    </w:pPr>
                  </w:p>
                </w:tc>
                <w:tc>
                  <w:tcPr>
                    <w:tcW w:w="1587"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ŠMSA (PVS, MŪAS)</w:t>
                    </w:r>
                  </w:p>
                </w:tc>
                <w:tc>
                  <w:tcPr>
                    <w:tcW w:w="3228"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Tankiai apgyvendintos Šiaulių miesto urbanizuotos teritorijos atgaivinimas, žalinimas ir funkcionalumo didinimas</w:t>
                    </w:r>
                  </w:p>
                </w:tc>
                <w:tc>
                  <w:tcPr>
                    <w:tcW w:w="872"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2024</w:t>
                    </w:r>
                  </w:p>
                </w:tc>
                <w:tc>
                  <w:tcPr>
                    <w:tcW w:w="895"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2025</w:t>
                    </w:r>
                  </w:p>
                </w:tc>
                <w:tc>
                  <w:tcPr>
                    <w:tcW w:w="1166"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4200000</w:t>
                    </w:r>
                  </w:p>
                </w:tc>
                <w:tc>
                  <w:tcPr>
                    <w:tcW w:w="1295"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630000</w:t>
                    </w:r>
                  </w:p>
                </w:tc>
                <w:tc>
                  <w:tcPr>
                    <w:tcW w:w="1116"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3570000 (ES)</w:t>
                    </w:r>
                  </w:p>
                </w:tc>
              </w:tr>
              <w:tr>
                <w:trPr>
                  <w:trHeight w:val="510"/>
                </w:trPr>
                <w:tc>
                  <w:tcPr>
                    <w:tcW w:w="1538" w:type="dxa"/>
                    <w:tcBorders>
                      <w:top w:val="nil"/>
                      <w:left w:val="single" w:sz="4" w:space="0" w:color="auto"/>
                      <w:bottom w:val="single" w:sz="4" w:space="0" w:color="auto"/>
                      <w:right w:val="single" w:sz="4" w:space="0" w:color="auto"/>
                    </w:tcBorders>
                    <w:shd w:val="clear" w:color="auto" w:fill="auto"/>
                    <w:vAlign w:val="center"/>
                    <w:hideMark/>
                  </w:tcPr>
                  <w:p>
                    <w:pPr>
                      <w:ind w:firstLine="53"/>
                      <w:rPr>
                        <w:color w:val="000000"/>
                        <w:sz w:val="20"/>
                        <w:lang w:eastAsia="lt-LT"/>
                      </w:rPr>
                    </w:pPr>
                  </w:p>
                </w:tc>
                <w:tc>
                  <w:tcPr>
                    <w:tcW w:w="1328"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14-01-01</w:t>
                    </w:r>
                  </w:p>
                </w:tc>
                <w:tc>
                  <w:tcPr>
                    <w:tcW w:w="961" w:type="dxa"/>
                    <w:tcBorders>
                      <w:top w:val="nil"/>
                      <w:left w:val="nil"/>
                      <w:bottom w:val="single" w:sz="4" w:space="0" w:color="auto"/>
                      <w:right w:val="single" w:sz="4" w:space="0" w:color="auto"/>
                    </w:tcBorders>
                    <w:shd w:val="clear" w:color="auto" w:fill="auto"/>
                    <w:noWrap/>
                    <w:vAlign w:val="center"/>
                    <w:hideMark/>
                  </w:tcPr>
                  <w:p>
                    <w:pPr>
                      <w:ind w:firstLine="53"/>
                      <w:jc w:val="center"/>
                      <w:rPr>
                        <w:color w:val="000000"/>
                        <w:sz w:val="20"/>
                        <w:lang w:eastAsia="lt-LT"/>
                      </w:rPr>
                    </w:pPr>
                  </w:p>
                </w:tc>
                <w:tc>
                  <w:tcPr>
                    <w:tcW w:w="1587"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ŠMSA (MŪAS)</w:t>
                    </w:r>
                  </w:p>
                </w:tc>
                <w:tc>
                  <w:tcPr>
                    <w:tcW w:w="3228"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Remontuoti daugiabučių namų kiemų dangą</w:t>
                    </w:r>
                  </w:p>
                </w:tc>
                <w:tc>
                  <w:tcPr>
                    <w:tcW w:w="872"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2024</w:t>
                    </w:r>
                  </w:p>
                </w:tc>
                <w:tc>
                  <w:tcPr>
                    <w:tcW w:w="895"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2026</w:t>
                    </w:r>
                  </w:p>
                </w:tc>
                <w:tc>
                  <w:tcPr>
                    <w:tcW w:w="1166"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800000</w:t>
                    </w:r>
                  </w:p>
                </w:tc>
                <w:tc>
                  <w:tcPr>
                    <w:tcW w:w="1295"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800000</w:t>
                    </w:r>
                  </w:p>
                </w:tc>
                <w:tc>
                  <w:tcPr>
                    <w:tcW w:w="1116" w:type="dxa"/>
                    <w:tcBorders>
                      <w:top w:val="nil"/>
                      <w:left w:val="nil"/>
                      <w:bottom w:val="single" w:sz="4" w:space="0" w:color="auto"/>
                      <w:right w:val="single" w:sz="4" w:space="0" w:color="auto"/>
                    </w:tcBorders>
                    <w:shd w:val="clear" w:color="auto" w:fill="auto"/>
                    <w:vAlign w:val="center"/>
                    <w:hideMark/>
                  </w:tcPr>
                  <w:p>
                    <w:pPr>
                      <w:ind w:firstLine="53"/>
                      <w:jc w:val="center"/>
                      <w:rPr>
                        <w:color w:val="000000"/>
                        <w:sz w:val="20"/>
                        <w:lang w:eastAsia="lt-LT"/>
                      </w:rPr>
                    </w:pPr>
                  </w:p>
                </w:tc>
              </w:tr>
              <w:tr>
                <w:trPr>
                  <w:trHeight w:val="510"/>
                </w:trPr>
                <w:tc>
                  <w:tcPr>
                    <w:tcW w:w="1538" w:type="dxa"/>
                    <w:tcBorders>
                      <w:top w:val="nil"/>
                      <w:left w:val="single" w:sz="4" w:space="0" w:color="auto"/>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Darnaus judumo skatinimas</w:t>
                    </w:r>
                  </w:p>
                </w:tc>
                <w:tc>
                  <w:tcPr>
                    <w:tcW w:w="1328"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14-02-01</w:t>
                    </w:r>
                  </w:p>
                </w:tc>
                <w:tc>
                  <w:tcPr>
                    <w:tcW w:w="961" w:type="dxa"/>
                    <w:tcBorders>
                      <w:top w:val="nil"/>
                      <w:left w:val="nil"/>
                      <w:bottom w:val="single" w:sz="4" w:space="0" w:color="auto"/>
                      <w:right w:val="single" w:sz="4" w:space="0" w:color="auto"/>
                    </w:tcBorders>
                    <w:shd w:val="clear" w:color="auto" w:fill="auto"/>
                    <w:noWrap/>
                    <w:vAlign w:val="center"/>
                    <w:hideMark/>
                  </w:tcPr>
                  <w:p>
                    <w:pPr>
                      <w:ind w:firstLine="53"/>
                      <w:jc w:val="center"/>
                      <w:rPr>
                        <w:color w:val="000000"/>
                        <w:sz w:val="20"/>
                        <w:lang w:eastAsia="lt-LT"/>
                      </w:rPr>
                    </w:pPr>
                  </w:p>
                </w:tc>
                <w:tc>
                  <w:tcPr>
                    <w:tcW w:w="1587"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ŠMSA (PVS, MŪAS)</w:t>
                    </w:r>
                  </w:p>
                </w:tc>
                <w:tc>
                  <w:tcPr>
                    <w:tcW w:w="3228"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Vientiso dviračių takų tinklo kūrimas integruojant bevariklį transportą į bendrą transporto sistemą</w:t>
                    </w:r>
                  </w:p>
                </w:tc>
                <w:tc>
                  <w:tcPr>
                    <w:tcW w:w="872"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2023</w:t>
                    </w:r>
                  </w:p>
                </w:tc>
                <w:tc>
                  <w:tcPr>
                    <w:tcW w:w="895"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2029</w:t>
                    </w:r>
                  </w:p>
                </w:tc>
                <w:tc>
                  <w:tcPr>
                    <w:tcW w:w="1166"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22000000</w:t>
                    </w:r>
                  </w:p>
                </w:tc>
                <w:tc>
                  <w:tcPr>
                    <w:tcW w:w="1295"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3300000</w:t>
                    </w:r>
                  </w:p>
                </w:tc>
                <w:tc>
                  <w:tcPr>
                    <w:tcW w:w="1116"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 xml:space="preserve">18700000 (ES)  </w:t>
                    </w:r>
                  </w:p>
                </w:tc>
              </w:tr>
              <w:tr>
                <w:trPr>
                  <w:trHeight w:val="510"/>
                </w:trPr>
                <w:tc>
                  <w:tcPr>
                    <w:tcW w:w="1538" w:type="dxa"/>
                    <w:tcBorders>
                      <w:top w:val="nil"/>
                      <w:left w:val="single" w:sz="4" w:space="0" w:color="auto"/>
                      <w:bottom w:val="single" w:sz="4" w:space="0" w:color="auto"/>
                      <w:right w:val="single" w:sz="4" w:space="0" w:color="auto"/>
                    </w:tcBorders>
                    <w:shd w:val="clear" w:color="auto" w:fill="auto"/>
                    <w:vAlign w:val="center"/>
                    <w:hideMark/>
                  </w:tcPr>
                  <w:p>
                    <w:pPr>
                      <w:ind w:firstLine="53"/>
                      <w:rPr>
                        <w:color w:val="000000"/>
                        <w:sz w:val="20"/>
                        <w:lang w:eastAsia="lt-LT"/>
                      </w:rPr>
                    </w:pPr>
                  </w:p>
                </w:tc>
                <w:tc>
                  <w:tcPr>
                    <w:tcW w:w="1328"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14-02-04</w:t>
                    </w:r>
                  </w:p>
                </w:tc>
                <w:tc>
                  <w:tcPr>
                    <w:tcW w:w="961" w:type="dxa"/>
                    <w:tcBorders>
                      <w:top w:val="nil"/>
                      <w:left w:val="nil"/>
                      <w:bottom w:val="single" w:sz="4" w:space="0" w:color="auto"/>
                      <w:right w:val="single" w:sz="4" w:space="0" w:color="auto"/>
                    </w:tcBorders>
                    <w:shd w:val="clear" w:color="auto" w:fill="auto"/>
                    <w:noWrap/>
                    <w:vAlign w:val="center"/>
                    <w:hideMark/>
                  </w:tcPr>
                  <w:p>
                    <w:pPr>
                      <w:ind w:firstLine="53"/>
                      <w:jc w:val="center"/>
                      <w:rPr>
                        <w:color w:val="000000"/>
                        <w:sz w:val="20"/>
                        <w:lang w:eastAsia="lt-LT"/>
                      </w:rPr>
                    </w:pPr>
                  </w:p>
                </w:tc>
                <w:tc>
                  <w:tcPr>
                    <w:tcW w:w="1587"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ŠMSA (MŪAS)</w:t>
                    </w:r>
                  </w:p>
                </w:tc>
                <w:tc>
                  <w:tcPr>
                    <w:tcW w:w="3228"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Rekonstruoti Tilžės g. viaduką per geležinkelį</w:t>
                    </w:r>
                  </w:p>
                </w:tc>
                <w:tc>
                  <w:tcPr>
                    <w:tcW w:w="872"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2025</w:t>
                    </w:r>
                  </w:p>
                </w:tc>
                <w:tc>
                  <w:tcPr>
                    <w:tcW w:w="895"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2026</w:t>
                    </w:r>
                  </w:p>
                </w:tc>
                <w:tc>
                  <w:tcPr>
                    <w:tcW w:w="1166"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17947500</w:t>
                    </w:r>
                  </w:p>
                </w:tc>
                <w:tc>
                  <w:tcPr>
                    <w:tcW w:w="1295"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17947500</w:t>
                    </w:r>
                  </w:p>
                </w:tc>
                <w:tc>
                  <w:tcPr>
                    <w:tcW w:w="1116" w:type="dxa"/>
                    <w:tcBorders>
                      <w:top w:val="nil"/>
                      <w:left w:val="nil"/>
                      <w:bottom w:val="single" w:sz="4" w:space="0" w:color="auto"/>
                      <w:right w:val="single" w:sz="4" w:space="0" w:color="auto"/>
                    </w:tcBorders>
                    <w:shd w:val="clear" w:color="auto" w:fill="auto"/>
                    <w:vAlign w:val="center"/>
                    <w:hideMark/>
                  </w:tcPr>
                  <w:p>
                    <w:pPr>
                      <w:ind w:firstLine="53"/>
                      <w:jc w:val="center"/>
                      <w:rPr>
                        <w:color w:val="000000"/>
                        <w:sz w:val="20"/>
                        <w:lang w:eastAsia="lt-LT"/>
                      </w:rPr>
                    </w:pPr>
                  </w:p>
                </w:tc>
              </w:tr>
              <w:tr>
                <w:trPr>
                  <w:trHeight w:val="510"/>
                </w:trPr>
                <w:tc>
                  <w:tcPr>
                    <w:tcW w:w="1538" w:type="dxa"/>
                    <w:tcBorders>
                      <w:top w:val="nil"/>
                      <w:left w:val="single" w:sz="4" w:space="0" w:color="auto"/>
                      <w:bottom w:val="single" w:sz="4" w:space="0" w:color="auto"/>
                      <w:right w:val="single" w:sz="4" w:space="0" w:color="auto"/>
                    </w:tcBorders>
                    <w:shd w:val="clear" w:color="auto" w:fill="auto"/>
                    <w:vAlign w:val="center"/>
                    <w:hideMark/>
                  </w:tcPr>
                  <w:p>
                    <w:pPr>
                      <w:ind w:firstLine="53"/>
                      <w:rPr>
                        <w:color w:val="000000"/>
                        <w:sz w:val="20"/>
                        <w:lang w:eastAsia="lt-LT"/>
                      </w:rPr>
                    </w:pPr>
                  </w:p>
                </w:tc>
                <w:tc>
                  <w:tcPr>
                    <w:tcW w:w="1328"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14-02-04</w:t>
                    </w:r>
                  </w:p>
                </w:tc>
                <w:tc>
                  <w:tcPr>
                    <w:tcW w:w="961" w:type="dxa"/>
                    <w:tcBorders>
                      <w:top w:val="nil"/>
                      <w:left w:val="nil"/>
                      <w:bottom w:val="single" w:sz="4" w:space="0" w:color="auto"/>
                      <w:right w:val="single" w:sz="4" w:space="0" w:color="auto"/>
                    </w:tcBorders>
                    <w:shd w:val="clear" w:color="auto" w:fill="auto"/>
                    <w:noWrap/>
                    <w:vAlign w:val="center"/>
                    <w:hideMark/>
                  </w:tcPr>
                  <w:p>
                    <w:pPr>
                      <w:ind w:firstLine="53"/>
                      <w:jc w:val="center"/>
                      <w:rPr>
                        <w:color w:val="000000"/>
                        <w:sz w:val="20"/>
                        <w:lang w:eastAsia="lt-LT"/>
                      </w:rPr>
                    </w:pPr>
                  </w:p>
                </w:tc>
                <w:tc>
                  <w:tcPr>
                    <w:tcW w:w="1587"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ŠMSA (AS, MPPS, SRS)</w:t>
                    </w:r>
                  </w:p>
                </w:tc>
                <w:tc>
                  <w:tcPr>
                    <w:tcW w:w="3228"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Vykdyti naujų magistralinių gatvių suprojektavimo ir nutiesimo, susisiekimo komunikacijų įrengimo, rekonstravimo ir remonto darbus</w:t>
                    </w:r>
                  </w:p>
                </w:tc>
                <w:tc>
                  <w:tcPr>
                    <w:tcW w:w="872"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2024</w:t>
                    </w:r>
                  </w:p>
                </w:tc>
                <w:tc>
                  <w:tcPr>
                    <w:tcW w:w="895"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2026</w:t>
                    </w:r>
                  </w:p>
                </w:tc>
                <w:tc>
                  <w:tcPr>
                    <w:tcW w:w="1166"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39460100</w:t>
                    </w:r>
                  </w:p>
                </w:tc>
                <w:tc>
                  <w:tcPr>
                    <w:tcW w:w="1295"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18580000</w:t>
                    </w:r>
                  </w:p>
                </w:tc>
                <w:tc>
                  <w:tcPr>
                    <w:tcW w:w="1116"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14468900 (KPPP)</w:t>
                    </w:r>
                  </w:p>
                </w:tc>
              </w:tr>
              <w:tr>
                <w:trPr>
                  <w:trHeight w:val="510"/>
                </w:trPr>
                <w:tc>
                  <w:tcPr>
                    <w:tcW w:w="1538" w:type="dxa"/>
                    <w:tcBorders>
                      <w:top w:val="nil"/>
                      <w:left w:val="single" w:sz="4" w:space="0" w:color="auto"/>
                      <w:bottom w:val="single" w:sz="4" w:space="0" w:color="auto"/>
                      <w:right w:val="single" w:sz="4" w:space="0" w:color="auto"/>
                    </w:tcBorders>
                    <w:shd w:val="clear" w:color="auto" w:fill="auto"/>
                    <w:vAlign w:val="center"/>
                    <w:hideMark/>
                  </w:tcPr>
                  <w:p>
                    <w:pPr>
                      <w:ind w:firstLine="53"/>
                      <w:rPr>
                        <w:color w:val="000000"/>
                        <w:sz w:val="20"/>
                        <w:lang w:eastAsia="lt-LT"/>
                      </w:rPr>
                    </w:pPr>
                  </w:p>
                </w:tc>
                <w:tc>
                  <w:tcPr>
                    <w:tcW w:w="1328"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14-02-04</w:t>
                    </w:r>
                  </w:p>
                </w:tc>
                <w:tc>
                  <w:tcPr>
                    <w:tcW w:w="961" w:type="dxa"/>
                    <w:tcBorders>
                      <w:top w:val="nil"/>
                      <w:left w:val="nil"/>
                      <w:bottom w:val="single" w:sz="4" w:space="0" w:color="auto"/>
                      <w:right w:val="single" w:sz="4" w:space="0" w:color="auto"/>
                    </w:tcBorders>
                    <w:shd w:val="clear" w:color="auto" w:fill="auto"/>
                    <w:noWrap/>
                    <w:vAlign w:val="center"/>
                    <w:hideMark/>
                  </w:tcPr>
                  <w:p>
                    <w:pPr>
                      <w:ind w:firstLine="53"/>
                      <w:jc w:val="center"/>
                      <w:rPr>
                        <w:color w:val="000000"/>
                        <w:sz w:val="20"/>
                        <w:lang w:eastAsia="lt-LT"/>
                      </w:rPr>
                    </w:pPr>
                  </w:p>
                </w:tc>
                <w:tc>
                  <w:tcPr>
                    <w:tcW w:w="1587"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ŠMSA (MŪAS)</w:t>
                    </w:r>
                  </w:p>
                </w:tc>
                <w:tc>
                  <w:tcPr>
                    <w:tcW w:w="3228"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Suprojektuoti, nutiesti, išasfaltuoti ar rekonstruoti žvyruotas gatves</w:t>
                    </w:r>
                  </w:p>
                </w:tc>
                <w:tc>
                  <w:tcPr>
                    <w:tcW w:w="872"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2024</w:t>
                    </w:r>
                  </w:p>
                </w:tc>
                <w:tc>
                  <w:tcPr>
                    <w:tcW w:w="895"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2026</w:t>
                    </w:r>
                  </w:p>
                </w:tc>
                <w:tc>
                  <w:tcPr>
                    <w:tcW w:w="1166"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8506200</w:t>
                    </w:r>
                  </w:p>
                </w:tc>
                <w:tc>
                  <w:tcPr>
                    <w:tcW w:w="1295"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5006200</w:t>
                    </w:r>
                  </w:p>
                </w:tc>
                <w:tc>
                  <w:tcPr>
                    <w:tcW w:w="1116"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3000000 (KPPP)</w:t>
                    </w:r>
                  </w:p>
                </w:tc>
              </w:tr>
              <w:tr>
                <w:trPr>
                  <w:trHeight w:val="510"/>
                </w:trPr>
                <w:tc>
                  <w:tcPr>
                    <w:tcW w:w="1538" w:type="dxa"/>
                    <w:tcBorders>
                      <w:top w:val="nil"/>
                      <w:left w:val="single" w:sz="4" w:space="0" w:color="auto"/>
                      <w:bottom w:val="single" w:sz="4" w:space="0" w:color="auto"/>
                      <w:right w:val="single" w:sz="4" w:space="0" w:color="auto"/>
                    </w:tcBorders>
                    <w:shd w:val="clear" w:color="auto" w:fill="auto"/>
                    <w:vAlign w:val="center"/>
                    <w:hideMark/>
                  </w:tcPr>
                  <w:p>
                    <w:pPr>
                      <w:ind w:firstLine="53"/>
                      <w:rPr>
                        <w:color w:val="000000"/>
                        <w:sz w:val="20"/>
                        <w:lang w:eastAsia="lt-LT"/>
                      </w:rPr>
                    </w:pPr>
                  </w:p>
                </w:tc>
                <w:tc>
                  <w:tcPr>
                    <w:tcW w:w="1328"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14-02-06</w:t>
                    </w:r>
                  </w:p>
                </w:tc>
                <w:tc>
                  <w:tcPr>
                    <w:tcW w:w="961" w:type="dxa"/>
                    <w:tcBorders>
                      <w:top w:val="nil"/>
                      <w:left w:val="nil"/>
                      <w:bottom w:val="single" w:sz="4" w:space="0" w:color="auto"/>
                      <w:right w:val="single" w:sz="4" w:space="0" w:color="auto"/>
                    </w:tcBorders>
                    <w:shd w:val="clear" w:color="auto" w:fill="auto"/>
                    <w:noWrap/>
                    <w:vAlign w:val="center"/>
                    <w:hideMark/>
                  </w:tcPr>
                  <w:p>
                    <w:pPr>
                      <w:ind w:firstLine="53"/>
                      <w:jc w:val="center"/>
                      <w:rPr>
                        <w:color w:val="000000"/>
                        <w:sz w:val="20"/>
                        <w:lang w:eastAsia="lt-LT"/>
                      </w:rPr>
                    </w:pPr>
                  </w:p>
                </w:tc>
                <w:tc>
                  <w:tcPr>
                    <w:tcW w:w="1587"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ŠMSA (MKS)</w:t>
                    </w:r>
                  </w:p>
                </w:tc>
                <w:tc>
                  <w:tcPr>
                    <w:tcW w:w="3228"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Vykdyti vaizdo stebėjimo kamerų sistemos plėtrą</w:t>
                    </w:r>
                  </w:p>
                </w:tc>
                <w:tc>
                  <w:tcPr>
                    <w:tcW w:w="872"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2024</w:t>
                    </w:r>
                  </w:p>
                </w:tc>
                <w:tc>
                  <w:tcPr>
                    <w:tcW w:w="895"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2026</w:t>
                    </w:r>
                  </w:p>
                </w:tc>
                <w:tc>
                  <w:tcPr>
                    <w:tcW w:w="1166"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300000</w:t>
                    </w:r>
                  </w:p>
                </w:tc>
                <w:tc>
                  <w:tcPr>
                    <w:tcW w:w="1295"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300000</w:t>
                    </w:r>
                  </w:p>
                </w:tc>
                <w:tc>
                  <w:tcPr>
                    <w:tcW w:w="1116" w:type="dxa"/>
                    <w:tcBorders>
                      <w:top w:val="nil"/>
                      <w:left w:val="nil"/>
                      <w:bottom w:val="single" w:sz="4" w:space="0" w:color="auto"/>
                      <w:right w:val="single" w:sz="4" w:space="0" w:color="auto"/>
                    </w:tcBorders>
                    <w:shd w:val="clear" w:color="auto" w:fill="auto"/>
                    <w:vAlign w:val="center"/>
                    <w:hideMark/>
                  </w:tcPr>
                  <w:p>
                    <w:pPr>
                      <w:ind w:firstLine="53"/>
                      <w:jc w:val="center"/>
                      <w:rPr>
                        <w:color w:val="000000"/>
                        <w:sz w:val="20"/>
                        <w:lang w:eastAsia="lt-LT"/>
                      </w:rPr>
                    </w:pPr>
                  </w:p>
                </w:tc>
              </w:tr>
              <w:tr>
                <w:trPr>
                  <w:trHeight w:val="510"/>
                </w:trPr>
                <w:tc>
                  <w:tcPr>
                    <w:tcW w:w="1538" w:type="dxa"/>
                    <w:tcBorders>
                      <w:top w:val="nil"/>
                      <w:left w:val="single" w:sz="4" w:space="0" w:color="auto"/>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Darnaus judumo skatinimas</w:t>
                    </w:r>
                  </w:p>
                </w:tc>
                <w:tc>
                  <w:tcPr>
                    <w:tcW w:w="1328"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14-02-06</w:t>
                    </w:r>
                  </w:p>
                </w:tc>
                <w:tc>
                  <w:tcPr>
                    <w:tcW w:w="961" w:type="dxa"/>
                    <w:tcBorders>
                      <w:top w:val="nil"/>
                      <w:left w:val="nil"/>
                      <w:bottom w:val="single" w:sz="4" w:space="0" w:color="auto"/>
                      <w:right w:val="single" w:sz="4" w:space="0" w:color="auto"/>
                    </w:tcBorders>
                    <w:shd w:val="clear" w:color="auto" w:fill="auto"/>
                    <w:noWrap/>
                    <w:vAlign w:val="center"/>
                    <w:hideMark/>
                  </w:tcPr>
                  <w:p>
                    <w:pPr>
                      <w:ind w:firstLine="53"/>
                      <w:jc w:val="center"/>
                      <w:rPr>
                        <w:color w:val="000000"/>
                        <w:sz w:val="20"/>
                        <w:lang w:eastAsia="lt-LT"/>
                      </w:rPr>
                    </w:pPr>
                  </w:p>
                </w:tc>
                <w:tc>
                  <w:tcPr>
                    <w:tcW w:w="1587"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ŠMSA (PVS, MŪAS)</w:t>
                    </w:r>
                  </w:p>
                </w:tc>
                <w:tc>
                  <w:tcPr>
                    <w:tcW w:w="3228"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Eismo saugumo priemonių įdiegimas Šiaulių mieste</w:t>
                    </w:r>
                  </w:p>
                </w:tc>
                <w:tc>
                  <w:tcPr>
                    <w:tcW w:w="872"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2024</w:t>
                    </w:r>
                  </w:p>
                </w:tc>
                <w:tc>
                  <w:tcPr>
                    <w:tcW w:w="895"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2025</w:t>
                    </w:r>
                  </w:p>
                </w:tc>
                <w:tc>
                  <w:tcPr>
                    <w:tcW w:w="1166"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1100000</w:t>
                    </w:r>
                  </w:p>
                </w:tc>
                <w:tc>
                  <w:tcPr>
                    <w:tcW w:w="1295"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250000</w:t>
                    </w:r>
                  </w:p>
                </w:tc>
                <w:tc>
                  <w:tcPr>
                    <w:tcW w:w="1116"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850000 (ES)</w:t>
                    </w:r>
                  </w:p>
                </w:tc>
              </w:tr>
              <w:tr>
                <w:trPr>
                  <w:trHeight w:val="510"/>
                </w:trPr>
                <w:tc>
                  <w:tcPr>
                    <w:tcW w:w="1538" w:type="dxa"/>
                    <w:tcBorders>
                      <w:top w:val="nil"/>
                      <w:left w:val="single" w:sz="4" w:space="0" w:color="auto"/>
                      <w:bottom w:val="single" w:sz="4" w:space="0" w:color="auto"/>
                      <w:right w:val="single" w:sz="4" w:space="0" w:color="auto"/>
                    </w:tcBorders>
                    <w:shd w:val="clear" w:color="auto" w:fill="auto"/>
                    <w:vAlign w:val="center"/>
                  </w:tcPr>
                  <w:p>
                    <w:pPr>
                      <w:rPr>
                        <w:color w:val="000000"/>
                        <w:sz w:val="20"/>
                        <w:lang w:eastAsia="lt-LT"/>
                      </w:rPr>
                    </w:pPr>
                  </w:p>
                </w:tc>
                <w:tc>
                  <w:tcPr>
                    <w:tcW w:w="1328" w:type="dxa"/>
                    <w:tcBorders>
                      <w:top w:val="nil"/>
                      <w:left w:val="nil"/>
                      <w:bottom w:val="single" w:sz="4" w:space="0" w:color="auto"/>
                      <w:right w:val="single" w:sz="4" w:space="0" w:color="auto"/>
                    </w:tcBorders>
                    <w:shd w:val="clear" w:color="auto" w:fill="auto"/>
                    <w:vAlign w:val="center"/>
                  </w:tcPr>
                  <w:p>
                    <w:pPr>
                      <w:jc w:val="center"/>
                      <w:rPr>
                        <w:color w:val="000000"/>
                        <w:sz w:val="20"/>
                        <w:lang w:eastAsia="lt-LT"/>
                      </w:rPr>
                    </w:pPr>
                    <w:r>
                      <w:rPr>
                        <w:color w:val="000000"/>
                        <w:sz w:val="20"/>
                        <w:lang w:eastAsia="lt-LT"/>
                      </w:rPr>
                      <w:t>15-01-02</w:t>
                    </w:r>
                  </w:p>
                </w:tc>
                <w:tc>
                  <w:tcPr>
                    <w:tcW w:w="961" w:type="dxa"/>
                    <w:tcBorders>
                      <w:top w:val="nil"/>
                      <w:left w:val="nil"/>
                      <w:bottom w:val="single" w:sz="4" w:space="0" w:color="auto"/>
                      <w:right w:val="single" w:sz="4" w:space="0" w:color="auto"/>
                    </w:tcBorders>
                    <w:shd w:val="clear" w:color="auto" w:fill="auto"/>
                    <w:noWrap/>
                    <w:vAlign w:val="center"/>
                  </w:tcPr>
                  <w:p>
                    <w:pPr>
                      <w:ind w:firstLine="53"/>
                      <w:jc w:val="center"/>
                      <w:rPr>
                        <w:color w:val="000000"/>
                        <w:sz w:val="20"/>
                        <w:lang w:eastAsia="lt-LT"/>
                      </w:rPr>
                    </w:pPr>
                  </w:p>
                </w:tc>
                <w:tc>
                  <w:tcPr>
                    <w:tcW w:w="1587" w:type="dxa"/>
                    <w:tcBorders>
                      <w:top w:val="nil"/>
                      <w:left w:val="nil"/>
                      <w:bottom w:val="single" w:sz="4" w:space="0" w:color="auto"/>
                      <w:right w:val="single" w:sz="4" w:space="0" w:color="auto"/>
                    </w:tcBorders>
                    <w:shd w:val="clear" w:color="auto" w:fill="auto"/>
                    <w:vAlign w:val="center"/>
                  </w:tcPr>
                  <w:p>
                    <w:pPr>
                      <w:rPr>
                        <w:color w:val="000000"/>
                        <w:sz w:val="20"/>
                        <w:lang w:eastAsia="lt-LT"/>
                      </w:rPr>
                    </w:pPr>
                    <w:r>
                      <w:rPr>
                        <w:color w:val="000000"/>
                        <w:sz w:val="20"/>
                        <w:lang w:eastAsia="lt-LT"/>
                      </w:rPr>
                      <w:t>ŠMSA (PVS, EIS, MŪAS)</w:t>
                    </w:r>
                  </w:p>
                </w:tc>
                <w:tc>
                  <w:tcPr>
                    <w:tcW w:w="3228" w:type="dxa"/>
                    <w:tcBorders>
                      <w:top w:val="nil"/>
                      <w:left w:val="nil"/>
                      <w:bottom w:val="single" w:sz="4" w:space="0" w:color="auto"/>
                      <w:right w:val="single" w:sz="4" w:space="0" w:color="auto"/>
                    </w:tcBorders>
                    <w:shd w:val="clear" w:color="auto" w:fill="auto"/>
                    <w:vAlign w:val="center"/>
                  </w:tcPr>
                  <w:p>
                    <w:pPr>
                      <w:rPr>
                        <w:color w:val="000000"/>
                        <w:sz w:val="20"/>
                        <w:lang w:eastAsia="lt-LT"/>
                      </w:rPr>
                    </w:pPr>
                    <w:r>
                      <w:rPr>
                        <w:color w:val="000000"/>
                        <w:sz w:val="20"/>
                        <w:lang w:eastAsia="lt-LT"/>
                      </w:rPr>
                      <w:t xml:space="preserve">Vystyti Šiaulių pramoninio  parko (ŠPP) ir Šiaulių laisvosios ekonominės zonos (Šiaulių LEZ) infrastruktūrą</w:t>
                    </w:r>
                  </w:p>
                </w:tc>
                <w:tc>
                  <w:tcPr>
                    <w:tcW w:w="872" w:type="dxa"/>
                    <w:tcBorders>
                      <w:top w:val="nil"/>
                      <w:left w:val="nil"/>
                      <w:bottom w:val="single" w:sz="4" w:space="0" w:color="auto"/>
                      <w:right w:val="single" w:sz="4" w:space="0" w:color="auto"/>
                    </w:tcBorders>
                    <w:shd w:val="clear" w:color="auto" w:fill="auto"/>
                    <w:vAlign w:val="center"/>
                  </w:tcPr>
                  <w:p>
                    <w:pPr>
                      <w:jc w:val="center"/>
                      <w:rPr>
                        <w:color w:val="000000"/>
                        <w:sz w:val="20"/>
                        <w:lang w:eastAsia="lt-LT"/>
                      </w:rPr>
                    </w:pPr>
                    <w:r>
                      <w:rPr>
                        <w:color w:val="000000"/>
                        <w:sz w:val="20"/>
                        <w:lang w:eastAsia="lt-LT"/>
                      </w:rPr>
                      <w:t>2024</w:t>
                    </w:r>
                  </w:p>
                </w:tc>
                <w:tc>
                  <w:tcPr>
                    <w:tcW w:w="895" w:type="dxa"/>
                    <w:tcBorders>
                      <w:top w:val="nil"/>
                      <w:left w:val="nil"/>
                      <w:bottom w:val="single" w:sz="4" w:space="0" w:color="auto"/>
                      <w:right w:val="single" w:sz="4" w:space="0" w:color="auto"/>
                    </w:tcBorders>
                    <w:shd w:val="clear" w:color="auto" w:fill="auto"/>
                    <w:vAlign w:val="center"/>
                  </w:tcPr>
                  <w:p>
                    <w:pPr>
                      <w:jc w:val="center"/>
                      <w:rPr>
                        <w:color w:val="000000"/>
                        <w:sz w:val="20"/>
                        <w:lang w:eastAsia="lt-LT"/>
                      </w:rPr>
                    </w:pPr>
                    <w:r>
                      <w:rPr>
                        <w:color w:val="000000"/>
                        <w:sz w:val="20"/>
                        <w:lang w:eastAsia="lt-LT"/>
                      </w:rPr>
                      <w:t>2026</w:t>
                    </w:r>
                  </w:p>
                </w:tc>
                <w:tc>
                  <w:tcPr>
                    <w:tcW w:w="1166" w:type="dxa"/>
                    <w:tcBorders>
                      <w:top w:val="nil"/>
                      <w:left w:val="nil"/>
                      <w:bottom w:val="single" w:sz="4" w:space="0" w:color="auto"/>
                      <w:right w:val="single" w:sz="4" w:space="0" w:color="auto"/>
                    </w:tcBorders>
                    <w:shd w:val="clear" w:color="auto" w:fill="auto"/>
                    <w:vAlign w:val="center"/>
                  </w:tcPr>
                  <w:p>
                    <w:pPr>
                      <w:jc w:val="center"/>
                      <w:rPr>
                        <w:color w:val="000000"/>
                        <w:sz w:val="20"/>
                        <w:lang w:eastAsia="lt-LT"/>
                      </w:rPr>
                    </w:pPr>
                    <w:r>
                      <w:rPr>
                        <w:color w:val="000000"/>
                        <w:sz w:val="20"/>
                        <w:lang w:eastAsia="lt-LT"/>
                      </w:rPr>
                      <w:t>4131600</w:t>
                    </w:r>
                  </w:p>
                </w:tc>
                <w:tc>
                  <w:tcPr>
                    <w:tcW w:w="1295" w:type="dxa"/>
                    <w:tcBorders>
                      <w:top w:val="nil"/>
                      <w:left w:val="nil"/>
                      <w:bottom w:val="single" w:sz="4" w:space="0" w:color="auto"/>
                      <w:right w:val="single" w:sz="4" w:space="0" w:color="auto"/>
                    </w:tcBorders>
                    <w:shd w:val="clear" w:color="auto" w:fill="auto"/>
                    <w:vAlign w:val="center"/>
                  </w:tcPr>
                  <w:p>
                    <w:pPr>
                      <w:jc w:val="center"/>
                      <w:rPr>
                        <w:color w:val="000000"/>
                        <w:sz w:val="20"/>
                        <w:lang w:eastAsia="lt-LT"/>
                      </w:rPr>
                    </w:pPr>
                    <w:r>
                      <w:rPr>
                        <w:color w:val="000000"/>
                        <w:sz w:val="20"/>
                        <w:lang w:eastAsia="lt-LT"/>
                      </w:rPr>
                      <w:t>4131600</w:t>
                    </w:r>
                  </w:p>
                </w:tc>
                <w:tc>
                  <w:tcPr>
                    <w:tcW w:w="1116" w:type="dxa"/>
                    <w:tcBorders>
                      <w:top w:val="nil"/>
                      <w:left w:val="nil"/>
                      <w:bottom w:val="single" w:sz="4" w:space="0" w:color="auto"/>
                      <w:right w:val="single" w:sz="4" w:space="0" w:color="auto"/>
                    </w:tcBorders>
                    <w:shd w:val="clear" w:color="auto" w:fill="auto"/>
                    <w:vAlign w:val="center"/>
                  </w:tcPr>
                  <w:p>
                    <w:pPr>
                      <w:ind w:firstLine="53"/>
                      <w:jc w:val="center"/>
                      <w:rPr>
                        <w:color w:val="000000"/>
                        <w:sz w:val="20"/>
                        <w:lang w:eastAsia="lt-LT"/>
                      </w:rPr>
                    </w:pPr>
                  </w:p>
                </w:tc>
              </w:tr>
              <w:tr>
                <w:trPr>
                  <w:trHeight w:val="510"/>
                </w:trPr>
                <w:tc>
                  <w:tcPr>
                    <w:tcW w:w="1538" w:type="dxa"/>
                    <w:tcBorders>
                      <w:top w:val="nil"/>
                      <w:left w:val="single" w:sz="4" w:space="0" w:color="auto"/>
                      <w:bottom w:val="single" w:sz="4" w:space="0" w:color="auto"/>
                      <w:right w:val="single" w:sz="4" w:space="0" w:color="auto"/>
                    </w:tcBorders>
                    <w:shd w:val="clear" w:color="auto" w:fill="auto"/>
                    <w:vAlign w:val="center"/>
                  </w:tcPr>
                  <w:p>
                    <w:pPr>
                      <w:rPr>
                        <w:color w:val="000000"/>
                        <w:sz w:val="20"/>
                        <w:lang w:eastAsia="lt-LT"/>
                      </w:rPr>
                    </w:pPr>
                  </w:p>
                </w:tc>
                <w:tc>
                  <w:tcPr>
                    <w:tcW w:w="1328" w:type="dxa"/>
                    <w:tcBorders>
                      <w:top w:val="nil"/>
                      <w:left w:val="nil"/>
                      <w:bottom w:val="single" w:sz="4" w:space="0" w:color="auto"/>
                      <w:right w:val="single" w:sz="4" w:space="0" w:color="auto"/>
                    </w:tcBorders>
                    <w:shd w:val="clear" w:color="auto" w:fill="auto"/>
                    <w:vAlign w:val="center"/>
                  </w:tcPr>
                  <w:p>
                    <w:pPr>
                      <w:jc w:val="center"/>
                      <w:rPr>
                        <w:color w:val="000000"/>
                        <w:sz w:val="20"/>
                        <w:lang w:eastAsia="lt-LT"/>
                      </w:rPr>
                    </w:pPr>
                    <w:r>
                      <w:rPr>
                        <w:sz w:val="20"/>
                        <w:lang w:eastAsia="lt-LT"/>
                      </w:rPr>
                      <w:t>15-01-03</w:t>
                    </w:r>
                  </w:p>
                </w:tc>
                <w:tc>
                  <w:tcPr>
                    <w:tcW w:w="961" w:type="dxa"/>
                    <w:tcBorders>
                      <w:top w:val="nil"/>
                      <w:left w:val="nil"/>
                      <w:bottom w:val="single" w:sz="4" w:space="0" w:color="auto"/>
                      <w:right w:val="single" w:sz="4" w:space="0" w:color="auto"/>
                    </w:tcBorders>
                    <w:shd w:val="clear" w:color="auto" w:fill="auto"/>
                    <w:noWrap/>
                    <w:vAlign w:val="center"/>
                  </w:tcPr>
                  <w:p>
                    <w:pPr>
                      <w:ind w:firstLine="53"/>
                      <w:jc w:val="center"/>
                      <w:rPr>
                        <w:color w:val="000000"/>
                        <w:sz w:val="20"/>
                        <w:lang w:eastAsia="lt-LT"/>
                      </w:rPr>
                    </w:pPr>
                  </w:p>
                </w:tc>
                <w:tc>
                  <w:tcPr>
                    <w:tcW w:w="1587" w:type="dxa"/>
                    <w:tcBorders>
                      <w:top w:val="nil"/>
                      <w:left w:val="nil"/>
                      <w:bottom w:val="single" w:sz="4" w:space="0" w:color="auto"/>
                      <w:right w:val="single" w:sz="4" w:space="0" w:color="auto"/>
                    </w:tcBorders>
                    <w:shd w:val="clear" w:color="auto" w:fill="auto"/>
                    <w:vAlign w:val="center"/>
                  </w:tcPr>
                  <w:p>
                    <w:pPr>
                      <w:rPr>
                        <w:color w:val="000000"/>
                        <w:sz w:val="20"/>
                        <w:lang w:eastAsia="lt-LT"/>
                      </w:rPr>
                    </w:pPr>
                    <w:r>
                      <w:rPr>
                        <w:color w:val="000000"/>
                        <w:sz w:val="20"/>
                        <w:lang w:eastAsia="lt-LT"/>
                      </w:rPr>
                      <w:t>ŠMSA (EIS, MŪAS)</w:t>
                    </w:r>
                  </w:p>
                </w:tc>
                <w:tc>
                  <w:tcPr>
                    <w:tcW w:w="3228" w:type="dxa"/>
                    <w:tcBorders>
                      <w:top w:val="nil"/>
                      <w:left w:val="nil"/>
                      <w:bottom w:val="single" w:sz="4" w:space="0" w:color="auto"/>
                      <w:right w:val="single" w:sz="4" w:space="0" w:color="auto"/>
                    </w:tcBorders>
                    <w:shd w:val="clear" w:color="auto" w:fill="auto"/>
                    <w:vAlign w:val="center"/>
                  </w:tcPr>
                  <w:p>
                    <w:pPr>
                      <w:rPr>
                        <w:color w:val="000000"/>
                        <w:sz w:val="20"/>
                        <w:lang w:eastAsia="lt-LT"/>
                      </w:rPr>
                    </w:pPr>
                    <w:r>
                      <w:rPr>
                        <w:color w:val="000000"/>
                        <w:sz w:val="20"/>
                        <w:lang w:eastAsia="lt-LT"/>
                      </w:rPr>
                      <w:t>Įrengti ekonominės veiklos centro infrastruktūrą</w:t>
                    </w:r>
                  </w:p>
                </w:tc>
                <w:tc>
                  <w:tcPr>
                    <w:tcW w:w="872" w:type="dxa"/>
                    <w:tcBorders>
                      <w:top w:val="nil"/>
                      <w:left w:val="nil"/>
                      <w:bottom w:val="single" w:sz="4" w:space="0" w:color="auto"/>
                      <w:right w:val="single" w:sz="4" w:space="0" w:color="auto"/>
                    </w:tcBorders>
                    <w:shd w:val="clear" w:color="auto" w:fill="auto"/>
                    <w:vAlign w:val="center"/>
                  </w:tcPr>
                  <w:p>
                    <w:pPr>
                      <w:jc w:val="center"/>
                      <w:rPr>
                        <w:color w:val="000000"/>
                        <w:sz w:val="20"/>
                        <w:lang w:eastAsia="lt-LT"/>
                      </w:rPr>
                    </w:pPr>
                    <w:r>
                      <w:rPr>
                        <w:color w:val="000000"/>
                        <w:sz w:val="20"/>
                        <w:lang w:eastAsia="lt-LT"/>
                      </w:rPr>
                      <w:t>2024</w:t>
                    </w:r>
                  </w:p>
                </w:tc>
                <w:tc>
                  <w:tcPr>
                    <w:tcW w:w="895" w:type="dxa"/>
                    <w:tcBorders>
                      <w:top w:val="nil"/>
                      <w:left w:val="nil"/>
                      <w:bottom w:val="single" w:sz="4" w:space="0" w:color="auto"/>
                      <w:right w:val="single" w:sz="4" w:space="0" w:color="auto"/>
                    </w:tcBorders>
                    <w:shd w:val="clear" w:color="auto" w:fill="auto"/>
                    <w:vAlign w:val="center"/>
                  </w:tcPr>
                  <w:p>
                    <w:pPr>
                      <w:jc w:val="center"/>
                      <w:rPr>
                        <w:color w:val="000000"/>
                        <w:sz w:val="20"/>
                        <w:lang w:eastAsia="lt-LT"/>
                      </w:rPr>
                    </w:pPr>
                    <w:r>
                      <w:rPr>
                        <w:color w:val="000000"/>
                        <w:sz w:val="20"/>
                        <w:lang w:eastAsia="lt-LT"/>
                      </w:rPr>
                      <w:t>2026</w:t>
                    </w:r>
                  </w:p>
                </w:tc>
                <w:tc>
                  <w:tcPr>
                    <w:tcW w:w="1166" w:type="dxa"/>
                    <w:tcBorders>
                      <w:top w:val="nil"/>
                      <w:left w:val="nil"/>
                      <w:bottom w:val="single" w:sz="4" w:space="0" w:color="auto"/>
                      <w:right w:val="single" w:sz="4" w:space="0" w:color="auto"/>
                    </w:tcBorders>
                    <w:shd w:val="clear" w:color="auto" w:fill="auto"/>
                    <w:vAlign w:val="center"/>
                  </w:tcPr>
                  <w:p>
                    <w:pPr>
                      <w:jc w:val="center"/>
                      <w:rPr>
                        <w:color w:val="000000"/>
                        <w:sz w:val="20"/>
                        <w:lang w:eastAsia="lt-LT"/>
                      </w:rPr>
                    </w:pPr>
                    <w:r>
                      <w:rPr>
                        <w:color w:val="000000"/>
                        <w:sz w:val="20"/>
                        <w:lang w:eastAsia="lt-LT"/>
                      </w:rPr>
                      <w:t>1200000</w:t>
                    </w:r>
                  </w:p>
                </w:tc>
                <w:tc>
                  <w:tcPr>
                    <w:tcW w:w="1295" w:type="dxa"/>
                    <w:tcBorders>
                      <w:top w:val="nil"/>
                      <w:left w:val="nil"/>
                      <w:bottom w:val="single" w:sz="4" w:space="0" w:color="auto"/>
                      <w:right w:val="single" w:sz="4" w:space="0" w:color="auto"/>
                    </w:tcBorders>
                    <w:shd w:val="clear" w:color="auto" w:fill="auto"/>
                    <w:vAlign w:val="center"/>
                  </w:tcPr>
                  <w:p>
                    <w:pPr>
                      <w:jc w:val="center"/>
                      <w:rPr>
                        <w:color w:val="000000"/>
                        <w:sz w:val="20"/>
                        <w:lang w:eastAsia="lt-LT"/>
                      </w:rPr>
                    </w:pPr>
                    <w:r>
                      <w:rPr>
                        <w:color w:val="000000"/>
                        <w:sz w:val="20"/>
                        <w:lang w:eastAsia="lt-LT"/>
                      </w:rPr>
                      <w:t>1200000</w:t>
                    </w:r>
                  </w:p>
                </w:tc>
                <w:tc>
                  <w:tcPr>
                    <w:tcW w:w="1116" w:type="dxa"/>
                    <w:tcBorders>
                      <w:top w:val="nil"/>
                      <w:left w:val="nil"/>
                      <w:bottom w:val="single" w:sz="4" w:space="0" w:color="auto"/>
                      <w:right w:val="single" w:sz="4" w:space="0" w:color="auto"/>
                    </w:tcBorders>
                    <w:shd w:val="clear" w:color="auto" w:fill="auto"/>
                    <w:vAlign w:val="center"/>
                  </w:tcPr>
                  <w:p>
                    <w:pPr>
                      <w:ind w:firstLine="53"/>
                      <w:jc w:val="center"/>
                      <w:rPr>
                        <w:color w:val="000000"/>
                        <w:sz w:val="20"/>
                        <w:lang w:eastAsia="lt-LT"/>
                      </w:rPr>
                    </w:pPr>
                  </w:p>
                </w:tc>
              </w:tr>
              <w:tr>
                <w:trPr>
                  <w:trHeight w:val="510"/>
                </w:trPr>
                <w:tc>
                  <w:tcPr>
                    <w:tcW w:w="1538" w:type="dxa"/>
                    <w:tcBorders>
                      <w:top w:val="nil"/>
                      <w:left w:val="single" w:sz="4" w:space="0" w:color="auto"/>
                      <w:bottom w:val="single" w:sz="4" w:space="0" w:color="auto"/>
                      <w:right w:val="single" w:sz="4" w:space="0" w:color="auto"/>
                    </w:tcBorders>
                    <w:shd w:val="clear" w:color="auto" w:fill="auto"/>
                    <w:vAlign w:val="center"/>
                    <w:hideMark/>
                  </w:tcPr>
                  <w:p>
                    <w:pPr>
                      <w:ind w:firstLine="53"/>
                      <w:rPr>
                        <w:color w:val="000000"/>
                        <w:sz w:val="20"/>
                        <w:lang w:eastAsia="lt-LT"/>
                      </w:rPr>
                    </w:pPr>
                  </w:p>
                </w:tc>
                <w:tc>
                  <w:tcPr>
                    <w:tcW w:w="1328"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15-0</w:t>
                    </w:r>
                    <w:r>
                      <w:rPr>
                        <w:color w:val="000000"/>
                        <w:sz w:val="20"/>
                        <w:lang w:val="en-US" w:eastAsia="lt-LT"/>
                      </w:rPr>
                      <w:t>2</w:t>
                    </w:r>
                    <w:r>
                      <w:rPr>
                        <w:color w:val="000000"/>
                        <w:sz w:val="20"/>
                        <w:lang w:eastAsia="lt-LT"/>
                      </w:rPr>
                      <w:t>-01</w:t>
                    </w:r>
                  </w:p>
                </w:tc>
                <w:tc>
                  <w:tcPr>
                    <w:tcW w:w="961" w:type="dxa"/>
                    <w:tcBorders>
                      <w:top w:val="nil"/>
                      <w:left w:val="nil"/>
                      <w:bottom w:val="single" w:sz="4" w:space="0" w:color="auto"/>
                      <w:right w:val="single" w:sz="4" w:space="0" w:color="auto"/>
                    </w:tcBorders>
                    <w:shd w:val="clear" w:color="auto" w:fill="auto"/>
                    <w:noWrap/>
                    <w:vAlign w:val="center"/>
                    <w:hideMark/>
                  </w:tcPr>
                  <w:p>
                    <w:pPr>
                      <w:ind w:firstLine="53"/>
                      <w:jc w:val="center"/>
                      <w:rPr>
                        <w:color w:val="000000"/>
                        <w:sz w:val="20"/>
                        <w:lang w:eastAsia="lt-LT"/>
                      </w:rPr>
                    </w:pPr>
                  </w:p>
                </w:tc>
                <w:tc>
                  <w:tcPr>
                    <w:tcW w:w="1587"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ŠMSA (KS, TIC)</w:t>
                    </w:r>
                  </w:p>
                </w:tc>
                <w:tc>
                  <w:tcPr>
                    <w:tcW w:w="3228"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Įrengti nauji turizmui ir rekreacijai pritaikyti reikšmingi traukos objektai</w:t>
                    </w:r>
                  </w:p>
                </w:tc>
                <w:tc>
                  <w:tcPr>
                    <w:tcW w:w="872"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2026</w:t>
                    </w:r>
                  </w:p>
                </w:tc>
                <w:tc>
                  <w:tcPr>
                    <w:tcW w:w="895"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2033</w:t>
                    </w:r>
                  </w:p>
                </w:tc>
                <w:tc>
                  <w:tcPr>
                    <w:tcW w:w="1166"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5000000</w:t>
                    </w:r>
                  </w:p>
                </w:tc>
                <w:tc>
                  <w:tcPr>
                    <w:tcW w:w="1295"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1600000</w:t>
                    </w:r>
                  </w:p>
                </w:tc>
                <w:tc>
                  <w:tcPr>
                    <w:tcW w:w="1116"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3400000</w:t>
                    </w:r>
                  </w:p>
                </w:tc>
              </w:tr>
              <w:tr>
                <w:trPr>
                  <w:trHeight w:val="510"/>
                </w:trPr>
                <w:tc>
                  <w:tcPr>
                    <w:tcW w:w="1538" w:type="dxa"/>
                    <w:tcBorders>
                      <w:top w:val="nil"/>
                      <w:left w:val="single" w:sz="4" w:space="0" w:color="auto"/>
                      <w:bottom w:val="single" w:sz="4" w:space="0" w:color="auto"/>
                      <w:right w:val="single" w:sz="4" w:space="0" w:color="auto"/>
                    </w:tcBorders>
                    <w:shd w:val="clear" w:color="auto" w:fill="auto"/>
                    <w:vAlign w:val="center"/>
                    <w:hideMark/>
                  </w:tcPr>
                  <w:p>
                    <w:pPr>
                      <w:ind w:firstLine="53"/>
                      <w:rPr>
                        <w:color w:val="000000"/>
                        <w:sz w:val="20"/>
                        <w:lang w:eastAsia="lt-LT"/>
                      </w:rPr>
                    </w:pPr>
                  </w:p>
                </w:tc>
                <w:tc>
                  <w:tcPr>
                    <w:tcW w:w="1328"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15-02-01</w:t>
                    </w:r>
                  </w:p>
                </w:tc>
                <w:tc>
                  <w:tcPr>
                    <w:tcW w:w="961" w:type="dxa"/>
                    <w:tcBorders>
                      <w:top w:val="nil"/>
                      <w:left w:val="nil"/>
                      <w:bottom w:val="single" w:sz="4" w:space="0" w:color="auto"/>
                      <w:right w:val="single" w:sz="4" w:space="0" w:color="auto"/>
                    </w:tcBorders>
                    <w:shd w:val="clear" w:color="auto" w:fill="auto"/>
                    <w:noWrap/>
                    <w:vAlign w:val="center"/>
                    <w:hideMark/>
                  </w:tcPr>
                  <w:p>
                    <w:pPr>
                      <w:ind w:firstLine="53"/>
                      <w:jc w:val="center"/>
                      <w:rPr>
                        <w:color w:val="000000"/>
                        <w:sz w:val="20"/>
                        <w:lang w:eastAsia="lt-LT"/>
                      </w:rPr>
                    </w:pPr>
                  </w:p>
                </w:tc>
                <w:tc>
                  <w:tcPr>
                    <w:tcW w:w="1587"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ŠMSA (KS, TIC)</w:t>
                    </w:r>
                  </w:p>
                </w:tc>
                <w:tc>
                  <w:tcPr>
                    <w:tcW w:w="3228"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 xml:space="preserve">Turizmui ir rekreacijai pritaikyti Talkšos ir Salduvės parkai </w:t>
                    </w:r>
                  </w:p>
                </w:tc>
                <w:tc>
                  <w:tcPr>
                    <w:tcW w:w="872"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2025</w:t>
                    </w:r>
                  </w:p>
                </w:tc>
                <w:tc>
                  <w:tcPr>
                    <w:tcW w:w="895"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2028</w:t>
                    </w:r>
                  </w:p>
                </w:tc>
                <w:tc>
                  <w:tcPr>
                    <w:tcW w:w="1166"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18000000</w:t>
                    </w:r>
                  </w:p>
                </w:tc>
                <w:tc>
                  <w:tcPr>
                    <w:tcW w:w="1295"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5000000</w:t>
                    </w:r>
                  </w:p>
                </w:tc>
                <w:tc>
                  <w:tcPr>
                    <w:tcW w:w="1116"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15000000</w:t>
                    </w:r>
                  </w:p>
                </w:tc>
              </w:tr>
              <w:tr>
                <w:trPr>
                  <w:trHeight w:val="520"/>
                </w:trPr>
                <w:tc>
                  <w:tcPr>
                    <w:tcW w:w="1538" w:type="dxa"/>
                    <w:tcBorders>
                      <w:top w:val="nil"/>
                      <w:left w:val="single" w:sz="4" w:space="0" w:color="auto"/>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Socialinių paslaugų ir jų infrastruktūros plėtra</w:t>
                    </w:r>
                  </w:p>
                </w:tc>
                <w:tc>
                  <w:tcPr>
                    <w:tcW w:w="1328"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16-01-07</w:t>
                    </w:r>
                  </w:p>
                </w:tc>
                <w:tc>
                  <w:tcPr>
                    <w:tcW w:w="961" w:type="dxa"/>
                    <w:tcBorders>
                      <w:top w:val="nil"/>
                      <w:left w:val="nil"/>
                      <w:bottom w:val="single" w:sz="4" w:space="0" w:color="auto"/>
                      <w:right w:val="single" w:sz="4" w:space="0" w:color="auto"/>
                    </w:tcBorders>
                    <w:shd w:val="clear" w:color="auto" w:fill="auto"/>
                    <w:noWrap/>
                    <w:vAlign w:val="center"/>
                    <w:hideMark/>
                  </w:tcPr>
                  <w:p>
                    <w:pPr>
                      <w:ind w:firstLine="53"/>
                      <w:jc w:val="center"/>
                      <w:rPr>
                        <w:b/>
                        <w:bCs/>
                        <w:color w:val="000000"/>
                        <w:sz w:val="20"/>
                        <w:lang w:eastAsia="lt-LT"/>
                      </w:rPr>
                    </w:pPr>
                  </w:p>
                </w:tc>
                <w:tc>
                  <w:tcPr>
                    <w:tcW w:w="1587"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ŠMSA (PVS, TVS)</w:t>
                    </w:r>
                  </w:p>
                </w:tc>
                <w:tc>
                  <w:tcPr>
                    <w:tcW w:w="3228"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Socialinio būsto fondo plėtra Šiaulių miesto savivaldybėje</w:t>
                    </w:r>
                  </w:p>
                </w:tc>
                <w:tc>
                  <w:tcPr>
                    <w:tcW w:w="872"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2024</w:t>
                    </w:r>
                  </w:p>
                </w:tc>
                <w:tc>
                  <w:tcPr>
                    <w:tcW w:w="895"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2029</w:t>
                    </w:r>
                  </w:p>
                </w:tc>
                <w:tc>
                  <w:tcPr>
                    <w:tcW w:w="1166"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2352940</w:t>
                    </w:r>
                  </w:p>
                </w:tc>
                <w:tc>
                  <w:tcPr>
                    <w:tcW w:w="1295"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352941</w:t>
                    </w:r>
                  </w:p>
                </w:tc>
                <w:tc>
                  <w:tcPr>
                    <w:tcW w:w="1116"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1999999 (ES)</w:t>
                    </w:r>
                  </w:p>
                </w:tc>
              </w:tr>
              <w:tr>
                <w:trPr>
                  <w:trHeight w:val="1040"/>
                </w:trPr>
                <w:tc>
                  <w:tcPr>
                    <w:tcW w:w="1538" w:type="dxa"/>
                    <w:tcBorders>
                      <w:top w:val="nil"/>
                      <w:left w:val="single" w:sz="4" w:space="0" w:color="auto"/>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Socialinių paslaugų ir jų infrastruktūros plėtra</w:t>
                    </w:r>
                  </w:p>
                </w:tc>
                <w:tc>
                  <w:tcPr>
                    <w:tcW w:w="1328"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16-02-01</w:t>
                    </w:r>
                  </w:p>
                </w:tc>
                <w:tc>
                  <w:tcPr>
                    <w:tcW w:w="961" w:type="dxa"/>
                    <w:tcBorders>
                      <w:top w:val="nil"/>
                      <w:left w:val="nil"/>
                      <w:bottom w:val="single" w:sz="4" w:space="0" w:color="auto"/>
                      <w:right w:val="single" w:sz="4" w:space="0" w:color="auto"/>
                    </w:tcBorders>
                    <w:shd w:val="clear" w:color="auto" w:fill="auto"/>
                    <w:noWrap/>
                    <w:vAlign w:val="center"/>
                    <w:hideMark/>
                  </w:tcPr>
                  <w:p>
                    <w:pPr>
                      <w:ind w:firstLine="53"/>
                      <w:jc w:val="center"/>
                      <w:rPr>
                        <w:b/>
                        <w:bCs/>
                        <w:color w:val="000000"/>
                        <w:sz w:val="20"/>
                        <w:lang w:eastAsia="lt-LT"/>
                      </w:rPr>
                    </w:pPr>
                  </w:p>
                </w:tc>
                <w:tc>
                  <w:tcPr>
                    <w:tcW w:w="1587"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ŠMSA (SPS)</w:t>
                    </w:r>
                  </w:p>
                </w:tc>
                <w:tc>
                  <w:tcPr>
                    <w:tcW w:w="3228"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Rekonstruoti Šiaulių miesto savivaldybės socialinių paslaugų centro Paramos tarnybos pastatą (Stoties g.)</w:t>
                    </w:r>
                  </w:p>
                </w:tc>
                <w:tc>
                  <w:tcPr>
                    <w:tcW w:w="872"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2025</w:t>
                    </w:r>
                  </w:p>
                </w:tc>
                <w:tc>
                  <w:tcPr>
                    <w:tcW w:w="895"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2029</w:t>
                    </w:r>
                  </w:p>
                </w:tc>
                <w:tc>
                  <w:tcPr>
                    <w:tcW w:w="1166" w:type="dxa"/>
                    <w:tcBorders>
                      <w:top w:val="nil"/>
                      <w:left w:val="nil"/>
                      <w:bottom w:val="single" w:sz="4" w:space="0" w:color="auto"/>
                      <w:right w:val="single" w:sz="4" w:space="0" w:color="auto"/>
                    </w:tcBorders>
                    <w:shd w:val="clear" w:color="auto" w:fill="auto"/>
                    <w:vAlign w:val="center"/>
                    <w:hideMark/>
                  </w:tcPr>
                  <w:p>
                    <w:pPr>
                      <w:ind w:firstLine="53"/>
                      <w:jc w:val="center"/>
                      <w:rPr>
                        <w:color w:val="000000"/>
                        <w:sz w:val="20"/>
                        <w:lang w:eastAsia="lt-LT"/>
                      </w:rPr>
                    </w:pPr>
                    <w:r>
                      <w:rPr>
                        <w:color w:val="000000"/>
                        <w:sz w:val="20"/>
                        <w:lang w:eastAsia="lt-LT"/>
                      </w:rPr>
                      <w:t>1606750</w:t>
                    </w:r>
                  </w:p>
                </w:tc>
                <w:tc>
                  <w:tcPr>
                    <w:tcW w:w="1295"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241012,5 </w:t>
                    </w:r>
                  </w:p>
                </w:tc>
                <w:tc>
                  <w:tcPr>
                    <w:tcW w:w="1116"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1365737,5 </w:t>
                    </w:r>
                  </w:p>
                </w:tc>
              </w:tr>
              <w:tr>
                <w:trPr>
                  <w:trHeight w:val="520"/>
                </w:trPr>
                <w:tc>
                  <w:tcPr>
                    <w:tcW w:w="1538" w:type="dxa"/>
                    <w:tcBorders>
                      <w:top w:val="nil"/>
                      <w:left w:val="single" w:sz="4" w:space="0" w:color="auto"/>
                      <w:bottom w:val="single" w:sz="4" w:space="0" w:color="auto"/>
                      <w:right w:val="single" w:sz="4" w:space="0" w:color="auto"/>
                    </w:tcBorders>
                    <w:shd w:val="clear" w:color="auto" w:fill="auto"/>
                    <w:vAlign w:val="center"/>
                    <w:hideMark/>
                  </w:tcPr>
                  <w:p>
                    <w:pPr>
                      <w:ind w:firstLine="53"/>
                      <w:rPr>
                        <w:color w:val="000000"/>
                        <w:sz w:val="20"/>
                        <w:lang w:eastAsia="lt-LT"/>
                      </w:rPr>
                    </w:pPr>
                  </w:p>
                </w:tc>
                <w:tc>
                  <w:tcPr>
                    <w:tcW w:w="1328"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16-02-01</w:t>
                    </w:r>
                  </w:p>
                </w:tc>
                <w:tc>
                  <w:tcPr>
                    <w:tcW w:w="961" w:type="dxa"/>
                    <w:tcBorders>
                      <w:top w:val="nil"/>
                      <w:left w:val="nil"/>
                      <w:bottom w:val="single" w:sz="4" w:space="0" w:color="auto"/>
                      <w:right w:val="single" w:sz="4" w:space="0" w:color="auto"/>
                    </w:tcBorders>
                    <w:shd w:val="clear" w:color="auto" w:fill="auto"/>
                    <w:noWrap/>
                    <w:vAlign w:val="center"/>
                    <w:hideMark/>
                  </w:tcPr>
                  <w:p>
                    <w:pPr>
                      <w:ind w:firstLine="53"/>
                      <w:jc w:val="center"/>
                      <w:rPr>
                        <w:b/>
                        <w:bCs/>
                        <w:color w:val="000000"/>
                        <w:sz w:val="20"/>
                        <w:lang w:eastAsia="lt-LT"/>
                      </w:rPr>
                    </w:pPr>
                  </w:p>
                </w:tc>
                <w:tc>
                  <w:tcPr>
                    <w:tcW w:w="1587"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ŠMSA (SS)</w:t>
                    </w:r>
                  </w:p>
                </w:tc>
                <w:tc>
                  <w:tcPr>
                    <w:tcW w:w="3228"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Renovuotos / pastatytos naujos patalpos VŠĮ Šiaulių krepšinio akademijai „Saulė“</w:t>
                    </w:r>
                  </w:p>
                </w:tc>
                <w:tc>
                  <w:tcPr>
                    <w:tcW w:w="872"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2027</w:t>
                    </w:r>
                  </w:p>
                </w:tc>
                <w:tc>
                  <w:tcPr>
                    <w:tcW w:w="895"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2029</w:t>
                    </w:r>
                  </w:p>
                </w:tc>
                <w:tc>
                  <w:tcPr>
                    <w:tcW w:w="1166"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4500000</w:t>
                    </w:r>
                  </w:p>
                </w:tc>
                <w:tc>
                  <w:tcPr>
                    <w:tcW w:w="1295"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3000000</w:t>
                    </w:r>
                  </w:p>
                </w:tc>
                <w:tc>
                  <w:tcPr>
                    <w:tcW w:w="1116"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1500000</w:t>
                    </w:r>
                  </w:p>
                </w:tc>
              </w:tr>
              <w:tr>
                <w:trPr>
                  <w:trHeight w:val="520"/>
                </w:trPr>
                <w:tc>
                  <w:tcPr>
                    <w:tcW w:w="1538" w:type="dxa"/>
                    <w:tcBorders>
                      <w:top w:val="nil"/>
                      <w:left w:val="single" w:sz="4" w:space="0" w:color="auto"/>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Socialinių paslaugų ir jų infrastruktūros plėtra</w:t>
                    </w:r>
                  </w:p>
                </w:tc>
                <w:tc>
                  <w:tcPr>
                    <w:tcW w:w="1328"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16-02-02</w:t>
                    </w:r>
                  </w:p>
                </w:tc>
                <w:tc>
                  <w:tcPr>
                    <w:tcW w:w="961" w:type="dxa"/>
                    <w:tcBorders>
                      <w:top w:val="nil"/>
                      <w:left w:val="nil"/>
                      <w:bottom w:val="single" w:sz="4" w:space="0" w:color="auto"/>
                      <w:right w:val="single" w:sz="4" w:space="0" w:color="auto"/>
                    </w:tcBorders>
                    <w:shd w:val="clear" w:color="auto" w:fill="auto"/>
                    <w:noWrap/>
                    <w:vAlign w:val="center"/>
                    <w:hideMark/>
                  </w:tcPr>
                  <w:p>
                    <w:pPr>
                      <w:ind w:firstLine="53"/>
                      <w:jc w:val="center"/>
                      <w:rPr>
                        <w:b/>
                        <w:bCs/>
                        <w:color w:val="000000"/>
                        <w:sz w:val="20"/>
                        <w:lang w:eastAsia="lt-LT"/>
                      </w:rPr>
                    </w:pPr>
                  </w:p>
                </w:tc>
                <w:tc>
                  <w:tcPr>
                    <w:tcW w:w="1587"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ŠMSA (SPS, PVS, SRS)</w:t>
                    </w:r>
                  </w:p>
                </w:tc>
                <w:tc>
                  <w:tcPr>
                    <w:tcW w:w="3228"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Šeimoje ir bendruomenėje teikiamų paslaugų, asmenims su proto ir intelekto negalia, plėtra</w:t>
                    </w:r>
                  </w:p>
                </w:tc>
                <w:tc>
                  <w:tcPr>
                    <w:tcW w:w="872"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2025</w:t>
                    </w:r>
                  </w:p>
                </w:tc>
                <w:tc>
                  <w:tcPr>
                    <w:tcW w:w="895"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2026</w:t>
                    </w:r>
                  </w:p>
                </w:tc>
                <w:tc>
                  <w:tcPr>
                    <w:tcW w:w="1166"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3000000</w:t>
                    </w:r>
                  </w:p>
                </w:tc>
                <w:tc>
                  <w:tcPr>
                    <w:tcW w:w="1295"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450000</w:t>
                    </w:r>
                  </w:p>
                </w:tc>
                <w:tc>
                  <w:tcPr>
                    <w:tcW w:w="1116"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2550000 (ES)</w:t>
                    </w:r>
                  </w:p>
                </w:tc>
              </w:tr>
              <w:tr>
                <w:trPr>
                  <w:trHeight w:val="520"/>
                </w:trPr>
                <w:tc>
                  <w:tcPr>
                    <w:tcW w:w="1538" w:type="dxa"/>
                    <w:tcBorders>
                      <w:top w:val="nil"/>
                      <w:left w:val="single" w:sz="4" w:space="0" w:color="auto"/>
                      <w:bottom w:val="single" w:sz="4" w:space="0" w:color="auto"/>
                      <w:right w:val="single" w:sz="4" w:space="0" w:color="auto"/>
                    </w:tcBorders>
                    <w:shd w:val="clear" w:color="auto" w:fill="auto"/>
                    <w:vAlign w:val="center"/>
                    <w:hideMark/>
                  </w:tcPr>
                  <w:p>
                    <w:pPr>
                      <w:ind w:firstLine="53"/>
                      <w:rPr>
                        <w:color w:val="000000"/>
                        <w:sz w:val="20"/>
                        <w:lang w:eastAsia="lt-LT"/>
                      </w:rPr>
                    </w:pPr>
                  </w:p>
                </w:tc>
                <w:tc>
                  <w:tcPr>
                    <w:tcW w:w="1328"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17-02-01</w:t>
                    </w:r>
                  </w:p>
                </w:tc>
                <w:tc>
                  <w:tcPr>
                    <w:tcW w:w="961" w:type="dxa"/>
                    <w:tcBorders>
                      <w:top w:val="nil"/>
                      <w:left w:val="nil"/>
                      <w:bottom w:val="single" w:sz="4" w:space="0" w:color="auto"/>
                      <w:right w:val="single" w:sz="4" w:space="0" w:color="auto"/>
                    </w:tcBorders>
                    <w:shd w:val="clear" w:color="auto" w:fill="auto"/>
                    <w:noWrap/>
                    <w:vAlign w:val="center"/>
                    <w:hideMark/>
                  </w:tcPr>
                  <w:p>
                    <w:pPr>
                      <w:ind w:firstLine="53"/>
                      <w:jc w:val="center"/>
                      <w:rPr>
                        <w:b/>
                        <w:bCs/>
                        <w:color w:val="000000"/>
                        <w:sz w:val="20"/>
                        <w:lang w:eastAsia="lt-LT"/>
                      </w:rPr>
                    </w:pPr>
                  </w:p>
                </w:tc>
                <w:tc>
                  <w:tcPr>
                    <w:tcW w:w="1587"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ŠMSA (SS)</w:t>
                    </w:r>
                  </w:p>
                </w:tc>
                <w:tc>
                  <w:tcPr>
                    <w:tcW w:w="3228"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Suremontuoti Šiaulių m. stadioną ir pastatų patalpas (S. Daukanto g. 23)</w:t>
                    </w:r>
                  </w:p>
                </w:tc>
                <w:tc>
                  <w:tcPr>
                    <w:tcW w:w="872"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2024</w:t>
                    </w:r>
                  </w:p>
                </w:tc>
                <w:tc>
                  <w:tcPr>
                    <w:tcW w:w="895"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2025</w:t>
                    </w:r>
                  </w:p>
                </w:tc>
                <w:tc>
                  <w:tcPr>
                    <w:tcW w:w="1166"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484200</w:t>
                    </w:r>
                  </w:p>
                </w:tc>
                <w:tc>
                  <w:tcPr>
                    <w:tcW w:w="1295"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484200</w:t>
                    </w:r>
                  </w:p>
                </w:tc>
                <w:tc>
                  <w:tcPr>
                    <w:tcW w:w="1116" w:type="dxa"/>
                    <w:tcBorders>
                      <w:top w:val="nil"/>
                      <w:left w:val="nil"/>
                      <w:bottom w:val="single" w:sz="4" w:space="0" w:color="auto"/>
                      <w:right w:val="single" w:sz="4" w:space="0" w:color="auto"/>
                    </w:tcBorders>
                    <w:shd w:val="clear" w:color="auto" w:fill="auto"/>
                    <w:vAlign w:val="center"/>
                    <w:hideMark/>
                  </w:tcPr>
                  <w:p>
                    <w:pPr>
                      <w:ind w:firstLine="53"/>
                      <w:jc w:val="center"/>
                      <w:rPr>
                        <w:color w:val="000000"/>
                        <w:sz w:val="20"/>
                        <w:lang w:eastAsia="lt-LT"/>
                      </w:rPr>
                    </w:pPr>
                  </w:p>
                </w:tc>
              </w:tr>
              <w:tr>
                <w:trPr>
                  <w:trHeight w:val="260"/>
                </w:trPr>
                <w:tc>
                  <w:tcPr>
                    <w:tcW w:w="1538" w:type="dxa"/>
                    <w:tcBorders>
                      <w:top w:val="nil"/>
                      <w:left w:val="single" w:sz="4" w:space="0" w:color="auto"/>
                      <w:bottom w:val="single" w:sz="4" w:space="0" w:color="auto"/>
                      <w:right w:val="single" w:sz="4" w:space="0" w:color="auto"/>
                    </w:tcBorders>
                    <w:shd w:val="clear" w:color="auto" w:fill="auto"/>
                    <w:vAlign w:val="center"/>
                    <w:hideMark/>
                  </w:tcPr>
                  <w:p>
                    <w:pPr>
                      <w:ind w:firstLine="53"/>
                      <w:rPr>
                        <w:color w:val="000000"/>
                        <w:sz w:val="20"/>
                        <w:lang w:eastAsia="lt-LT"/>
                      </w:rPr>
                    </w:pPr>
                  </w:p>
                </w:tc>
                <w:tc>
                  <w:tcPr>
                    <w:tcW w:w="1328"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17-02-01</w:t>
                    </w:r>
                  </w:p>
                </w:tc>
                <w:tc>
                  <w:tcPr>
                    <w:tcW w:w="961" w:type="dxa"/>
                    <w:tcBorders>
                      <w:top w:val="nil"/>
                      <w:left w:val="nil"/>
                      <w:bottom w:val="single" w:sz="4" w:space="0" w:color="auto"/>
                      <w:right w:val="single" w:sz="4" w:space="0" w:color="auto"/>
                    </w:tcBorders>
                    <w:shd w:val="clear" w:color="auto" w:fill="auto"/>
                    <w:noWrap/>
                    <w:vAlign w:val="center"/>
                    <w:hideMark/>
                  </w:tcPr>
                  <w:p>
                    <w:pPr>
                      <w:ind w:firstLine="53"/>
                      <w:jc w:val="center"/>
                      <w:rPr>
                        <w:b/>
                        <w:bCs/>
                        <w:color w:val="000000"/>
                        <w:sz w:val="20"/>
                        <w:lang w:eastAsia="lt-LT"/>
                      </w:rPr>
                    </w:pPr>
                  </w:p>
                </w:tc>
                <w:tc>
                  <w:tcPr>
                    <w:tcW w:w="1587"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ŠMSA (SS), ŠTA</w:t>
                    </w:r>
                  </w:p>
                </w:tc>
                <w:tc>
                  <w:tcPr>
                    <w:tcW w:w="3228"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Didinti Šiaulių teniso akademijos pastato funkcionalumą</w:t>
                    </w:r>
                  </w:p>
                </w:tc>
                <w:tc>
                  <w:tcPr>
                    <w:tcW w:w="872"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2024</w:t>
                    </w:r>
                  </w:p>
                </w:tc>
                <w:tc>
                  <w:tcPr>
                    <w:tcW w:w="895"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2025</w:t>
                    </w:r>
                  </w:p>
                </w:tc>
                <w:tc>
                  <w:tcPr>
                    <w:tcW w:w="1166"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750000</w:t>
                    </w:r>
                  </w:p>
                </w:tc>
                <w:tc>
                  <w:tcPr>
                    <w:tcW w:w="1295"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750000</w:t>
                    </w:r>
                  </w:p>
                </w:tc>
                <w:tc>
                  <w:tcPr>
                    <w:tcW w:w="1116" w:type="dxa"/>
                    <w:tcBorders>
                      <w:top w:val="nil"/>
                      <w:left w:val="nil"/>
                      <w:bottom w:val="single" w:sz="4" w:space="0" w:color="auto"/>
                      <w:right w:val="single" w:sz="4" w:space="0" w:color="auto"/>
                    </w:tcBorders>
                    <w:shd w:val="clear" w:color="auto" w:fill="auto"/>
                    <w:vAlign w:val="center"/>
                    <w:hideMark/>
                  </w:tcPr>
                  <w:p>
                    <w:pPr>
                      <w:ind w:firstLine="53"/>
                      <w:jc w:val="center"/>
                      <w:rPr>
                        <w:color w:val="000000"/>
                        <w:sz w:val="20"/>
                        <w:lang w:eastAsia="lt-LT"/>
                      </w:rPr>
                    </w:pPr>
                  </w:p>
                </w:tc>
              </w:tr>
              <w:tr>
                <w:trPr>
                  <w:trHeight w:val="260"/>
                </w:trPr>
                <w:tc>
                  <w:tcPr>
                    <w:tcW w:w="1538" w:type="dxa"/>
                    <w:tcBorders>
                      <w:top w:val="nil"/>
                      <w:left w:val="single" w:sz="4" w:space="0" w:color="auto"/>
                      <w:bottom w:val="single" w:sz="4" w:space="0" w:color="auto"/>
                      <w:right w:val="single" w:sz="4" w:space="0" w:color="auto"/>
                    </w:tcBorders>
                    <w:shd w:val="clear" w:color="auto" w:fill="auto"/>
                    <w:vAlign w:val="center"/>
                    <w:hideMark/>
                  </w:tcPr>
                  <w:p>
                    <w:pPr>
                      <w:ind w:firstLine="53"/>
                      <w:rPr>
                        <w:color w:val="000000"/>
                        <w:sz w:val="20"/>
                        <w:lang w:eastAsia="lt-LT"/>
                      </w:rPr>
                    </w:pPr>
                  </w:p>
                </w:tc>
                <w:tc>
                  <w:tcPr>
                    <w:tcW w:w="1328"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17-02-02</w:t>
                    </w:r>
                  </w:p>
                </w:tc>
                <w:tc>
                  <w:tcPr>
                    <w:tcW w:w="961" w:type="dxa"/>
                    <w:tcBorders>
                      <w:top w:val="nil"/>
                      <w:left w:val="nil"/>
                      <w:bottom w:val="single" w:sz="4" w:space="0" w:color="auto"/>
                      <w:right w:val="single" w:sz="4" w:space="0" w:color="auto"/>
                    </w:tcBorders>
                    <w:shd w:val="clear" w:color="auto" w:fill="auto"/>
                    <w:noWrap/>
                    <w:vAlign w:val="center"/>
                    <w:hideMark/>
                  </w:tcPr>
                  <w:p>
                    <w:pPr>
                      <w:ind w:firstLine="53"/>
                      <w:jc w:val="center"/>
                      <w:rPr>
                        <w:b/>
                        <w:bCs/>
                        <w:color w:val="000000"/>
                        <w:sz w:val="20"/>
                        <w:lang w:eastAsia="lt-LT"/>
                      </w:rPr>
                    </w:pPr>
                  </w:p>
                </w:tc>
                <w:tc>
                  <w:tcPr>
                    <w:tcW w:w="1587"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ŠMSA (SS, SRS)</w:t>
                    </w:r>
                  </w:p>
                </w:tc>
                <w:tc>
                  <w:tcPr>
                    <w:tcW w:w="3228"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Pastatyti irklavimo sporto bazę (Žvyro g. 34)</w:t>
                    </w:r>
                  </w:p>
                </w:tc>
                <w:tc>
                  <w:tcPr>
                    <w:tcW w:w="872"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2025</w:t>
                    </w:r>
                  </w:p>
                </w:tc>
                <w:tc>
                  <w:tcPr>
                    <w:tcW w:w="895"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2026</w:t>
                    </w:r>
                  </w:p>
                </w:tc>
                <w:tc>
                  <w:tcPr>
                    <w:tcW w:w="1166"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2674000</w:t>
                    </w:r>
                  </w:p>
                </w:tc>
                <w:tc>
                  <w:tcPr>
                    <w:tcW w:w="1295"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2674000</w:t>
                    </w:r>
                  </w:p>
                </w:tc>
                <w:tc>
                  <w:tcPr>
                    <w:tcW w:w="1116" w:type="dxa"/>
                    <w:tcBorders>
                      <w:top w:val="nil"/>
                      <w:left w:val="nil"/>
                      <w:bottom w:val="single" w:sz="4" w:space="0" w:color="auto"/>
                      <w:right w:val="single" w:sz="4" w:space="0" w:color="auto"/>
                    </w:tcBorders>
                    <w:shd w:val="clear" w:color="auto" w:fill="auto"/>
                    <w:vAlign w:val="center"/>
                    <w:hideMark/>
                  </w:tcPr>
                  <w:p>
                    <w:pPr>
                      <w:ind w:firstLine="53"/>
                      <w:jc w:val="center"/>
                      <w:rPr>
                        <w:color w:val="000000"/>
                        <w:sz w:val="20"/>
                        <w:lang w:eastAsia="lt-LT"/>
                      </w:rPr>
                    </w:pPr>
                  </w:p>
                </w:tc>
              </w:tr>
              <w:tr>
                <w:trPr>
                  <w:trHeight w:val="520"/>
                </w:trPr>
                <w:tc>
                  <w:tcPr>
                    <w:tcW w:w="1538" w:type="dxa"/>
                    <w:tcBorders>
                      <w:top w:val="nil"/>
                      <w:left w:val="single" w:sz="4" w:space="0" w:color="auto"/>
                      <w:bottom w:val="single" w:sz="4" w:space="0" w:color="auto"/>
                      <w:right w:val="single" w:sz="4" w:space="0" w:color="auto"/>
                    </w:tcBorders>
                    <w:shd w:val="clear" w:color="auto" w:fill="auto"/>
                    <w:vAlign w:val="center"/>
                    <w:hideMark/>
                  </w:tcPr>
                  <w:p>
                    <w:pPr>
                      <w:ind w:firstLine="53"/>
                      <w:rPr>
                        <w:color w:val="000000"/>
                        <w:sz w:val="20"/>
                        <w:lang w:eastAsia="lt-LT"/>
                      </w:rPr>
                    </w:pPr>
                  </w:p>
                </w:tc>
                <w:tc>
                  <w:tcPr>
                    <w:tcW w:w="1328"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17-02-02</w:t>
                    </w:r>
                  </w:p>
                </w:tc>
                <w:tc>
                  <w:tcPr>
                    <w:tcW w:w="961" w:type="dxa"/>
                    <w:tcBorders>
                      <w:top w:val="nil"/>
                      <w:left w:val="nil"/>
                      <w:bottom w:val="single" w:sz="4" w:space="0" w:color="auto"/>
                      <w:right w:val="single" w:sz="4" w:space="0" w:color="auto"/>
                    </w:tcBorders>
                    <w:shd w:val="clear" w:color="auto" w:fill="auto"/>
                    <w:noWrap/>
                    <w:vAlign w:val="center"/>
                    <w:hideMark/>
                  </w:tcPr>
                  <w:p>
                    <w:pPr>
                      <w:ind w:firstLine="53"/>
                      <w:jc w:val="center"/>
                      <w:rPr>
                        <w:b/>
                        <w:bCs/>
                        <w:color w:val="000000"/>
                        <w:sz w:val="20"/>
                        <w:lang w:eastAsia="lt-LT"/>
                      </w:rPr>
                    </w:pPr>
                  </w:p>
                </w:tc>
                <w:tc>
                  <w:tcPr>
                    <w:tcW w:w="1587"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ŠMSA (SS, MPPS, AS, SRS)</w:t>
                    </w:r>
                  </w:p>
                </w:tc>
                <w:tc>
                  <w:tcPr>
                    <w:tcW w:w="3228"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Suprojektuoti ir pastatyti buriavimo elingą prie Rėkyvos ežero</w:t>
                    </w:r>
                  </w:p>
                </w:tc>
                <w:tc>
                  <w:tcPr>
                    <w:tcW w:w="872"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2025</w:t>
                    </w:r>
                  </w:p>
                </w:tc>
                <w:tc>
                  <w:tcPr>
                    <w:tcW w:w="895"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2026</w:t>
                    </w:r>
                  </w:p>
                </w:tc>
                <w:tc>
                  <w:tcPr>
                    <w:tcW w:w="1166"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230000</w:t>
                    </w:r>
                  </w:p>
                </w:tc>
                <w:tc>
                  <w:tcPr>
                    <w:tcW w:w="1295"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230000</w:t>
                    </w:r>
                  </w:p>
                </w:tc>
                <w:tc>
                  <w:tcPr>
                    <w:tcW w:w="1116" w:type="dxa"/>
                    <w:tcBorders>
                      <w:top w:val="nil"/>
                      <w:left w:val="nil"/>
                      <w:bottom w:val="single" w:sz="4" w:space="0" w:color="auto"/>
                      <w:right w:val="single" w:sz="4" w:space="0" w:color="auto"/>
                    </w:tcBorders>
                    <w:shd w:val="clear" w:color="auto" w:fill="auto"/>
                    <w:vAlign w:val="center"/>
                    <w:hideMark/>
                  </w:tcPr>
                  <w:p>
                    <w:pPr>
                      <w:ind w:firstLine="53"/>
                      <w:jc w:val="center"/>
                      <w:rPr>
                        <w:color w:val="000000"/>
                        <w:sz w:val="20"/>
                        <w:lang w:eastAsia="lt-LT"/>
                      </w:rPr>
                    </w:pPr>
                  </w:p>
                </w:tc>
              </w:tr>
              <w:tr>
                <w:trPr>
                  <w:trHeight w:val="780"/>
                </w:trPr>
                <w:tc>
                  <w:tcPr>
                    <w:tcW w:w="1538" w:type="dxa"/>
                    <w:tcBorders>
                      <w:top w:val="nil"/>
                      <w:left w:val="single" w:sz="4" w:space="0" w:color="auto"/>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Šiaulių miesto integruota plėtra</w:t>
                    </w:r>
                  </w:p>
                </w:tc>
                <w:tc>
                  <w:tcPr>
                    <w:tcW w:w="1328"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17-02-02</w:t>
                    </w:r>
                  </w:p>
                </w:tc>
                <w:tc>
                  <w:tcPr>
                    <w:tcW w:w="961" w:type="dxa"/>
                    <w:tcBorders>
                      <w:top w:val="nil"/>
                      <w:left w:val="nil"/>
                      <w:bottom w:val="single" w:sz="4" w:space="0" w:color="auto"/>
                      <w:right w:val="single" w:sz="4" w:space="0" w:color="auto"/>
                    </w:tcBorders>
                    <w:shd w:val="clear" w:color="auto" w:fill="auto"/>
                    <w:noWrap/>
                    <w:vAlign w:val="center"/>
                    <w:hideMark/>
                  </w:tcPr>
                  <w:p>
                    <w:pPr>
                      <w:ind w:firstLine="53"/>
                      <w:jc w:val="center"/>
                      <w:rPr>
                        <w:b/>
                        <w:bCs/>
                        <w:color w:val="000000"/>
                        <w:sz w:val="20"/>
                        <w:lang w:eastAsia="lt-LT"/>
                      </w:rPr>
                    </w:pPr>
                  </w:p>
                </w:tc>
                <w:tc>
                  <w:tcPr>
                    <w:tcW w:w="1587"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ŠMSA (SS, PVS, MPPS, AS, SRS)</w:t>
                    </w:r>
                  </w:p>
                </w:tc>
                <w:tc>
                  <w:tcPr>
                    <w:tcW w:w="3228"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Bendrojo ugdymo, neformaliojo ugdymo ir kitų viešųjų paslaugų teikimui trūkstamos infrastruktūros sukūrimas, adresu J. Jablonskio g. 14, Šiauliai</w:t>
                    </w:r>
                  </w:p>
                </w:tc>
                <w:tc>
                  <w:tcPr>
                    <w:tcW w:w="872"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2023</w:t>
                    </w:r>
                  </w:p>
                </w:tc>
                <w:tc>
                  <w:tcPr>
                    <w:tcW w:w="895"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2026</w:t>
                    </w:r>
                  </w:p>
                </w:tc>
                <w:tc>
                  <w:tcPr>
                    <w:tcW w:w="1166"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23636364</w:t>
                    </w:r>
                  </w:p>
                </w:tc>
                <w:tc>
                  <w:tcPr>
                    <w:tcW w:w="1295"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8636363,64</w:t>
                    </w:r>
                  </w:p>
                </w:tc>
                <w:tc>
                  <w:tcPr>
                    <w:tcW w:w="1116"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13000000 (ES)</w:t>
                      <w:br/>
                      <w:t>2000000 (VIP)</w:t>
                    </w:r>
                  </w:p>
                </w:tc>
              </w:tr>
              <w:tr>
                <w:trPr>
                  <w:trHeight w:val="780"/>
                </w:trPr>
                <w:tc>
                  <w:tcPr>
                    <w:tcW w:w="1538" w:type="dxa"/>
                    <w:tcBorders>
                      <w:top w:val="nil"/>
                      <w:left w:val="single" w:sz="4" w:space="0" w:color="auto"/>
                      <w:bottom w:val="single" w:sz="4" w:space="0" w:color="auto"/>
                      <w:right w:val="single" w:sz="4" w:space="0" w:color="auto"/>
                    </w:tcBorders>
                    <w:shd w:val="clear" w:color="auto" w:fill="auto"/>
                    <w:vAlign w:val="center"/>
                    <w:hideMark/>
                  </w:tcPr>
                  <w:p>
                    <w:pPr>
                      <w:ind w:firstLine="53"/>
                      <w:rPr>
                        <w:color w:val="000000"/>
                        <w:sz w:val="20"/>
                        <w:lang w:eastAsia="lt-LT"/>
                      </w:rPr>
                    </w:pPr>
                  </w:p>
                </w:tc>
                <w:tc>
                  <w:tcPr>
                    <w:tcW w:w="1328"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18-01-02</w:t>
                    </w:r>
                  </w:p>
                </w:tc>
                <w:tc>
                  <w:tcPr>
                    <w:tcW w:w="961" w:type="dxa"/>
                    <w:tcBorders>
                      <w:top w:val="nil"/>
                      <w:left w:val="nil"/>
                      <w:bottom w:val="single" w:sz="4" w:space="0" w:color="auto"/>
                      <w:right w:val="single" w:sz="4" w:space="0" w:color="auto"/>
                    </w:tcBorders>
                    <w:shd w:val="clear" w:color="auto" w:fill="auto"/>
                    <w:noWrap/>
                    <w:vAlign w:val="center"/>
                    <w:hideMark/>
                  </w:tcPr>
                  <w:p>
                    <w:pPr>
                      <w:ind w:firstLine="53"/>
                      <w:jc w:val="center"/>
                      <w:rPr>
                        <w:b/>
                        <w:bCs/>
                        <w:color w:val="000000"/>
                        <w:sz w:val="20"/>
                        <w:lang w:eastAsia="lt-LT"/>
                      </w:rPr>
                    </w:pPr>
                  </w:p>
                </w:tc>
                <w:tc>
                  <w:tcPr>
                    <w:tcW w:w="1587"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 xml:space="preserve">ŠMSA (ŠS, PVS), Šiaulių Vinco Kudirkos progimnazija </w:t>
                    </w:r>
                  </w:p>
                </w:tc>
                <w:tc>
                  <w:tcPr>
                    <w:tcW w:w="3228"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Atvirų klasių sukūrimas Šiaulių Vinco Kudirkos progimnazijoje</w:t>
                    </w:r>
                  </w:p>
                </w:tc>
                <w:tc>
                  <w:tcPr>
                    <w:tcW w:w="872"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2024</w:t>
                    </w:r>
                  </w:p>
                </w:tc>
                <w:tc>
                  <w:tcPr>
                    <w:tcW w:w="895"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2025</w:t>
                    </w:r>
                  </w:p>
                </w:tc>
                <w:tc>
                  <w:tcPr>
                    <w:tcW w:w="1166"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99300</w:t>
                    </w:r>
                  </w:p>
                </w:tc>
                <w:tc>
                  <w:tcPr>
                    <w:tcW w:w="1295"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22300</w:t>
                    </w:r>
                  </w:p>
                </w:tc>
                <w:tc>
                  <w:tcPr>
                    <w:tcW w:w="1116"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77000 (VB)</w:t>
                    </w:r>
                  </w:p>
                </w:tc>
              </w:tr>
              <w:tr>
                <w:trPr>
                  <w:trHeight w:val="780"/>
                </w:trPr>
                <w:tc>
                  <w:tcPr>
                    <w:tcW w:w="1538" w:type="dxa"/>
                    <w:tcBorders>
                      <w:top w:val="nil"/>
                      <w:left w:val="single" w:sz="4" w:space="0" w:color="auto"/>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Ikimokyklinio ir bendrojo ugdymo aplinkos modernizavimas</w:t>
                    </w:r>
                  </w:p>
                </w:tc>
                <w:tc>
                  <w:tcPr>
                    <w:tcW w:w="1328"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18-01-02</w:t>
                    </w:r>
                  </w:p>
                </w:tc>
                <w:tc>
                  <w:tcPr>
                    <w:tcW w:w="961" w:type="dxa"/>
                    <w:tcBorders>
                      <w:top w:val="nil"/>
                      <w:left w:val="nil"/>
                      <w:bottom w:val="single" w:sz="4" w:space="0" w:color="auto"/>
                      <w:right w:val="single" w:sz="4" w:space="0" w:color="auto"/>
                    </w:tcBorders>
                    <w:shd w:val="clear" w:color="auto" w:fill="auto"/>
                    <w:noWrap/>
                    <w:vAlign w:val="center"/>
                    <w:hideMark/>
                  </w:tcPr>
                  <w:p>
                    <w:pPr>
                      <w:ind w:firstLine="53"/>
                      <w:jc w:val="center"/>
                      <w:rPr>
                        <w:b/>
                        <w:bCs/>
                        <w:color w:val="000000"/>
                        <w:sz w:val="20"/>
                        <w:lang w:eastAsia="lt-LT"/>
                      </w:rPr>
                    </w:pPr>
                  </w:p>
                </w:tc>
                <w:tc>
                  <w:tcPr>
                    <w:tcW w:w="1587"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ŠMSA (ŠS, SRS, PVS)</w:t>
                    </w:r>
                  </w:p>
                </w:tc>
                <w:tc>
                  <w:tcPr>
                    <w:tcW w:w="3228"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Edukacinių erdvių įrengimas Šiaulių miesto ugdymo įstaigose, plėtojant visos dienos mokyklos veiklas</w:t>
                    </w:r>
                  </w:p>
                </w:tc>
                <w:tc>
                  <w:tcPr>
                    <w:tcW w:w="872"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2023</w:t>
                    </w:r>
                  </w:p>
                </w:tc>
                <w:tc>
                  <w:tcPr>
                    <w:tcW w:w="895"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2026</w:t>
                    </w:r>
                  </w:p>
                </w:tc>
                <w:tc>
                  <w:tcPr>
                    <w:tcW w:w="1166"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1764706</w:t>
                    </w:r>
                  </w:p>
                </w:tc>
                <w:tc>
                  <w:tcPr>
                    <w:tcW w:w="1295"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264705,88</w:t>
                    </w:r>
                  </w:p>
                </w:tc>
                <w:tc>
                  <w:tcPr>
                    <w:tcW w:w="1116"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1500000 (ES)</w:t>
                    </w:r>
                  </w:p>
                </w:tc>
              </w:tr>
              <w:tr>
                <w:trPr>
                  <w:trHeight w:val="1040"/>
                </w:trPr>
                <w:tc>
                  <w:tcPr>
                    <w:tcW w:w="1538" w:type="dxa"/>
                    <w:tcBorders>
                      <w:top w:val="nil"/>
                      <w:left w:val="single" w:sz="4" w:space="0" w:color="auto"/>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Ikimokyklinio ir bendrojo ugdymo aplinkos modernizavimas</w:t>
                    </w:r>
                  </w:p>
                </w:tc>
                <w:tc>
                  <w:tcPr>
                    <w:tcW w:w="1328"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18-02-01</w:t>
                    </w:r>
                  </w:p>
                </w:tc>
                <w:tc>
                  <w:tcPr>
                    <w:tcW w:w="961" w:type="dxa"/>
                    <w:tcBorders>
                      <w:top w:val="nil"/>
                      <w:left w:val="nil"/>
                      <w:bottom w:val="single" w:sz="4" w:space="0" w:color="auto"/>
                      <w:right w:val="single" w:sz="4" w:space="0" w:color="auto"/>
                    </w:tcBorders>
                    <w:shd w:val="clear" w:color="auto" w:fill="auto"/>
                    <w:noWrap/>
                    <w:vAlign w:val="center"/>
                    <w:hideMark/>
                  </w:tcPr>
                  <w:p>
                    <w:pPr>
                      <w:ind w:firstLine="53"/>
                      <w:jc w:val="center"/>
                      <w:rPr>
                        <w:b/>
                        <w:bCs/>
                        <w:color w:val="000000"/>
                        <w:sz w:val="20"/>
                        <w:lang w:eastAsia="lt-LT"/>
                      </w:rPr>
                    </w:pPr>
                  </w:p>
                </w:tc>
                <w:tc>
                  <w:tcPr>
                    <w:tcW w:w="1587"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ŠMSA (ŠS, SRS, PVS)</w:t>
                    </w:r>
                  </w:p>
                </w:tc>
                <w:tc>
                  <w:tcPr>
                    <w:tcW w:w="3228"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Ikimokyklinio ugdymo paslaugų prieinamumo didinimas Šiaulių miesto savivaldybėje (Ikimokyklinio ugdymo paslaugų teikimui pritaikomas pastatas, adresu Pabalių g. 53)</w:t>
                    </w:r>
                  </w:p>
                </w:tc>
                <w:tc>
                  <w:tcPr>
                    <w:tcW w:w="872"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2023</w:t>
                    </w:r>
                  </w:p>
                </w:tc>
                <w:tc>
                  <w:tcPr>
                    <w:tcW w:w="895"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2026</w:t>
                    </w:r>
                  </w:p>
                </w:tc>
                <w:tc>
                  <w:tcPr>
                    <w:tcW w:w="1166"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2941176,47</w:t>
                    </w:r>
                  </w:p>
                </w:tc>
                <w:tc>
                  <w:tcPr>
                    <w:tcW w:w="1295"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441176,47</w:t>
                    </w:r>
                  </w:p>
                </w:tc>
                <w:tc>
                  <w:tcPr>
                    <w:tcW w:w="1116"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2500000 (ES)</w:t>
                    </w:r>
                  </w:p>
                </w:tc>
              </w:tr>
              <w:tr>
                <w:trPr>
                  <w:trHeight w:val="780"/>
                </w:trPr>
                <w:tc>
                  <w:tcPr>
                    <w:tcW w:w="1538" w:type="dxa"/>
                    <w:tcBorders>
                      <w:top w:val="nil"/>
                      <w:left w:val="single" w:sz="4" w:space="0" w:color="auto"/>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Šiaulių miesto integruota plėtra</w:t>
                    </w:r>
                  </w:p>
                </w:tc>
                <w:tc>
                  <w:tcPr>
                    <w:tcW w:w="1328"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18-02-02</w:t>
                    </w:r>
                  </w:p>
                </w:tc>
                <w:tc>
                  <w:tcPr>
                    <w:tcW w:w="961" w:type="dxa"/>
                    <w:tcBorders>
                      <w:top w:val="nil"/>
                      <w:left w:val="nil"/>
                      <w:bottom w:val="single" w:sz="4" w:space="0" w:color="auto"/>
                      <w:right w:val="single" w:sz="4" w:space="0" w:color="auto"/>
                    </w:tcBorders>
                    <w:shd w:val="clear" w:color="auto" w:fill="auto"/>
                    <w:noWrap/>
                    <w:vAlign w:val="center"/>
                    <w:hideMark/>
                  </w:tcPr>
                  <w:p>
                    <w:pPr>
                      <w:ind w:firstLine="53"/>
                      <w:jc w:val="center"/>
                      <w:rPr>
                        <w:b/>
                        <w:bCs/>
                        <w:color w:val="000000"/>
                        <w:sz w:val="20"/>
                        <w:lang w:eastAsia="lt-LT"/>
                      </w:rPr>
                    </w:pPr>
                  </w:p>
                </w:tc>
                <w:tc>
                  <w:tcPr>
                    <w:tcW w:w="1587"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ŠMSA (ŠS, SRS, PVS)</w:t>
                    </w:r>
                  </w:p>
                </w:tc>
                <w:tc>
                  <w:tcPr>
                    <w:tcW w:w="3228"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S. Daukanto inžinerijos gimnazijos (S. Daukanto g. 71, Šiauliai) pritaikymas specializuotų inžinerinio ugdymo programų vykdymui</w:t>
                    </w:r>
                  </w:p>
                </w:tc>
                <w:tc>
                  <w:tcPr>
                    <w:tcW w:w="872"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2023</w:t>
                    </w:r>
                  </w:p>
                </w:tc>
                <w:tc>
                  <w:tcPr>
                    <w:tcW w:w="895"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2026</w:t>
                    </w:r>
                  </w:p>
                </w:tc>
                <w:tc>
                  <w:tcPr>
                    <w:tcW w:w="1166"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2000000</w:t>
                    </w:r>
                  </w:p>
                </w:tc>
                <w:tc>
                  <w:tcPr>
                    <w:tcW w:w="1295"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300000</w:t>
                    </w:r>
                  </w:p>
                </w:tc>
                <w:tc>
                  <w:tcPr>
                    <w:tcW w:w="1116"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1700000 (ES)</w:t>
                    </w:r>
                  </w:p>
                </w:tc>
              </w:tr>
              <w:tr>
                <w:trPr>
                  <w:trHeight w:val="780"/>
                </w:trPr>
                <w:tc>
                  <w:tcPr>
                    <w:tcW w:w="1538" w:type="dxa"/>
                    <w:tcBorders>
                      <w:top w:val="nil"/>
                      <w:left w:val="single" w:sz="4" w:space="0" w:color="auto"/>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Šiaulių miesto integruota plėtra</w:t>
                    </w:r>
                  </w:p>
                </w:tc>
                <w:tc>
                  <w:tcPr>
                    <w:tcW w:w="1328"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18-02-02</w:t>
                    </w:r>
                  </w:p>
                </w:tc>
                <w:tc>
                  <w:tcPr>
                    <w:tcW w:w="961" w:type="dxa"/>
                    <w:tcBorders>
                      <w:top w:val="nil"/>
                      <w:left w:val="nil"/>
                      <w:bottom w:val="single" w:sz="4" w:space="0" w:color="auto"/>
                      <w:right w:val="single" w:sz="4" w:space="0" w:color="auto"/>
                    </w:tcBorders>
                    <w:shd w:val="clear" w:color="auto" w:fill="auto"/>
                    <w:noWrap/>
                    <w:vAlign w:val="center"/>
                    <w:hideMark/>
                  </w:tcPr>
                  <w:p>
                    <w:pPr>
                      <w:ind w:firstLine="53"/>
                      <w:jc w:val="center"/>
                      <w:rPr>
                        <w:b/>
                        <w:bCs/>
                        <w:color w:val="000000"/>
                        <w:sz w:val="20"/>
                        <w:lang w:eastAsia="lt-LT"/>
                      </w:rPr>
                    </w:pPr>
                  </w:p>
                </w:tc>
                <w:tc>
                  <w:tcPr>
                    <w:tcW w:w="1587"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ŠMSA (ŠS, SRS, PVS)</w:t>
                    </w:r>
                  </w:p>
                </w:tc>
                <w:tc>
                  <w:tcPr>
                    <w:tcW w:w="3228"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 xml:space="preserve">Bendrojo ugdymo paslaugų  kokybės gerinimas ir prieinamumo didinimas Šiaulių mieste, modernizuojant  Vinco Kudirkos progimnaziją </w:t>
                    </w:r>
                  </w:p>
                </w:tc>
                <w:tc>
                  <w:tcPr>
                    <w:tcW w:w="872"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2023</w:t>
                    </w:r>
                  </w:p>
                </w:tc>
                <w:tc>
                  <w:tcPr>
                    <w:tcW w:w="895"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2026</w:t>
                    </w:r>
                  </w:p>
                </w:tc>
                <w:tc>
                  <w:tcPr>
                    <w:tcW w:w="1166"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3000000</w:t>
                    </w:r>
                  </w:p>
                </w:tc>
                <w:tc>
                  <w:tcPr>
                    <w:tcW w:w="1295"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450000</w:t>
                    </w:r>
                  </w:p>
                </w:tc>
                <w:tc>
                  <w:tcPr>
                    <w:tcW w:w="1116"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2550000 (ES)</w:t>
                    </w:r>
                  </w:p>
                </w:tc>
              </w:tr>
              <w:tr>
                <w:trPr>
                  <w:trHeight w:val="780"/>
                </w:trPr>
                <w:tc>
                  <w:tcPr>
                    <w:tcW w:w="1538" w:type="dxa"/>
                    <w:tcBorders>
                      <w:top w:val="nil"/>
                      <w:left w:val="single" w:sz="4" w:space="0" w:color="auto"/>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Šiaulių miesto integruota plėtra</w:t>
                    </w:r>
                  </w:p>
                </w:tc>
                <w:tc>
                  <w:tcPr>
                    <w:tcW w:w="1328"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18-02-02</w:t>
                    </w:r>
                  </w:p>
                </w:tc>
                <w:tc>
                  <w:tcPr>
                    <w:tcW w:w="961" w:type="dxa"/>
                    <w:tcBorders>
                      <w:top w:val="nil"/>
                      <w:left w:val="nil"/>
                      <w:bottom w:val="single" w:sz="4" w:space="0" w:color="auto"/>
                      <w:right w:val="single" w:sz="4" w:space="0" w:color="auto"/>
                    </w:tcBorders>
                    <w:shd w:val="clear" w:color="auto" w:fill="auto"/>
                    <w:noWrap/>
                    <w:vAlign w:val="center"/>
                    <w:hideMark/>
                  </w:tcPr>
                  <w:p>
                    <w:pPr>
                      <w:ind w:firstLine="53"/>
                      <w:jc w:val="center"/>
                      <w:rPr>
                        <w:b/>
                        <w:bCs/>
                        <w:color w:val="000000"/>
                        <w:sz w:val="20"/>
                        <w:lang w:eastAsia="lt-LT"/>
                      </w:rPr>
                    </w:pPr>
                  </w:p>
                </w:tc>
                <w:tc>
                  <w:tcPr>
                    <w:tcW w:w="1587"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ŠMSA (ŠS, SRS, PVS)</w:t>
                    </w:r>
                  </w:p>
                </w:tc>
                <w:tc>
                  <w:tcPr>
                    <w:tcW w:w="3228"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 xml:space="preserve">Bendrojo ugdymo paslaugų  kokybės gerinimas ir prieinamumo didinimas Šiaulių mieste, modernizuojant Šiaulių Ragainės progimnaziją </w:t>
                    </w:r>
                  </w:p>
                </w:tc>
                <w:tc>
                  <w:tcPr>
                    <w:tcW w:w="872"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2023</w:t>
                    </w:r>
                  </w:p>
                </w:tc>
                <w:tc>
                  <w:tcPr>
                    <w:tcW w:w="895"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2026</w:t>
                    </w:r>
                  </w:p>
                </w:tc>
                <w:tc>
                  <w:tcPr>
                    <w:tcW w:w="1166"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3000000</w:t>
                    </w:r>
                  </w:p>
                </w:tc>
                <w:tc>
                  <w:tcPr>
                    <w:tcW w:w="1295"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450000</w:t>
                    </w:r>
                  </w:p>
                </w:tc>
                <w:tc>
                  <w:tcPr>
                    <w:tcW w:w="1116"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2550000 (ES)</w:t>
                    </w:r>
                  </w:p>
                </w:tc>
              </w:tr>
              <w:tr>
                <w:trPr>
                  <w:trHeight w:val="1040"/>
                </w:trPr>
                <w:tc>
                  <w:tcPr>
                    <w:tcW w:w="1538" w:type="dxa"/>
                    <w:tcBorders>
                      <w:top w:val="nil"/>
                      <w:left w:val="single" w:sz="4" w:space="0" w:color="auto"/>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Šiaulių miesto integruota plėtra</w:t>
                    </w:r>
                  </w:p>
                </w:tc>
                <w:tc>
                  <w:tcPr>
                    <w:tcW w:w="1328"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18-02-02</w:t>
                    </w:r>
                  </w:p>
                </w:tc>
                <w:tc>
                  <w:tcPr>
                    <w:tcW w:w="961" w:type="dxa"/>
                    <w:tcBorders>
                      <w:top w:val="nil"/>
                      <w:left w:val="nil"/>
                      <w:bottom w:val="single" w:sz="4" w:space="0" w:color="auto"/>
                      <w:right w:val="single" w:sz="4" w:space="0" w:color="auto"/>
                    </w:tcBorders>
                    <w:shd w:val="clear" w:color="auto" w:fill="auto"/>
                    <w:noWrap/>
                    <w:vAlign w:val="center"/>
                    <w:hideMark/>
                  </w:tcPr>
                  <w:p>
                    <w:pPr>
                      <w:ind w:firstLine="53"/>
                      <w:jc w:val="center"/>
                      <w:rPr>
                        <w:b/>
                        <w:bCs/>
                        <w:color w:val="000000"/>
                        <w:sz w:val="20"/>
                        <w:lang w:eastAsia="lt-LT"/>
                      </w:rPr>
                    </w:pPr>
                  </w:p>
                </w:tc>
                <w:tc>
                  <w:tcPr>
                    <w:tcW w:w="1587"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ŠMSA (ŠS, SRS, PVS)</w:t>
                    </w:r>
                  </w:p>
                </w:tc>
                <w:tc>
                  <w:tcPr>
                    <w:tcW w:w="3228"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 xml:space="preserve">Šiaulių miesto „Romuvos“,  „Dainų“ ir  Salduvės  progimnazijų bei Didždvario ir Lieporių gimnazijų lauko infrastruktūros atnaujinimas, pritaikymas ugdymo poreikiams ir funkcionalumo didinimas</w:t>
                    </w:r>
                  </w:p>
                </w:tc>
                <w:tc>
                  <w:tcPr>
                    <w:tcW w:w="872"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2024</w:t>
                    </w:r>
                  </w:p>
                </w:tc>
                <w:tc>
                  <w:tcPr>
                    <w:tcW w:w="895"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2026</w:t>
                    </w:r>
                  </w:p>
                </w:tc>
                <w:tc>
                  <w:tcPr>
                    <w:tcW w:w="1166"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4676471</w:t>
                    </w:r>
                  </w:p>
                </w:tc>
                <w:tc>
                  <w:tcPr>
                    <w:tcW w:w="1295"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701470,59</w:t>
                    </w:r>
                  </w:p>
                </w:tc>
                <w:tc>
                  <w:tcPr>
                    <w:tcW w:w="1116"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3975000 (ES)</w:t>
                    </w:r>
                  </w:p>
                </w:tc>
              </w:tr>
              <w:tr>
                <w:trPr>
                  <w:trHeight w:val="520"/>
                </w:trPr>
                <w:tc>
                  <w:tcPr>
                    <w:tcW w:w="1538" w:type="dxa"/>
                    <w:tcBorders>
                      <w:top w:val="nil"/>
                      <w:left w:val="single" w:sz="4" w:space="0" w:color="auto"/>
                      <w:bottom w:val="single" w:sz="4" w:space="0" w:color="auto"/>
                      <w:right w:val="single" w:sz="4" w:space="0" w:color="auto"/>
                    </w:tcBorders>
                    <w:shd w:val="clear" w:color="auto" w:fill="auto"/>
                    <w:vAlign w:val="center"/>
                    <w:hideMark/>
                  </w:tcPr>
                  <w:p>
                    <w:pPr>
                      <w:ind w:firstLine="53"/>
                      <w:rPr>
                        <w:color w:val="000000"/>
                        <w:sz w:val="20"/>
                        <w:lang w:eastAsia="lt-LT"/>
                      </w:rPr>
                    </w:pPr>
                  </w:p>
                </w:tc>
                <w:tc>
                  <w:tcPr>
                    <w:tcW w:w="1328"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18-02-02</w:t>
                    </w:r>
                  </w:p>
                </w:tc>
                <w:tc>
                  <w:tcPr>
                    <w:tcW w:w="961" w:type="dxa"/>
                    <w:tcBorders>
                      <w:top w:val="nil"/>
                      <w:left w:val="nil"/>
                      <w:bottom w:val="single" w:sz="4" w:space="0" w:color="auto"/>
                      <w:right w:val="single" w:sz="4" w:space="0" w:color="auto"/>
                    </w:tcBorders>
                    <w:shd w:val="clear" w:color="auto" w:fill="auto"/>
                    <w:noWrap/>
                    <w:vAlign w:val="center"/>
                    <w:hideMark/>
                  </w:tcPr>
                  <w:p>
                    <w:pPr>
                      <w:ind w:firstLine="53"/>
                      <w:jc w:val="center"/>
                      <w:rPr>
                        <w:b/>
                        <w:bCs/>
                        <w:color w:val="000000"/>
                        <w:sz w:val="20"/>
                        <w:lang w:eastAsia="lt-LT"/>
                      </w:rPr>
                    </w:pPr>
                  </w:p>
                </w:tc>
                <w:tc>
                  <w:tcPr>
                    <w:tcW w:w="1587"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ŠMSA (ŠS, PVS, SRS)</w:t>
                    </w:r>
                  </w:p>
                </w:tc>
                <w:tc>
                  <w:tcPr>
                    <w:tcW w:w="3228"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Šiaulių Sporto gimnazijos (Vilniaus g. 297) modernizavimas</w:t>
                    </w:r>
                  </w:p>
                </w:tc>
                <w:tc>
                  <w:tcPr>
                    <w:tcW w:w="872"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2024</w:t>
                    </w:r>
                  </w:p>
                </w:tc>
                <w:tc>
                  <w:tcPr>
                    <w:tcW w:w="895"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2026</w:t>
                    </w:r>
                  </w:p>
                </w:tc>
                <w:tc>
                  <w:tcPr>
                    <w:tcW w:w="1166"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1119700</w:t>
                    </w:r>
                  </w:p>
                </w:tc>
                <w:tc>
                  <w:tcPr>
                    <w:tcW w:w="1295"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1119700</w:t>
                    </w:r>
                  </w:p>
                </w:tc>
                <w:tc>
                  <w:tcPr>
                    <w:tcW w:w="1116" w:type="dxa"/>
                    <w:tcBorders>
                      <w:top w:val="nil"/>
                      <w:left w:val="nil"/>
                      <w:bottom w:val="single" w:sz="4" w:space="0" w:color="auto"/>
                      <w:right w:val="single" w:sz="4" w:space="0" w:color="auto"/>
                    </w:tcBorders>
                    <w:shd w:val="clear" w:color="auto" w:fill="auto"/>
                    <w:vAlign w:val="center"/>
                    <w:hideMark/>
                  </w:tcPr>
                  <w:p>
                    <w:pPr>
                      <w:ind w:firstLine="53"/>
                      <w:jc w:val="center"/>
                      <w:rPr>
                        <w:color w:val="000000"/>
                        <w:sz w:val="20"/>
                        <w:lang w:eastAsia="lt-LT"/>
                      </w:rPr>
                    </w:pPr>
                  </w:p>
                </w:tc>
              </w:tr>
              <w:tr>
                <w:trPr>
                  <w:trHeight w:val="260"/>
                </w:trPr>
                <w:tc>
                  <w:tcPr>
                    <w:tcW w:w="1538" w:type="dxa"/>
                    <w:tcBorders>
                      <w:top w:val="nil"/>
                      <w:left w:val="single" w:sz="4" w:space="0" w:color="auto"/>
                      <w:bottom w:val="single" w:sz="4" w:space="0" w:color="auto"/>
                      <w:right w:val="single" w:sz="4" w:space="0" w:color="auto"/>
                    </w:tcBorders>
                    <w:shd w:val="clear" w:color="auto" w:fill="auto"/>
                    <w:vAlign w:val="center"/>
                    <w:hideMark/>
                  </w:tcPr>
                  <w:p>
                    <w:pPr>
                      <w:ind w:firstLine="53"/>
                      <w:rPr>
                        <w:color w:val="000000"/>
                        <w:sz w:val="20"/>
                        <w:lang w:eastAsia="lt-LT"/>
                      </w:rPr>
                    </w:pPr>
                  </w:p>
                </w:tc>
                <w:tc>
                  <w:tcPr>
                    <w:tcW w:w="1328"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18-02-02</w:t>
                    </w:r>
                  </w:p>
                </w:tc>
                <w:tc>
                  <w:tcPr>
                    <w:tcW w:w="961" w:type="dxa"/>
                    <w:tcBorders>
                      <w:top w:val="nil"/>
                      <w:left w:val="nil"/>
                      <w:bottom w:val="single" w:sz="4" w:space="0" w:color="auto"/>
                      <w:right w:val="single" w:sz="4" w:space="0" w:color="auto"/>
                    </w:tcBorders>
                    <w:shd w:val="clear" w:color="auto" w:fill="auto"/>
                    <w:noWrap/>
                    <w:vAlign w:val="center"/>
                    <w:hideMark/>
                  </w:tcPr>
                  <w:p>
                    <w:pPr>
                      <w:ind w:firstLine="53"/>
                      <w:jc w:val="center"/>
                      <w:rPr>
                        <w:b/>
                        <w:bCs/>
                        <w:color w:val="000000"/>
                        <w:sz w:val="20"/>
                        <w:lang w:eastAsia="lt-LT"/>
                      </w:rPr>
                    </w:pPr>
                  </w:p>
                </w:tc>
                <w:tc>
                  <w:tcPr>
                    <w:tcW w:w="1587"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ŠMSA (ŠS, SRS)</w:t>
                    </w:r>
                  </w:p>
                </w:tc>
                <w:tc>
                  <w:tcPr>
                    <w:tcW w:w="3228"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Santarvės gimnazijos rekonstravimas</w:t>
                    </w:r>
                  </w:p>
                </w:tc>
                <w:tc>
                  <w:tcPr>
                    <w:tcW w:w="872"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2024</w:t>
                    </w:r>
                  </w:p>
                </w:tc>
                <w:tc>
                  <w:tcPr>
                    <w:tcW w:w="895"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2025</w:t>
                    </w:r>
                  </w:p>
                </w:tc>
                <w:tc>
                  <w:tcPr>
                    <w:tcW w:w="1166"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1457300</w:t>
                    </w:r>
                  </w:p>
                </w:tc>
                <w:tc>
                  <w:tcPr>
                    <w:tcW w:w="1295"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1457300</w:t>
                    </w:r>
                  </w:p>
                </w:tc>
                <w:tc>
                  <w:tcPr>
                    <w:tcW w:w="1116" w:type="dxa"/>
                    <w:tcBorders>
                      <w:top w:val="nil"/>
                      <w:left w:val="nil"/>
                      <w:bottom w:val="single" w:sz="4" w:space="0" w:color="auto"/>
                      <w:right w:val="single" w:sz="4" w:space="0" w:color="auto"/>
                    </w:tcBorders>
                    <w:shd w:val="clear" w:color="auto" w:fill="auto"/>
                    <w:vAlign w:val="center"/>
                    <w:hideMark/>
                  </w:tcPr>
                  <w:p>
                    <w:pPr>
                      <w:ind w:firstLine="53"/>
                      <w:jc w:val="center"/>
                      <w:rPr>
                        <w:color w:val="000000"/>
                        <w:sz w:val="20"/>
                        <w:lang w:eastAsia="lt-LT"/>
                      </w:rPr>
                    </w:pPr>
                  </w:p>
                </w:tc>
              </w:tr>
              <w:tr>
                <w:trPr>
                  <w:trHeight w:val="520"/>
                </w:trPr>
                <w:tc>
                  <w:tcPr>
                    <w:tcW w:w="1538" w:type="dxa"/>
                    <w:tcBorders>
                      <w:top w:val="nil"/>
                      <w:left w:val="single" w:sz="4" w:space="0" w:color="auto"/>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Šiaulių miesto integruota plėtra</w:t>
                    </w:r>
                  </w:p>
                </w:tc>
                <w:tc>
                  <w:tcPr>
                    <w:tcW w:w="1328"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18-02-02</w:t>
                    </w:r>
                  </w:p>
                </w:tc>
                <w:tc>
                  <w:tcPr>
                    <w:tcW w:w="961" w:type="dxa"/>
                    <w:tcBorders>
                      <w:top w:val="nil"/>
                      <w:left w:val="nil"/>
                      <w:bottom w:val="single" w:sz="4" w:space="0" w:color="auto"/>
                      <w:right w:val="single" w:sz="4" w:space="0" w:color="auto"/>
                    </w:tcBorders>
                    <w:shd w:val="clear" w:color="auto" w:fill="auto"/>
                    <w:noWrap/>
                    <w:vAlign w:val="center"/>
                    <w:hideMark/>
                  </w:tcPr>
                  <w:p>
                    <w:pPr>
                      <w:ind w:firstLine="53"/>
                      <w:jc w:val="center"/>
                      <w:rPr>
                        <w:b/>
                        <w:bCs/>
                        <w:color w:val="000000"/>
                        <w:sz w:val="20"/>
                        <w:lang w:eastAsia="lt-LT"/>
                      </w:rPr>
                    </w:pPr>
                  </w:p>
                </w:tc>
                <w:tc>
                  <w:tcPr>
                    <w:tcW w:w="1587"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ŠMSA (ŠS, SRS)</w:t>
                    </w:r>
                  </w:p>
                </w:tc>
                <w:tc>
                  <w:tcPr>
                    <w:tcW w:w="3228"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Rekonstruoti miesto gimnazijų ir mokyklų sporto aikštynus</w:t>
                    </w:r>
                  </w:p>
                </w:tc>
                <w:tc>
                  <w:tcPr>
                    <w:tcW w:w="872"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2024</w:t>
                    </w:r>
                  </w:p>
                </w:tc>
                <w:tc>
                  <w:tcPr>
                    <w:tcW w:w="895"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2026</w:t>
                    </w:r>
                  </w:p>
                </w:tc>
                <w:tc>
                  <w:tcPr>
                    <w:tcW w:w="1166"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4038200</w:t>
                    </w:r>
                  </w:p>
                </w:tc>
                <w:tc>
                  <w:tcPr>
                    <w:tcW w:w="1295"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4038200</w:t>
                    </w:r>
                  </w:p>
                </w:tc>
                <w:tc>
                  <w:tcPr>
                    <w:tcW w:w="1116" w:type="dxa"/>
                    <w:tcBorders>
                      <w:top w:val="nil"/>
                      <w:left w:val="nil"/>
                      <w:bottom w:val="single" w:sz="4" w:space="0" w:color="auto"/>
                      <w:right w:val="single" w:sz="4" w:space="0" w:color="auto"/>
                    </w:tcBorders>
                    <w:shd w:val="clear" w:color="auto" w:fill="auto"/>
                    <w:vAlign w:val="center"/>
                    <w:hideMark/>
                  </w:tcPr>
                  <w:p>
                    <w:pPr>
                      <w:ind w:firstLine="53"/>
                      <w:jc w:val="center"/>
                      <w:rPr>
                        <w:color w:val="000000"/>
                        <w:sz w:val="20"/>
                        <w:lang w:eastAsia="lt-LT"/>
                      </w:rPr>
                    </w:pPr>
                  </w:p>
                </w:tc>
              </w:tr>
              <w:tr>
                <w:trPr>
                  <w:trHeight w:val="520"/>
                </w:trPr>
                <w:tc>
                  <w:tcPr>
                    <w:tcW w:w="1538" w:type="dxa"/>
                    <w:tcBorders>
                      <w:top w:val="nil"/>
                      <w:left w:val="single" w:sz="4" w:space="0" w:color="auto"/>
                      <w:bottom w:val="single" w:sz="4" w:space="0" w:color="auto"/>
                      <w:right w:val="single" w:sz="4" w:space="0" w:color="auto"/>
                    </w:tcBorders>
                    <w:shd w:val="clear" w:color="auto" w:fill="auto"/>
                    <w:vAlign w:val="center"/>
                    <w:hideMark/>
                  </w:tcPr>
                  <w:p>
                    <w:pPr>
                      <w:ind w:firstLine="53"/>
                      <w:rPr>
                        <w:color w:val="000000"/>
                        <w:sz w:val="20"/>
                        <w:lang w:eastAsia="lt-LT"/>
                      </w:rPr>
                    </w:pPr>
                  </w:p>
                </w:tc>
                <w:tc>
                  <w:tcPr>
                    <w:tcW w:w="1328"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18-02-02</w:t>
                    </w:r>
                  </w:p>
                </w:tc>
                <w:tc>
                  <w:tcPr>
                    <w:tcW w:w="961" w:type="dxa"/>
                    <w:tcBorders>
                      <w:top w:val="nil"/>
                      <w:left w:val="nil"/>
                      <w:bottom w:val="single" w:sz="4" w:space="0" w:color="auto"/>
                      <w:right w:val="single" w:sz="4" w:space="0" w:color="auto"/>
                    </w:tcBorders>
                    <w:shd w:val="clear" w:color="auto" w:fill="auto"/>
                    <w:noWrap/>
                    <w:vAlign w:val="center"/>
                    <w:hideMark/>
                  </w:tcPr>
                  <w:p>
                    <w:pPr>
                      <w:ind w:firstLine="53"/>
                      <w:jc w:val="center"/>
                      <w:rPr>
                        <w:b/>
                        <w:bCs/>
                        <w:color w:val="000000"/>
                        <w:sz w:val="20"/>
                        <w:lang w:eastAsia="lt-LT"/>
                      </w:rPr>
                    </w:pPr>
                  </w:p>
                </w:tc>
                <w:tc>
                  <w:tcPr>
                    <w:tcW w:w="1587"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ŠMSA (ŠS, SRS)</w:t>
                    </w:r>
                  </w:p>
                </w:tc>
                <w:tc>
                  <w:tcPr>
                    <w:tcW w:w="3228"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Atnaujinti švietimo įstaigų pastatus, patalpas, įrangą ir komunikacijas</w:t>
                    </w:r>
                  </w:p>
                </w:tc>
                <w:tc>
                  <w:tcPr>
                    <w:tcW w:w="872"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2024</w:t>
                    </w:r>
                  </w:p>
                </w:tc>
                <w:tc>
                  <w:tcPr>
                    <w:tcW w:w="895"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2026</w:t>
                    </w:r>
                  </w:p>
                </w:tc>
                <w:tc>
                  <w:tcPr>
                    <w:tcW w:w="1166"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9704200</w:t>
                    </w:r>
                  </w:p>
                </w:tc>
                <w:tc>
                  <w:tcPr>
                    <w:tcW w:w="1295"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9704200</w:t>
                    </w:r>
                  </w:p>
                </w:tc>
                <w:tc>
                  <w:tcPr>
                    <w:tcW w:w="1116" w:type="dxa"/>
                    <w:tcBorders>
                      <w:top w:val="nil"/>
                      <w:left w:val="nil"/>
                      <w:bottom w:val="single" w:sz="4" w:space="0" w:color="auto"/>
                      <w:right w:val="single" w:sz="4" w:space="0" w:color="auto"/>
                    </w:tcBorders>
                    <w:shd w:val="clear" w:color="auto" w:fill="auto"/>
                    <w:vAlign w:val="center"/>
                    <w:hideMark/>
                  </w:tcPr>
                  <w:p>
                    <w:pPr>
                      <w:ind w:firstLine="53"/>
                      <w:jc w:val="center"/>
                      <w:rPr>
                        <w:color w:val="000000"/>
                        <w:sz w:val="20"/>
                        <w:lang w:eastAsia="lt-LT"/>
                      </w:rPr>
                    </w:pPr>
                  </w:p>
                </w:tc>
              </w:tr>
              <w:tr>
                <w:trPr>
                  <w:trHeight w:val="260"/>
                </w:trPr>
                <w:tc>
                  <w:tcPr>
                    <w:tcW w:w="1538" w:type="dxa"/>
                    <w:tcBorders>
                      <w:top w:val="nil"/>
                      <w:left w:val="single" w:sz="4" w:space="0" w:color="auto"/>
                      <w:bottom w:val="single" w:sz="4" w:space="0" w:color="auto"/>
                      <w:right w:val="single" w:sz="4" w:space="0" w:color="auto"/>
                    </w:tcBorders>
                    <w:shd w:val="clear" w:color="auto" w:fill="auto"/>
                    <w:vAlign w:val="center"/>
                    <w:hideMark/>
                  </w:tcPr>
                  <w:p>
                    <w:pPr>
                      <w:ind w:firstLine="53"/>
                      <w:rPr>
                        <w:color w:val="000000"/>
                        <w:sz w:val="20"/>
                        <w:lang w:eastAsia="lt-LT"/>
                      </w:rPr>
                    </w:pPr>
                  </w:p>
                </w:tc>
                <w:tc>
                  <w:tcPr>
                    <w:tcW w:w="1328"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18-02-02</w:t>
                    </w:r>
                  </w:p>
                </w:tc>
                <w:tc>
                  <w:tcPr>
                    <w:tcW w:w="961" w:type="dxa"/>
                    <w:tcBorders>
                      <w:top w:val="nil"/>
                      <w:left w:val="nil"/>
                      <w:bottom w:val="single" w:sz="4" w:space="0" w:color="auto"/>
                      <w:right w:val="single" w:sz="4" w:space="0" w:color="auto"/>
                    </w:tcBorders>
                    <w:shd w:val="clear" w:color="auto" w:fill="auto"/>
                    <w:noWrap/>
                    <w:vAlign w:val="center"/>
                    <w:hideMark/>
                  </w:tcPr>
                  <w:p>
                    <w:pPr>
                      <w:ind w:firstLine="53"/>
                      <w:jc w:val="center"/>
                      <w:rPr>
                        <w:b/>
                        <w:bCs/>
                        <w:color w:val="000000"/>
                        <w:sz w:val="20"/>
                        <w:lang w:eastAsia="lt-LT"/>
                      </w:rPr>
                    </w:pPr>
                  </w:p>
                </w:tc>
                <w:tc>
                  <w:tcPr>
                    <w:tcW w:w="1587"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ŠMSA (ŠS, SRS)</w:t>
                    </w:r>
                  </w:p>
                </w:tc>
                <w:tc>
                  <w:tcPr>
                    <w:tcW w:w="3228"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Įgyvendinti švietimo įstaigų modernizavimo projektą</w:t>
                    </w:r>
                  </w:p>
                </w:tc>
                <w:tc>
                  <w:tcPr>
                    <w:tcW w:w="872"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2024</w:t>
                    </w:r>
                  </w:p>
                </w:tc>
                <w:tc>
                  <w:tcPr>
                    <w:tcW w:w="895"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2026</w:t>
                    </w:r>
                  </w:p>
                </w:tc>
                <w:tc>
                  <w:tcPr>
                    <w:tcW w:w="1166"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3570000</w:t>
                    </w:r>
                  </w:p>
                </w:tc>
                <w:tc>
                  <w:tcPr>
                    <w:tcW w:w="1295"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3570000</w:t>
                    </w:r>
                  </w:p>
                </w:tc>
                <w:tc>
                  <w:tcPr>
                    <w:tcW w:w="1116" w:type="dxa"/>
                    <w:tcBorders>
                      <w:top w:val="nil"/>
                      <w:left w:val="nil"/>
                      <w:bottom w:val="single" w:sz="4" w:space="0" w:color="auto"/>
                      <w:right w:val="single" w:sz="4" w:space="0" w:color="auto"/>
                    </w:tcBorders>
                    <w:shd w:val="clear" w:color="auto" w:fill="auto"/>
                    <w:vAlign w:val="center"/>
                    <w:hideMark/>
                  </w:tcPr>
                  <w:p>
                    <w:pPr>
                      <w:ind w:firstLine="53"/>
                      <w:jc w:val="center"/>
                      <w:rPr>
                        <w:color w:val="000000"/>
                        <w:sz w:val="20"/>
                        <w:lang w:eastAsia="lt-LT"/>
                      </w:rPr>
                    </w:pPr>
                  </w:p>
                </w:tc>
              </w:tr>
              <w:tr>
                <w:trPr>
                  <w:trHeight w:val="2340"/>
                </w:trPr>
                <w:tc>
                  <w:tcPr>
                    <w:tcW w:w="1538" w:type="dxa"/>
                    <w:tcBorders>
                      <w:top w:val="nil"/>
                      <w:left w:val="single" w:sz="4" w:space="0" w:color="auto"/>
                      <w:bottom w:val="single" w:sz="4" w:space="0" w:color="auto"/>
                      <w:right w:val="single" w:sz="4" w:space="0" w:color="auto"/>
                    </w:tcBorders>
                    <w:shd w:val="clear" w:color="auto" w:fill="auto"/>
                    <w:vAlign w:val="center"/>
                    <w:hideMark/>
                  </w:tcPr>
                  <w:p>
                    <w:pPr>
                      <w:ind w:firstLine="53"/>
                      <w:rPr>
                        <w:color w:val="000000"/>
                        <w:sz w:val="20"/>
                        <w:lang w:eastAsia="lt-LT"/>
                      </w:rPr>
                    </w:pPr>
                  </w:p>
                </w:tc>
                <w:tc>
                  <w:tcPr>
                    <w:tcW w:w="1328"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18-02-02</w:t>
                    </w:r>
                  </w:p>
                </w:tc>
                <w:tc>
                  <w:tcPr>
                    <w:tcW w:w="961" w:type="dxa"/>
                    <w:tcBorders>
                      <w:top w:val="nil"/>
                      <w:left w:val="nil"/>
                      <w:bottom w:val="single" w:sz="4" w:space="0" w:color="auto"/>
                      <w:right w:val="single" w:sz="4" w:space="0" w:color="auto"/>
                    </w:tcBorders>
                    <w:shd w:val="clear" w:color="auto" w:fill="auto"/>
                    <w:noWrap/>
                    <w:vAlign w:val="center"/>
                    <w:hideMark/>
                  </w:tcPr>
                  <w:p>
                    <w:pPr>
                      <w:ind w:firstLine="53"/>
                      <w:jc w:val="center"/>
                      <w:rPr>
                        <w:b/>
                        <w:bCs/>
                        <w:color w:val="000000"/>
                        <w:sz w:val="20"/>
                        <w:lang w:eastAsia="lt-LT"/>
                      </w:rPr>
                    </w:pPr>
                  </w:p>
                </w:tc>
                <w:tc>
                  <w:tcPr>
                    <w:tcW w:w="1587"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ŠMSA (ŠS, SRS, PVS), Šiaulių universitetinė gimnazija; Šiaulių S. Šalkauskio gimnazija; Šiaulių Salduvės progimnazija; Šiaulių Ragainės progimnazija; Šiaulių Gytarių progimnazija</w:t>
                    </w:r>
                  </w:p>
                </w:tc>
                <w:tc>
                  <w:tcPr>
                    <w:tcW w:w="3228"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Įgyvendinti bendrojo ugdymo mokyklų projektą „Tūkstantmečio mokyklos I“</w:t>
                    </w:r>
                  </w:p>
                </w:tc>
                <w:tc>
                  <w:tcPr>
                    <w:tcW w:w="872"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2024</w:t>
                    </w:r>
                  </w:p>
                </w:tc>
                <w:tc>
                  <w:tcPr>
                    <w:tcW w:w="895"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2026</w:t>
                    </w:r>
                  </w:p>
                </w:tc>
                <w:tc>
                  <w:tcPr>
                    <w:tcW w:w="1166"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6378900</w:t>
                    </w:r>
                  </w:p>
                </w:tc>
                <w:tc>
                  <w:tcPr>
                    <w:tcW w:w="1295"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528600</w:t>
                    </w:r>
                  </w:p>
                </w:tc>
                <w:tc>
                  <w:tcPr>
                    <w:tcW w:w="1116"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4835300 (ES)</w:t>
                      <w:br/>
                      <w:t>1015000 (VB)</w:t>
                    </w:r>
                  </w:p>
                </w:tc>
              </w:tr>
              <w:tr>
                <w:trPr>
                  <w:trHeight w:val="1200"/>
                </w:trPr>
                <w:tc>
                  <w:tcPr>
                    <w:tcW w:w="1538" w:type="dxa"/>
                    <w:tcBorders>
                      <w:top w:val="nil"/>
                      <w:left w:val="single" w:sz="4" w:space="0" w:color="auto"/>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Šiaulių miesto integruota plėtra</w:t>
                    </w:r>
                  </w:p>
                </w:tc>
                <w:tc>
                  <w:tcPr>
                    <w:tcW w:w="1328"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18-02-03</w:t>
                    </w:r>
                  </w:p>
                </w:tc>
                <w:tc>
                  <w:tcPr>
                    <w:tcW w:w="961" w:type="dxa"/>
                    <w:tcBorders>
                      <w:top w:val="nil"/>
                      <w:left w:val="nil"/>
                      <w:bottom w:val="single" w:sz="4" w:space="0" w:color="auto"/>
                      <w:right w:val="single" w:sz="4" w:space="0" w:color="auto"/>
                    </w:tcBorders>
                    <w:shd w:val="clear" w:color="auto" w:fill="auto"/>
                    <w:noWrap/>
                    <w:vAlign w:val="center"/>
                    <w:hideMark/>
                  </w:tcPr>
                  <w:p>
                    <w:pPr>
                      <w:ind w:firstLine="53"/>
                      <w:jc w:val="center"/>
                      <w:rPr>
                        <w:b/>
                        <w:bCs/>
                        <w:color w:val="000000"/>
                        <w:sz w:val="20"/>
                        <w:lang w:eastAsia="lt-LT"/>
                      </w:rPr>
                    </w:pPr>
                  </w:p>
                </w:tc>
                <w:tc>
                  <w:tcPr>
                    <w:tcW w:w="1587"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ŠMSA (ŠS, SRS, PVS), Šiaulių jaunųjų gamtininkų centras</w:t>
                    </w:r>
                  </w:p>
                </w:tc>
                <w:tc>
                  <w:tcPr>
                    <w:tcW w:w="3228"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Šiaulių jaunųjų gamtininkų centro jojimo skyriaus modernizavimas, sukuriant tinkamas sąlygas visuomenės sveikatos stiprinimo, neformaliojo švietimo viešųjų paslaugų teikimui, gyventojų poilsio organizavimui</w:t>
                    </w:r>
                  </w:p>
                </w:tc>
                <w:tc>
                  <w:tcPr>
                    <w:tcW w:w="872"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2023</w:t>
                    </w:r>
                  </w:p>
                </w:tc>
                <w:tc>
                  <w:tcPr>
                    <w:tcW w:w="895"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2027</w:t>
                    </w:r>
                  </w:p>
                </w:tc>
                <w:tc>
                  <w:tcPr>
                    <w:tcW w:w="1166"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10675656</w:t>
                    </w:r>
                  </w:p>
                </w:tc>
                <w:tc>
                  <w:tcPr>
                    <w:tcW w:w="1295"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3000000</w:t>
                    </w:r>
                  </w:p>
                </w:tc>
                <w:tc>
                  <w:tcPr>
                    <w:tcW w:w="1116"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7675656 (ES)</w:t>
                    </w:r>
                  </w:p>
                </w:tc>
              </w:tr>
              <w:tr>
                <w:trPr>
                  <w:trHeight w:val="1040"/>
                </w:trPr>
                <w:tc>
                  <w:tcPr>
                    <w:tcW w:w="1538" w:type="dxa"/>
                    <w:tcBorders>
                      <w:top w:val="nil"/>
                      <w:left w:val="single" w:sz="4" w:space="0" w:color="auto"/>
                      <w:bottom w:val="single" w:sz="4" w:space="0" w:color="auto"/>
                      <w:right w:val="single" w:sz="4" w:space="0" w:color="auto"/>
                    </w:tcBorders>
                    <w:shd w:val="clear" w:color="auto" w:fill="auto"/>
                    <w:vAlign w:val="center"/>
                    <w:hideMark/>
                  </w:tcPr>
                  <w:p>
                    <w:pPr>
                      <w:ind w:firstLine="53"/>
                      <w:rPr>
                        <w:color w:val="000000"/>
                        <w:sz w:val="20"/>
                        <w:lang w:eastAsia="lt-LT"/>
                      </w:rPr>
                    </w:pPr>
                  </w:p>
                </w:tc>
                <w:tc>
                  <w:tcPr>
                    <w:tcW w:w="1328"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19-02-01</w:t>
                    </w:r>
                  </w:p>
                </w:tc>
                <w:tc>
                  <w:tcPr>
                    <w:tcW w:w="961" w:type="dxa"/>
                    <w:tcBorders>
                      <w:top w:val="nil"/>
                      <w:left w:val="nil"/>
                      <w:bottom w:val="single" w:sz="4" w:space="0" w:color="auto"/>
                      <w:right w:val="single" w:sz="4" w:space="0" w:color="auto"/>
                    </w:tcBorders>
                    <w:shd w:val="clear" w:color="auto" w:fill="auto"/>
                    <w:noWrap/>
                    <w:vAlign w:val="center"/>
                    <w:hideMark/>
                  </w:tcPr>
                  <w:p>
                    <w:pPr>
                      <w:ind w:firstLine="53"/>
                      <w:jc w:val="center"/>
                      <w:rPr>
                        <w:b/>
                        <w:bCs/>
                        <w:color w:val="000000"/>
                        <w:sz w:val="20"/>
                        <w:lang w:eastAsia="lt-LT"/>
                      </w:rPr>
                    </w:pPr>
                  </w:p>
                </w:tc>
                <w:tc>
                  <w:tcPr>
                    <w:tcW w:w="1587"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ŠMSA (SvS, SRS), VšĮ Šiaulių ilgalaikio gydymo ir geriatrijos centras</w:t>
                    </w:r>
                  </w:p>
                </w:tc>
                <w:tc>
                  <w:tcPr>
                    <w:tcW w:w="3228"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VšĮ Šiaulių ilgalaikio gydymo ir geriatrijos centro pastatų rekonstravimas, aktyvios ventiliacijos įrengimas, kiemo gerbūvio sutvarkymas ir maisto gamybos skyriaus modernizavimas</w:t>
                    </w:r>
                  </w:p>
                </w:tc>
                <w:tc>
                  <w:tcPr>
                    <w:tcW w:w="872"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2024</w:t>
                    </w:r>
                  </w:p>
                </w:tc>
                <w:tc>
                  <w:tcPr>
                    <w:tcW w:w="895"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2026</w:t>
                    </w:r>
                  </w:p>
                </w:tc>
                <w:tc>
                  <w:tcPr>
                    <w:tcW w:w="1166"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1307600</w:t>
                    </w:r>
                  </w:p>
                </w:tc>
                <w:tc>
                  <w:tcPr>
                    <w:tcW w:w="1295"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1307600</w:t>
                    </w:r>
                  </w:p>
                </w:tc>
                <w:tc>
                  <w:tcPr>
                    <w:tcW w:w="1116" w:type="dxa"/>
                    <w:tcBorders>
                      <w:top w:val="nil"/>
                      <w:left w:val="nil"/>
                      <w:bottom w:val="single" w:sz="4" w:space="0" w:color="auto"/>
                      <w:right w:val="single" w:sz="4" w:space="0" w:color="auto"/>
                    </w:tcBorders>
                    <w:shd w:val="clear" w:color="auto" w:fill="auto"/>
                    <w:vAlign w:val="center"/>
                    <w:hideMark/>
                  </w:tcPr>
                  <w:p>
                    <w:pPr>
                      <w:ind w:firstLine="53"/>
                      <w:jc w:val="center"/>
                      <w:rPr>
                        <w:color w:val="000000"/>
                        <w:sz w:val="20"/>
                        <w:lang w:eastAsia="lt-LT"/>
                      </w:rPr>
                    </w:pPr>
                  </w:p>
                </w:tc>
              </w:tr>
              <w:tr>
                <w:trPr>
                  <w:trHeight w:val="520"/>
                </w:trPr>
                <w:tc>
                  <w:tcPr>
                    <w:tcW w:w="1538" w:type="dxa"/>
                    <w:tcBorders>
                      <w:top w:val="nil"/>
                      <w:left w:val="single" w:sz="4" w:space="0" w:color="auto"/>
                      <w:bottom w:val="single" w:sz="4" w:space="0" w:color="auto"/>
                      <w:right w:val="single" w:sz="4" w:space="0" w:color="auto"/>
                    </w:tcBorders>
                    <w:shd w:val="clear" w:color="auto" w:fill="auto"/>
                    <w:vAlign w:val="center"/>
                    <w:hideMark/>
                  </w:tcPr>
                  <w:p>
                    <w:pPr>
                      <w:ind w:firstLine="53"/>
                      <w:rPr>
                        <w:color w:val="000000"/>
                        <w:sz w:val="20"/>
                        <w:lang w:eastAsia="lt-LT"/>
                      </w:rPr>
                    </w:pPr>
                  </w:p>
                </w:tc>
                <w:tc>
                  <w:tcPr>
                    <w:tcW w:w="1328"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19-02-01</w:t>
                    </w:r>
                  </w:p>
                </w:tc>
                <w:tc>
                  <w:tcPr>
                    <w:tcW w:w="961" w:type="dxa"/>
                    <w:tcBorders>
                      <w:top w:val="nil"/>
                      <w:left w:val="nil"/>
                      <w:bottom w:val="single" w:sz="4" w:space="0" w:color="auto"/>
                      <w:right w:val="single" w:sz="4" w:space="0" w:color="auto"/>
                    </w:tcBorders>
                    <w:shd w:val="clear" w:color="auto" w:fill="auto"/>
                    <w:noWrap/>
                    <w:vAlign w:val="center"/>
                    <w:hideMark/>
                  </w:tcPr>
                  <w:p>
                    <w:pPr>
                      <w:ind w:firstLine="53"/>
                      <w:jc w:val="center"/>
                      <w:rPr>
                        <w:b/>
                        <w:bCs/>
                        <w:color w:val="000000"/>
                        <w:sz w:val="20"/>
                        <w:lang w:eastAsia="lt-LT"/>
                      </w:rPr>
                    </w:pPr>
                  </w:p>
                </w:tc>
                <w:tc>
                  <w:tcPr>
                    <w:tcW w:w="1587"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ŠMSA (SvS), VšĮ Šiaulių centro poliklinika</w:t>
                    </w:r>
                  </w:p>
                </w:tc>
                <w:tc>
                  <w:tcPr>
                    <w:tcW w:w="3228"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Modernizuoti VšĮ Šiaulių centro polikliniką</w:t>
                    </w:r>
                  </w:p>
                </w:tc>
                <w:tc>
                  <w:tcPr>
                    <w:tcW w:w="872"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2024</w:t>
                    </w:r>
                  </w:p>
                </w:tc>
                <w:tc>
                  <w:tcPr>
                    <w:tcW w:w="895"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2026</w:t>
                    </w:r>
                  </w:p>
                </w:tc>
                <w:tc>
                  <w:tcPr>
                    <w:tcW w:w="1166"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1000500</w:t>
                    </w:r>
                  </w:p>
                </w:tc>
                <w:tc>
                  <w:tcPr>
                    <w:tcW w:w="1295"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1000500</w:t>
                    </w:r>
                  </w:p>
                </w:tc>
                <w:tc>
                  <w:tcPr>
                    <w:tcW w:w="1116" w:type="dxa"/>
                    <w:tcBorders>
                      <w:top w:val="nil"/>
                      <w:left w:val="nil"/>
                      <w:bottom w:val="single" w:sz="4" w:space="0" w:color="auto"/>
                      <w:right w:val="single" w:sz="4" w:space="0" w:color="auto"/>
                    </w:tcBorders>
                    <w:shd w:val="clear" w:color="auto" w:fill="auto"/>
                    <w:vAlign w:val="center"/>
                    <w:hideMark/>
                  </w:tcPr>
                  <w:p>
                    <w:pPr>
                      <w:ind w:firstLine="53"/>
                      <w:jc w:val="center"/>
                      <w:rPr>
                        <w:color w:val="000000"/>
                        <w:sz w:val="20"/>
                        <w:lang w:eastAsia="lt-LT"/>
                      </w:rPr>
                    </w:pPr>
                  </w:p>
                </w:tc>
              </w:tr>
              <w:tr>
                <w:trPr>
                  <w:trHeight w:val="780"/>
                </w:trPr>
                <w:tc>
                  <w:tcPr>
                    <w:tcW w:w="1538" w:type="dxa"/>
                    <w:tcBorders>
                      <w:top w:val="nil"/>
                      <w:left w:val="single" w:sz="4" w:space="0" w:color="auto"/>
                      <w:bottom w:val="single" w:sz="4" w:space="0" w:color="auto"/>
                      <w:right w:val="single" w:sz="4" w:space="0" w:color="auto"/>
                    </w:tcBorders>
                    <w:shd w:val="clear" w:color="auto" w:fill="auto"/>
                    <w:vAlign w:val="center"/>
                    <w:hideMark/>
                  </w:tcPr>
                  <w:p>
                    <w:pPr>
                      <w:ind w:firstLine="53"/>
                      <w:rPr>
                        <w:color w:val="000000"/>
                        <w:sz w:val="20"/>
                        <w:lang w:eastAsia="lt-LT"/>
                      </w:rPr>
                    </w:pPr>
                  </w:p>
                </w:tc>
                <w:tc>
                  <w:tcPr>
                    <w:tcW w:w="1328"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19-02-01</w:t>
                    </w:r>
                  </w:p>
                </w:tc>
                <w:tc>
                  <w:tcPr>
                    <w:tcW w:w="961" w:type="dxa"/>
                    <w:tcBorders>
                      <w:top w:val="nil"/>
                      <w:left w:val="nil"/>
                      <w:bottom w:val="single" w:sz="4" w:space="0" w:color="auto"/>
                      <w:right w:val="single" w:sz="4" w:space="0" w:color="auto"/>
                    </w:tcBorders>
                    <w:shd w:val="clear" w:color="auto" w:fill="auto"/>
                    <w:noWrap/>
                    <w:vAlign w:val="center"/>
                    <w:hideMark/>
                  </w:tcPr>
                  <w:p>
                    <w:pPr>
                      <w:ind w:firstLine="53"/>
                      <w:jc w:val="center"/>
                      <w:rPr>
                        <w:b/>
                        <w:bCs/>
                        <w:color w:val="000000"/>
                        <w:sz w:val="20"/>
                        <w:lang w:eastAsia="lt-LT"/>
                      </w:rPr>
                    </w:pPr>
                  </w:p>
                </w:tc>
                <w:tc>
                  <w:tcPr>
                    <w:tcW w:w="1587"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ŠMSA (SvS), VšĮ Dainų pirminės sveikatos priežiūros centras</w:t>
                    </w:r>
                  </w:p>
                </w:tc>
                <w:tc>
                  <w:tcPr>
                    <w:tcW w:w="3228"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Didinti VšĮ Dainų pirminės sveikatos priežiūros centro funkcionalumą</w:t>
                    </w:r>
                  </w:p>
                </w:tc>
                <w:tc>
                  <w:tcPr>
                    <w:tcW w:w="872"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2024</w:t>
                    </w:r>
                  </w:p>
                </w:tc>
                <w:tc>
                  <w:tcPr>
                    <w:tcW w:w="895"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2026</w:t>
                    </w:r>
                  </w:p>
                </w:tc>
                <w:tc>
                  <w:tcPr>
                    <w:tcW w:w="1166"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1673000</w:t>
                    </w:r>
                  </w:p>
                </w:tc>
                <w:tc>
                  <w:tcPr>
                    <w:tcW w:w="1295"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1673000</w:t>
                    </w:r>
                  </w:p>
                </w:tc>
                <w:tc>
                  <w:tcPr>
                    <w:tcW w:w="1116" w:type="dxa"/>
                    <w:tcBorders>
                      <w:top w:val="nil"/>
                      <w:left w:val="nil"/>
                      <w:bottom w:val="single" w:sz="4" w:space="0" w:color="auto"/>
                      <w:right w:val="single" w:sz="4" w:space="0" w:color="auto"/>
                    </w:tcBorders>
                    <w:shd w:val="clear" w:color="auto" w:fill="auto"/>
                    <w:vAlign w:val="center"/>
                    <w:hideMark/>
                  </w:tcPr>
                  <w:p>
                    <w:pPr>
                      <w:ind w:firstLine="53"/>
                      <w:jc w:val="center"/>
                      <w:rPr>
                        <w:color w:val="000000"/>
                        <w:sz w:val="20"/>
                        <w:lang w:eastAsia="lt-LT"/>
                      </w:rPr>
                    </w:pPr>
                  </w:p>
                </w:tc>
              </w:tr>
              <w:tr>
                <w:trPr>
                  <w:trHeight w:val="780"/>
                </w:trPr>
                <w:tc>
                  <w:tcPr>
                    <w:tcW w:w="1538" w:type="dxa"/>
                    <w:tcBorders>
                      <w:top w:val="nil"/>
                      <w:left w:val="single" w:sz="4" w:space="0" w:color="auto"/>
                      <w:bottom w:val="single" w:sz="4" w:space="0" w:color="auto"/>
                      <w:right w:val="single" w:sz="4" w:space="0" w:color="auto"/>
                    </w:tcBorders>
                    <w:shd w:val="clear" w:color="auto" w:fill="auto"/>
                    <w:vAlign w:val="center"/>
                    <w:hideMark/>
                  </w:tcPr>
                  <w:p>
                    <w:pPr>
                      <w:ind w:firstLine="53"/>
                      <w:rPr>
                        <w:color w:val="000000"/>
                        <w:sz w:val="20"/>
                        <w:lang w:eastAsia="lt-LT"/>
                      </w:rPr>
                    </w:pPr>
                  </w:p>
                </w:tc>
                <w:tc>
                  <w:tcPr>
                    <w:tcW w:w="1328"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19-02-01</w:t>
                    </w:r>
                  </w:p>
                </w:tc>
                <w:tc>
                  <w:tcPr>
                    <w:tcW w:w="961" w:type="dxa"/>
                    <w:tcBorders>
                      <w:top w:val="nil"/>
                      <w:left w:val="nil"/>
                      <w:bottom w:val="single" w:sz="4" w:space="0" w:color="auto"/>
                      <w:right w:val="single" w:sz="4" w:space="0" w:color="auto"/>
                    </w:tcBorders>
                    <w:shd w:val="clear" w:color="auto" w:fill="auto"/>
                    <w:noWrap/>
                    <w:vAlign w:val="center"/>
                    <w:hideMark/>
                  </w:tcPr>
                  <w:p>
                    <w:pPr>
                      <w:ind w:firstLine="53"/>
                      <w:jc w:val="center"/>
                      <w:rPr>
                        <w:b/>
                        <w:bCs/>
                        <w:color w:val="000000"/>
                        <w:sz w:val="20"/>
                        <w:lang w:eastAsia="lt-LT"/>
                      </w:rPr>
                    </w:pPr>
                  </w:p>
                </w:tc>
                <w:tc>
                  <w:tcPr>
                    <w:tcW w:w="1587"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ŠMSA (SvS, PVS)</w:t>
                    </w:r>
                  </w:p>
                </w:tc>
                <w:tc>
                  <w:tcPr>
                    <w:tcW w:w="3228"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Sveikatos centrų sudėtyje teikiamų sveikatos priežiūros paslaugų infrastruktūros modernizavimas Šiaulių miesto savivaldybėje</w:t>
                    </w:r>
                  </w:p>
                </w:tc>
                <w:tc>
                  <w:tcPr>
                    <w:tcW w:w="872"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2024</w:t>
                    </w:r>
                  </w:p>
                </w:tc>
                <w:tc>
                  <w:tcPr>
                    <w:tcW w:w="895"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2026</w:t>
                    </w:r>
                  </w:p>
                </w:tc>
                <w:tc>
                  <w:tcPr>
                    <w:tcW w:w="1166"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2999700</w:t>
                    </w:r>
                  </w:p>
                </w:tc>
                <w:tc>
                  <w:tcPr>
                    <w:tcW w:w="1295"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0</w:t>
                    </w:r>
                  </w:p>
                </w:tc>
                <w:tc>
                  <w:tcPr>
                    <w:tcW w:w="1116"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2999700 (ES)</w:t>
                    </w:r>
                  </w:p>
                </w:tc>
              </w:tr>
              <w:tr>
                <w:trPr>
                  <w:trHeight w:val="520"/>
                </w:trPr>
                <w:tc>
                  <w:tcPr>
                    <w:tcW w:w="1538" w:type="dxa"/>
                    <w:tcBorders>
                      <w:top w:val="nil"/>
                      <w:left w:val="single" w:sz="4" w:space="0" w:color="auto"/>
                      <w:bottom w:val="single" w:sz="4" w:space="0" w:color="auto"/>
                      <w:right w:val="single" w:sz="4" w:space="0" w:color="auto"/>
                    </w:tcBorders>
                    <w:shd w:val="clear" w:color="auto" w:fill="auto"/>
                    <w:vAlign w:val="center"/>
                    <w:hideMark/>
                  </w:tcPr>
                  <w:p>
                    <w:pPr>
                      <w:ind w:firstLine="53"/>
                      <w:rPr>
                        <w:color w:val="000000"/>
                        <w:sz w:val="20"/>
                        <w:lang w:eastAsia="lt-LT"/>
                      </w:rPr>
                    </w:pPr>
                  </w:p>
                </w:tc>
                <w:tc>
                  <w:tcPr>
                    <w:tcW w:w="1328"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19-02-01</w:t>
                    </w:r>
                  </w:p>
                </w:tc>
                <w:tc>
                  <w:tcPr>
                    <w:tcW w:w="961" w:type="dxa"/>
                    <w:tcBorders>
                      <w:top w:val="nil"/>
                      <w:left w:val="nil"/>
                      <w:bottom w:val="single" w:sz="4" w:space="0" w:color="auto"/>
                      <w:right w:val="single" w:sz="4" w:space="0" w:color="auto"/>
                    </w:tcBorders>
                    <w:shd w:val="clear" w:color="auto" w:fill="auto"/>
                    <w:noWrap/>
                    <w:vAlign w:val="center"/>
                    <w:hideMark/>
                  </w:tcPr>
                  <w:p>
                    <w:pPr>
                      <w:ind w:firstLine="53"/>
                      <w:jc w:val="center"/>
                      <w:rPr>
                        <w:b/>
                        <w:bCs/>
                        <w:color w:val="000000"/>
                        <w:sz w:val="20"/>
                        <w:lang w:eastAsia="lt-LT"/>
                      </w:rPr>
                    </w:pPr>
                  </w:p>
                </w:tc>
                <w:tc>
                  <w:tcPr>
                    <w:tcW w:w="1587"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ŠMSA (SvS, PVS)</w:t>
                    </w:r>
                  </w:p>
                </w:tc>
                <w:tc>
                  <w:tcPr>
                    <w:tcW w:w="3228"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Ilgalaikės priežiūros dienos centrų įrengimas, mobilių komandų aprūpinimas įranga ir transporto priemonėmis</w:t>
                    </w:r>
                  </w:p>
                </w:tc>
                <w:tc>
                  <w:tcPr>
                    <w:tcW w:w="872"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2024</w:t>
                    </w:r>
                  </w:p>
                </w:tc>
                <w:tc>
                  <w:tcPr>
                    <w:tcW w:w="895"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2025</w:t>
                    </w:r>
                  </w:p>
                </w:tc>
                <w:tc>
                  <w:tcPr>
                    <w:tcW w:w="1166"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857100</w:t>
                    </w:r>
                  </w:p>
                </w:tc>
                <w:tc>
                  <w:tcPr>
                    <w:tcW w:w="1295"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125300</w:t>
                    </w:r>
                  </w:p>
                </w:tc>
                <w:tc>
                  <w:tcPr>
                    <w:tcW w:w="1116"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731800 (ES)</w:t>
                    </w:r>
                  </w:p>
                </w:tc>
              </w:tr>
            </w:tbl>
            <w:p/>
            <w:p>
              <w:pPr>
                <w:spacing w:before="120" w:after="120" w:line="276" w:lineRule="auto"/>
                <w:ind w:left="284" w:right="142"/>
                <w:jc w:val="both"/>
                <w:rPr>
                  <w:rFonts w:eastAsia="MS Mincho"/>
                  <w:kern w:val="2"/>
                  <w:sz w:val="22"/>
                  <w:szCs w:val="24"/>
                </w:rPr>
              </w:pPr>
            </w:p>
            <w:p>
              <w:pPr>
                <w:spacing w:before="120" w:after="120" w:line="276" w:lineRule="auto"/>
                <w:ind w:left="284" w:right="142"/>
                <w:jc w:val="both"/>
                <w:rPr>
                  <w:rFonts w:eastAsia="MS Mincho"/>
                  <w:kern w:val="2"/>
                  <w:sz w:val="22"/>
                  <w:szCs w:val="24"/>
                </w:rPr>
              </w:pPr>
            </w:p>
            <w:p>
              <w:pPr>
                <w:spacing w:before="120" w:after="120" w:line="276" w:lineRule="auto"/>
                <w:ind w:left="284" w:right="142"/>
                <w:jc w:val="both"/>
                <w:rPr>
                  <w:rFonts w:eastAsia="MS Mincho"/>
                  <w:kern w:val="2"/>
                  <w:sz w:val="22"/>
                  <w:szCs w:val="24"/>
                </w:rPr>
              </w:pPr>
            </w:p>
            <w:p>
              <w:pPr>
                <w:spacing w:before="120" w:after="120" w:line="276" w:lineRule="auto"/>
                <w:ind w:left="284" w:right="142"/>
                <w:jc w:val="both"/>
                <w:rPr>
                  <w:rFonts w:eastAsia="MS Mincho"/>
                  <w:kern w:val="2"/>
                  <w:sz w:val="22"/>
                  <w:szCs w:val="24"/>
                </w:rPr>
              </w:pPr>
            </w:p>
            <w:p>
              <w:pPr>
                <w:spacing w:before="120" w:after="120" w:line="276" w:lineRule="auto"/>
                <w:ind w:left="284" w:right="142"/>
                <w:jc w:val="both"/>
                <w:rPr>
                  <w:rFonts w:eastAsia="MS Mincho"/>
                  <w:kern w:val="2"/>
                  <w:sz w:val="22"/>
                  <w:szCs w:val="24"/>
                </w:rPr>
              </w:pPr>
            </w:p>
            <w:p>
              <w:pPr>
                <w:spacing w:before="120" w:after="120" w:line="276" w:lineRule="auto"/>
                <w:ind w:left="284" w:right="142"/>
                <w:jc w:val="both"/>
                <w:rPr>
                  <w:rFonts w:eastAsia="MS Mincho"/>
                  <w:kern w:val="2"/>
                  <w:sz w:val="22"/>
                  <w:szCs w:val="24"/>
                </w:rPr>
              </w:pPr>
            </w:p>
            <w:p>
              <w:pPr>
                <w:spacing w:before="120" w:after="120" w:line="276" w:lineRule="auto"/>
                <w:ind w:left="284" w:right="142"/>
                <w:jc w:val="both"/>
                <w:rPr>
                  <w:rFonts w:eastAsia="MS Mincho"/>
                  <w:kern w:val="2"/>
                  <w:sz w:val="22"/>
                  <w:szCs w:val="24"/>
                </w:rPr>
              </w:pPr>
            </w:p>
            <w:p>
              <w:pPr>
                <w:spacing w:before="120" w:after="120" w:line="276" w:lineRule="auto"/>
                <w:ind w:left="284" w:right="142"/>
                <w:jc w:val="both"/>
                <w:rPr>
                  <w:rFonts w:eastAsia="MS Mincho"/>
                  <w:kern w:val="2"/>
                  <w:sz w:val="10"/>
                  <w:szCs w:val="10"/>
                </w:rPr>
              </w:pPr>
            </w:p>
            <w:p>
              <w:pPr>
                <w:spacing w:line="276" w:lineRule="auto"/>
                <w:ind w:left="284" w:right="142"/>
                <w:jc w:val="both"/>
                <w:rPr>
                  <w:rFonts w:eastAsia="MS Mincho"/>
                  <w:kern w:val="2"/>
                  <w:sz w:val="22"/>
                  <w:szCs w:val="24"/>
                </w:rPr>
                <w:sectPr>
                  <w:pgSz w:w="16838" w:h="11906" w:orient="landscape"/>
                  <w:pgMar w:top="1134" w:right="1134" w:bottom="1134" w:left="1418" w:header="567" w:footer="567" w:gutter="0"/>
                  <w:cols w:space="1296"/>
                  <w:titlePg/>
                  <w:docGrid w:linePitch="360"/>
                </w:sectPr>
              </w:pPr>
            </w:p>
            <w:p>
              <w:pPr>
                <w:rPr>
                  <w:sz w:val="10"/>
                  <w:szCs w:val="10"/>
                </w:rPr>
              </w:pPr>
            </w:p>
            <w:p>
              <w:pPr>
                <w:tabs>
                  <w:tab w:val="center" w:pos="4819"/>
                  <w:tab w:val="right" w:pos="9638"/>
                </w:tabs>
                <w:ind w:left="284" w:right="142"/>
                <w:jc w:val="both"/>
                <w:rPr>
                  <w:rFonts w:eastAsia="MS Mincho"/>
                  <w:kern w:val="2"/>
                  <w:sz w:val="22"/>
                  <w:szCs w:val="24"/>
                </w:rPr>
              </w:pPr>
            </w:p>
          </w:sdtContent>
        </w:sdt>
        <w:sdt>
          <w:sdtPr>
            <w:alias w:val="skyrius"/>
            <w:tag w:val="part_f99943acf1dd4807806e85598ec98321"/>
            <w:lock w:val="sdtLocked"/>
            <w:richText/>
          </w:sdtPr>
          <w:sdtContent>
            <w:p>
              <w:pPr>
                <w:jc w:val="center"/>
                <w:rPr>
                  <w:b/>
                  <w:bCs/>
                  <w:szCs w:val="24"/>
                </w:rPr>
              </w:pPr>
              <w:sdt>
                <w:sdtPr>
                  <w:alias w:val="Numeris"/>
                  <w:tag w:val="nr_f99943acf1dd4807806e85598ec98321"/>
                  <w:lock w:val="sdtLocked"/>
                  <w:richText/>
                </w:sdtPr>
                <w:sdtContent>
                  <w:r>
                    <w:rPr>
                      <w:b/>
                      <w:bCs/>
                      <w:szCs w:val="24"/>
                    </w:rPr>
                    <w:t>VIII</w:t>
                  </w:r>
                </w:sdtContent>
              </w:sdt>
              <w:r>
                <w:rPr>
                  <w:b/>
                  <w:bCs/>
                  <w:szCs w:val="24"/>
                </w:rPr>
                <w:t xml:space="preserve"> SKYRIUS</w:t>
              </w:r>
            </w:p>
            <w:p>
              <w:pPr>
                <w:jc w:val="center"/>
                <w:rPr>
                  <w:rFonts w:eastAsia="Calibri"/>
                  <w:b/>
                  <w:bCs/>
                  <w:szCs w:val="24"/>
                </w:rPr>
              </w:pPr>
              <w:sdt>
                <w:sdtPr>
                  <w:alias w:val="Pavadinimas"/>
                  <w:tag w:val="title_f99943acf1dd4807806e85598ec98321"/>
                  <w:lock w:val="sdtLocked"/>
                  <w:richText/>
                </w:sdtPr>
                <w:sdtContent>
                  <w:r>
                    <w:rPr>
                      <w:rFonts w:eastAsia="Calibri"/>
                      <w:b/>
                      <w:bCs/>
                      <w:szCs w:val="24"/>
                    </w:rPr>
                    <w:t xml:space="preserve">PLANO ĮGYVENDINIMO IR STEBĖSENOS NUOSTATOS </w:t>
                  </w:r>
                </w:sdtContent>
              </w:sdt>
            </w:p>
            <w:p>
              <w:pPr>
                <w:jc w:val="center"/>
                <w:rPr>
                  <w:b/>
                  <w:bCs/>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44"/>
              </w:tblGrid>
              <w:tr>
                <w:trPr>
                  <w:trHeight w:val="573"/>
                </w:trPr>
                <w:tc>
                  <w:tcPr>
                    <w:tcW w:w="5000" w:type="pct"/>
                    <w:tcBorders>
                      <w:top w:val="single" w:sz="4" w:space="0" w:color="auto"/>
                      <w:left w:val="single" w:sz="4" w:space="0" w:color="auto"/>
                      <w:bottom w:val="single" w:sz="4" w:space="0" w:color="auto"/>
                      <w:right w:val="single" w:sz="4" w:space="0" w:color="auto"/>
                    </w:tcBorders>
                  </w:tcPr>
                  <w:p>
                    <w:pPr>
                      <w:rPr>
                        <w:sz w:val="10"/>
                        <w:szCs w:val="10"/>
                      </w:rPr>
                    </w:pPr>
                  </w:p>
                  <w:p>
                    <w:pPr>
                      <w:jc w:val="both"/>
                      <w:rPr>
                        <w:rFonts w:eastAsia="Calibri"/>
                        <w:bCs/>
                        <w:sz w:val="22"/>
                        <w:szCs w:val="24"/>
                      </w:rPr>
                    </w:pPr>
                    <w:r>
                      <w:rPr>
                        <w:rFonts w:eastAsia="Calibri"/>
                        <w:bCs/>
                        <w:sz w:val="22"/>
                        <w:szCs w:val="24"/>
                      </w:rPr>
                      <w:t>ŠSPP rengimas, svarstymas, stebėsena ir koregavimas atliekami vadovaujantis Savivaldybės tarybos patvirtintu Strateginio planavimo organizavimo Šiaulių miesto savivaldybėje tvarkos aprašu. Šiose ŠSPP įgyvendinimo ir stebėsenos nuostatose plačiau detalizuojami Strateginio planavimo organizavimo Šiaulių miesto savivaldybėje tvarkos apraše įvardinti įgyvendinimo, koregavimo ir stebėsenos procesai.</w:t>
                    </w:r>
                  </w:p>
                  <w:p>
                    <w:pPr>
                      <w:rPr>
                        <w:sz w:val="10"/>
                        <w:szCs w:val="10"/>
                      </w:rPr>
                    </w:pPr>
                  </w:p>
                  <w:p>
                    <w:pPr>
                      <w:jc w:val="both"/>
                      <w:rPr>
                        <w:rFonts w:eastAsia="Calibri"/>
                        <w:b/>
                        <w:sz w:val="22"/>
                        <w:szCs w:val="24"/>
                      </w:rPr>
                    </w:pPr>
                    <w:r>
                      <w:rPr>
                        <w:rFonts w:eastAsia="Calibri"/>
                        <w:b/>
                        <w:sz w:val="22"/>
                        <w:szCs w:val="24"/>
                      </w:rPr>
                      <w:t>Savivaldybės strateginio plėtros plano įgyvendinimas</w:t>
                    </w:r>
                  </w:p>
                  <w:p>
                    <w:pPr>
                      <w:rPr>
                        <w:sz w:val="10"/>
                        <w:szCs w:val="10"/>
                      </w:rPr>
                    </w:pPr>
                  </w:p>
                  <w:p>
                    <w:pPr>
                      <w:jc w:val="both"/>
                      <w:rPr>
                        <w:rFonts w:eastAsia="Calibri"/>
                        <w:bCs/>
                        <w:sz w:val="22"/>
                        <w:szCs w:val="24"/>
                      </w:rPr>
                    </w:pPr>
                    <w:r>
                      <w:rPr>
                        <w:rFonts w:eastAsia="Calibri"/>
                        <w:bCs/>
                        <w:sz w:val="22"/>
                        <w:szCs w:val="24"/>
                      </w:rPr>
                      <w:t>Žemiau pateikiami ŠSPP įgyvendinimo dalyviai ir jų funkcijos.</w:t>
                    </w:r>
                  </w:p>
                  <w:p>
                    <w:pPr>
                      <w:rPr>
                        <w:sz w:val="10"/>
                        <w:szCs w:val="10"/>
                      </w:rPr>
                    </w:pPr>
                  </w:p>
                  <w:p>
                    <w:pPr>
                      <w:jc w:val="both"/>
                      <w:rPr>
                        <w:rFonts w:eastAsia="Calibri"/>
                        <w:bCs/>
                        <w:sz w:val="22"/>
                        <w:szCs w:val="24"/>
                      </w:rPr>
                    </w:pPr>
                    <w:r>
                      <w:rPr>
                        <w:rFonts w:eastAsia="Calibri"/>
                        <w:bCs/>
                        <w:sz w:val="22"/>
                        <w:szCs w:val="24"/>
                      </w:rPr>
                      <w:t>1. SPT yra Savivaldybės tarybos patariamasis organas, kuris koordinuoja ŠSPP įgyvendinimą, svarsto ŠSPP įgyvendinimo ataskaitas, rengia pasiūlymus Savivaldybės tarybai ir Savivaldybės administracijai dėl vykdomos ŠSPP įgyvendinimo politikos strategijos, jos strateginių tikslų, prioritetų ir jų įgyvendinimo.</w:t>
                    </w:r>
                  </w:p>
                  <w:p>
                    <w:pPr>
                      <w:rPr>
                        <w:sz w:val="10"/>
                        <w:szCs w:val="10"/>
                      </w:rPr>
                    </w:pPr>
                  </w:p>
                  <w:p>
                    <w:pPr>
                      <w:jc w:val="both"/>
                      <w:rPr>
                        <w:rFonts w:eastAsia="Calibri"/>
                        <w:bCs/>
                        <w:sz w:val="22"/>
                        <w:szCs w:val="24"/>
                      </w:rPr>
                    </w:pPr>
                    <w:r>
                      <w:rPr>
                        <w:rFonts w:eastAsia="Calibri"/>
                        <w:bCs/>
                        <w:sz w:val="22"/>
                        <w:szCs w:val="24"/>
                      </w:rPr>
                      <w:t>2. Strateginio planavimo ir finansų skyrius organizuoja ŠSPP įgyvendinimo ir stebėsenos proceso koordinavimą.</w:t>
                    </w:r>
                  </w:p>
                  <w:p>
                    <w:pPr>
                      <w:rPr>
                        <w:sz w:val="10"/>
                        <w:szCs w:val="10"/>
                      </w:rPr>
                    </w:pPr>
                  </w:p>
                  <w:p>
                    <w:pPr>
                      <w:jc w:val="both"/>
                      <w:rPr>
                        <w:rFonts w:eastAsia="Calibri"/>
                        <w:bCs/>
                        <w:sz w:val="22"/>
                        <w:szCs w:val="24"/>
                      </w:rPr>
                    </w:pPr>
                    <w:r>
                      <w:rPr>
                        <w:rFonts w:eastAsia="Calibri"/>
                        <w:bCs/>
                        <w:sz w:val="22"/>
                        <w:szCs w:val="24"/>
                      </w:rPr>
                      <w:t>3. Kiti atsakingi, dalyvaujantys įgyvendinant ŠSPP:</w:t>
                    </w:r>
                  </w:p>
                  <w:p>
                    <w:pPr>
                      <w:rPr>
                        <w:sz w:val="10"/>
                        <w:szCs w:val="10"/>
                      </w:rPr>
                    </w:pPr>
                  </w:p>
                  <w:p>
                    <w:pPr>
                      <w:jc w:val="both"/>
                      <w:rPr>
                        <w:rFonts w:eastAsia="Calibri"/>
                        <w:bCs/>
                        <w:sz w:val="22"/>
                        <w:szCs w:val="24"/>
                      </w:rPr>
                    </w:pPr>
                    <w:r>
                      <w:rPr>
                        <w:rFonts w:eastAsia="Calibri"/>
                        <w:bCs/>
                        <w:sz w:val="22"/>
                        <w:szCs w:val="24"/>
                      </w:rPr>
                      <w:t>3.1. Tikslo / uždavinio / priemonės koordinatoriai – padaliniai, atsakingi už tam tikros ŠSPP elemento: tikslo, uždavinio, priemonės įgyvendinimo koordinavimą ir atsiskaitymą už pasiektus rezultatus. Padalinių vedėjai skiria specialistus, atsakingus už ŠSPP rengimą pagal skyriaus atsakomybės sritis, duomenų apie ŠSPP priemonių, uždavinių ir tikslų įgyvendinimą pateikimą į informacinę sistemą „Strapis“;</w:t>
                    </w:r>
                  </w:p>
                  <w:p>
                    <w:pPr>
                      <w:rPr>
                        <w:sz w:val="10"/>
                        <w:szCs w:val="10"/>
                      </w:rPr>
                    </w:pPr>
                  </w:p>
                  <w:p>
                    <w:pPr>
                      <w:jc w:val="both"/>
                      <w:rPr>
                        <w:rFonts w:eastAsia="Calibri"/>
                        <w:bCs/>
                        <w:sz w:val="22"/>
                        <w:szCs w:val="24"/>
                      </w:rPr>
                    </w:pPr>
                    <w:r>
                      <w:rPr>
                        <w:rFonts w:eastAsia="Calibri"/>
                        <w:bCs/>
                        <w:sz w:val="22"/>
                        <w:szCs w:val="24"/>
                      </w:rPr>
                      <w:t>3.2. Tikslo / uždavinio rodiklio šaltiniai – nurodomi duomenų šaltiniai, iš kur gaunama informacija ir atsakingi padaliniai už informacijos surinkimą, jos pateikimą;</w:t>
                    </w:r>
                  </w:p>
                  <w:p>
                    <w:pPr>
                      <w:rPr>
                        <w:sz w:val="10"/>
                        <w:szCs w:val="10"/>
                      </w:rPr>
                    </w:pPr>
                  </w:p>
                  <w:p>
                    <w:pPr>
                      <w:jc w:val="both"/>
                      <w:rPr>
                        <w:rFonts w:eastAsia="Calibri"/>
                        <w:bCs/>
                        <w:sz w:val="22"/>
                        <w:szCs w:val="24"/>
                      </w:rPr>
                    </w:pPr>
                    <w:r>
                      <w:rPr>
                        <w:rFonts w:eastAsia="Calibri"/>
                        <w:bCs/>
                        <w:sz w:val="22"/>
                        <w:szCs w:val="24"/>
                      </w:rPr>
                      <w:t>3.3. Priemonės rodiklio šaltiniai – atsakingi padaliniai, Savivaldybės valdomos įmonės, viešosios, biudžetinės įstaigos, už įvykdymo duomenų (rodikliai ir jų reikšmės) pateikimą priemonės koordinatoriui.</w:t>
                    </w:r>
                  </w:p>
                  <w:p>
                    <w:pPr>
                      <w:rPr>
                        <w:sz w:val="10"/>
                        <w:szCs w:val="10"/>
                      </w:rPr>
                    </w:pPr>
                  </w:p>
                  <w:p>
                    <w:pPr>
                      <w:jc w:val="both"/>
                      <w:rPr>
                        <w:rFonts w:eastAsia="Calibri"/>
                        <w:b/>
                        <w:sz w:val="22"/>
                        <w:szCs w:val="24"/>
                      </w:rPr>
                    </w:pPr>
                    <w:r>
                      <w:rPr>
                        <w:rFonts w:eastAsia="Calibri"/>
                        <w:b/>
                        <w:sz w:val="22"/>
                        <w:szCs w:val="24"/>
                      </w:rPr>
                      <w:t>Savivaldybės strateginio plėtros plano koregavimas</w:t>
                    </w:r>
                  </w:p>
                  <w:p>
                    <w:pPr>
                      <w:rPr>
                        <w:sz w:val="10"/>
                        <w:szCs w:val="10"/>
                      </w:rPr>
                    </w:pPr>
                  </w:p>
                  <w:p>
                    <w:pPr>
                      <w:jc w:val="both"/>
                      <w:rPr>
                        <w:rFonts w:eastAsia="Calibri"/>
                        <w:bCs/>
                        <w:sz w:val="22"/>
                        <w:szCs w:val="24"/>
                      </w:rPr>
                    </w:pPr>
                    <w:r>
                      <w:rPr>
                        <w:rFonts w:eastAsia="Calibri"/>
                        <w:bCs/>
                        <w:sz w:val="22"/>
                        <w:szCs w:val="24"/>
                      </w:rPr>
                      <w:t>1. ŠSPP gali būti atnaujinamas kas metus. Plėtros uždaviniai, priemonės ir jų rodikliai, esant poreikiui, gali būti peržiūrimi ir keičiami vieną kartą per kalendorinius metus.</w:t>
                    </w:r>
                  </w:p>
                  <w:p>
                    <w:pPr>
                      <w:rPr>
                        <w:sz w:val="10"/>
                        <w:szCs w:val="10"/>
                      </w:rPr>
                    </w:pPr>
                  </w:p>
                  <w:p>
                    <w:pPr>
                      <w:jc w:val="both"/>
                      <w:rPr>
                        <w:rFonts w:eastAsia="Calibri"/>
                        <w:bCs/>
                        <w:sz w:val="22"/>
                        <w:szCs w:val="24"/>
                      </w:rPr>
                    </w:pPr>
                    <w:r>
                      <w:rPr>
                        <w:rFonts w:eastAsia="Calibri"/>
                        <w:bCs/>
                        <w:sz w:val="22"/>
                        <w:szCs w:val="24"/>
                      </w:rPr>
                      <w:t>2. Pasiūlymus dėl ŠSPP pakeitimų gali teikti Savivaldybės tarybos nariai, padalinių vedėjai, kiti suinteresuoti juridiniai bei fiziniai asmenys.</w:t>
                    </w:r>
                  </w:p>
                  <w:p>
                    <w:pPr>
                      <w:rPr>
                        <w:sz w:val="10"/>
                        <w:szCs w:val="10"/>
                      </w:rPr>
                    </w:pPr>
                  </w:p>
                  <w:p>
                    <w:pPr>
                      <w:jc w:val="both"/>
                      <w:rPr>
                        <w:rFonts w:eastAsia="Calibri"/>
                        <w:bCs/>
                        <w:sz w:val="22"/>
                        <w:szCs w:val="24"/>
                      </w:rPr>
                    </w:pPr>
                    <w:r>
                      <w:rPr>
                        <w:rFonts w:eastAsia="Calibri"/>
                        <w:bCs/>
                        <w:sz w:val="22"/>
                        <w:szCs w:val="24"/>
                      </w:rPr>
                      <w:t xml:space="preserve">3. Pasiūlymai dėl ŠSPP pakeitimų pateikiami merui. </w:t>
                    </w:r>
                  </w:p>
                  <w:p>
                    <w:pPr>
                      <w:rPr>
                        <w:sz w:val="10"/>
                        <w:szCs w:val="10"/>
                      </w:rPr>
                    </w:pPr>
                  </w:p>
                  <w:p>
                    <w:pPr>
                      <w:jc w:val="both"/>
                      <w:rPr>
                        <w:rFonts w:eastAsia="Calibri"/>
                        <w:bCs/>
                        <w:sz w:val="22"/>
                        <w:szCs w:val="24"/>
                      </w:rPr>
                    </w:pPr>
                    <w:r>
                      <w:rPr>
                        <w:rFonts w:eastAsia="Calibri"/>
                        <w:bCs/>
                        <w:sz w:val="22"/>
                        <w:szCs w:val="24"/>
                      </w:rPr>
                      <w:t>4. Strateginio planavimo ir finansų skyrius organizuoja ir koordinuoja pasiūlymų susisteminimą. Apibendrintus pasiūlymus Strateginio planavimo ir finansų skyrius pristato SPT.</w:t>
                    </w:r>
                  </w:p>
                  <w:p>
                    <w:pPr>
                      <w:rPr>
                        <w:sz w:val="10"/>
                        <w:szCs w:val="10"/>
                      </w:rPr>
                    </w:pPr>
                  </w:p>
                  <w:p>
                    <w:pPr>
                      <w:jc w:val="both"/>
                      <w:rPr>
                        <w:rFonts w:eastAsia="Calibri"/>
                        <w:bCs/>
                        <w:sz w:val="22"/>
                        <w:szCs w:val="24"/>
                      </w:rPr>
                    </w:pPr>
                    <w:r>
                      <w:rPr>
                        <w:rFonts w:eastAsia="Calibri"/>
                        <w:bCs/>
                        <w:sz w:val="22"/>
                        <w:szCs w:val="24"/>
                      </w:rPr>
                      <w:t>5. SPT, įvertinusi gautus pasiūlymus dėl ŠSPP pakeitimų, pateikia nuomonę ar pastabas, pagal kurias Strateginio planavimo ir finansų skyrius pakoreguoja ŠSPP ir pateikia svarstyti Savivaldybės tarybai.</w:t>
                    </w:r>
                  </w:p>
                  <w:p>
                    <w:pPr>
                      <w:rPr>
                        <w:sz w:val="10"/>
                        <w:szCs w:val="10"/>
                      </w:rPr>
                    </w:pPr>
                  </w:p>
                  <w:p>
                    <w:pPr>
                      <w:jc w:val="both"/>
                      <w:rPr>
                        <w:rFonts w:eastAsia="Calibri"/>
                        <w:bCs/>
                        <w:sz w:val="22"/>
                        <w:szCs w:val="24"/>
                      </w:rPr>
                    </w:pPr>
                    <w:r>
                      <w:rPr>
                        <w:rFonts w:eastAsia="Calibri"/>
                        <w:bCs/>
                        <w:sz w:val="22"/>
                        <w:szCs w:val="24"/>
                      </w:rPr>
                      <w:t>6. ŠSPP pakeitimai ar papildymai tvirtinami Savivaldybės tarybos sprendimu.</w:t>
                    </w:r>
                  </w:p>
                  <w:p>
                    <w:pPr>
                      <w:rPr>
                        <w:sz w:val="10"/>
                        <w:szCs w:val="10"/>
                      </w:rPr>
                    </w:pPr>
                  </w:p>
                  <w:p>
                    <w:pPr>
                      <w:jc w:val="both"/>
                      <w:rPr>
                        <w:rFonts w:eastAsia="Calibri"/>
                        <w:bCs/>
                        <w:sz w:val="22"/>
                        <w:szCs w:val="24"/>
                      </w:rPr>
                    </w:pPr>
                    <w:r>
                      <w:rPr>
                        <w:rFonts w:eastAsia="Calibri"/>
                        <w:bCs/>
                        <w:sz w:val="22"/>
                        <w:szCs w:val="24"/>
                      </w:rPr>
                      <w:t>7. Pakoreguoto ŠSPP paskelbimą Savivaldybės administracijos interneto svetainėje organizuoja Strateginio planavimo ir finansų skyrius.</w:t>
                    </w:r>
                  </w:p>
                </w:tc>
              </w:tr>
              <w:tr>
                <w:trPr>
                  <w:trHeight w:val="573"/>
                </w:trPr>
                <w:tc>
                  <w:tcPr>
                    <w:tcW w:w="5000" w:type="pct"/>
                    <w:tcBorders>
                      <w:top w:val="single" w:sz="4" w:space="0" w:color="auto"/>
                      <w:left w:val="single" w:sz="4" w:space="0" w:color="auto"/>
                      <w:bottom w:val="single" w:sz="4" w:space="0" w:color="auto"/>
                      <w:right w:val="single" w:sz="4" w:space="0" w:color="auto"/>
                    </w:tcBorders>
                  </w:tcPr>
                  <w:p>
                    <w:pPr>
                      <w:rPr>
                        <w:sz w:val="10"/>
                        <w:szCs w:val="10"/>
                      </w:rPr>
                    </w:pPr>
                  </w:p>
                  <w:p>
                    <w:pPr>
                      <w:jc w:val="both"/>
                      <w:rPr>
                        <w:rFonts w:eastAsia="Calibri"/>
                        <w:b/>
                        <w:sz w:val="22"/>
                        <w:szCs w:val="24"/>
                      </w:rPr>
                    </w:pPr>
                    <w:r>
                      <w:rPr>
                        <w:rFonts w:eastAsia="Calibri"/>
                        <w:b/>
                        <w:sz w:val="22"/>
                        <w:szCs w:val="24"/>
                      </w:rPr>
                      <w:t>Savivaldybės strateginio plėtros plano įgyvendinimo stebėsena</w:t>
                    </w:r>
                  </w:p>
                  <w:p>
                    <w:pPr>
                      <w:rPr>
                        <w:sz w:val="10"/>
                        <w:szCs w:val="10"/>
                      </w:rPr>
                    </w:pPr>
                  </w:p>
                  <w:p>
                    <w:pPr>
                      <w:jc w:val="both"/>
                      <w:rPr>
                        <w:rFonts w:eastAsia="Calibri"/>
                        <w:bCs/>
                        <w:sz w:val="22"/>
                        <w:szCs w:val="24"/>
                      </w:rPr>
                    </w:pPr>
                    <w:r>
                      <w:rPr>
                        <w:rFonts w:eastAsia="Calibri"/>
                        <w:bCs/>
                        <w:sz w:val="22"/>
                        <w:szCs w:val="24"/>
                      </w:rPr>
                      <w:t>1. ŠSPP įgyvendinimo rezultatai (rodiklių reikšmės) pagal atsakomybes (rodiklio šaltinis) į informacinę sistemą „Strapis“ suvedami kasmet iki rugsėjo 15 d.</w:t>
                    </w:r>
                  </w:p>
                  <w:p>
                    <w:pPr>
                      <w:rPr>
                        <w:sz w:val="10"/>
                        <w:szCs w:val="10"/>
                      </w:rPr>
                    </w:pPr>
                  </w:p>
                  <w:p>
                    <w:pPr>
                      <w:jc w:val="both"/>
                      <w:rPr>
                        <w:rFonts w:eastAsia="Calibri"/>
                        <w:bCs/>
                        <w:sz w:val="22"/>
                        <w:szCs w:val="24"/>
                      </w:rPr>
                    </w:pPr>
                    <w:r>
                      <w:rPr>
                        <w:rFonts w:eastAsia="Calibri"/>
                        <w:bCs/>
                        <w:sz w:val="22"/>
                        <w:szCs w:val="24"/>
                      </w:rPr>
                      <w:t>2. ŠSPP įgyvendinimo ataskaita rengiama kas trejus metus ir teikiama Savivaldybės tarybai tvirtinti.</w:t>
                    </w:r>
                  </w:p>
                  <w:p>
                    <w:pPr>
                      <w:rPr>
                        <w:sz w:val="10"/>
                        <w:szCs w:val="10"/>
                      </w:rPr>
                    </w:pPr>
                  </w:p>
                  <w:p>
                    <w:pPr>
                      <w:jc w:val="both"/>
                      <w:rPr>
                        <w:rFonts w:eastAsia="Calibri"/>
                        <w:bCs/>
                        <w:sz w:val="22"/>
                        <w:szCs w:val="24"/>
                      </w:rPr>
                    </w:pPr>
                    <w:r>
                      <w:rPr>
                        <w:rFonts w:eastAsia="Calibri"/>
                        <w:bCs/>
                        <w:sz w:val="22"/>
                        <w:szCs w:val="24"/>
                      </w:rPr>
                      <w:t>3. ŠSPP ataskaitos rengimas:</w:t>
                    </w:r>
                  </w:p>
                  <w:p>
                    <w:pPr>
                      <w:rPr>
                        <w:sz w:val="10"/>
                        <w:szCs w:val="10"/>
                      </w:rPr>
                    </w:pPr>
                  </w:p>
                  <w:p>
                    <w:pPr>
                      <w:jc w:val="both"/>
                      <w:rPr>
                        <w:rFonts w:eastAsia="Calibri"/>
                        <w:bCs/>
                        <w:sz w:val="22"/>
                        <w:szCs w:val="24"/>
                      </w:rPr>
                    </w:pPr>
                    <w:r>
                      <w:rPr>
                        <w:rFonts w:eastAsia="Calibri"/>
                        <w:bCs/>
                        <w:sz w:val="22"/>
                        <w:szCs w:val="24"/>
                      </w:rPr>
                      <w:t>3.1. ŠSPP ataskaitos rengimas inicijuojamas mero potvarkiu;</w:t>
                    </w:r>
                  </w:p>
                  <w:p>
                    <w:pPr>
                      <w:rPr>
                        <w:sz w:val="10"/>
                        <w:szCs w:val="10"/>
                      </w:rPr>
                    </w:pPr>
                  </w:p>
                  <w:p>
                    <w:pPr>
                      <w:jc w:val="both"/>
                      <w:rPr>
                        <w:rFonts w:eastAsia="Calibri"/>
                        <w:bCs/>
                        <w:sz w:val="22"/>
                        <w:szCs w:val="24"/>
                      </w:rPr>
                    </w:pPr>
                    <w:r>
                      <w:rPr>
                        <w:rFonts w:eastAsia="Calibri"/>
                        <w:bCs/>
                        <w:sz w:val="22"/>
                        <w:szCs w:val="24"/>
                      </w:rPr>
                      <w:t>3.2. Strateginio planavimo ir finansų skyrius parengia ŠSPP ataskaitos projektą iki spalio 15 d.;</w:t>
                    </w:r>
                  </w:p>
                  <w:p>
                    <w:pPr>
                      <w:rPr>
                        <w:sz w:val="10"/>
                        <w:szCs w:val="10"/>
                      </w:rPr>
                    </w:pPr>
                  </w:p>
                  <w:p>
                    <w:pPr>
                      <w:jc w:val="both"/>
                      <w:rPr>
                        <w:rFonts w:eastAsia="Calibri"/>
                        <w:bCs/>
                        <w:sz w:val="22"/>
                        <w:szCs w:val="24"/>
                      </w:rPr>
                    </w:pPr>
                    <w:r>
                      <w:rPr>
                        <w:rFonts w:eastAsia="Calibri"/>
                        <w:bCs/>
                        <w:sz w:val="22"/>
                        <w:szCs w:val="24"/>
                      </w:rPr>
                      <w:t>3.3. Strateginio planavimo ir finansų skyrius ŠSPP ataskaitos projektą pateikia SPT iki lapkričio 15 d.;</w:t>
                    </w:r>
                  </w:p>
                  <w:p>
                    <w:pPr>
                      <w:rPr>
                        <w:sz w:val="10"/>
                        <w:szCs w:val="10"/>
                      </w:rPr>
                    </w:pPr>
                  </w:p>
                  <w:p>
                    <w:pPr>
                      <w:jc w:val="both"/>
                      <w:rPr>
                        <w:rFonts w:eastAsia="Calibri"/>
                        <w:bCs/>
                        <w:sz w:val="22"/>
                        <w:szCs w:val="24"/>
                      </w:rPr>
                    </w:pPr>
                    <w:r>
                      <w:rPr>
                        <w:rFonts w:eastAsia="Calibri"/>
                        <w:bCs/>
                        <w:sz w:val="22"/>
                        <w:szCs w:val="24"/>
                      </w:rPr>
                      <w:t>3.4. SPT, įvertinusi gautą ŠSPP ataskaitos projektą, pateikia nuomonę ar pastabas, pagal kurias Strateginio planavimo ir finansų skyrius atnaujina ŠSPP ataskaitos projektą ir pateikia svarstyti Savivaldybės tarybai;</w:t>
                    </w:r>
                  </w:p>
                  <w:p>
                    <w:pPr>
                      <w:rPr>
                        <w:sz w:val="10"/>
                        <w:szCs w:val="10"/>
                      </w:rPr>
                    </w:pPr>
                  </w:p>
                  <w:p>
                    <w:pPr>
                      <w:jc w:val="both"/>
                      <w:rPr>
                        <w:rFonts w:eastAsia="Calibri"/>
                        <w:bCs/>
                        <w:sz w:val="22"/>
                        <w:szCs w:val="24"/>
                      </w:rPr>
                    </w:pPr>
                    <w:r>
                      <w:rPr>
                        <w:rFonts w:eastAsia="Calibri"/>
                        <w:bCs/>
                        <w:sz w:val="22"/>
                        <w:szCs w:val="24"/>
                      </w:rPr>
                      <w:t>3.5. ŠSPP ataskaita tvirtinama Savivaldybės tarybos sprendimu;</w:t>
                    </w:r>
                  </w:p>
                  <w:p>
                    <w:pPr>
                      <w:rPr>
                        <w:sz w:val="10"/>
                        <w:szCs w:val="10"/>
                      </w:rPr>
                    </w:pPr>
                  </w:p>
                  <w:p>
                    <w:pPr>
                      <w:jc w:val="both"/>
                      <w:rPr>
                        <w:rFonts w:eastAsia="Calibri"/>
                        <w:bCs/>
                        <w:sz w:val="22"/>
                        <w:szCs w:val="24"/>
                      </w:rPr>
                    </w:pPr>
                    <w:r>
                      <w:rPr>
                        <w:rFonts w:eastAsia="Calibri"/>
                        <w:bCs/>
                        <w:sz w:val="22"/>
                        <w:szCs w:val="24"/>
                      </w:rPr>
                      <w:t>3.6. ŠSPP ataskaitos paskelbimą Savivaldybės administracijos interneto svetainėje organizuoja Strateginio planavimo ir finansų skyrius.</w:t>
                    </w:r>
                  </w:p>
                </w:tc>
              </w:tr>
            </w:tbl>
            <w:p>
              <w:pPr>
                <w:jc w:val="center"/>
                <w:rPr>
                  <w:b/>
                  <w:bCs/>
                  <w:szCs w:val="24"/>
                </w:rPr>
              </w:pPr>
            </w:p>
            <w:p>
              <w:pPr>
                <w:jc w:val="center"/>
                <w:rPr>
                  <w:b/>
                  <w:bCs/>
                  <w:szCs w:val="24"/>
                </w:rPr>
              </w:pPr>
            </w:p>
          </w:sdtContent>
        </w:sdt>
      </w:sdtContent>
    </w:sdt>
    <w:sectPr>
      <w:pgSz w:w="11906" w:h="16838"/>
      <w:pgMar w:top="1134" w:right="1134" w:bottom="1134" w:left="1418"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ind w:left="284" w:right="142"/>
        <w:jc w:val="both"/>
        <w:rPr>
          <w:rFonts w:eastAsia="MS Mincho"/>
          <w:kern w:val="2"/>
          <w:sz w:val="22"/>
          <w:szCs w:val="24"/>
        </w:rPr>
      </w:pPr>
      <w:r>
        <w:rPr>
          <w:rFonts w:eastAsia="MS Mincho"/>
          <w:kern w:val="2"/>
          <w:sz w:val="22"/>
          <w:szCs w:val="24"/>
        </w:rPr>
        <w:separator/>
      </w:r>
    </w:p>
  </w:endnote>
  <w:endnote w:type="continuationSeparator" w:id="0">
    <w:p>
      <w:pPr>
        <w:ind w:left="284" w:right="142"/>
        <w:jc w:val="both"/>
        <w:rPr>
          <w:rFonts w:eastAsia="MS Mincho"/>
          <w:kern w:val="2"/>
          <w:sz w:val="22"/>
          <w:szCs w:val="24"/>
        </w:rPr>
      </w:pPr>
      <w:r>
        <w:rPr>
          <w:rFonts w:eastAsia="MS Mincho"/>
          <w:kern w:val="2"/>
          <w:sz w:val="22"/>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MS PGothic">
    <w:panose1 w:val="020B0600070205080204"/>
    <w:charset w:val="80"/>
    <w:family w:val="swiss"/>
    <w:pitch w:val="variable"/>
    <w:sig w:usb0="E00002FF" w:usb1="6AC7FDFB" w:usb2="00000012" w:usb3="00000000" w:csb0="0002009F" w:csb1="00000000"/>
  </w:font>
  <w:font w:name="Bahnschrift SemiBold SemiConden">
    <w:altName w:val="Segoe UI Light"/>
    <w:charset w:val="BA"/>
    <w:family w:val="swiss"/>
    <w:pitch w:val="variable"/>
    <w:sig w:usb0="00000001" w:usb1="00000002" w:usb2="00000000" w:usb3="00000000" w:csb0="0000019F" w:csb1="00000000"/>
  </w:font>
  <w:font w:name="Calibri">
    <w:panose1 w:val="020F0502020204030204"/>
    <w:charset w:val="BA"/>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BA"/>
    <w:family w:val="swiss"/>
    <w:pitch w:val="variable"/>
    <w:sig w:usb0="E0002AFF" w:usb1="C0007843" w:usb2="00000009" w:usb3="00000000" w:csb0="000001FF" w:csb1="00000000"/>
  </w:font>
  <w:font w:name="Bahnschrift Light SemiCondensed">
    <w:altName w:val="Segoe UI Light"/>
    <w:charset w:val="BA"/>
    <w:family w:val="swiss"/>
    <w:pitch w:val="variable"/>
    <w:sig w:usb0="00000001" w:usb1="00000002"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left="284" w:right="142"/>
      <w:jc w:val="both"/>
      <w:rPr>
        <w:rFonts w:eastAsia="MS Mincho"/>
        <w:kern w:val="2"/>
        <w:sz w:val="22"/>
        <w:szCs w:val="24"/>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left="284" w:right="142"/>
      <w:jc w:val="right"/>
      <w:rPr>
        <w:rFonts w:eastAsia="MS Mincho"/>
        <w:kern w:val="2"/>
        <w:sz w:val="22"/>
        <w:szCs w:val="24"/>
      </w:rPr>
    </w:pPr>
    <w:r>
      <w:rPr>
        <w:rFonts w:eastAsia="MS Mincho"/>
        <w:kern w:val="2"/>
        <w:sz w:val="22"/>
        <w:szCs w:val="24"/>
      </w:rPr>
      <w:fldChar w:fldCharType="begin"/>
    </w:r>
    <w:r>
      <w:rPr>
        <w:rFonts w:eastAsia="MS Mincho"/>
        <w:kern w:val="2"/>
        <w:sz w:val="22"/>
        <w:szCs w:val="24"/>
      </w:rPr>
      <w:instrText>PAGE   \* MERGEFORMAT</w:instrText>
    </w:r>
    <w:r>
      <w:rPr>
        <w:rFonts w:eastAsia="MS Mincho"/>
        <w:kern w:val="2"/>
        <w:sz w:val="22"/>
        <w:szCs w:val="24"/>
      </w:rPr>
      <w:fldChar w:fldCharType="separate"/>
    </w:r>
    <w:r>
      <w:rPr>
        <w:rFonts w:eastAsia="MS Mincho"/>
        <w:kern w:val="2"/>
        <w:sz w:val="22"/>
        <w:szCs w:val="24"/>
      </w:rPr>
      <w:t>2</w:t>
    </w:r>
    <w:r>
      <w:rPr>
        <w:rFonts w:eastAsia="MS Mincho"/>
        <w:kern w:val="2"/>
        <w:sz w:val="22"/>
        <w:szCs w:val="24"/>
      </w:rPr>
      <w:fldChar w:fldCharType="end"/>
    </w:r>
  </w:p>
  <w:p>
    <w:pPr>
      <w:tabs>
        <w:tab w:val="center" w:pos="4819"/>
        <w:tab w:val="right" w:pos="9638"/>
      </w:tabs>
      <w:ind w:left="284" w:right="142"/>
      <w:jc w:val="both"/>
      <w:rPr>
        <w:rFonts w:eastAsia="MS Mincho"/>
        <w:kern w:val="2"/>
        <w:sz w:val="22"/>
        <w:szCs w:val="24"/>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left="284" w:right="142"/>
      <w:jc w:val="both"/>
      <w:rPr>
        <w:rFonts w:eastAsia="MS Mincho"/>
        <w:kern w:val="2"/>
        <w:sz w:val="22"/>
        <w:szCs w:val="24"/>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ind w:left="284" w:right="142"/>
        <w:jc w:val="both"/>
        <w:rPr>
          <w:rFonts w:eastAsia="MS Mincho"/>
          <w:kern w:val="2"/>
          <w:sz w:val="22"/>
          <w:szCs w:val="24"/>
        </w:rPr>
      </w:pPr>
      <w:r>
        <w:rPr>
          <w:rFonts w:eastAsia="MS Mincho"/>
          <w:kern w:val="2"/>
          <w:sz w:val="22"/>
          <w:szCs w:val="24"/>
        </w:rPr>
        <w:separator/>
      </w:r>
    </w:p>
  </w:footnote>
  <w:footnote w:type="continuationSeparator" w:id="0">
    <w:p>
      <w:pPr>
        <w:ind w:left="284" w:right="142"/>
        <w:jc w:val="both"/>
        <w:rPr>
          <w:rFonts w:eastAsia="MS Mincho"/>
          <w:kern w:val="2"/>
          <w:sz w:val="22"/>
          <w:szCs w:val="24"/>
        </w:rPr>
      </w:pPr>
      <w:r>
        <w:rPr>
          <w:rFonts w:eastAsia="MS Mincho"/>
          <w:kern w:val="2"/>
          <w:sz w:val="22"/>
          <w:szCs w:val="24"/>
        </w:rPr>
        <w:continuationSeparator/>
      </w:r>
    </w:p>
  </w:footnote>
  <w:footnote w:id="1">
    <w:p>
      <w:pPr>
        <w:ind w:left="284" w:right="142"/>
        <w:jc w:val="both"/>
        <w:rPr>
          <w:rFonts w:eastAsia="MS Mincho"/>
          <w:kern w:val="2"/>
          <w:sz w:val="20"/>
        </w:rPr>
      </w:pPr>
      <w:r>
        <w:rPr>
          <w:rFonts w:eastAsia="MS Mincho"/>
          <w:kern w:val="2"/>
          <w:sz w:val="20"/>
          <w:vertAlign w:val="superscript"/>
        </w:rPr>
        <w:footnoteRef/>
      </w:r>
      <w:r>
        <w:rPr>
          <w:rFonts w:eastAsia="MS Mincho"/>
          <w:kern w:val="2"/>
          <w:sz w:val="20"/>
        </w:rPr>
        <w:t xml:space="preserve"> 2015–2018 m. nebuvo sekamas</w:t>
      </w:r>
    </w:p>
  </w:footnote>
  <w:footnote w:id="2">
    <w:p>
      <w:pPr>
        <w:ind w:left="284" w:right="142"/>
        <w:jc w:val="both"/>
        <w:rPr>
          <w:rFonts w:eastAsia="MS Mincho"/>
          <w:kern w:val="2"/>
          <w:sz w:val="16"/>
          <w:szCs w:val="16"/>
        </w:rPr>
      </w:pPr>
      <w:r>
        <w:rPr>
          <w:rFonts w:eastAsia="MS Mincho"/>
          <w:kern w:val="2"/>
          <w:sz w:val="16"/>
          <w:szCs w:val="16"/>
          <w:vertAlign w:val="superscript"/>
        </w:rPr>
        <w:footnoteRef/>
      </w:r>
      <w:r>
        <w:rPr>
          <w:rFonts w:eastAsia="MS Mincho"/>
          <w:kern w:val="2"/>
          <w:sz w:val="16"/>
          <w:szCs w:val="16"/>
        </w:rPr>
        <w:t xml:space="preserve"> Pastatų, statinių gera būklė apibrėžiama tuomet, kai esama infrastruktūra užtikrina tinkamas sąlygas darbui ir paslaugų teikimui, pastatui nustatyta A++, A+, A, B, C energetinio naudingumo klasė. Bloga pastato, statinio būklė apibrėžiama tuomet, kai infrastruktūra yra stipriai nusidėvėjusi, reikalinga pastato, statinio renovacija, neužtikrinamos tinkamos darbo ir paslaugų teikimo sąlygos arba nustatyta pastato D, E, F arba G energetinio naudingumo klasė.</w:t>
      </w:r>
    </w:p>
  </w:footnote>
  <w:footnote w:id="3">
    <w:p>
      <w:pPr>
        <w:ind w:left="284" w:right="142"/>
        <w:jc w:val="both"/>
        <w:rPr>
          <w:rFonts w:eastAsia="MS Mincho"/>
          <w:kern w:val="2"/>
          <w:sz w:val="20"/>
        </w:rPr>
      </w:pPr>
      <w:r>
        <w:rPr>
          <w:rFonts w:eastAsia="MS Mincho"/>
          <w:kern w:val="2"/>
          <w:sz w:val="20"/>
          <w:vertAlign w:val="superscript"/>
        </w:rPr>
        <w:footnoteRef/>
      </w:r>
      <w:r>
        <w:rPr>
          <w:rFonts w:eastAsia="MS Mincho"/>
          <w:kern w:val="2"/>
          <w:sz w:val="20"/>
        </w:rPr>
        <w:t xml:space="preserve"> </w:t>
      </w:r>
      <w:r>
        <w:rPr>
          <w:rFonts w:eastAsia="MS Mincho"/>
          <w:kern w:val="2"/>
          <w:sz w:val="16"/>
          <w:szCs w:val="16"/>
        </w:rPr>
        <w:t>Turimo laikotarpio faktinė reikšmė.</w:t>
      </w:r>
    </w:p>
  </w:footnote>
  <w:footnote w:id="4">
    <w:p>
      <w:pPr>
        <w:ind w:left="284" w:right="142"/>
        <w:jc w:val="both"/>
        <w:rPr>
          <w:rFonts w:eastAsia="MS Mincho"/>
          <w:kern w:val="2"/>
          <w:sz w:val="16"/>
          <w:szCs w:val="16"/>
        </w:rPr>
      </w:pPr>
      <w:r>
        <w:rPr>
          <w:rFonts w:eastAsia="MS Mincho"/>
          <w:kern w:val="2"/>
          <w:sz w:val="16"/>
          <w:szCs w:val="16"/>
          <w:vertAlign w:val="superscript"/>
        </w:rPr>
        <w:footnoteRef/>
      </w:r>
      <w:r>
        <w:rPr>
          <w:rFonts w:eastAsia="MS Mincho"/>
          <w:kern w:val="2"/>
          <w:sz w:val="16"/>
          <w:szCs w:val="16"/>
        </w:rPr>
        <w:t xml:space="preserve"> Siekiama suminė reikšmė per 2025-2033 m. laikotarpį arba siekiama metinė reikšmė 2033 m. pabaigoje, jei prie rodiklio matavimo vieneto nurodoma „per metus“.</w:t>
      </w:r>
    </w:p>
  </w:footnote>
  <w:footnote w:id="5">
    <w:p>
      <w:pPr>
        <w:ind w:left="284" w:right="142"/>
        <w:jc w:val="both"/>
        <w:rPr>
          <w:rFonts w:eastAsia="MS Mincho"/>
          <w:kern w:val="2"/>
          <w:sz w:val="20"/>
        </w:rPr>
      </w:pPr>
      <w:r>
        <w:rPr>
          <w:rFonts w:eastAsia="MS Mincho"/>
          <w:kern w:val="2"/>
          <w:sz w:val="20"/>
          <w:vertAlign w:val="superscript"/>
        </w:rPr>
        <w:footnoteRef/>
      </w:r>
      <w:r>
        <w:rPr>
          <w:rFonts w:eastAsia="MS Mincho"/>
          <w:kern w:val="2"/>
          <w:sz w:val="20"/>
        </w:rPr>
        <w:t xml:space="preserve"> Nurodoma RPP pažangos priemonė, prie kurios įgyvendinimo prisideda ar prisidės projektas, skiriant jam dalį lėšų iš RPP.</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left="284" w:right="142"/>
      <w:jc w:val="both"/>
      <w:rPr>
        <w:rFonts w:eastAsia="MS Mincho"/>
        <w:kern w:val="2"/>
        <w:sz w:val="22"/>
        <w:szCs w:val="24"/>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left="284" w:right="142"/>
      <w:jc w:val="both"/>
      <w:rPr>
        <w:rFonts w:eastAsia="MS Mincho"/>
        <w:kern w:val="2"/>
        <w:sz w:val="22"/>
        <w:szCs w:val="24"/>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left="284" w:right="142"/>
      <w:jc w:val="both"/>
      <w:rPr>
        <w:rFonts w:eastAsia="MS Mincho"/>
        <w:kern w:val="2"/>
        <w:sz w:val="22"/>
        <w:szCs w:val="24"/>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revisionView w:inkAnnotations="0"/>
  <w:defaultTabStop w:val="720"/>
  <w:hyphenationZone w:val="396"/>
  <w:doNotHyphenateCaps/>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A6229"/>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chartTrackingRefBased/>
  <w15:docId w15:val="{1FAF8EF7-3B73-42D9-BD96-810B7F1E54A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9652248">
      <w:bodyDiv w:val="1"/>
      <w:marLeft w:val="0"/>
      <w:marRight w:val="0"/>
      <w:marTop w:val="0"/>
      <w:marBottom w:val="0"/>
      <w:divBdr>
        <w:top w:val="none" w:sz="0" w:space="0" w:color="auto"/>
        <w:left w:val="none" w:sz="0" w:space="0" w:color="auto"/>
        <w:bottom w:val="none" w:sz="0" w:space="0" w:color="auto"/>
        <w:right w:val="none" w:sz="0" w:space="0" w:color="auto"/>
      </w:divBdr>
    </w:div>
    <w:div w:id="18941880">
      <w:bodyDiv w:val="1"/>
      <w:marLeft w:val="0"/>
      <w:marRight w:val="0"/>
      <w:marTop w:val="0"/>
      <w:marBottom w:val="0"/>
      <w:divBdr>
        <w:top w:val="none" w:sz="0" w:space="0" w:color="auto"/>
        <w:left w:val="none" w:sz="0" w:space="0" w:color="auto"/>
        <w:bottom w:val="none" w:sz="0" w:space="0" w:color="auto"/>
        <w:right w:val="none" w:sz="0" w:space="0" w:color="auto"/>
      </w:divBdr>
    </w:div>
    <w:div w:id="31735614">
      <w:bodyDiv w:val="1"/>
      <w:marLeft w:val="0"/>
      <w:marRight w:val="0"/>
      <w:marTop w:val="0"/>
      <w:marBottom w:val="0"/>
      <w:divBdr>
        <w:top w:val="none" w:sz="0" w:space="0" w:color="auto"/>
        <w:left w:val="none" w:sz="0" w:space="0" w:color="auto"/>
        <w:bottom w:val="none" w:sz="0" w:space="0" w:color="auto"/>
        <w:right w:val="none" w:sz="0" w:space="0" w:color="auto"/>
      </w:divBdr>
    </w:div>
    <w:div w:id="39786331">
      <w:bodyDiv w:val="1"/>
      <w:marLeft w:val="0"/>
      <w:marRight w:val="0"/>
      <w:marTop w:val="0"/>
      <w:marBottom w:val="0"/>
      <w:divBdr>
        <w:top w:val="none" w:sz="0" w:space="0" w:color="auto"/>
        <w:left w:val="none" w:sz="0" w:space="0" w:color="auto"/>
        <w:bottom w:val="none" w:sz="0" w:space="0" w:color="auto"/>
        <w:right w:val="none" w:sz="0" w:space="0" w:color="auto"/>
      </w:divBdr>
    </w:div>
    <w:div w:id="58750211">
      <w:bodyDiv w:val="1"/>
      <w:marLeft w:val="0"/>
      <w:marRight w:val="0"/>
      <w:marTop w:val="0"/>
      <w:marBottom w:val="0"/>
      <w:divBdr>
        <w:top w:val="none" w:sz="0" w:space="0" w:color="auto"/>
        <w:left w:val="none" w:sz="0" w:space="0" w:color="auto"/>
        <w:bottom w:val="none" w:sz="0" w:space="0" w:color="auto"/>
        <w:right w:val="none" w:sz="0" w:space="0" w:color="auto"/>
      </w:divBdr>
    </w:div>
    <w:div w:id="58788317">
      <w:bodyDiv w:val="1"/>
      <w:marLeft w:val="0"/>
      <w:marRight w:val="0"/>
      <w:marTop w:val="0"/>
      <w:marBottom w:val="0"/>
      <w:divBdr>
        <w:top w:val="none" w:sz="0" w:space="0" w:color="auto"/>
        <w:left w:val="none" w:sz="0" w:space="0" w:color="auto"/>
        <w:bottom w:val="none" w:sz="0" w:space="0" w:color="auto"/>
        <w:right w:val="none" w:sz="0" w:space="0" w:color="auto"/>
      </w:divBdr>
    </w:div>
    <w:div w:id="61754073">
      <w:bodyDiv w:val="1"/>
      <w:marLeft w:val="0"/>
      <w:marRight w:val="0"/>
      <w:marTop w:val="0"/>
      <w:marBottom w:val="0"/>
      <w:divBdr>
        <w:top w:val="none" w:sz="0" w:space="0" w:color="auto"/>
        <w:left w:val="none" w:sz="0" w:space="0" w:color="auto"/>
        <w:bottom w:val="none" w:sz="0" w:space="0" w:color="auto"/>
        <w:right w:val="none" w:sz="0" w:space="0" w:color="auto"/>
      </w:divBdr>
    </w:div>
    <w:div w:id="71590375">
      <w:bodyDiv w:val="1"/>
      <w:marLeft w:val="0"/>
      <w:marRight w:val="0"/>
      <w:marTop w:val="0"/>
      <w:marBottom w:val="0"/>
      <w:divBdr>
        <w:top w:val="none" w:sz="0" w:space="0" w:color="auto"/>
        <w:left w:val="none" w:sz="0" w:space="0" w:color="auto"/>
        <w:bottom w:val="none" w:sz="0" w:space="0" w:color="auto"/>
        <w:right w:val="none" w:sz="0" w:space="0" w:color="auto"/>
      </w:divBdr>
    </w:div>
    <w:div w:id="78988506">
      <w:bodyDiv w:val="1"/>
      <w:marLeft w:val="0"/>
      <w:marRight w:val="0"/>
      <w:marTop w:val="0"/>
      <w:marBottom w:val="0"/>
      <w:divBdr>
        <w:top w:val="none" w:sz="0" w:space="0" w:color="auto"/>
        <w:left w:val="none" w:sz="0" w:space="0" w:color="auto"/>
        <w:bottom w:val="none" w:sz="0" w:space="0" w:color="auto"/>
        <w:right w:val="none" w:sz="0" w:space="0" w:color="auto"/>
      </w:divBdr>
    </w:div>
    <w:div w:id="87888902">
      <w:bodyDiv w:val="1"/>
      <w:marLeft w:val="0"/>
      <w:marRight w:val="0"/>
      <w:marTop w:val="0"/>
      <w:marBottom w:val="0"/>
      <w:divBdr>
        <w:top w:val="none" w:sz="0" w:space="0" w:color="auto"/>
        <w:left w:val="none" w:sz="0" w:space="0" w:color="auto"/>
        <w:bottom w:val="none" w:sz="0" w:space="0" w:color="auto"/>
        <w:right w:val="none" w:sz="0" w:space="0" w:color="auto"/>
      </w:divBdr>
      <w:divsChild>
        <w:div w:id="1137919621">
          <w:marLeft w:val="0"/>
          <w:marRight w:val="0"/>
          <w:marTop w:val="0"/>
          <w:marBottom w:val="0"/>
          <w:divBdr>
            <w:top w:val="none" w:sz="0" w:space="0" w:color="auto"/>
            <w:left w:val="none" w:sz="0" w:space="0" w:color="auto"/>
            <w:bottom w:val="none" w:sz="0" w:space="0" w:color="auto"/>
            <w:right w:val="none" w:sz="0" w:space="0" w:color="auto"/>
          </w:divBdr>
        </w:div>
        <w:div w:id="2032293937">
          <w:marLeft w:val="0"/>
          <w:marRight w:val="0"/>
          <w:marTop w:val="0"/>
          <w:marBottom w:val="0"/>
          <w:divBdr>
            <w:top w:val="none" w:sz="0" w:space="0" w:color="auto"/>
            <w:left w:val="none" w:sz="0" w:space="0" w:color="auto"/>
            <w:bottom w:val="none" w:sz="0" w:space="0" w:color="auto"/>
            <w:right w:val="none" w:sz="0" w:space="0" w:color="auto"/>
          </w:divBdr>
        </w:div>
      </w:divsChild>
    </w:div>
    <w:div w:id="95486653">
      <w:bodyDiv w:val="1"/>
      <w:marLeft w:val="0"/>
      <w:marRight w:val="0"/>
      <w:marTop w:val="0"/>
      <w:marBottom w:val="0"/>
      <w:divBdr>
        <w:top w:val="none" w:sz="0" w:space="0" w:color="auto"/>
        <w:left w:val="none" w:sz="0" w:space="0" w:color="auto"/>
        <w:bottom w:val="none" w:sz="0" w:space="0" w:color="auto"/>
        <w:right w:val="none" w:sz="0" w:space="0" w:color="auto"/>
      </w:divBdr>
    </w:div>
    <w:div w:id="116722149">
      <w:bodyDiv w:val="1"/>
      <w:marLeft w:val="0"/>
      <w:marRight w:val="0"/>
      <w:marTop w:val="0"/>
      <w:marBottom w:val="0"/>
      <w:divBdr>
        <w:top w:val="none" w:sz="0" w:space="0" w:color="auto"/>
        <w:left w:val="none" w:sz="0" w:space="0" w:color="auto"/>
        <w:bottom w:val="none" w:sz="0" w:space="0" w:color="auto"/>
        <w:right w:val="none" w:sz="0" w:space="0" w:color="auto"/>
      </w:divBdr>
    </w:div>
    <w:div w:id="125196302">
      <w:bodyDiv w:val="1"/>
      <w:marLeft w:val="0"/>
      <w:marRight w:val="0"/>
      <w:marTop w:val="0"/>
      <w:marBottom w:val="0"/>
      <w:divBdr>
        <w:top w:val="none" w:sz="0" w:space="0" w:color="auto"/>
        <w:left w:val="none" w:sz="0" w:space="0" w:color="auto"/>
        <w:bottom w:val="none" w:sz="0" w:space="0" w:color="auto"/>
        <w:right w:val="none" w:sz="0" w:space="0" w:color="auto"/>
      </w:divBdr>
    </w:div>
    <w:div w:id="139270842">
      <w:bodyDiv w:val="1"/>
      <w:marLeft w:val="0"/>
      <w:marRight w:val="0"/>
      <w:marTop w:val="0"/>
      <w:marBottom w:val="0"/>
      <w:divBdr>
        <w:top w:val="none" w:sz="0" w:space="0" w:color="auto"/>
        <w:left w:val="none" w:sz="0" w:space="0" w:color="auto"/>
        <w:bottom w:val="none" w:sz="0" w:space="0" w:color="auto"/>
        <w:right w:val="none" w:sz="0" w:space="0" w:color="auto"/>
      </w:divBdr>
    </w:div>
    <w:div w:id="142549779">
      <w:bodyDiv w:val="1"/>
      <w:marLeft w:val="0"/>
      <w:marRight w:val="0"/>
      <w:marTop w:val="0"/>
      <w:marBottom w:val="0"/>
      <w:divBdr>
        <w:top w:val="none" w:sz="0" w:space="0" w:color="auto"/>
        <w:left w:val="none" w:sz="0" w:space="0" w:color="auto"/>
        <w:bottom w:val="none" w:sz="0" w:space="0" w:color="auto"/>
        <w:right w:val="none" w:sz="0" w:space="0" w:color="auto"/>
      </w:divBdr>
    </w:div>
    <w:div w:id="150489885">
      <w:bodyDiv w:val="1"/>
      <w:marLeft w:val="0"/>
      <w:marRight w:val="0"/>
      <w:marTop w:val="0"/>
      <w:marBottom w:val="0"/>
      <w:divBdr>
        <w:top w:val="none" w:sz="0" w:space="0" w:color="auto"/>
        <w:left w:val="none" w:sz="0" w:space="0" w:color="auto"/>
        <w:bottom w:val="none" w:sz="0" w:space="0" w:color="auto"/>
        <w:right w:val="none" w:sz="0" w:space="0" w:color="auto"/>
      </w:divBdr>
    </w:div>
    <w:div w:id="158354856">
      <w:bodyDiv w:val="1"/>
      <w:marLeft w:val="0"/>
      <w:marRight w:val="0"/>
      <w:marTop w:val="0"/>
      <w:marBottom w:val="0"/>
      <w:divBdr>
        <w:top w:val="none" w:sz="0" w:space="0" w:color="auto"/>
        <w:left w:val="none" w:sz="0" w:space="0" w:color="auto"/>
        <w:bottom w:val="none" w:sz="0" w:space="0" w:color="auto"/>
        <w:right w:val="none" w:sz="0" w:space="0" w:color="auto"/>
      </w:divBdr>
    </w:div>
    <w:div w:id="169758496">
      <w:bodyDiv w:val="1"/>
      <w:marLeft w:val="0"/>
      <w:marRight w:val="0"/>
      <w:marTop w:val="0"/>
      <w:marBottom w:val="0"/>
      <w:divBdr>
        <w:top w:val="none" w:sz="0" w:space="0" w:color="auto"/>
        <w:left w:val="none" w:sz="0" w:space="0" w:color="auto"/>
        <w:bottom w:val="none" w:sz="0" w:space="0" w:color="auto"/>
        <w:right w:val="none" w:sz="0" w:space="0" w:color="auto"/>
      </w:divBdr>
    </w:div>
    <w:div w:id="174806576">
      <w:bodyDiv w:val="1"/>
      <w:marLeft w:val="0"/>
      <w:marRight w:val="0"/>
      <w:marTop w:val="0"/>
      <w:marBottom w:val="0"/>
      <w:divBdr>
        <w:top w:val="none" w:sz="0" w:space="0" w:color="auto"/>
        <w:left w:val="none" w:sz="0" w:space="0" w:color="auto"/>
        <w:bottom w:val="none" w:sz="0" w:space="0" w:color="auto"/>
        <w:right w:val="none" w:sz="0" w:space="0" w:color="auto"/>
      </w:divBdr>
    </w:div>
    <w:div w:id="176430546">
      <w:bodyDiv w:val="1"/>
      <w:marLeft w:val="0"/>
      <w:marRight w:val="0"/>
      <w:marTop w:val="0"/>
      <w:marBottom w:val="0"/>
      <w:divBdr>
        <w:top w:val="none" w:sz="0" w:space="0" w:color="auto"/>
        <w:left w:val="none" w:sz="0" w:space="0" w:color="auto"/>
        <w:bottom w:val="none" w:sz="0" w:space="0" w:color="auto"/>
        <w:right w:val="none" w:sz="0" w:space="0" w:color="auto"/>
      </w:divBdr>
    </w:div>
    <w:div w:id="199244664">
      <w:bodyDiv w:val="1"/>
      <w:marLeft w:val="0"/>
      <w:marRight w:val="0"/>
      <w:marTop w:val="0"/>
      <w:marBottom w:val="0"/>
      <w:divBdr>
        <w:top w:val="none" w:sz="0" w:space="0" w:color="auto"/>
        <w:left w:val="none" w:sz="0" w:space="0" w:color="auto"/>
        <w:bottom w:val="none" w:sz="0" w:space="0" w:color="auto"/>
        <w:right w:val="none" w:sz="0" w:space="0" w:color="auto"/>
      </w:divBdr>
    </w:div>
    <w:div w:id="201796432">
      <w:bodyDiv w:val="1"/>
      <w:marLeft w:val="0"/>
      <w:marRight w:val="0"/>
      <w:marTop w:val="0"/>
      <w:marBottom w:val="0"/>
      <w:divBdr>
        <w:top w:val="none" w:sz="0" w:space="0" w:color="auto"/>
        <w:left w:val="none" w:sz="0" w:space="0" w:color="auto"/>
        <w:bottom w:val="none" w:sz="0" w:space="0" w:color="auto"/>
        <w:right w:val="none" w:sz="0" w:space="0" w:color="auto"/>
      </w:divBdr>
    </w:div>
    <w:div w:id="236138585">
      <w:bodyDiv w:val="1"/>
      <w:marLeft w:val="0"/>
      <w:marRight w:val="0"/>
      <w:marTop w:val="0"/>
      <w:marBottom w:val="0"/>
      <w:divBdr>
        <w:top w:val="none" w:sz="0" w:space="0" w:color="auto"/>
        <w:left w:val="none" w:sz="0" w:space="0" w:color="auto"/>
        <w:bottom w:val="none" w:sz="0" w:space="0" w:color="auto"/>
        <w:right w:val="none" w:sz="0" w:space="0" w:color="auto"/>
      </w:divBdr>
    </w:div>
    <w:div w:id="251941434">
      <w:bodyDiv w:val="1"/>
      <w:marLeft w:val="0"/>
      <w:marRight w:val="0"/>
      <w:marTop w:val="0"/>
      <w:marBottom w:val="0"/>
      <w:divBdr>
        <w:top w:val="none" w:sz="0" w:space="0" w:color="auto"/>
        <w:left w:val="none" w:sz="0" w:space="0" w:color="auto"/>
        <w:bottom w:val="none" w:sz="0" w:space="0" w:color="auto"/>
        <w:right w:val="none" w:sz="0" w:space="0" w:color="auto"/>
      </w:divBdr>
    </w:div>
    <w:div w:id="268390065">
      <w:bodyDiv w:val="1"/>
      <w:marLeft w:val="0"/>
      <w:marRight w:val="0"/>
      <w:marTop w:val="0"/>
      <w:marBottom w:val="0"/>
      <w:divBdr>
        <w:top w:val="none" w:sz="0" w:space="0" w:color="auto"/>
        <w:left w:val="none" w:sz="0" w:space="0" w:color="auto"/>
        <w:bottom w:val="none" w:sz="0" w:space="0" w:color="auto"/>
        <w:right w:val="none" w:sz="0" w:space="0" w:color="auto"/>
      </w:divBdr>
    </w:div>
    <w:div w:id="276106100">
      <w:bodyDiv w:val="1"/>
      <w:marLeft w:val="0"/>
      <w:marRight w:val="0"/>
      <w:marTop w:val="0"/>
      <w:marBottom w:val="0"/>
      <w:divBdr>
        <w:top w:val="none" w:sz="0" w:space="0" w:color="auto"/>
        <w:left w:val="none" w:sz="0" w:space="0" w:color="auto"/>
        <w:bottom w:val="none" w:sz="0" w:space="0" w:color="auto"/>
        <w:right w:val="none" w:sz="0" w:space="0" w:color="auto"/>
      </w:divBdr>
    </w:div>
    <w:div w:id="278416843">
      <w:bodyDiv w:val="1"/>
      <w:marLeft w:val="0"/>
      <w:marRight w:val="0"/>
      <w:marTop w:val="0"/>
      <w:marBottom w:val="0"/>
      <w:divBdr>
        <w:top w:val="none" w:sz="0" w:space="0" w:color="auto"/>
        <w:left w:val="none" w:sz="0" w:space="0" w:color="auto"/>
        <w:bottom w:val="none" w:sz="0" w:space="0" w:color="auto"/>
        <w:right w:val="none" w:sz="0" w:space="0" w:color="auto"/>
      </w:divBdr>
    </w:div>
    <w:div w:id="286355568">
      <w:bodyDiv w:val="1"/>
      <w:marLeft w:val="0"/>
      <w:marRight w:val="0"/>
      <w:marTop w:val="0"/>
      <w:marBottom w:val="0"/>
      <w:divBdr>
        <w:top w:val="none" w:sz="0" w:space="0" w:color="auto"/>
        <w:left w:val="none" w:sz="0" w:space="0" w:color="auto"/>
        <w:bottom w:val="none" w:sz="0" w:space="0" w:color="auto"/>
        <w:right w:val="none" w:sz="0" w:space="0" w:color="auto"/>
      </w:divBdr>
    </w:div>
    <w:div w:id="289559655">
      <w:bodyDiv w:val="1"/>
      <w:marLeft w:val="0"/>
      <w:marRight w:val="0"/>
      <w:marTop w:val="0"/>
      <w:marBottom w:val="0"/>
      <w:divBdr>
        <w:top w:val="none" w:sz="0" w:space="0" w:color="auto"/>
        <w:left w:val="none" w:sz="0" w:space="0" w:color="auto"/>
        <w:bottom w:val="none" w:sz="0" w:space="0" w:color="auto"/>
        <w:right w:val="none" w:sz="0" w:space="0" w:color="auto"/>
      </w:divBdr>
    </w:div>
    <w:div w:id="327557747">
      <w:bodyDiv w:val="1"/>
      <w:marLeft w:val="0"/>
      <w:marRight w:val="0"/>
      <w:marTop w:val="0"/>
      <w:marBottom w:val="0"/>
      <w:divBdr>
        <w:top w:val="none" w:sz="0" w:space="0" w:color="auto"/>
        <w:left w:val="none" w:sz="0" w:space="0" w:color="auto"/>
        <w:bottom w:val="none" w:sz="0" w:space="0" w:color="auto"/>
        <w:right w:val="none" w:sz="0" w:space="0" w:color="auto"/>
      </w:divBdr>
    </w:div>
    <w:div w:id="330985431">
      <w:bodyDiv w:val="1"/>
      <w:marLeft w:val="0"/>
      <w:marRight w:val="0"/>
      <w:marTop w:val="0"/>
      <w:marBottom w:val="0"/>
      <w:divBdr>
        <w:top w:val="none" w:sz="0" w:space="0" w:color="auto"/>
        <w:left w:val="none" w:sz="0" w:space="0" w:color="auto"/>
        <w:bottom w:val="none" w:sz="0" w:space="0" w:color="auto"/>
        <w:right w:val="none" w:sz="0" w:space="0" w:color="auto"/>
      </w:divBdr>
    </w:div>
    <w:div w:id="369960903">
      <w:bodyDiv w:val="1"/>
      <w:marLeft w:val="0"/>
      <w:marRight w:val="0"/>
      <w:marTop w:val="0"/>
      <w:marBottom w:val="0"/>
      <w:divBdr>
        <w:top w:val="none" w:sz="0" w:space="0" w:color="auto"/>
        <w:left w:val="none" w:sz="0" w:space="0" w:color="auto"/>
        <w:bottom w:val="none" w:sz="0" w:space="0" w:color="auto"/>
        <w:right w:val="none" w:sz="0" w:space="0" w:color="auto"/>
      </w:divBdr>
    </w:div>
    <w:div w:id="376665062">
      <w:bodyDiv w:val="1"/>
      <w:marLeft w:val="0"/>
      <w:marRight w:val="0"/>
      <w:marTop w:val="0"/>
      <w:marBottom w:val="0"/>
      <w:divBdr>
        <w:top w:val="none" w:sz="0" w:space="0" w:color="auto"/>
        <w:left w:val="none" w:sz="0" w:space="0" w:color="auto"/>
        <w:bottom w:val="none" w:sz="0" w:space="0" w:color="auto"/>
        <w:right w:val="none" w:sz="0" w:space="0" w:color="auto"/>
      </w:divBdr>
    </w:div>
    <w:div w:id="376704263">
      <w:bodyDiv w:val="1"/>
      <w:marLeft w:val="0"/>
      <w:marRight w:val="0"/>
      <w:marTop w:val="0"/>
      <w:marBottom w:val="0"/>
      <w:divBdr>
        <w:top w:val="none" w:sz="0" w:space="0" w:color="auto"/>
        <w:left w:val="none" w:sz="0" w:space="0" w:color="auto"/>
        <w:bottom w:val="none" w:sz="0" w:space="0" w:color="auto"/>
        <w:right w:val="none" w:sz="0" w:space="0" w:color="auto"/>
      </w:divBdr>
    </w:div>
    <w:div w:id="382094571">
      <w:bodyDiv w:val="1"/>
      <w:marLeft w:val="0"/>
      <w:marRight w:val="0"/>
      <w:marTop w:val="0"/>
      <w:marBottom w:val="0"/>
      <w:divBdr>
        <w:top w:val="none" w:sz="0" w:space="0" w:color="auto"/>
        <w:left w:val="none" w:sz="0" w:space="0" w:color="auto"/>
        <w:bottom w:val="none" w:sz="0" w:space="0" w:color="auto"/>
        <w:right w:val="none" w:sz="0" w:space="0" w:color="auto"/>
      </w:divBdr>
    </w:div>
    <w:div w:id="400561185">
      <w:bodyDiv w:val="1"/>
      <w:marLeft w:val="0"/>
      <w:marRight w:val="0"/>
      <w:marTop w:val="0"/>
      <w:marBottom w:val="0"/>
      <w:divBdr>
        <w:top w:val="none" w:sz="0" w:space="0" w:color="auto"/>
        <w:left w:val="none" w:sz="0" w:space="0" w:color="auto"/>
        <w:bottom w:val="none" w:sz="0" w:space="0" w:color="auto"/>
        <w:right w:val="none" w:sz="0" w:space="0" w:color="auto"/>
      </w:divBdr>
    </w:div>
    <w:div w:id="411392291">
      <w:bodyDiv w:val="1"/>
      <w:marLeft w:val="0"/>
      <w:marRight w:val="0"/>
      <w:marTop w:val="0"/>
      <w:marBottom w:val="0"/>
      <w:divBdr>
        <w:top w:val="none" w:sz="0" w:space="0" w:color="auto"/>
        <w:left w:val="none" w:sz="0" w:space="0" w:color="auto"/>
        <w:bottom w:val="none" w:sz="0" w:space="0" w:color="auto"/>
        <w:right w:val="none" w:sz="0" w:space="0" w:color="auto"/>
      </w:divBdr>
    </w:div>
    <w:div w:id="419716093">
      <w:bodyDiv w:val="1"/>
      <w:marLeft w:val="0"/>
      <w:marRight w:val="0"/>
      <w:marTop w:val="0"/>
      <w:marBottom w:val="0"/>
      <w:divBdr>
        <w:top w:val="none" w:sz="0" w:space="0" w:color="auto"/>
        <w:left w:val="none" w:sz="0" w:space="0" w:color="auto"/>
        <w:bottom w:val="none" w:sz="0" w:space="0" w:color="auto"/>
        <w:right w:val="none" w:sz="0" w:space="0" w:color="auto"/>
      </w:divBdr>
    </w:div>
    <w:div w:id="421419006">
      <w:bodyDiv w:val="1"/>
      <w:marLeft w:val="0"/>
      <w:marRight w:val="0"/>
      <w:marTop w:val="0"/>
      <w:marBottom w:val="0"/>
      <w:divBdr>
        <w:top w:val="none" w:sz="0" w:space="0" w:color="auto"/>
        <w:left w:val="none" w:sz="0" w:space="0" w:color="auto"/>
        <w:bottom w:val="none" w:sz="0" w:space="0" w:color="auto"/>
        <w:right w:val="none" w:sz="0" w:space="0" w:color="auto"/>
      </w:divBdr>
    </w:div>
    <w:div w:id="422070330">
      <w:bodyDiv w:val="1"/>
      <w:marLeft w:val="0"/>
      <w:marRight w:val="0"/>
      <w:marTop w:val="0"/>
      <w:marBottom w:val="0"/>
      <w:divBdr>
        <w:top w:val="none" w:sz="0" w:space="0" w:color="auto"/>
        <w:left w:val="none" w:sz="0" w:space="0" w:color="auto"/>
        <w:bottom w:val="none" w:sz="0" w:space="0" w:color="auto"/>
        <w:right w:val="none" w:sz="0" w:space="0" w:color="auto"/>
      </w:divBdr>
    </w:div>
    <w:div w:id="437023471">
      <w:bodyDiv w:val="1"/>
      <w:marLeft w:val="0"/>
      <w:marRight w:val="0"/>
      <w:marTop w:val="0"/>
      <w:marBottom w:val="0"/>
      <w:divBdr>
        <w:top w:val="none" w:sz="0" w:space="0" w:color="auto"/>
        <w:left w:val="none" w:sz="0" w:space="0" w:color="auto"/>
        <w:bottom w:val="none" w:sz="0" w:space="0" w:color="auto"/>
        <w:right w:val="none" w:sz="0" w:space="0" w:color="auto"/>
      </w:divBdr>
    </w:div>
    <w:div w:id="446051237">
      <w:bodyDiv w:val="1"/>
      <w:marLeft w:val="0"/>
      <w:marRight w:val="0"/>
      <w:marTop w:val="0"/>
      <w:marBottom w:val="0"/>
      <w:divBdr>
        <w:top w:val="none" w:sz="0" w:space="0" w:color="auto"/>
        <w:left w:val="none" w:sz="0" w:space="0" w:color="auto"/>
        <w:bottom w:val="none" w:sz="0" w:space="0" w:color="auto"/>
        <w:right w:val="none" w:sz="0" w:space="0" w:color="auto"/>
      </w:divBdr>
    </w:div>
    <w:div w:id="446588933">
      <w:bodyDiv w:val="1"/>
      <w:marLeft w:val="0"/>
      <w:marRight w:val="0"/>
      <w:marTop w:val="0"/>
      <w:marBottom w:val="0"/>
      <w:divBdr>
        <w:top w:val="none" w:sz="0" w:space="0" w:color="auto"/>
        <w:left w:val="none" w:sz="0" w:space="0" w:color="auto"/>
        <w:bottom w:val="none" w:sz="0" w:space="0" w:color="auto"/>
        <w:right w:val="none" w:sz="0" w:space="0" w:color="auto"/>
      </w:divBdr>
    </w:div>
    <w:div w:id="447898210">
      <w:bodyDiv w:val="1"/>
      <w:marLeft w:val="0"/>
      <w:marRight w:val="0"/>
      <w:marTop w:val="0"/>
      <w:marBottom w:val="0"/>
      <w:divBdr>
        <w:top w:val="none" w:sz="0" w:space="0" w:color="auto"/>
        <w:left w:val="none" w:sz="0" w:space="0" w:color="auto"/>
        <w:bottom w:val="none" w:sz="0" w:space="0" w:color="auto"/>
        <w:right w:val="none" w:sz="0" w:space="0" w:color="auto"/>
      </w:divBdr>
    </w:div>
    <w:div w:id="448278507">
      <w:bodyDiv w:val="1"/>
      <w:marLeft w:val="0"/>
      <w:marRight w:val="0"/>
      <w:marTop w:val="0"/>
      <w:marBottom w:val="0"/>
      <w:divBdr>
        <w:top w:val="none" w:sz="0" w:space="0" w:color="auto"/>
        <w:left w:val="none" w:sz="0" w:space="0" w:color="auto"/>
        <w:bottom w:val="none" w:sz="0" w:space="0" w:color="auto"/>
        <w:right w:val="none" w:sz="0" w:space="0" w:color="auto"/>
      </w:divBdr>
    </w:div>
    <w:div w:id="472865913">
      <w:bodyDiv w:val="1"/>
      <w:marLeft w:val="0"/>
      <w:marRight w:val="0"/>
      <w:marTop w:val="0"/>
      <w:marBottom w:val="0"/>
      <w:divBdr>
        <w:top w:val="none" w:sz="0" w:space="0" w:color="auto"/>
        <w:left w:val="none" w:sz="0" w:space="0" w:color="auto"/>
        <w:bottom w:val="none" w:sz="0" w:space="0" w:color="auto"/>
        <w:right w:val="none" w:sz="0" w:space="0" w:color="auto"/>
      </w:divBdr>
    </w:div>
    <w:div w:id="483399260">
      <w:bodyDiv w:val="1"/>
      <w:marLeft w:val="0"/>
      <w:marRight w:val="0"/>
      <w:marTop w:val="0"/>
      <w:marBottom w:val="0"/>
      <w:divBdr>
        <w:top w:val="none" w:sz="0" w:space="0" w:color="auto"/>
        <w:left w:val="none" w:sz="0" w:space="0" w:color="auto"/>
        <w:bottom w:val="none" w:sz="0" w:space="0" w:color="auto"/>
        <w:right w:val="none" w:sz="0" w:space="0" w:color="auto"/>
      </w:divBdr>
    </w:div>
    <w:div w:id="487789847">
      <w:bodyDiv w:val="1"/>
      <w:marLeft w:val="0"/>
      <w:marRight w:val="0"/>
      <w:marTop w:val="0"/>
      <w:marBottom w:val="0"/>
      <w:divBdr>
        <w:top w:val="none" w:sz="0" w:space="0" w:color="auto"/>
        <w:left w:val="none" w:sz="0" w:space="0" w:color="auto"/>
        <w:bottom w:val="none" w:sz="0" w:space="0" w:color="auto"/>
        <w:right w:val="none" w:sz="0" w:space="0" w:color="auto"/>
      </w:divBdr>
    </w:div>
    <w:div w:id="490026658">
      <w:bodyDiv w:val="1"/>
      <w:marLeft w:val="0"/>
      <w:marRight w:val="0"/>
      <w:marTop w:val="0"/>
      <w:marBottom w:val="0"/>
      <w:divBdr>
        <w:top w:val="none" w:sz="0" w:space="0" w:color="auto"/>
        <w:left w:val="none" w:sz="0" w:space="0" w:color="auto"/>
        <w:bottom w:val="none" w:sz="0" w:space="0" w:color="auto"/>
        <w:right w:val="none" w:sz="0" w:space="0" w:color="auto"/>
      </w:divBdr>
    </w:div>
    <w:div w:id="496729175">
      <w:bodyDiv w:val="1"/>
      <w:marLeft w:val="0"/>
      <w:marRight w:val="0"/>
      <w:marTop w:val="0"/>
      <w:marBottom w:val="0"/>
      <w:divBdr>
        <w:top w:val="none" w:sz="0" w:space="0" w:color="auto"/>
        <w:left w:val="none" w:sz="0" w:space="0" w:color="auto"/>
        <w:bottom w:val="none" w:sz="0" w:space="0" w:color="auto"/>
        <w:right w:val="none" w:sz="0" w:space="0" w:color="auto"/>
      </w:divBdr>
    </w:div>
    <w:div w:id="505823717">
      <w:bodyDiv w:val="1"/>
      <w:marLeft w:val="0"/>
      <w:marRight w:val="0"/>
      <w:marTop w:val="0"/>
      <w:marBottom w:val="0"/>
      <w:divBdr>
        <w:top w:val="none" w:sz="0" w:space="0" w:color="auto"/>
        <w:left w:val="none" w:sz="0" w:space="0" w:color="auto"/>
        <w:bottom w:val="none" w:sz="0" w:space="0" w:color="auto"/>
        <w:right w:val="none" w:sz="0" w:space="0" w:color="auto"/>
      </w:divBdr>
    </w:div>
    <w:div w:id="513498414">
      <w:bodyDiv w:val="1"/>
      <w:marLeft w:val="0"/>
      <w:marRight w:val="0"/>
      <w:marTop w:val="0"/>
      <w:marBottom w:val="0"/>
      <w:divBdr>
        <w:top w:val="none" w:sz="0" w:space="0" w:color="auto"/>
        <w:left w:val="none" w:sz="0" w:space="0" w:color="auto"/>
        <w:bottom w:val="none" w:sz="0" w:space="0" w:color="auto"/>
        <w:right w:val="none" w:sz="0" w:space="0" w:color="auto"/>
      </w:divBdr>
    </w:div>
    <w:div w:id="526335802">
      <w:bodyDiv w:val="1"/>
      <w:marLeft w:val="0"/>
      <w:marRight w:val="0"/>
      <w:marTop w:val="0"/>
      <w:marBottom w:val="0"/>
      <w:divBdr>
        <w:top w:val="none" w:sz="0" w:space="0" w:color="auto"/>
        <w:left w:val="none" w:sz="0" w:space="0" w:color="auto"/>
        <w:bottom w:val="none" w:sz="0" w:space="0" w:color="auto"/>
        <w:right w:val="none" w:sz="0" w:space="0" w:color="auto"/>
      </w:divBdr>
    </w:div>
    <w:div w:id="559444104">
      <w:bodyDiv w:val="1"/>
      <w:marLeft w:val="0"/>
      <w:marRight w:val="0"/>
      <w:marTop w:val="0"/>
      <w:marBottom w:val="0"/>
      <w:divBdr>
        <w:top w:val="none" w:sz="0" w:space="0" w:color="auto"/>
        <w:left w:val="none" w:sz="0" w:space="0" w:color="auto"/>
        <w:bottom w:val="none" w:sz="0" w:space="0" w:color="auto"/>
        <w:right w:val="none" w:sz="0" w:space="0" w:color="auto"/>
      </w:divBdr>
    </w:div>
    <w:div w:id="564800579">
      <w:bodyDiv w:val="1"/>
      <w:marLeft w:val="0"/>
      <w:marRight w:val="0"/>
      <w:marTop w:val="0"/>
      <w:marBottom w:val="0"/>
      <w:divBdr>
        <w:top w:val="none" w:sz="0" w:space="0" w:color="auto"/>
        <w:left w:val="none" w:sz="0" w:space="0" w:color="auto"/>
        <w:bottom w:val="none" w:sz="0" w:space="0" w:color="auto"/>
        <w:right w:val="none" w:sz="0" w:space="0" w:color="auto"/>
      </w:divBdr>
    </w:div>
    <w:div w:id="567957662">
      <w:bodyDiv w:val="1"/>
      <w:marLeft w:val="0"/>
      <w:marRight w:val="0"/>
      <w:marTop w:val="0"/>
      <w:marBottom w:val="0"/>
      <w:divBdr>
        <w:top w:val="none" w:sz="0" w:space="0" w:color="auto"/>
        <w:left w:val="none" w:sz="0" w:space="0" w:color="auto"/>
        <w:bottom w:val="none" w:sz="0" w:space="0" w:color="auto"/>
        <w:right w:val="none" w:sz="0" w:space="0" w:color="auto"/>
      </w:divBdr>
    </w:div>
    <w:div w:id="575751705">
      <w:bodyDiv w:val="1"/>
      <w:marLeft w:val="0"/>
      <w:marRight w:val="0"/>
      <w:marTop w:val="0"/>
      <w:marBottom w:val="0"/>
      <w:divBdr>
        <w:top w:val="none" w:sz="0" w:space="0" w:color="auto"/>
        <w:left w:val="none" w:sz="0" w:space="0" w:color="auto"/>
        <w:bottom w:val="none" w:sz="0" w:space="0" w:color="auto"/>
        <w:right w:val="none" w:sz="0" w:space="0" w:color="auto"/>
      </w:divBdr>
    </w:div>
    <w:div w:id="576478027">
      <w:bodyDiv w:val="1"/>
      <w:marLeft w:val="0"/>
      <w:marRight w:val="0"/>
      <w:marTop w:val="0"/>
      <w:marBottom w:val="0"/>
      <w:divBdr>
        <w:top w:val="none" w:sz="0" w:space="0" w:color="auto"/>
        <w:left w:val="none" w:sz="0" w:space="0" w:color="auto"/>
        <w:bottom w:val="none" w:sz="0" w:space="0" w:color="auto"/>
        <w:right w:val="none" w:sz="0" w:space="0" w:color="auto"/>
      </w:divBdr>
    </w:div>
    <w:div w:id="578446091">
      <w:bodyDiv w:val="1"/>
      <w:marLeft w:val="0"/>
      <w:marRight w:val="0"/>
      <w:marTop w:val="0"/>
      <w:marBottom w:val="0"/>
      <w:divBdr>
        <w:top w:val="none" w:sz="0" w:space="0" w:color="auto"/>
        <w:left w:val="none" w:sz="0" w:space="0" w:color="auto"/>
        <w:bottom w:val="none" w:sz="0" w:space="0" w:color="auto"/>
        <w:right w:val="none" w:sz="0" w:space="0" w:color="auto"/>
      </w:divBdr>
    </w:div>
    <w:div w:id="584412676">
      <w:bodyDiv w:val="1"/>
      <w:marLeft w:val="0"/>
      <w:marRight w:val="0"/>
      <w:marTop w:val="0"/>
      <w:marBottom w:val="0"/>
      <w:divBdr>
        <w:top w:val="none" w:sz="0" w:space="0" w:color="auto"/>
        <w:left w:val="none" w:sz="0" w:space="0" w:color="auto"/>
        <w:bottom w:val="none" w:sz="0" w:space="0" w:color="auto"/>
        <w:right w:val="none" w:sz="0" w:space="0" w:color="auto"/>
      </w:divBdr>
    </w:div>
    <w:div w:id="594676927">
      <w:bodyDiv w:val="1"/>
      <w:marLeft w:val="0"/>
      <w:marRight w:val="0"/>
      <w:marTop w:val="0"/>
      <w:marBottom w:val="0"/>
      <w:divBdr>
        <w:top w:val="none" w:sz="0" w:space="0" w:color="auto"/>
        <w:left w:val="none" w:sz="0" w:space="0" w:color="auto"/>
        <w:bottom w:val="none" w:sz="0" w:space="0" w:color="auto"/>
        <w:right w:val="none" w:sz="0" w:space="0" w:color="auto"/>
      </w:divBdr>
    </w:div>
    <w:div w:id="614680381">
      <w:bodyDiv w:val="1"/>
      <w:marLeft w:val="0"/>
      <w:marRight w:val="0"/>
      <w:marTop w:val="0"/>
      <w:marBottom w:val="0"/>
      <w:divBdr>
        <w:top w:val="none" w:sz="0" w:space="0" w:color="auto"/>
        <w:left w:val="none" w:sz="0" w:space="0" w:color="auto"/>
        <w:bottom w:val="none" w:sz="0" w:space="0" w:color="auto"/>
        <w:right w:val="none" w:sz="0" w:space="0" w:color="auto"/>
      </w:divBdr>
    </w:div>
    <w:div w:id="617684476">
      <w:bodyDiv w:val="1"/>
      <w:marLeft w:val="0"/>
      <w:marRight w:val="0"/>
      <w:marTop w:val="0"/>
      <w:marBottom w:val="0"/>
      <w:divBdr>
        <w:top w:val="none" w:sz="0" w:space="0" w:color="auto"/>
        <w:left w:val="none" w:sz="0" w:space="0" w:color="auto"/>
        <w:bottom w:val="none" w:sz="0" w:space="0" w:color="auto"/>
        <w:right w:val="none" w:sz="0" w:space="0" w:color="auto"/>
      </w:divBdr>
    </w:div>
    <w:div w:id="619842485">
      <w:bodyDiv w:val="1"/>
      <w:marLeft w:val="0"/>
      <w:marRight w:val="0"/>
      <w:marTop w:val="0"/>
      <w:marBottom w:val="0"/>
      <w:divBdr>
        <w:top w:val="none" w:sz="0" w:space="0" w:color="auto"/>
        <w:left w:val="none" w:sz="0" w:space="0" w:color="auto"/>
        <w:bottom w:val="none" w:sz="0" w:space="0" w:color="auto"/>
        <w:right w:val="none" w:sz="0" w:space="0" w:color="auto"/>
      </w:divBdr>
    </w:div>
    <w:div w:id="626664691">
      <w:bodyDiv w:val="1"/>
      <w:marLeft w:val="0"/>
      <w:marRight w:val="0"/>
      <w:marTop w:val="0"/>
      <w:marBottom w:val="0"/>
      <w:divBdr>
        <w:top w:val="none" w:sz="0" w:space="0" w:color="auto"/>
        <w:left w:val="none" w:sz="0" w:space="0" w:color="auto"/>
        <w:bottom w:val="none" w:sz="0" w:space="0" w:color="auto"/>
        <w:right w:val="none" w:sz="0" w:space="0" w:color="auto"/>
      </w:divBdr>
    </w:div>
    <w:div w:id="627857791">
      <w:bodyDiv w:val="1"/>
      <w:marLeft w:val="0"/>
      <w:marRight w:val="0"/>
      <w:marTop w:val="0"/>
      <w:marBottom w:val="0"/>
      <w:divBdr>
        <w:top w:val="none" w:sz="0" w:space="0" w:color="auto"/>
        <w:left w:val="none" w:sz="0" w:space="0" w:color="auto"/>
        <w:bottom w:val="none" w:sz="0" w:space="0" w:color="auto"/>
        <w:right w:val="none" w:sz="0" w:space="0" w:color="auto"/>
      </w:divBdr>
    </w:div>
    <w:div w:id="628511156">
      <w:bodyDiv w:val="1"/>
      <w:marLeft w:val="0"/>
      <w:marRight w:val="0"/>
      <w:marTop w:val="0"/>
      <w:marBottom w:val="0"/>
      <w:divBdr>
        <w:top w:val="none" w:sz="0" w:space="0" w:color="auto"/>
        <w:left w:val="none" w:sz="0" w:space="0" w:color="auto"/>
        <w:bottom w:val="none" w:sz="0" w:space="0" w:color="auto"/>
        <w:right w:val="none" w:sz="0" w:space="0" w:color="auto"/>
      </w:divBdr>
    </w:div>
    <w:div w:id="640499542">
      <w:bodyDiv w:val="1"/>
      <w:marLeft w:val="0"/>
      <w:marRight w:val="0"/>
      <w:marTop w:val="0"/>
      <w:marBottom w:val="0"/>
      <w:divBdr>
        <w:top w:val="none" w:sz="0" w:space="0" w:color="auto"/>
        <w:left w:val="none" w:sz="0" w:space="0" w:color="auto"/>
        <w:bottom w:val="none" w:sz="0" w:space="0" w:color="auto"/>
        <w:right w:val="none" w:sz="0" w:space="0" w:color="auto"/>
      </w:divBdr>
    </w:div>
    <w:div w:id="641732677">
      <w:bodyDiv w:val="1"/>
      <w:marLeft w:val="0"/>
      <w:marRight w:val="0"/>
      <w:marTop w:val="0"/>
      <w:marBottom w:val="0"/>
      <w:divBdr>
        <w:top w:val="none" w:sz="0" w:space="0" w:color="auto"/>
        <w:left w:val="none" w:sz="0" w:space="0" w:color="auto"/>
        <w:bottom w:val="none" w:sz="0" w:space="0" w:color="auto"/>
        <w:right w:val="none" w:sz="0" w:space="0" w:color="auto"/>
      </w:divBdr>
    </w:div>
    <w:div w:id="664161766">
      <w:bodyDiv w:val="1"/>
      <w:marLeft w:val="0"/>
      <w:marRight w:val="0"/>
      <w:marTop w:val="0"/>
      <w:marBottom w:val="0"/>
      <w:divBdr>
        <w:top w:val="none" w:sz="0" w:space="0" w:color="auto"/>
        <w:left w:val="none" w:sz="0" w:space="0" w:color="auto"/>
        <w:bottom w:val="none" w:sz="0" w:space="0" w:color="auto"/>
        <w:right w:val="none" w:sz="0" w:space="0" w:color="auto"/>
      </w:divBdr>
    </w:div>
    <w:div w:id="664937250">
      <w:bodyDiv w:val="1"/>
      <w:marLeft w:val="0"/>
      <w:marRight w:val="0"/>
      <w:marTop w:val="0"/>
      <w:marBottom w:val="0"/>
      <w:divBdr>
        <w:top w:val="none" w:sz="0" w:space="0" w:color="auto"/>
        <w:left w:val="none" w:sz="0" w:space="0" w:color="auto"/>
        <w:bottom w:val="none" w:sz="0" w:space="0" w:color="auto"/>
        <w:right w:val="none" w:sz="0" w:space="0" w:color="auto"/>
      </w:divBdr>
    </w:div>
    <w:div w:id="671949397">
      <w:bodyDiv w:val="1"/>
      <w:marLeft w:val="0"/>
      <w:marRight w:val="0"/>
      <w:marTop w:val="0"/>
      <w:marBottom w:val="0"/>
      <w:divBdr>
        <w:top w:val="none" w:sz="0" w:space="0" w:color="auto"/>
        <w:left w:val="none" w:sz="0" w:space="0" w:color="auto"/>
        <w:bottom w:val="none" w:sz="0" w:space="0" w:color="auto"/>
        <w:right w:val="none" w:sz="0" w:space="0" w:color="auto"/>
      </w:divBdr>
    </w:div>
    <w:div w:id="672030945">
      <w:bodyDiv w:val="1"/>
      <w:marLeft w:val="0"/>
      <w:marRight w:val="0"/>
      <w:marTop w:val="0"/>
      <w:marBottom w:val="0"/>
      <w:divBdr>
        <w:top w:val="none" w:sz="0" w:space="0" w:color="auto"/>
        <w:left w:val="none" w:sz="0" w:space="0" w:color="auto"/>
        <w:bottom w:val="none" w:sz="0" w:space="0" w:color="auto"/>
        <w:right w:val="none" w:sz="0" w:space="0" w:color="auto"/>
      </w:divBdr>
    </w:div>
    <w:div w:id="694041308">
      <w:bodyDiv w:val="1"/>
      <w:marLeft w:val="0"/>
      <w:marRight w:val="0"/>
      <w:marTop w:val="0"/>
      <w:marBottom w:val="0"/>
      <w:divBdr>
        <w:top w:val="none" w:sz="0" w:space="0" w:color="auto"/>
        <w:left w:val="none" w:sz="0" w:space="0" w:color="auto"/>
        <w:bottom w:val="none" w:sz="0" w:space="0" w:color="auto"/>
        <w:right w:val="none" w:sz="0" w:space="0" w:color="auto"/>
      </w:divBdr>
    </w:div>
    <w:div w:id="702750194">
      <w:bodyDiv w:val="1"/>
      <w:marLeft w:val="0"/>
      <w:marRight w:val="0"/>
      <w:marTop w:val="0"/>
      <w:marBottom w:val="0"/>
      <w:divBdr>
        <w:top w:val="none" w:sz="0" w:space="0" w:color="auto"/>
        <w:left w:val="none" w:sz="0" w:space="0" w:color="auto"/>
        <w:bottom w:val="none" w:sz="0" w:space="0" w:color="auto"/>
        <w:right w:val="none" w:sz="0" w:space="0" w:color="auto"/>
      </w:divBdr>
    </w:div>
    <w:div w:id="733743352">
      <w:bodyDiv w:val="1"/>
      <w:marLeft w:val="0"/>
      <w:marRight w:val="0"/>
      <w:marTop w:val="0"/>
      <w:marBottom w:val="0"/>
      <w:divBdr>
        <w:top w:val="none" w:sz="0" w:space="0" w:color="auto"/>
        <w:left w:val="none" w:sz="0" w:space="0" w:color="auto"/>
        <w:bottom w:val="none" w:sz="0" w:space="0" w:color="auto"/>
        <w:right w:val="none" w:sz="0" w:space="0" w:color="auto"/>
      </w:divBdr>
    </w:div>
    <w:div w:id="734157753">
      <w:bodyDiv w:val="1"/>
      <w:marLeft w:val="0"/>
      <w:marRight w:val="0"/>
      <w:marTop w:val="0"/>
      <w:marBottom w:val="0"/>
      <w:divBdr>
        <w:top w:val="none" w:sz="0" w:space="0" w:color="auto"/>
        <w:left w:val="none" w:sz="0" w:space="0" w:color="auto"/>
        <w:bottom w:val="none" w:sz="0" w:space="0" w:color="auto"/>
        <w:right w:val="none" w:sz="0" w:space="0" w:color="auto"/>
      </w:divBdr>
    </w:div>
    <w:div w:id="740099165">
      <w:bodyDiv w:val="1"/>
      <w:marLeft w:val="0"/>
      <w:marRight w:val="0"/>
      <w:marTop w:val="0"/>
      <w:marBottom w:val="0"/>
      <w:divBdr>
        <w:top w:val="none" w:sz="0" w:space="0" w:color="auto"/>
        <w:left w:val="none" w:sz="0" w:space="0" w:color="auto"/>
        <w:bottom w:val="none" w:sz="0" w:space="0" w:color="auto"/>
        <w:right w:val="none" w:sz="0" w:space="0" w:color="auto"/>
      </w:divBdr>
    </w:div>
    <w:div w:id="748233986">
      <w:bodyDiv w:val="1"/>
      <w:marLeft w:val="0"/>
      <w:marRight w:val="0"/>
      <w:marTop w:val="0"/>
      <w:marBottom w:val="0"/>
      <w:divBdr>
        <w:top w:val="none" w:sz="0" w:space="0" w:color="auto"/>
        <w:left w:val="none" w:sz="0" w:space="0" w:color="auto"/>
        <w:bottom w:val="none" w:sz="0" w:space="0" w:color="auto"/>
        <w:right w:val="none" w:sz="0" w:space="0" w:color="auto"/>
      </w:divBdr>
    </w:div>
    <w:div w:id="755782581">
      <w:bodyDiv w:val="1"/>
      <w:marLeft w:val="0"/>
      <w:marRight w:val="0"/>
      <w:marTop w:val="0"/>
      <w:marBottom w:val="0"/>
      <w:divBdr>
        <w:top w:val="none" w:sz="0" w:space="0" w:color="auto"/>
        <w:left w:val="none" w:sz="0" w:space="0" w:color="auto"/>
        <w:bottom w:val="none" w:sz="0" w:space="0" w:color="auto"/>
        <w:right w:val="none" w:sz="0" w:space="0" w:color="auto"/>
      </w:divBdr>
    </w:div>
    <w:div w:id="793334052">
      <w:bodyDiv w:val="1"/>
      <w:marLeft w:val="0"/>
      <w:marRight w:val="0"/>
      <w:marTop w:val="0"/>
      <w:marBottom w:val="0"/>
      <w:divBdr>
        <w:top w:val="none" w:sz="0" w:space="0" w:color="auto"/>
        <w:left w:val="none" w:sz="0" w:space="0" w:color="auto"/>
        <w:bottom w:val="none" w:sz="0" w:space="0" w:color="auto"/>
        <w:right w:val="none" w:sz="0" w:space="0" w:color="auto"/>
      </w:divBdr>
    </w:div>
    <w:div w:id="824662470">
      <w:bodyDiv w:val="1"/>
      <w:marLeft w:val="0"/>
      <w:marRight w:val="0"/>
      <w:marTop w:val="0"/>
      <w:marBottom w:val="0"/>
      <w:divBdr>
        <w:top w:val="none" w:sz="0" w:space="0" w:color="auto"/>
        <w:left w:val="none" w:sz="0" w:space="0" w:color="auto"/>
        <w:bottom w:val="none" w:sz="0" w:space="0" w:color="auto"/>
        <w:right w:val="none" w:sz="0" w:space="0" w:color="auto"/>
      </w:divBdr>
    </w:div>
    <w:div w:id="835414343">
      <w:bodyDiv w:val="1"/>
      <w:marLeft w:val="0"/>
      <w:marRight w:val="0"/>
      <w:marTop w:val="0"/>
      <w:marBottom w:val="0"/>
      <w:divBdr>
        <w:top w:val="none" w:sz="0" w:space="0" w:color="auto"/>
        <w:left w:val="none" w:sz="0" w:space="0" w:color="auto"/>
        <w:bottom w:val="none" w:sz="0" w:space="0" w:color="auto"/>
        <w:right w:val="none" w:sz="0" w:space="0" w:color="auto"/>
      </w:divBdr>
    </w:div>
    <w:div w:id="862130959">
      <w:bodyDiv w:val="1"/>
      <w:marLeft w:val="0"/>
      <w:marRight w:val="0"/>
      <w:marTop w:val="0"/>
      <w:marBottom w:val="0"/>
      <w:divBdr>
        <w:top w:val="none" w:sz="0" w:space="0" w:color="auto"/>
        <w:left w:val="none" w:sz="0" w:space="0" w:color="auto"/>
        <w:bottom w:val="none" w:sz="0" w:space="0" w:color="auto"/>
        <w:right w:val="none" w:sz="0" w:space="0" w:color="auto"/>
      </w:divBdr>
    </w:div>
    <w:div w:id="862549959">
      <w:bodyDiv w:val="1"/>
      <w:marLeft w:val="0"/>
      <w:marRight w:val="0"/>
      <w:marTop w:val="0"/>
      <w:marBottom w:val="0"/>
      <w:divBdr>
        <w:top w:val="none" w:sz="0" w:space="0" w:color="auto"/>
        <w:left w:val="none" w:sz="0" w:space="0" w:color="auto"/>
        <w:bottom w:val="none" w:sz="0" w:space="0" w:color="auto"/>
        <w:right w:val="none" w:sz="0" w:space="0" w:color="auto"/>
      </w:divBdr>
    </w:div>
    <w:div w:id="865601858">
      <w:bodyDiv w:val="1"/>
      <w:marLeft w:val="0"/>
      <w:marRight w:val="0"/>
      <w:marTop w:val="0"/>
      <w:marBottom w:val="0"/>
      <w:divBdr>
        <w:top w:val="none" w:sz="0" w:space="0" w:color="auto"/>
        <w:left w:val="none" w:sz="0" w:space="0" w:color="auto"/>
        <w:bottom w:val="none" w:sz="0" w:space="0" w:color="auto"/>
        <w:right w:val="none" w:sz="0" w:space="0" w:color="auto"/>
      </w:divBdr>
    </w:div>
    <w:div w:id="869538516">
      <w:bodyDiv w:val="1"/>
      <w:marLeft w:val="0"/>
      <w:marRight w:val="0"/>
      <w:marTop w:val="0"/>
      <w:marBottom w:val="0"/>
      <w:divBdr>
        <w:top w:val="none" w:sz="0" w:space="0" w:color="auto"/>
        <w:left w:val="none" w:sz="0" w:space="0" w:color="auto"/>
        <w:bottom w:val="none" w:sz="0" w:space="0" w:color="auto"/>
        <w:right w:val="none" w:sz="0" w:space="0" w:color="auto"/>
      </w:divBdr>
    </w:div>
    <w:div w:id="876816188">
      <w:bodyDiv w:val="1"/>
      <w:marLeft w:val="0"/>
      <w:marRight w:val="0"/>
      <w:marTop w:val="0"/>
      <w:marBottom w:val="0"/>
      <w:divBdr>
        <w:top w:val="none" w:sz="0" w:space="0" w:color="auto"/>
        <w:left w:val="none" w:sz="0" w:space="0" w:color="auto"/>
        <w:bottom w:val="none" w:sz="0" w:space="0" w:color="auto"/>
        <w:right w:val="none" w:sz="0" w:space="0" w:color="auto"/>
      </w:divBdr>
    </w:div>
    <w:div w:id="878475563">
      <w:bodyDiv w:val="1"/>
      <w:marLeft w:val="0"/>
      <w:marRight w:val="0"/>
      <w:marTop w:val="0"/>
      <w:marBottom w:val="0"/>
      <w:divBdr>
        <w:top w:val="none" w:sz="0" w:space="0" w:color="auto"/>
        <w:left w:val="none" w:sz="0" w:space="0" w:color="auto"/>
        <w:bottom w:val="none" w:sz="0" w:space="0" w:color="auto"/>
        <w:right w:val="none" w:sz="0" w:space="0" w:color="auto"/>
      </w:divBdr>
    </w:div>
    <w:div w:id="887954022">
      <w:bodyDiv w:val="1"/>
      <w:marLeft w:val="0"/>
      <w:marRight w:val="0"/>
      <w:marTop w:val="0"/>
      <w:marBottom w:val="0"/>
      <w:divBdr>
        <w:top w:val="none" w:sz="0" w:space="0" w:color="auto"/>
        <w:left w:val="none" w:sz="0" w:space="0" w:color="auto"/>
        <w:bottom w:val="none" w:sz="0" w:space="0" w:color="auto"/>
        <w:right w:val="none" w:sz="0" w:space="0" w:color="auto"/>
      </w:divBdr>
    </w:div>
    <w:div w:id="892471802">
      <w:bodyDiv w:val="1"/>
      <w:marLeft w:val="0"/>
      <w:marRight w:val="0"/>
      <w:marTop w:val="0"/>
      <w:marBottom w:val="0"/>
      <w:divBdr>
        <w:top w:val="none" w:sz="0" w:space="0" w:color="auto"/>
        <w:left w:val="none" w:sz="0" w:space="0" w:color="auto"/>
        <w:bottom w:val="none" w:sz="0" w:space="0" w:color="auto"/>
        <w:right w:val="none" w:sz="0" w:space="0" w:color="auto"/>
      </w:divBdr>
    </w:div>
    <w:div w:id="904605537">
      <w:bodyDiv w:val="1"/>
      <w:marLeft w:val="0"/>
      <w:marRight w:val="0"/>
      <w:marTop w:val="0"/>
      <w:marBottom w:val="0"/>
      <w:divBdr>
        <w:top w:val="none" w:sz="0" w:space="0" w:color="auto"/>
        <w:left w:val="none" w:sz="0" w:space="0" w:color="auto"/>
        <w:bottom w:val="none" w:sz="0" w:space="0" w:color="auto"/>
        <w:right w:val="none" w:sz="0" w:space="0" w:color="auto"/>
      </w:divBdr>
    </w:div>
    <w:div w:id="904880512">
      <w:bodyDiv w:val="1"/>
      <w:marLeft w:val="0"/>
      <w:marRight w:val="0"/>
      <w:marTop w:val="0"/>
      <w:marBottom w:val="0"/>
      <w:divBdr>
        <w:top w:val="none" w:sz="0" w:space="0" w:color="auto"/>
        <w:left w:val="none" w:sz="0" w:space="0" w:color="auto"/>
        <w:bottom w:val="none" w:sz="0" w:space="0" w:color="auto"/>
        <w:right w:val="none" w:sz="0" w:space="0" w:color="auto"/>
      </w:divBdr>
    </w:div>
    <w:div w:id="929004492">
      <w:bodyDiv w:val="1"/>
      <w:marLeft w:val="0"/>
      <w:marRight w:val="0"/>
      <w:marTop w:val="0"/>
      <w:marBottom w:val="0"/>
      <w:divBdr>
        <w:top w:val="none" w:sz="0" w:space="0" w:color="auto"/>
        <w:left w:val="none" w:sz="0" w:space="0" w:color="auto"/>
        <w:bottom w:val="none" w:sz="0" w:space="0" w:color="auto"/>
        <w:right w:val="none" w:sz="0" w:space="0" w:color="auto"/>
      </w:divBdr>
    </w:div>
    <w:div w:id="957299510">
      <w:bodyDiv w:val="1"/>
      <w:marLeft w:val="0"/>
      <w:marRight w:val="0"/>
      <w:marTop w:val="0"/>
      <w:marBottom w:val="0"/>
      <w:divBdr>
        <w:top w:val="none" w:sz="0" w:space="0" w:color="auto"/>
        <w:left w:val="none" w:sz="0" w:space="0" w:color="auto"/>
        <w:bottom w:val="none" w:sz="0" w:space="0" w:color="auto"/>
        <w:right w:val="none" w:sz="0" w:space="0" w:color="auto"/>
      </w:divBdr>
    </w:div>
    <w:div w:id="957562668">
      <w:bodyDiv w:val="1"/>
      <w:marLeft w:val="0"/>
      <w:marRight w:val="0"/>
      <w:marTop w:val="0"/>
      <w:marBottom w:val="0"/>
      <w:divBdr>
        <w:top w:val="none" w:sz="0" w:space="0" w:color="auto"/>
        <w:left w:val="none" w:sz="0" w:space="0" w:color="auto"/>
        <w:bottom w:val="none" w:sz="0" w:space="0" w:color="auto"/>
        <w:right w:val="none" w:sz="0" w:space="0" w:color="auto"/>
      </w:divBdr>
    </w:div>
    <w:div w:id="958298708">
      <w:bodyDiv w:val="1"/>
      <w:marLeft w:val="0"/>
      <w:marRight w:val="0"/>
      <w:marTop w:val="0"/>
      <w:marBottom w:val="0"/>
      <w:divBdr>
        <w:top w:val="none" w:sz="0" w:space="0" w:color="auto"/>
        <w:left w:val="none" w:sz="0" w:space="0" w:color="auto"/>
        <w:bottom w:val="none" w:sz="0" w:space="0" w:color="auto"/>
        <w:right w:val="none" w:sz="0" w:space="0" w:color="auto"/>
      </w:divBdr>
    </w:div>
    <w:div w:id="959263204">
      <w:bodyDiv w:val="1"/>
      <w:marLeft w:val="0"/>
      <w:marRight w:val="0"/>
      <w:marTop w:val="0"/>
      <w:marBottom w:val="0"/>
      <w:divBdr>
        <w:top w:val="none" w:sz="0" w:space="0" w:color="auto"/>
        <w:left w:val="none" w:sz="0" w:space="0" w:color="auto"/>
        <w:bottom w:val="none" w:sz="0" w:space="0" w:color="auto"/>
        <w:right w:val="none" w:sz="0" w:space="0" w:color="auto"/>
      </w:divBdr>
    </w:div>
    <w:div w:id="962463059">
      <w:bodyDiv w:val="1"/>
      <w:marLeft w:val="0"/>
      <w:marRight w:val="0"/>
      <w:marTop w:val="0"/>
      <w:marBottom w:val="0"/>
      <w:divBdr>
        <w:top w:val="none" w:sz="0" w:space="0" w:color="auto"/>
        <w:left w:val="none" w:sz="0" w:space="0" w:color="auto"/>
        <w:bottom w:val="none" w:sz="0" w:space="0" w:color="auto"/>
        <w:right w:val="none" w:sz="0" w:space="0" w:color="auto"/>
      </w:divBdr>
    </w:div>
    <w:div w:id="962660655">
      <w:bodyDiv w:val="1"/>
      <w:marLeft w:val="0"/>
      <w:marRight w:val="0"/>
      <w:marTop w:val="0"/>
      <w:marBottom w:val="0"/>
      <w:divBdr>
        <w:top w:val="none" w:sz="0" w:space="0" w:color="auto"/>
        <w:left w:val="none" w:sz="0" w:space="0" w:color="auto"/>
        <w:bottom w:val="none" w:sz="0" w:space="0" w:color="auto"/>
        <w:right w:val="none" w:sz="0" w:space="0" w:color="auto"/>
      </w:divBdr>
    </w:div>
    <w:div w:id="971908854">
      <w:bodyDiv w:val="1"/>
      <w:marLeft w:val="0"/>
      <w:marRight w:val="0"/>
      <w:marTop w:val="0"/>
      <w:marBottom w:val="0"/>
      <w:divBdr>
        <w:top w:val="none" w:sz="0" w:space="0" w:color="auto"/>
        <w:left w:val="none" w:sz="0" w:space="0" w:color="auto"/>
        <w:bottom w:val="none" w:sz="0" w:space="0" w:color="auto"/>
        <w:right w:val="none" w:sz="0" w:space="0" w:color="auto"/>
      </w:divBdr>
    </w:div>
    <w:div w:id="979960566">
      <w:bodyDiv w:val="1"/>
      <w:marLeft w:val="0"/>
      <w:marRight w:val="0"/>
      <w:marTop w:val="0"/>
      <w:marBottom w:val="0"/>
      <w:divBdr>
        <w:top w:val="none" w:sz="0" w:space="0" w:color="auto"/>
        <w:left w:val="none" w:sz="0" w:space="0" w:color="auto"/>
        <w:bottom w:val="none" w:sz="0" w:space="0" w:color="auto"/>
        <w:right w:val="none" w:sz="0" w:space="0" w:color="auto"/>
      </w:divBdr>
    </w:div>
    <w:div w:id="983117285">
      <w:bodyDiv w:val="1"/>
      <w:marLeft w:val="0"/>
      <w:marRight w:val="0"/>
      <w:marTop w:val="0"/>
      <w:marBottom w:val="0"/>
      <w:divBdr>
        <w:top w:val="none" w:sz="0" w:space="0" w:color="auto"/>
        <w:left w:val="none" w:sz="0" w:space="0" w:color="auto"/>
        <w:bottom w:val="none" w:sz="0" w:space="0" w:color="auto"/>
        <w:right w:val="none" w:sz="0" w:space="0" w:color="auto"/>
      </w:divBdr>
    </w:div>
    <w:div w:id="990672591">
      <w:bodyDiv w:val="1"/>
      <w:marLeft w:val="0"/>
      <w:marRight w:val="0"/>
      <w:marTop w:val="0"/>
      <w:marBottom w:val="0"/>
      <w:divBdr>
        <w:top w:val="none" w:sz="0" w:space="0" w:color="auto"/>
        <w:left w:val="none" w:sz="0" w:space="0" w:color="auto"/>
        <w:bottom w:val="none" w:sz="0" w:space="0" w:color="auto"/>
        <w:right w:val="none" w:sz="0" w:space="0" w:color="auto"/>
      </w:divBdr>
    </w:div>
    <w:div w:id="1002203160">
      <w:bodyDiv w:val="1"/>
      <w:marLeft w:val="0"/>
      <w:marRight w:val="0"/>
      <w:marTop w:val="0"/>
      <w:marBottom w:val="0"/>
      <w:divBdr>
        <w:top w:val="none" w:sz="0" w:space="0" w:color="auto"/>
        <w:left w:val="none" w:sz="0" w:space="0" w:color="auto"/>
        <w:bottom w:val="none" w:sz="0" w:space="0" w:color="auto"/>
        <w:right w:val="none" w:sz="0" w:space="0" w:color="auto"/>
      </w:divBdr>
    </w:div>
    <w:div w:id="1018508442">
      <w:bodyDiv w:val="1"/>
      <w:marLeft w:val="0"/>
      <w:marRight w:val="0"/>
      <w:marTop w:val="0"/>
      <w:marBottom w:val="0"/>
      <w:divBdr>
        <w:top w:val="none" w:sz="0" w:space="0" w:color="auto"/>
        <w:left w:val="none" w:sz="0" w:space="0" w:color="auto"/>
        <w:bottom w:val="none" w:sz="0" w:space="0" w:color="auto"/>
        <w:right w:val="none" w:sz="0" w:space="0" w:color="auto"/>
      </w:divBdr>
    </w:div>
    <w:div w:id="1018697994">
      <w:bodyDiv w:val="1"/>
      <w:marLeft w:val="0"/>
      <w:marRight w:val="0"/>
      <w:marTop w:val="0"/>
      <w:marBottom w:val="0"/>
      <w:divBdr>
        <w:top w:val="none" w:sz="0" w:space="0" w:color="auto"/>
        <w:left w:val="none" w:sz="0" w:space="0" w:color="auto"/>
        <w:bottom w:val="none" w:sz="0" w:space="0" w:color="auto"/>
        <w:right w:val="none" w:sz="0" w:space="0" w:color="auto"/>
      </w:divBdr>
    </w:div>
    <w:div w:id="1030911832">
      <w:bodyDiv w:val="1"/>
      <w:marLeft w:val="0"/>
      <w:marRight w:val="0"/>
      <w:marTop w:val="0"/>
      <w:marBottom w:val="0"/>
      <w:divBdr>
        <w:top w:val="none" w:sz="0" w:space="0" w:color="auto"/>
        <w:left w:val="none" w:sz="0" w:space="0" w:color="auto"/>
        <w:bottom w:val="none" w:sz="0" w:space="0" w:color="auto"/>
        <w:right w:val="none" w:sz="0" w:space="0" w:color="auto"/>
      </w:divBdr>
    </w:div>
    <w:div w:id="1046374292">
      <w:bodyDiv w:val="1"/>
      <w:marLeft w:val="0"/>
      <w:marRight w:val="0"/>
      <w:marTop w:val="0"/>
      <w:marBottom w:val="0"/>
      <w:divBdr>
        <w:top w:val="none" w:sz="0" w:space="0" w:color="auto"/>
        <w:left w:val="none" w:sz="0" w:space="0" w:color="auto"/>
        <w:bottom w:val="none" w:sz="0" w:space="0" w:color="auto"/>
        <w:right w:val="none" w:sz="0" w:space="0" w:color="auto"/>
      </w:divBdr>
    </w:div>
    <w:div w:id="1065643156">
      <w:bodyDiv w:val="1"/>
      <w:marLeft w:val="0"/>
      <w:marRight w:val="0"/>
      <w:marTop w:val="0"/>
      <w:marBottom w:val="0"/>
      <w:divBdr>
        <w:top w:val="none" w:sz="0" w:space="0" w:color="auto"/>
        <w:left w:val="none" w:sz="0" w:space="0" w:color="auto"/>
        <w:bottom w:val="none" w:sz="0" w:space="0" w:color="auto"/>
        <w:right w:val="none" w:sz="0" w:space="0" w:color="auto"/>
      </w:divBdr>
    </w:div>
    <w:div w:id="1070999868">
      <w:bodyDiv w:val="1"/>
      <w:marLeft w:val="0"/>
      <w:marRight w:val="0"/>
      <w:marTop w:val="0"/>
      <w:marBottom w:val="0"/>
      <w:divBdr>
        <w:top w:val="none" w:sz="0" w:space="0" w:color="auto"/>
        <w:left w:val="none" w:sz="0" w:space="0" w:color="auto"/>
        <w:bottom w:val="none" w:sz="0" w:space="0" w:color="auto"/>
        <w:right w:val="none" w:sz="0" w:space="0" w:color="auto"/>
      </w:divBdr>
    </w:div>
    <w:div w:id="1073970732">
      <w:bodyDiv w:val="1"/>
      <w:marLeft w:val="0"/>
      <w:marRight w:val="0"/>
      <w:marTop w:val="0"/>
      <w:marBottom w:val="0"/>
      <w:divBdr>
        <w:top w:val="none" w:sz="0" w:space="0" w:color="auto"/>
        <w:left w:val="none" w:sz="0" w:space="0" w:color="auto"/>
        <w:bottom w:val="none" w:sz="0" w:space="0" w:color="auto"/>
        <w:right w:val="none" w:sz="0" w:space="0" w:color="auto"/>
      </w:divBdr>
    </w:div>
    <w:div w:id="1080298564">
      <w:bodyDiv w:val="1"/>
      <w:marLeft w:val="0"/>
      <w:marRight w:val="0"/>
      <w:marTop w:val="0"/>
      <w:marBottom w:val="0"/>
      <w:divBdr>
        <w:top w:val="none" w:sz="0" w:space="0" w:color="auto"/>
        <w:left w:val="none" w:sz="0" w:space="0" w:color="auto"/>
        <w:bottom w:val="none" w:sz="0" w:space="0" w:color="auto"/>
        <w:right w:val="none" w:sz="0" w:space="0" w:color="auto"/>
      </w:divBdr>
    </w:div>
    <w:div w:id="1087386957">
      <w:bodyDiv w:val="1"/>
      <w:marLeft w:val="0"/>
      <w:marRight w:val="0"/>
      <w:marTop w:val="0"/>
      <w:marBottom w:val="0"/>
      <w:divBdr>
        <w:top w:val="none" w:sz="0" w:space="0" w:color="auto"/>
        <w:left w:val="none" w:sz="0" w:space="0" w:color="auto"/>
        <w:bottom w:val="none" w:sz="0" w:space="0" w:color="auto"/>
        <w:right w:val="none" w:sz="0" w:space="0" w:color="auto"/>
      </w:divBdr>
    </w:div>
    <w:div w:id="1093628530">
      <w:bodyDiv w:val="1"/>
      <w:marLeft w:val="0"/>
      <w:marRight w:val="0"/>
      <w:marTop w:val="0"/>
      <w:marBottom w:val="0"/>
      <w:divBdr>
        <w:top w:val="none" w:sz="0" w:space="0" w:color="auto"/>
        <w:left w:val="none" w:sz="0" w:space="0" w:color="auto"/>
        <w:bottom w:val="none" w:sz="0" w:space="0" w:color="auto"/>
        <w:right w:val="none" w:sz="0" w:space="0" w:color="auto"/>
      </w:divBdr>
    </w:div>
    <w:div w:id="1096561037">
      <w:bodyDiv w:val="1"/>
      <w:marLeft w:val="0"/>
      <w:marRight w:val="0"/>
      <w:marTop w:val="0"/>
      <w:marBottom w:val="0"/>
      <w:divBdr>
        <w:top w:val="none" w:sz="0" w:space="0" w:color="auto"/>
        <w:left w:val="none" w:sz="0" w:space="0" w:color="auto"/>
        <w:bottom w:val="none" w:sz="0" w:space="0" w:color="auto"/>
        <w:right w:val="none" w:sz="0" w:space="0" w:color="auto"/>
      </w:divBdr>
    </w:div>
    <w:div w:id="1113936031">
      <w:bodyDiv w:val="1"/>
      <w:marLeft w:val="0"/>
      <w:marRight w:val="0"/>
      <w:marTop w:val="0"/>
      <w:marBottom w:val="0"/>
      <w:divBdr>
        <w:top w:val="none" w:sz="0" w:space="0" w:color="auto"/>
        <w:left w:val="none" w:sz="0" w:space="0" w:color="auto"/>
        <w:bottom w:val="none" w:sz="0" w:space="0" w:color="auto"/>
        <w:right w:val="none" w:sz="0" w:space="0" w:color="auto"/>
      </w:divBdr>
    </w:div>
    <w:div w:id="1146897568">
      <w:bodyDiv w:val="1"/>
      <w:marLeft w:val="0"/>
      <w:marRight w:val="0"/>
      <w:marTop w:val="0"/>
      <w:marBottom w:val="0"/>
      <w:divBdr>
        <w:top w:val="none" w:sz="0" w:space="0" w:color="auto"/>
        <w:left w:val="none" w:sz="0" w:space="0" w:color="auto"/>
        <w:bottom w:val="none" w:sz="0" w:space="0" w:color="auto"/>
        <w:right w:val="none" w:sz="0" w:space="0" w:color="auto"/>
      </w:divBdr>
    </w:div>
    <w:div w:id="1167285079">
      <w:bodyDiv w:val="1"/>
      <w:marLeft w:val="0"/>
      <w:marRight w:val="0"/>
      <w:marTop w:val="0"/>
      <w:marBottom w:val="0"/>
      <w:divBdr>
        <w:top w:val="none" w:sz="0" w:space="0" w:color="auto"/>
        <w:left w:val="none" w:sz="0" w:space="0" w:color="auto"/>
        <w:bottom w:val="none" w:sz="0" w:space="0" w:color="auto"/>
        <w:right w:val="none" w:sz="0" w:space="0" w:color="auto"/>
      </w:divBdr>
    </w:div>
    <w:div w:id="1168523891">
      <w:bodyDiv w:val="1"/>
      <w:marLeft w:val="0"/>
      <w:marRight w:val="0"/>
      <w:marTop w:val="0"/>
      <w:marBottom w:val="0"/>
      <w:divBdr>
        <w:top w:val="none" w:sz="0" w:space="0" w:color="auto"/>
        <w:left w:val="none" w:sz="0" w:space="0" w:color="auto"/>
        <w:bottom w:val="none" w:sz="0" w:space="0" w:color="auto"/>
        <w:right w:val="none" w:sz="0" w:space="0" w:color="auto"/>
      </w:divBdr>
    </w:div>
    <w:div w:id="1175653302">
      <w:bodyDiv w:val="1"/>
      <w:marLeft w:val="0"/>
      <w:marRight w:val="0"/>
      <w:marTop w:val="0"/>
      <w:marBottom w:val="0"/>
      <w:divBdr>
        <w:top w:val="none" w:sz="0" w:space="0" w:color="auto"/>
        <w:left w:val="none" w:sz="0" w:space="0" w:color="auto"/>
        <w:bottom w:val="none" w:sz="0" w:space="0" w:color="auto"/>
        <w:right w:val="none" w:sz="0" w:space="0" w:color="auto"/>
      </w:divBdr>
    </w:div>
    <w:div w:id="1176843532">
      <w:bodyDiv w:val="1"/>
      <w:marLeft w:val="0"/>
      <w:marRight w:val="0"/>
      <w:marTop w:val="0"/>
      <w:marBottom w:val="0"/>
      <w:divBdr>
        <w:top w:val="none" w:sz="0" w:space="0" w:color="auto"/>
        <w:left w:val="none" w:sz="0" w:space="0" w:color="auto"/>
        <w:bottom w:val="none" w:sz="0" w:space="0" w:color="auto"/>
        <w:right w:val="none" w:sz="0" w:space="0" w:color="auto"/>
      </w:divBdr>
    </w:div>
    <w:div w:id="1184054069">
      <w:bodyDiv w:val="1"/>
      <w:marLeft w:val="0"/>
      <w:marRight w:val="0"/>
      <w:marTop w:val="0"/>
      <w:marBottom w:val="0"/>
      <w:divBdr>
        <w:top w:val="none" w:sz="0" w:space="0" w:color="auto"/>
        <w:left w:val="none" w:sz="0" w:space="0" w:color="auto"/>
        <w:bottom w:val="none" w:sz="0" w:space="0" w:color="auto"/>
        <w:right w:val="none" w:sz="0" w:space="0" w:color="auto"/>
      </w:divBdr>
    </w:div>
    <w:div w:id="1190142579">
      <w:bodyDiv w:val="1"/>
      <w:marLeft w:val="0"/>
      <w:marRight w:val="0"/>
      <w:marTop w:val="0"/>
      <w:marBottom w:val="0"/>
      <w:divBdr>
        <w:top w:val="none" w:sz="0" w:space="0" w:color="auto"/>
        <w:left w:val="none" w:sz="0" w:space="0" w:color="auto"/>
        <w:bottom w:val="none" w:sz="0" w:space="0" w:color="auto"/>
        <w:right w:val="none" w:sz="0" w:space="0" w:color="auto"/>
      </w:divBdr>
    </w:div>
    <w:div w:id="1196189322">
      <w:bodyDiv w:val="1"/>
      <w:marLeft w:val="0"/>
      <w:marRight w:val="0"/>
      <w:marTop w:val="0"/>
      <w:marBottom w:val="0"/>
      <w:divBdr>
        <w:top w:val="none" w:sz="0" w:space="0" w:color="auto"/>
        <w:left w:val="none" w:sz="0" w:space="0" w:color="auto"/>
        <w:bottom w:val="none" w:sz="0" w:space="0" w:color="auto"/>
        <w:right w:val="none" w:sz="0" w:space="0" w:color="auto"/>
      </w:divBdr>
    </w:div>
    <w:div w:id="1230001007">
      <w:bodyDiv w:val="1"/>
      <w:marLeft w:val="0"/>
      <w:marRight w:val="0"/>
      <w:marTop w:val="0"/>
      <w:marBottom w:val="0"/>
      <w:divBdr>
        <w:top w:val="none" w:sz="0" w:space="0" w:color="auto"/>
        <w:left w:val="none" w:sz="0" w:space="0" w:color="auto"/>
        <w:bottom w:val="none" w:sz="0" w:space="0" w:color="auto"/>
        <w:right w:val="none" w:sz="0" w:space="0" w:color="auto"/>
      </w:divBdr>
    </w:div>
    <w:div w:id="1230727991">
      <w:bodyDiv w:val="1"/>
      <w:marLeft w:val="0"/>
      <w:marRight w:val="0"/>
      <w:marTop w:val="0"/>
      <w:marBottom w:val="0"/>
      <w:divBdr>
        <w:top w:val="none" w:sz="0" w:space="0" w:color="auto"/>
        <w:left w:val="none" w:sz="0" w:space="0" w:color="auto"/>
        <w:bottom w:val="none" w:sz="0" w:space="0" w:color="auto"/>
        <w:right w:val="none" w:sz="0" w:space="0" w:color="auto"/>
      </w:divBdr>
    </w:div>
    <w:div w:id="1239360954">
      <w:bodyDiv w:val="1"/>
      <w:marLeft w:val="0"/>
      <w:marRight w:val="0"/>
      <w:marTop w:val="0"/>
      <w:marBottom w:val="0"/>
      <w:divBdr>
        <w:top w:val="none" w:sz="0" w:space="0" w:color="auto"/>
        <w:left w:val="none" w:sz="0" w:space="0" w:color="auto"/>
        <w:bottom w:val="none" w:sz="0" w:space="0" w:color="auto"/>
        <w:right w:val="none" w:sz="0" w:space="0" w:color="auto"/>
      </w:divBdr>
    </w:div>
    <w:div w:id="1255438979">
      <w:bodyDiv w:val="1"/>
      <w:marLeft w:val="0"/>
      <w:marRight w:val="0"/>
      <w:marTop w:val="0"/>
      <w:marBottom w:val="0"/>
      <w:divBdr>
        <w:top w:val="none" w:sz="0" w:space="0" w:color="auto"/>
        <w:left w:val="none" w:sz="0" w:space="0" w:color="auto"/>
        <w:bottom w:val="none" w:sz="0" w:space="0" w:color="auto"/>
        <w:right w:val="none" w:sz="0" w:space="0" w:color="auto"/>
      </w:divBdr>
    </w:div>
    <w:div w:id="1256283105">
      <w:bodyDiv w:val="1"/>
      <w:marLeft w:val="0"/>
      <w:marRight w:val="0"/>
      <w:marTop w:val="0"/>
      <w:marBottom w:val="0"/>
      <w:divBdr>
        <w:top w:val="none" w:sz="0" w:space="0" w:color="auto"/>
        <w:left w:val="none" w:sz="0" w:space="0" w:color="auto"/>
        <w:bottom w:val="none" w:sz="0" w:space="0" w:color="auto"/>
        <w:right w:val="none" w:sz="0" w:space="0" w:color="auto"/>
      </w:divBdr>
    </w:div>
    <w:div w:id="1284536091">
      <w:bodyDiv w:val="1"/>
      <w:marLeft w:val="0"/>
      <w:marRight w:val="0"/>
      <w:marTop w:val="0"/>
      <w:marBottom w:val="0"/>
      <w:divBdr>
        <w:top w:val="none" w:sz="0" w:space="0" w:color="auto"/>
        <w:left w:val="none" w:sz="0" w:space="0" w:color="auto"/>
        <w:bottom w:val="none" w:sz="0" w:space="0" w:color="auto"/>
        <w:right w:val="none" w:sz="0" w:space="0" w:color="auto"/>
      </w:divBdr>
    </w:div>
    <w:div w:id="1298992835">
      <w:bodyDiv w:val="1"/>
      <w:marLeft w:val="0"/>
      <w:marRight w:val="0"/>
      <w:marTop w:val="0"/>
      <w:marBottom w:val="0"/>
      <w:divBdr>
        <w:top w:val="none" w:sz="0" w:space="0" w:color="auto"/>
        <w:left w:val="none" w:sz="0" w:space="0" w:color="auto"/>
        <w:bottom w:val="none" w:sz="0" w:space="0" w:color="auto"/>
        <w:right w:val="none" w:sz="0" w:space="0" w:color="auto"/>
      </w:divBdr>
    </w:div>
    <w:div w:id="1306357660">
      <w:bodyDiv w:val="1"/>
      <w:marLeft w:val="0"/>
      <w:marRight w:val="0"/>
      <w:marTop w:val="0"/>
      <w:marBottom w:val="0"/>
      <w:divBdr>
        <w:top w:val="none" w:sz="0" w:space="0" w:color="auto"/>
        <w:left w:val="none" w:sz="0" w:space="0" w:color="auto"/>
        <w:bottom w:val="none" w:sz="0" w:space="0" w:color="auto"/>
        <w:right w:val="none" w:sz="0" w:space="0" w:color="auto"/>
      </w:divBdr>
    </w:div>
    <w:div w:id="1317035116">
      <w:bodyDiv w:val="1"/>
      <w:marLeft w:val="0"/>
      <w:marRight w:val="0"/>
      <w:marTop w:val="0"/>
      <w:marBottom w:val="0"/>
      <w:divBdr>
        <w:top w:val="none" w:sz="0" w:space="0" w:color="auto"/>
        <w:left w:val="none" w:sz="0" w:space="0" w:color="auto"/>
        <w:bottom w:val="none" w:sz="0" w:space="0" w:color="auto"/>
        <w:right w:val="none" w:sz="0" w:space="0" w:color="auto"/>
      </w:divBdr>
    </w:div>
    <w:div w:id="1317958303">
      <w:bodyDiv w:val="1"/>
      <w:marLeft w:val="0"/>
      <w:marRight w:val="0"/>
      <w:marTop w:val="0"/>
      <w:marBottom w:val="0"/>
      <w:divBdr>
        <w:top w:val="none" w:sz="0" w:space="0" w:color="auto"/>
        <w:left w:val="none" w:sz="0" w:space="0" w:color="auto"/>
        <w:bottom w:val="none" w:sz="0" w:space="0" w:color="auto"/>
        <w:right w:val="none" w:sz="0" w:space="0" w:color="auto"/>
      </w:divBdr>
    </w:div>
    <w:div w:id="1327245225">
      <w:bodyDiv w:val="1"/>
      <w:marLeft w:val="0"/>
      <w:marRight w:val="0"/>
      <w:marTop w:val="0"/>
      <w:marBottom w:val="0"/>
      <w:divBdr>
        <w:top w:val="none" w:sz="0" w:space="0" w:color="auto"/>
        <w:left w:val="none" w:sz="0" w:space="0" w:color="auto"/>
        <w:bottom w:val="none" w:sz="0" w:space="0" w:color="auto"/>
        <w:right w:val="none" w:sz="0" w:space="0" w:color="auto"/>
      </w:divBdr>
    </w:div>
    <w:div w:id="1350255652">
      <w:bodyDiv w:val="1"/>
      <w:marLeft w:val="0"/>
      <w:marRight w:val="0"/>
      <w:marTop w:val="0"/>
      <w:marBottom w:val="0"/>
      <w:divBdr>
        <w:top w:val="none" w:sz="0" w:space="0" w:color="auto"/>
        <w:left w:val="none" w:sz="0" w:space="0" w:color="auto"/>
        <w:bottom w:val="none" w:sz="0" w:space="0" w:color="auto"/>
        <w:right w:val="none" w:sz="0" w:space="0" w:color="auto"/>
      </w:divBdr>
    </w:div>
    <w:div w:id="1357540367">
      <w:bodyDiv w:val="1"/>
      <w:marLeft w:val="0"/>
      <w:marRight w:val="0"/>
      <w:marTop w:val="0"/>
      <w:marBottom w:val="0"/>
      <w:divBdr>
        <w:top w:val="none" w:sz="0" w:space="0" w:color="auto"/>
        <w:left w:val="none" w:sz="0" w:space="0" w:color="auto"/>
        <w:bottom w:val="none" w:sz="0" w:space="0" w:color="auto"/>
        <w:right w:val="none" w:sz="0" w:space="0" w:color="auto"/>
      </w:divBdr>
    </w:div>
    <w:div w:id="1378311759">
      <w:bodyDiv w:val="1"/>
      <w:marLeft w:val="0"/>
      <w:marRight w:val="0"/>
      <w:marTop w:val="0"/>
      <w:marBottom w:val="0"/>
      <w:divBdr>
        <w:top w:val="none" w:sz="0" w:space="0" w:color="auto"/>
        <w:left w:val="none" w:sz="0" w:space="0" w:color="auto"/>
        <w:bottom w:val="none" w:sz="0" w:space="0" w:color="auto"/>
        <w:right w:val="none" w:sz="0" w:space="0" w:color="auto"/>
      </w:divBdr>
    </w:div>
    <w:div w:id="1379554507">
      <w:bodyDiv w:val="1"/>
      <w:marLeft w:val="0"/>
      <w:marRight w:val="0"/>
      <w:marTop w:val="0"/>
      <w:marBottom w:val="0"/>
      <w:divBdr>
        <w:top w:val="none" w:sz="0" w:space="0" w:color="auto"/>
        <w:left w:val="none" w:sz="0" w:space="0" w:color="auto"/>
        <w:bottom w:val="none" w:sz="0" w:space="0" w:color="auto"/>
        <w:right w:val="none" w:sz="0" w:space="0" w:color="auto"/>
      </w:divBdr>
    </w:div>
    <w:div w:id="1382483028">
      <w:bodyDiv w:val="1"/>
      <w:marLeft w:val="0"/>
      <w:marRight w:val="0"/>
      <w:marTop w:val="0"/>
      <w:marBottom w:val="0"/>
      <w:divBdr>
        <w:top w:val="none" w:sz="0" w:space="0" w:color="auto"/>
        <w:left w:val="none" w:sz="0" w:space="0" w:color="auto"/>
        <w:bottom w:val="none" w:sz="0" w:space="0" w:color="auto"/>
        <w:right w:val="none" w:sz="0" w:space="0" w:color="auto"/>
      </w:divBdr>
    </w:div>
    <w:div w:id="1385760374">
      <w:bodyDiv w:val="1"/>
      <w:marLeft w:val="0"/>
      <w:marRight w:val="0"/>
      <w:marTop w:val="0"/>
      <w:marBottom w:val="0"/>
      <w:divBdr>
        <w:top w:val="none" w:sz="0" w:space="0" w:color="auto"/>
        <w:left w:val="none" w:sz="0" w:space="0" w:color="auto"/>
        <w:bottom w:val="none" w:sz="0" w:space="0" w:color="auto"/>
        <w:right w:val="none" w:sz="0" w:space="0" w:color="auto"/>
      </w:divBdr>
    </w:div>
    <w:div w:id="1390108856">
      <w:bodyDiv w:val="1"/>
      <w:marLeft w:val="0"/>
      <w:marRight w:val="0"/>
      <w:marTop w:val="0"/>
      <w:marBottom w:val="0"/>
      <w:divBdr>
        <w:top w:val="none" w:sz="0" w:space="0" w:color="auto"/>
        <w:left w:val="none" w:sz="0" w:space="0" w:color="auto"/>
        <w:bottom w:val="none" w:sz="0" w:space="0" w:color="auto"/>
        <w:right w:val="none" w:sz="0" w:space="0" w:color="auto"/>
      </w:divBdr>
    </w:div>
    <w:div w:id="1393381758">
      <w:bodyDiv w:val="1"/>
      <w:marLeft w:val="0"/>
      <w:marRight w:val="0"/>
      <w:marTop w:val="0"/>
      <w:marBottom w:val="0"/>
      <w:divBdr>
        <w:top w:val="none" w:sz="0" w:space="0" w:color="auto"/>
        <w:left w:val="none" w:sz="0" w:space="0" w:color="auto"/>
        <w:bottom w:val="none" w:sz="0" w:space="0" w:color="auto"/>
        <w:right w:val="none" w:sz="0" w:space="0" w:color="auto"/>
      </w:divBdr>
    </w:div>
    <w:div w:id="1395666490">
      <w:bodyDiv w:val="1"/>
      <w:marLeft w:val="0"/>
      <w:marRight w:val="0"/>
      <w:marTop w:val="0"/>
      <w:marBottom w:val="0"/>
      <w:divBdr>
        <w:top w:val="none" w:sz="0" w:space="0" w:color="auto"/>
        <w:left w:val="none" w:sz="0" w:space="0" w:color="auto"/>
        <w:bottom w:val="none" w:sz="0" w:space="0" w:color="auto"/>
        <w:right w:val="none" w:sz="0" w:space="0" w:color="auto"/>
      </w:divBdr>
    </w:div>
    <w:div w:id="1396779431">
      <w:bodyDiv w:val="1"/>
      <w:marLeft w:val="0"/>
      <w:marRight w:val="0"/>
      <w:marTop w:val="0"/>
      <w:marBottom w:val="0"/>
      <w:divBdr>
        <w:top w:val="none" w:sz="0" w:space="0" w:color="auto"/>
        <w:left w:val="none" w:sz="0" w:space="0" w:color="auto"/>
        <w:bottom w:val="none" w:sz="0" w:space="0" w:color="auto"/>
        <w:right w:val="none" w:sz="0" w:space="0" w:color="auto"/>
      </w:divBdr>
    </w:div>
    <w:div w:id="1420827319">
      <w:bodyDiv w:val="1"/>
      <w:marLeft w:val="0"/>
      <w:marRight w:val="0"/>
      <w:marTop w:val="0"/>
      <w:marBottom w:val="0"/>
      <w:divBdr>
        <w:top w:val="none" w:sz="0" w:space="0" w:color="auto"/>
        <w:left w:val="none" w:sz="0" w:space="0" w:color="auto"/>
        <w:bottom w:val="none" w:sz="0" w:space="0" w:color="auto"/>
        <w:right w:val="none" w:sz="0" w:space="0" w:color="auto"/>
      </w:divBdr>
    </w:div>
    <w:div w:id="1446119846">
      <w:bodyDiv w:val="1"/>
      <w:marLeft w:val="0"/>
      <w:marRight w:val="0"/>
      <w:marTop w:val="0"/>
      <w:marBottom w:val="0"/>
      <w:divBdr>
        <w:top w:val="none" w:sz="0" w:space="0" w:color="auto"/>
        <w:left w:val="none" w:sz="0" w:space="0" w:color="auto"/>
        <w:bottom w:val="none" w:sz="0" w:space="0" w:color="auto"/>
        <w:right w:val="none" w:sz="0" w:space="0" w:color="auto"/>
      </w:divBdr>
    </w:div>
    <w:div w:id="1452359599">
      <w:bodyDiv w:val="1"/>
      <w:marLeft w:val="0"/>
      <w:marRight w:val="0"/>
      <w:marTop w:val="0"/>
      <w:marBottom w:val="0"/>
      <w:divBdr>
        <w:top w:val="none" w:sz="0" w:space="0" w:color="auto"/>
        <w:left w:val="none" w:sz="0" w:space="0" w:color="auto"/>
        <w:bottom w:val="none" w:sz="0" w:space="0" w:color="auto"/>
        <w:right w:val="none" w:sz="0" w:space="0" w:color="auto"/>
      </w:divBdr>
    </w:div>
    <w:div w:id="1455560560">
      <w:bodyDiv w:val="1"/>
      <w:marLeft w:val="0"/>
      <w:marRight w:val="0"/>
      <w:marTop w:val="0"/>
      <w:marBottom w:val="0"/>
      <w:divBdr>
        <w:top w:val="none" w:sz="0" w:space="0" w:color="auto"/>
        <w:left w:val="none" w:sz="0" w:space="0" w:color="auto"/>
        <w:bottom w:val="none" w:sz="0" w:space="0" w:color="auto"/>
        <w:right w:val="none" w:sz="0" w:space="0" w:color="auto"/>
      </w:divBdr>
    </w:div>
    <w:div w:id="1466506314">
      <w:bodyDiv w:val="1"/>
      <w:marLeft w:val="0"/>
      <w:marRight w:val="0"/>
      <w:marTop w:val="0"/>
      <w:marBottom w:val="0"/>
      <w:divBdr>
        <w:top w:val="none" w:sz="0" w:space="0" w:color="auto"/>
        <w:left w:val="none" w:sz="0" w:space="0" w:color="auto"/>
        <w:bottom w:val="none" w:sz="0" w:space="0" w:color="auto"/>
        <w:right w:val="none" w:sz="0" w:space="0" w:color="auto"/>
      </w:divBdr>
    </w:div>
    <w:div w:id="1466659156">
      <w:bodyDiv w:val="1"/>
      <w:marLeft w:val="0"/>
      <w:marRight w:val="0"/>
      <w:marTop w:val="0"/>
      <w:marBottom w:val="0"/>
      <w:divBdr>
        <w:top w:val="none" w:sz="0" w:space="0" w:color="auto"/>
        <w:left w:val="none" w:sz="0" w:space="0" w:color="auto"/>
        <w:bottom w:val="none" w:sz="0" w:space="0" w:color="auto"/>
        <w:right w:val="none" w:sz="0" w:space="0" w:color="auto"/>
      </w:divBdr>
    </w:div>
    <w:div w:id="1472285963">
      <w:bodyDiv w:val="1"/>
      <w:marLeft w:val="0"/>
      <w:marRight w:val="0"/>
      <w:marTop w:val="0"/>
      <w:marBottom w:val="0"/>
      <w:divBdr>
        <w:top w:val="none" w:sz="0" w:space="0" w:color="auto"/>
        <w:left w:val="none" w:sz="0" w:space="0" w:color="auto"/>
        <w:bottom w:val="none" w:sz="0" w:space="0" w:color="auto"/>
        <w:right w:val="none" w:sz="0" w:space="0" w:color="auto"/>
      </w:divBdr>
    </w:div>
    <w:div w:id="1496064898">
      <w:bodyDiv w:val="1"/>
      <w:marLeft w:val="0"/>
      <w:marRight w:val="0"/>
      <w:marTop w:val="0"/>
      <w:marBottom w:val="0"/>
      <w:divBdr>
        <w:top w:val="none" w:sz="0" w:space="0" w:color="auto"/>
        <w:left w:val="none" w:sz="0" w:space="0" w:color="auto"/>
        <w:bottom w:val="none" w:sz="0" w:space="0" w:color="auto"/>
        <w:right w:val="none" w:sz="0" w:space="0" w:color="auto"/>
      </w:divBdr>
    </w:div>
    <w:div w:id="1506624607">
      <w:bodyDiv w:val="1"/>
      <w:marLeft w:val="0"/>
      <w:marRight w:val="0"/>
      <w:marTop w:val="0"/>
      <w:marBottom w:val="0"/>
      <w:divBdr>
        <w:top w:val="none" w:sz="0" w:space="0" w:color="auto"/>
        <w:left w:val="none" w:sz="0" w:space="0" w:color="auto"/>
        <w:bottom w:val="none" w:sz="0" w:space="0" w:color="auto"/>
        <w:right w:val="none" w:sz="0" w:space="0" w:color="auto"/>
      </w:divBdr>
    </w:div>
    <w:div w:id="1520199931">
      <w:bodyDiv w:val="1"/>
      <w:marLeft w:val="0"/>
      <w:marRight w:val="0"/>
      <w:marTop w:val="0"/>
      <w:marBottom w:val="0"/>
      <w:divBdr>
        <w:top w:val="none" w:sz="0" w:space="0" w:color="auto"/>
        <w:left w:val="none" w:sz="0" w:space="0" w:color="auto"/>
        <w:bottom w:val="none" w:sz="0" w:space="0" w:color="auto"/>
        <w:right w:val="none" w:sz="0" w:space="0" w:color="auto"/>
      </w:divBdr>
    </w:div>
    <w:div w:id="1524174222">
      <w:bodyDiv w:val="1"/>
      <w:marLeft w:val="0"/>
      <w:marRight w:val="0"/>
      <w:marTop w:val="0"/>
      <w:marBottom w:val="0"/>
      <w:divBdr>
        <w:top w:val="none" w:sz="0" w:space="0" w:color="auto"/>
        <w:left w:val="none" w:sz="0" w:space="0" w:color="auto"/>
        <w:bottom w:val="none" w:sz="0" w:space="0" w:color="auto"/>
        <w:right w:val="none" w:sz="0" w:space="0" w:color="auto"/>
      </w:divBdr>
    </w:div>
    <w:div w:id="1527253800">
      <w:bodyDiv w:val="1"/>
      <w:marLeft w:val="0"/>
      <w:marRight w:val="0"/>
      <w:marTop w:val="0"/>
      <w:marBottom w:val="0"/>
      <w:divBdr>
        <w:top w:val="none" w:sz="0" w:space="0" w:color="auto"/>
        <w:left w:val="none" w:sz="0" w:space="0" w:color="auto"/>
        <w:bottom w:val="none" w:sz="0" w:space="0" w:color="auto"/>
        <w:right w:val="none" w:sz="0" w:space="0" w:color="auto"/>
      </w:divBdr>
    </w:div>
    <w:div w:id="1571887226">
      <w:bodyDiv w:val="1"/>
      <w:marLeft w:val="0"/>
      <w:marRight w:val="0"/>
      <w:marTop w:val="0"/>
      <w:marBottom w:val="0"/>
      <w:divBdr>
        <w:top w:val="none" w:sz="0" w:space="0" w:color="auto"/>
        <w:left w:val="none" w:sz="0" w:space="0" w:color="auto"/>
        <w:bottom w:val="none" w:sz="0" w:space="0" w:color="auto"/>
        <w:right w:val="none" w:sz="0" w:space="0" w:color="auto"/>
      </w:divBdr>
    </w:div>
    <w:div w:id="1572806802">
      <w:bodyDiv w:val="1"/>
      <w:marLeft w:val="0"/>
      <w:marRight w:val="0"/>
      <w:marTop w:val="0"/>
      <w:marBottom w:val="0"/>
      <w:divBdr>
        <w:top w:val="none" w:sz="0" w:space="0" w:color="auto"/>
        <w:left w:val="none" w:sz="0" w:space="0" w:color="auto"/>
        <w:bottom w:val="none" w:sz="0" w:space="0" w:color="auto"/>
        <w:right w:val="none" w:sz="0" w:space="0" w:color="auto"/>
      </w:divBdr>
    </w:div>
    <w:div w:id="1577548763">
      <w:bodyDiv w:val="1"/>
      <w:marLeft w:val="0"/>
      <w:marRight w:val="0"/>
      <w:marTop w:val="0"/>
      <w:marBottom w:val="0"/>
      <w:divBdr>
        <w:top w:val="none" w:sz="0" w:space="0" w:color="auto"/>
        <w:left w:val="none" w:sz="0" w:space="0" w:color="auto"/>
        <w:bottom w:val="none" w:sz="0" w:space="0" w:color="auto"/>
        <w:right w:val="none" w:sz="0" w:space="0" w:color="auto"/>
      </w:divBdr>
    </w:div>
    <w:div w:id="1584336185">
      <w:bodyDiv w:val="1"/>
      <w:marLeft w:val="0"/>
      <w:marRight w:val="0"/>
      <w:marTop w:val="0"/>
      <w:marBottom w:val="0"/>
      <w:divBdr>
        <w:top w:val="none" w:sz="0" w:space="0" w:color="auto"/>
        <w:left w:val="none" w:sz="0" w:space="0" w:color="auto"/>
        <w:bottom w:val="none" w:sz="0" w:space="0" w:color="auto"/>
        <w:right w:val="none" w:sz="0" w:space="0" w:color="auto"/>
      </w:divBdr>
    </w:div>
    <w:div w:id="1586065702">
      <w:bodyDiv w:val="1"/>
      <w:marLeft w:val="0"/>
      <w:marRight w:val="0"/>
      <w:marTop w:val="0"/>
      <w:marBottom w:val="0"/>
      <w:divBdr>
        <w:top w:val="none" w:sz="0" w:space="0" w:color="auto"/>
        <w:left w:val="none" w:sz="0" w:space="0" w:color="auto"/>
        <w:bottom w:val="none" w:sz="0" w:space="0" w:color="auto"/>
        <w:right w:val="none" w:sz="0" w:space="0" w:color="auto"/>
      </w:divBdr>
    </w:div>
    <w:div w:id="1590655635">
      <w:bodyDiv w:val="1"/>
      <w:marLeft w:val="0"/>
      <w:marRight w:val="0"/>
      <w:marTop w:val="0"/>
      <w:marBottom w:val="0"/>
      <w:divBdr>
        <w:top w:val="none" w:sz="0" w:space="0" w:color="auto"/>
        <w:left w:val="none" w:sz="0" w:space="0" w:color="auto"/>
        <w:bottom w:val="none" w:sz="0" w:space="0" w:color="auto"/>
        <w:right w:val="none" w:sz="0" w:space="0" w:color="auto"/>
      </w:divBdr>
    </w:div>
    <w:div w:id="1595628420">
      <w:bodyDiv w:val="1"/>
      <w:marLeft w:val="0"/>
      <w:marRight w:val="0"/>
      <w:marTop w:val="0"/>
      <w:marBottom w:val="0"/>
      <w:divBdr>
        <w:top w:val="none" w:sz="0" w:space="0" w:color="auto"/>
        <w:left w:val="none" w:sz="0" w:space="0" w:color="auto"/>
        <w:bottom w:val="none" w:sz="0" w:space="0" w:color="auto"/>
        <w:right w:val="none" w:sz="0" w:space="0" w:color="auto"/>
      </w:divBdr>
    </w:div>
    <w:div w:id="1616861621">
      <w:bodyDiv w:val="1"/>
      <w:marLeft w:val="0"/>
      <w:marRight w:val="0"/>
      <w:marTop w:val="0"/>
      <w:marBottom w:val="0"/>
      <w:divBdr>
        <w:top w:val="none" w:sz="0" w:space="0" w:color="auto"/>
        <w:left w:val="none" w:sz="0" w:space="0" w:color="auto"/>
        <w:bottom w:val="none" w:sz="0" w:space="0" w:color="auto"/>
        <w:right w:val="none" w:sz="0" w:space="0" w:color="auto"/>
      </w:divBdr>
    </w:div>
    <w:div w:id="1650859290">
      <w:bodyDiv w:val="1"/>
      <w:marLeft w:val="0"/>
      <w:marRight w:val="0"/>
      <w:marTop w:val="0"/>
      <w:marBottom w:val="0"/>
      <w:divBdr>
        <w:top w:val="none" w:sz="0" w:space="0" w:color="auto"/>
        <w:left w:val="none" w:sz="0" w:space="0" w:color="auto"/>
        <w:bottom w:val="none" w:sz="0" w:space="0" w:color="auto"/>
        <w:right w:val="none" w:sz="0" w:space="0" w:color="auto"/>
      </w:divBdr>
    </w:div>
    <w:div w:id="1652447120">
      <w:bodyDiv w:val="1"/>
      <w:marLeft w:val="0"/>
      <w:marRight w:val="0"/>
      <w:marTop w:val="0"/>
      <w:marBottom w:val="0"/>
      <w:divBdr>
        <w:top w:val="none" w:sz="0" w:space="0" w:color="auto"/>
        <w:left w:val="none" w:sz="0" w:space="0" w:color="auto"/>
        <w:bottom w:val="none" w:sz="0" w:space="0" w:color="auto"/>
        <w:right w:val="none" w:sz="0" w:space="0" w:color="auto"/>
      </w:divBdr>
    </w:div>
    <w:div w:id="1658879568">
      <w:bodyDiv w:val="1"/>
      <w:marLeft w:val="0"/>
      <w:marRight w:val="0"/>
      <w:marTop w:val="0"/>
      <w:marBottom w:val="0"/>
      <w:divBdr>
        <w:top w:val="none" w:sz="0" w:space="0" w:color="auto"/>
        <w:left w:val="none" w:sz="0" w:space="0" w:color="auto"/>
        <w:bottom w:val="none" w:sz="0" w:space="0" w:color="auto"/>
        <w:right w:val="none" w:sz="0" w:space="0" w:color="auto"/>
      </w:divBdr>
    </w:div>
    <w:div w:id="1661156442">
      <w:bodyDiv w:val="1"/>
      <w:marLeft w:val="0"/>
      <w:marRight w:val="0"/>
      <w:marTop w:val="0"/>
      <w:marBottom w:val="0"/>
      <w:divBdr>
        <w:top w:val="none" w:sz="0" w:space="0" w:color="auto"/>
        <w:left w:val="none" w:sz="0" w:space="0" w:color="auto"/>
        <w:bottom w:val="none" w:sz="0" w:space="0" w:color="auto"/>
        <w:right w:val="none" w:sz="0" w:space="0" w:color="auto"/>
      </w:divBdr>
    </w:div>
    <w:div w:id="1667977572">
      <w:bodyDiv w:val="1"/>
      <w:marLeft w:val="0"/>
      <w:marRight w:val="0"/>
      <w:marTop w:val="0"/>
      <w:marBottom w:val="0"/>
      <w:divBdr>
        <w:top w:val="none" w:sz="0" w:space="0" w:color="auto"/>
        <w:left w:val="none" w:sz="0" w:space="0" w:color="auto"/>
        <w:bottom w:val="none" w:sz="0" w:space="0" w:color="auto"/>
        <w:right w:val="none" w:sz="0" w:space="0" w:color="auto"/>
      </w:divBdr>
    </w:div>
    <w:div w:id="1670713975">
      <w:bodyDiv w:val="1"/>
      <w:marLeft w:val="0"/>
      <w:marRight w:val="0"/>
      <w:marTop w:val="0"/>
      <w:marBottom w:val="0"/>
      <w:divBdr>
        <w:top w:val="none" w:sz="0" w:space="0" w:color="auto"/>
        <w:left w:val="none" w:sz="0" w:space="0" w:color="auto"/>
        <w:bottom w:val="none" w:sz="0" w:space="0" w:color="auto"/>
        <w:right w:val="none" w:sz="0" w:space="0" w:color="auto"/>
      </w:divBdr>
    </w:div>
    <w:div w:id="1696421143">
      <w:bodyDiv w:val="1"/>
      <w:marLeft w:val="0"/>
      <w:marRight w:val="0"/>
      <w:marTop w:val="0"/>
      <w:marBottom w:val="0"/>
      <w:divBdr>
        <w:top w:val="none" w:sz="0" w:space="0" w:color="auto"/>
        <w:left w:val="none" w:sz="0" w:space="0" w:color="auto"/>
        <w:bottom w:val="none" w:sz="0" w:space="0" w:color="auto"/>
        <w:right w:val="none" w:sz="0" w:space="0" w:color="auto"/>
      </w:divBdr>
    </w:div>
    <w:div w:id="1703702189">
      <w:bodyDiv w:val="1"/>
      <w:marLeft w:val="0"/>
      <w:marRight w:val="0"/>
      <w:marTop w:val="0"/>
      <w:marBottom w:val="0"/>
      <w:divBdr>
        <w:top w:val="none" w:sz="0" w:space="0" w:color="auto"/>
        <w:left w:val="none" w:sz="0" w:space="0" w:color="auto"/>
        <w:bottom w:val="none" w:sz="0" w:space="0" w:color="auto"/>
        <w:right w:val="none" w:sz="0" w:space="0" w:color="auto"/>
      </w:divBdr>
    </w:div>
    <w:div w:id="1712261683">
      <w:bodyDiv w:val="1"/>
      <w:marLeft w:val="0"/>
      <w:marRight w:val="0"/>
      <w:marTop w:val="0"/>
      <w:marBottom w:val="0"/>
      <w:divBdr>
        <w:top w:val="none" w:sz="0" w:space="0" w:color="auto"/>
        <w:left w:val="none" w:sz="0" w:space="0" w:color="auto"/>
        <w:bottom w:val="none" w:sz="0" w:space="0" w:color="auto"/>
        <w:right w:val="none" w:sz="0" w:space="0" w:color="auto"/>
      </w:divBdr>
    </w:div>
    <w:div w:id="1718049807">
      <w:bodyDiv w:val="1"/>
      <w:marLeft w:val="0"/>
      <w:marRight w:val="0"/>
      <w:marTop w:val="0"/>
      <w:marBottom w:val="0"/>
      <w:divBdr>
        <w:top w:val="none" w:sz="0" w:space="0" w:color="auto"/>
        <w:left w:val="none" w:sz="0" w:space="0" w:color="auto"/>
        <w:bottom w:val="none" w:sz="0" w:space="0" w:color="auto"/>
        <w:right w:val="none" w:sz="0" w:space="0" w:color="auto"/>
      </w:divBdr>
    </w:div>
    <w:div w:id="1722097583">
      <w:bodyDiv w:val="1"/>
      <w:marLeft w:val="0"/>
      <w:marRight w:val="0"/>
      <w:marTop w:val="0"/>
      <w:marBottom w:val="0"/>
      <w:divBdr>
        <w:top w:val="none" w:sz="0" w:space="0" w:color="auto"/>
        <w:left w:val="none" w:sz="0" w:space="0" w:color="auto"/>
        <w:bottom w:val="none" w:sz="0" w:space="0" w:color="auto"/>
        <w:right w:val="none" w:sz="0" w:space="0" w:color="auto"/>
      </w:divBdr>
    </w:div>
    <w:div w:id="1722172333">
      <w:bodyDiv w:val="1"/>
      <w:marLeft w:val="0"/>
      <w:marRight w:val="0"/>
      <w:marTop w:val="0"/>
      <w:marBottom w:val="0"/>
      <w:divBdr>
        <w:top w:val="none" w:sz="0" w:space="0" w:color="auto"/>
        <w:left w:val="none" w:sz="0" w:space="0" w:color="auto"/>
        <w:bottom w:val="none" w:sz="0" w:space="0" w:color="auto"/>
        <w:right w:val="none" w:sz="0" w:space="0" w:color="auto"/>
      </w:divBdr>
    </w:div>
    <w:div w:id="1739203304">
      <w:bodyDiv w:val="1"/>
      <w:marLeft w:val="0"/>
      <w:marRight w:val="0"/>
      <w:marTop w:val="0"/>
      <w:marBottom w:val="0"/>
      <w:divBdr>
        <w:top w:val="none" w:sz="0" w:space="0" w:color="auto"/>
        <w:left w:val="none" w:sz="0" w:space="0" w:color="auto"/>
        <w:bottom w:val="none" w:sz="0" w:space="0" w:color="auto"/>
        <w:right w:val="none" w:sz="0" w:space="0" w:color="auto"/>
      </w:divBdr>
    </w:div>
    <w:div w:id="1745879545">
      <w:bodyDiv w:val="1"/>
      <w:marLeft w:val="0"/>
      <w:marRight w:val="0"/>
      <w:marTop w:val="0"/>
      <w:marBottom w:val="0"/>
      <w:divBdr>
        <w:top w:val="none" w:sz="0" w:space="0" w:color="auto"/>
        <w:left w:val="none" w:sz="0" w:space="0" w:color="auto"/>
        <w:bottom w:val="none" w:sz="0" w:space="0" w:color="auto"/>
        <w:right w:val="none" w:sz="0" w:space="0" w:color="auto"/>
      </w:divBdr>
    </w:div>
    <w:div w:id="1755318868">
      <w:bodyDiv w:val="1"/>
      <w:marLeft w:val="0"/>
      <w:marRight w:val="0"/>
      <w:marTop w:val="0"/>
      <w:marBottom w:val="0"/>
      <w:divBdr>
        <w:top w:val="none" w:sz="0" w:space="0" w:color="auto"/>
        <w:left w:val="none" w:sz="0" w:space="0" w:color="auto"/>
        <w:bottom w:val="none" w:sz="0" w:space="0" w:color="auto"/>
        <w:right w:val="none" w:sz="0" w:space="0" w:color="auto"/>
      </w:divBdr>
    </w:div>
    <w:div w:id="1764496384">
      <w:bodyDiv w:val="1"/>
      <w:marLeft w:val="0"/>
      <w:marRight w:val="0"/>
      <w:marTop w:val="0"/>
      <w:marBottom w:val="0"/>
      <w:divBdr>
        <w:top w:val="none" w:sz="0" w:space="0" w:color="auto"/>
        <w:left w:val="none" w:sz="0" w:space="0" w:color="auto"/>
        <w:bottom w:val="none" w:sz="0" w:space="0" w:color="auto"/>
        <w:right w:val="none" w:sz="0" w:space="0" w:color="auto"/>
      </w:divBdr>
    </w:div>
    <w:div w:id="1766268426">
      <w:bodyDiv w:val="1"/>
      <w:marLeft w:val="0"/>
      <w:marRight w:val="0"/>
      <w:marTop w:val="0"/>
      <w:marBottom w:val="0"/>
      <w:divBdr>
        <w:top w:val="none" w:sz="0" w:space="0" w:color="auto"/>
        <w:left w:val="none" w:sz="0" w:space="0" w:color="auto"/>
        <w:bottom w:val="none" w:sz="0" w:space="0" w:color="auto"/>
        <w:right w:val="none" w:sz="0" w:space="0" w:color="auto"/>
      </w:divBdr>
    </w:div>
    <w:div w:id="1771580663">
      <w:bodyDiv w:val="1"/>
      <w:marLeft w:val="0"/>
      <w:marRight w:val="0"/>
      <w:marTop w:val="0"/>
      <w:marBottom w:val="0"/>
      <w:divBdr>
        <w:top w:val="none" w:sz="0" w:space="0" w:color="auto"/>
        <w:left w:val="none" w:sz="0" w:space="0" w:color="auto"/>
        <w:bottom w:val="none" w:sz="0" w:space="0" w:color="auto"/>
        <w:right w:val="none" w:sz="0" w:space="0" w:color="auto"/>
      </w:divBdr>
    </w:div>
    <w:div w:id="1773546210">
      <w:bodyDiv w:val="1"/>
      <w:marLeft w:val="0"/>
      <w:marRight w:val="0"/>
      <w:marTop w:val="0"/>
      <w:marBottom w:val="0"/>
      <w:divBdr>
        <w:top w:val="none" w:sz="0" w:space="0" w:color="auto"/>
        <w:left w:val="none" w:sz="0" w:space="0" w:color="auto"/>
        <w:bottom w:val="none" w:sz="0" w:space="0" w:color="auto"/>
        <w:right w:val="none" w:sz="0" w:space="0" w:color="auto"/>
      </w:divBdr>
    </w:div>
    <w:div w:id="1786805493">
      <w:bodyDiv w:val="1"/>
      <w:marLeft w:val="0"/>
      <w:marRight w:val="0"/>
      <w:marTop w:val="0"/>
      <w:marBottom w:val="0"/>
      <w:divBdr>
        <w:top w:val="none" w:sz="0" w:space="0" w:color="auto"/>
        <w:left w:val="none" w:sz="0" w:space="0" w:color="auto"/>
        <w:bottom w:val="none" w:sz="0" w:space="0" w:color="auto"/>
        <w:right w:val="none" w:sz="0" w:space="0" w:color="auto"/>
      </w:divBdr>
    </w:div>
    <w:div w:id="1810397115">
      <w:bodyDiv w:val="1"/>
      <w:marLeft w:val="0"/>
      <w:marRight w:val="0"/>
      <w:marTop w:val="0"/>
      <w:marBottom w:val="0"/>
      <w:divBdr>
        <w:top w:val="none" w:sz="0" w:space="0" w:color="auto"/>
        <w:left w:val="none" w:sz="0" w:space="0" w:color="auto"/>
        <w:bottom w:val="none" w:sz="0" w:space="0" w:color="auto"/>
        <w:right w:val="none" w:sz="0" w:space="0" w:color="auto"/>
      </w:divBdr>
    </w:div>
    <w:div w:id="1815678768">
      <w:bodyDiv w:val="1"/>
      <w:marLeft w:val="0"/>
      <w:marRight w:val="0"/>
      <w:marTop w:val="0"/>
      <w:marBottom w:val="0"/>
      <w:divBdr>
        <w:top w:val="none" w:sz="0" w:space="0" w:color="auto"/>
        <w:left w:val="none" w:sz="0" w:space="0" w:color="auto"/>
        <w:bottom w:val="none" w:sz="0" w:space="0" w:color="auto"/>
        <w:right w:val="none" w:sz="0" w:space="0" w:color="auto"/>
      </w:divBdr>
    </w:div>
    <w:div w:id="1823961889">
      <w:bodyDiv w:val="1"/>
      <w:marLeft w:val="0"/>
      <w:marRight w:val="0"/>
      <w:marTop w:val="0"/>
      <w:marBottom w:val="0"/>
      <w:divBdr>
        <w:top w:val="none" w:sz="0" w:space="0" w:color="auto"/>
        <w:left w:val="none" w:sz="0" w:space="0" w:color="auto"/>
        <w:bottom w:val="none" w:sz="0" w:space="0" w:color="auto"/>
        <w:right w:val="none" w:sz="0" w:space="0" w:color="auto"/>
      </w:divBdr>
    </w:div>
    <w:div w:id="1837112819">
      <w:bodyDiv w:val="1"/>
      <w:marLeft w:val="0"/>
      <w:marRight w:val="0"/>
      <w:marTop w:val="0"/>
      <w:marBottom w:val="0"/>
      <w:divBdr>
        <w:top w:val="none" w:sz="0" w:space="0" w:color="auto"/>
        <w:left w:val="none" w:sz="0" w:space="0" w:color="auto"/>
        <w:bottom w:val="none" w:sz="0" w:space="0" w:color="auto"/>
        <w:right w:val="none" w:sz="0" w:space="0" w:color="auto"/>
      </w:divBdr>
    </w:div>
    <w:div w:id="1840079281">
      <w:bodyDiv w:val="1"/>
      <w:marLeft w:val="0"/>
      <w:marRight w:val="0"/>
      <w:marTop w:val="0"/>
      <w:marBottom w:val="0"/>
      <w:divBdr>
        <w:top w:val="none" w:sz="0" w:space="0" w:color="auto"/>
        <w:left w:val="none" w:sz="0" w:space="0" w:color="auto"/>
        <w:bottom w:val="none" w:sz="0" w:space="0" w:color="auto"/>
        <w:right w:val="none" w:sz="0" w:space="0" w:color="auto"/>
      </w:divBdr>
    </w:div>
    <w:div w:id="1850213076">
      <w:bodyDiv w:val="1"/>
      <w:marLeft w:val="0"/>
      <w:marRight w:val="0"/>
      <w:marTop w:val="0"/>
      <w:marBottom w:val="0"/>
      <w:divBdr>
        <w:top w:val="none" w:sz="0" w:space="0" w:color="auto"/>
        <w:left w:val="none" w:sz="0" w:space="0" w:color="auto"/>
        <w:bottom w:val="none" w:sz="0" w:space="0" w:color="auto"/>
        <w:right w:val="none" w:sz="0" w:space="0" w:color="auto"/>
      </w:divBdr>
    </w:div>
    <w:div w:id="1859272334">
      <w:bodyDiv w:val="1"/>
      <w:marLeft w:val="0"/>
      <w:marRight w:val="0"/>
      <w:marTop w:val="0"/>
      <w:marBottom w:val="0"/>
      <w:divBdr>
        <w:top w:val="none" w:sz="0" w:space="0" w:color="auto"/>
        <w:left w:val="none" w:sz="0" w:space="0" w:color="auto"/>
        <w:bottom w:val="none" w:sz="0" w:space="0" w:color="auto"/>
        <w:right w:val="none" w:sz="0" w:space="0" w:color="auto"/>
      </w:divBdr>
    </w:div>
    <w:div w:id="1864786777">
      <w:bodyDiv w:val="1"/>
      <w:marLeft w:val="0"/>
      <w:marRight w:val="0"/>
      <w:marTop w:val="0"/>
      <w:marBottom w:val="0"/>
      <w:divBdr>
        <w:top w:val="none" w:sz="0" w:space="0" w:color="auto"/>
        <w:left w:val="none" w:sz="0" w:space="0" w:color="auto"/>
        <w:bottom w:val="none" w:sz="0" w:space="0" w:color="auto"/>
        <w:right w:val="none" w:sz="0" w:space="0" w:color="auto"/>
      </w:divBdr>
    </w:div>
    <w:div w:id="1879660557">
      <w:bodyDiv w:val="1"/>
      <w:marLeft w:val="0"/>
      <w:marRight w:val="0"/>
      <w:marTop w:val="0"/>
      <w:marBottom w:val="0"/>
      <w:divBdr>
        <w:top w:val="none" w:sz="0" w:space="0" w:color="auto"/>
        <w:left w:val="none" w:sz="0" w:space="0" w:color="auto"/>
        <w:bottom w:val="none" w:sz="0" w:space="0" w:color="auto"/>
        <w:right w:val="none" w:sz="0" w:space="0" w:color="auto"/>
      </w:divBdr>
    </w:div>
    <w:div w:id="1887175964">
      <w:bodyDiv w:val="1"/>
      <w:marLeft w:val="0"/>
      <w:marRight w:val="0"/>
      <w:marTop w:val="0"/>
      <w:marBottom w:val="0"/>
      <w:divBdr>
        <w:top w:val="none" w:sz="0" w:space="0" w:color="auto"/>
        <w:left w:val="none" w:sz="0" w:space="0" w:color="auto"/>
        <w:bottom w:val="none" w:sz="0" w:space="0" w:color="auto"/>
        <w:right w:val="none" w:sz="0" w:space="0" w:color="auto"/>
      </w:divBdr>
    </w:div>
    <w:div w:id="1888639740">
      <w:bodyDiv w:val="1"/>
      <w:marLeft w:val="0"/>
      <w:marRight w:val="0"/>
      <w:marTop w:val="0"/>
      <w:marBottom w:val="0"/>
      <w:divBdr>
        <w:top w:val="none" w:sz="0" w:space="0" w:color="auto"/>
        <w:left w:val="none" w:sz="0" w:space="0" w:color="auto"/>
        <w:bottom w:val="none" w:sz="0" w:space="0" w:color="auto"/>
        <w:right w:val="none" w:sz="0" w:space="0" w:color="auto"/>
      </w:divBdr>
    </w:div>
    <w:div w:id="1907377046">
      <w:bodyDiv w:val="1"/>
      <w:marLeft w:val="0"/>
      <w:marRight w:val="0"/>
      <w:marTop w:val="0"/>
      <w:marBottom w:val="0"/>
      <w:divBdr>
        <w:top w:val="none" w:sz="0" w:space="0" w:color="auto"/>
        <w:left w:val="none" w:sz="0" w:space="0" w:color="auto"/>
        <w:bottom w:val="none" w:sz="0" w:space="0" w:color="auto"/>
        <w:right w:val="none" w:sz="0" w:space="0" w:color="auto"/>
      </w:divBdr>
    </w:div>
    <w:div w:id="1924758520">
      <w:bodyDiv w:val="1"/>
      <w:marLeft w:val="0"/>
      <w:marRight w:val="0"/>
      <w:marTop w:val="0"/>
      <w:marBottom w:val="0"/>
      <w:divBdr>
        <w:top w:val="none" w:sz="0" w:space="0" w:color="auto"/>
        <w:left w:val="none" w:sz="0" w:space="0" w:color="auto"/>
        <w:bottom w:val="none" w:sz="0" w:space="0" w:color="auto"/>
        <w:right w:val="none" w:sz="0" w:space="0" w:color="auto"/>
      </w:divBdr>
    </w:div>
    <w:div w:id="1925721412">
      <w:bodyDiv w:val="1"/>
      <w:marLeft w:val="0"/>
      <w:marRight w:val="0"/>
      <w:marTop w:val="0"/>
      <w:marBottom w:val="0"/>
      <w:divBdr>
        <w:top w:val="none" w:sz="0" w:space="0" w:color="auto"/>
        <w:left w:val="none" w:sz="0" w:space="0" w:color="auto"/>
        <w:bottom w:val="none" w:sz="0" w:space="0" w:color="auto"/>
        <w:right w:val="none" w:sz="0" w:space="0" w:color="auto"/>
      </w:divBdr>
    </w:div>
    <w:div w:id="1927686246">
      <w:bodyDiv w:val="1"/>
      <w:marLeft w:val="0"/>
      <w:marRight w:val="0"/>
      <w:marTop w:val="0"/>
      <w:marBottom w:val="0"/>
      <w:divBdr>
        <w:top w:val="none" w:sz="0" w:space="0" w:color="auto"/>
        <w:left w:val="none" w:sz="0" w:space="0" w:color="auto"/>
        <w:bottom w:val="none" w:sz="0" w:space="0" w:color="auto"/>
        <w:right w:val="none" w:sz="0" w:space="0" w:color="auto"/>
      </w:divBdr>
    </w:div>
    <w:div w:id="1929726293">
      <w:bodyDiv w:val="1"/>
      <w:marLeft w:val="0"/>
      <w:marRight w:val="0"/>
      <w:marTop w:val="0"/>
      <w:marBottom w:val="0"/>
      <w:divBdr>
        <w:top w:val="none" w:sz="0" w:space="0" w:color="auto"/>
        <w:left w:val="none" w:sz="0" w:space="0" w:color="auto"/>
        <w:bottom w:val="none" w:sz="0" w:space="0" w:color="auto"/>
        <w:right w:val="none" w:sz="0" w:space="0" w:color="auto"/>
      </w:divBdr>
    </w:div>
    <w:div w:id="1930000694">
      <w:bodyDiv w:val="1"/>
      <w:marLeft w:val="0"/>
      <w:marRight w:val="0"/>
      <w:marTop w:val="0"/>
      <w:marBottom w:val="0"/>
      <w:divBdr>
        <w:top w:val="none" w:sz="0" w:space="0" w:color="auto"/>
        <w:left w:val="none" w:sz="0" w:space="0" w:color="auto"/>
        <w:bottom w:val="none" w:sz="0" w:space="0" w:color="auto"/>
        <w:right w:val="none" w:sz="0" w:space="0" w:color="auto"/>
      </w:divBdr>
    </w:div>
    <w:div w:id="1939677421">
      <w:bodyDiv w:val="1"/>
      <w:marLeft w:val="0"/>
      <w:marRight w:val="0"/>
      <w:marTop w:val="0"/>
      <w:marBottom w:val="0"/>
      <w:divBdr>
        <w:top w:val="none" w:sz="0" w:space="0" w:color="auto"/>
        <w:left w:val="none" w:sz="0" w:space="0" w:color="auto"/>
        <w:bottom w:val="none" w:sz="0" w:space="0" w:color="auto"/>
        <w:right w:val="none" w:sz="0" w:space="0" w:color="auto"/>
      </w:divBdr>
    </w:div>
    <w:div w:id="1962951755">
      <w:bodyDiv w:val="1"/>
      <w:marLeft w:val="0"/>
      <w:marRight w:val="0"/>
      <w:marTop w:val="0"/>
      <w:marBottom w:val="0"/>
      <w:divBdr>
        <w:top w:val="none" w:sz="0" w:space="0" w:color="auto"/>
        <w:left w:val="none" w:sz="0" w:space="0" w:color="auto"/>
        <w:bottom w:val="none" w:sz="0" w:space="0" w:color="auto"/>
        <w:right w:val="none" w:sz="0" w:space="0" w:color="auto"/>
      </w:divBdr>
    </w:div>
    <w:div w:id="1987735513">
      <w:bodyDiv w:val="1"/>
      <w:marLeft w:val="0"/>
      <w:marRight w:val="0"/>
      <w:marTop w:val="0"/>
      <w:marBottom w:val="0"/>
      <w:divBdr>
        <w:top w:val="none" w:sz="0" w:space="0" w:color="auto"/>
        <w:left w:val="none" w:sz="0" w:space="0" w:color="auto"/>
        <w:bottom w:val="none" w:sz="0" w:space="0" w:color="auto"/>
        <w:right w:val="none" w:sz="0" w:space="0" w:color="auto"/>
      </w:divBdr>
    </w:div>
    <w:div w:id="2010673452">
      <w:bodyDiv w:val="1"/>
      <w:marLeft w:val="0"/>
      <w:marRight w:val="0"/>
      <w:marTop w:val="0"/>
      <w:marBottom w:val="0"/>
      <w:divBdr>
        <w:top w:val="none" w:sz="0" w:space="0" w:color="auto"/>
        <w:left w:val="none" w:sz="0" w:space="0" w:color="auto"/>
        <w:bottom w:val="none" w:sz="0" w:space="0" w:color="auto"/>
        <w:right w:val="none" w:sz="0" w:space="0" w:color="auto"/>
      </w:divBdr>
    </w:div>
    <w:div w:id="2016303188">
      <w:bodyDiv w:val="1"/>
      <w:marLeft w:val="0"/>
      <w:marRight w:val="0"/>
      <w:marTop w:val="0"/>
      <w:marBottom w:val="0"/>
      <w:divBdr>
        <w:top w:val="none" w:sz="0" w:space="0" w:color="auto"/>
        <w:left w:val="none" w:sz="0" w:space="0" w:color="auto"/>
        <w:bottom w:val="none" w:sz="0" w:space="0" w:color="auto"/>
        <w:right w:val="none" w:sz="0" w:space="0" w:color="auto"/>
      </w:divBdr>
    </w:div>
    <w:div w:id="2024814967">
      <w:bodyDiv w:val="1"/>
      <w:marLeft w:val="0"/>
      <w:marRight w:val="0"/>
      <w:marTop w:val="0"/>
      <w:marBottom w:val="0"/>
      <w:divBdr>
        <w:top w:val="none" w:sz="0" w:space="0" w:color="auto"/>
        <w:left w:val="none" w:sz="0" w:space="0" w:color="auto"/>
        <w:bottom w:val="none" w:sz="0" w:space="0" w:color="auto"/>
        <w:right w:val="none" w:sz="0" w:space="0" w:color="auto"/>
      </w:divBdr>
    </w:div>
    <w:div w:id="2032873286">
      <w:bodyDiv w:val="1"/>
      <w:marLeft w:val="0"/>
      <w:marRight w:val="0"/>
      <w:marTop w:val="0"/>
      <w:marBottom w:val="0"/>
      <w:divBdr>
        <w:top w:val="none" w:sz="0" w:space="0" w:color="auto"/>
        <w:left w:val="none" w:sz="0" w:space="0" w:color="auto"/>
        <w:bottom w:val="none" w:sz="0" w:space="0" w:color="auto"/>
        <w:right w:val="none" w:sz="0" w:space="0" w:color="auto"/>
      </w:divBdr>
    </w:div>
    <w:div w:id="2038965286">
      <w:bodyDiv w:val="1"/>
      <w:marLeft w:val="0"/>
      <w:marRight w:val="0"/>
      <w:marTop w:val="0"/>
      <w:marBottom w:val="0"/>
      <w:divBdr>
        <w:top w:val="none" w:sz="0" w:space="0" w:color="auto"/>
        <w:left w:val="none" w:sz="0" w:space="0" w:color="auto"/>
        <w:bottom w:val="none" w:sz="0" w:space="0" w:color="auto"/>
        <w:right w:val="none" w:sz="0" w:space="0" w:color="auto"/>
      </w:divBdr>
    </w:div>
    <w:div w:id="2039618327">
      <w:bodyDiv w:val="1"/>
      <w:marLeft w:val="0"/>
      <w:marRight w:val="0"/>
      <w:marTop w:val="0"/>
      <w:marBottom w:val="0"/>
      <w:divBdr>
        <w:top w:val="none" w:sz="0" w:space="0" w:color="auto"/>
        <w:left w:val="none" w:sz="0" w:space="0" w:color="auto"/>
        <w:bottom w:val="none" w:sz="0" w:space="0" w:color="auto"/>
        <w:right w:val="none" w:sz="0" w:space="0" w:color="auto"/>
      </w:divBdr>
    </w:div>
    <w:div w:id="2053193840">
      <w:bodyDiv w:val="1"/>
      <w:marLeft w:val="0"/>
      <w:marRight w:val="0"/>
      <w:marTop w:val="0"/>
      <w:marBottom w:val="0"/>
      <w:divBdr>
        <w:top w:val="none" w:sz="0" w:space="0" w:color="auto"/>
        <w:left w:val="none" w:sz="0" w:space="0" w:color="auto"/>
        <w:bottom w:val="none" w:sz="0" w:space="0" w:color="auto"/>
        <w:right w:val="none" w:sz="0" w:space="0" w:color="auto"/>
      </w:divBdr>
    </w:div>
    <w:div w:id="2055426805">
      <w:bodyDiv w:val="1"/>
      <w:marLeft w:val="0"/>
      <w:marRight w:val="0"/>
      <w:marTop w:val="0"/>
      <w:marBottom w:val="0"/>
      <w:divBdr>
        <w:top w:val="none" w:sz="0" w:space="0" w:color="auto"/>
        <w:left w:val="none" w:sz="0" w:space="0" w:color="auto"/>
        <w:bottom w:val="none" w:sz="0" w:space="0" w:color="auto"/>
        <w:right w:val="none" w:sz="0" w:space="0" w:color="auto"/>
      </w:divBdr>
    </w:div>
    <w:div w:id="2101441298">
      <w:bodyDiv w:val="1"/>
      <w:marLeft w:val="0"/>
      <w:marRight w:val="0"/>
      <w:marTop w:val="0"/>
      <w:marBottom w:val="0"/>
      <w:divBdr>
        <w:top w:val="none" w:sz="0" w:space="0" w:color="auto"/>
        <w:left w:val="none" w:sz="0" w:space="0" w:color="auto"/>
        <w:bottom w:val="none" w:sz="0" w:space="0" w:color="auto"/>
        <w:right w:val="none" w:sz="0" w:space="0" w:color="auto"/>
      </w:divBdr>
    </w:div>
    <w:div w:id="2109278413">
      <w:bodyDiv w:val="1"/>
      <w:marLeft w:val="0"/>
      <w:marRight w:val="0"/>
      <w:marTop w:val="0"/>
      <w:marBottom w:val="0"/>
      <w:divBdr>
        <w:top w:val="none" w:sz="0" w:space="0" w:color="auto"/>
        <w:left w:val="none" w:sz="0" w:space="0" w:color="auto"/>
        <w:bottom w:val="none" w:sz="0" w:space="0" w:color="auto"/>
        <w:right w:val="none" w:sz="0" w:space="0" w:color="auto"/>
      </w:divBdr>
    </w:div>
    <w:div w:id="2119443701">
      <w:bodyDiv w:val="1"/>
      <w:marLeft w:val="0"/>
      <w:marRight w:val="0"/>
      <w:marTop w:val="0"/>
      <w:marBottom w:val="0"/>
      <w:divBdr>
        <w:top w:val="none" w:sz="0" w:space="0" w:color="auto"/>
        <w:left w:val="none" w:sz="0" w:space="0" w:color="auto"/>
        <w:bottom w:val="none" w:sz="0" w:space="0" w:color="auto"/>
        <w:right w:val="none" w:sz="0" w:space="0" w:color="auto"/>
      </w:divBdr>
    </w:div>
    <w:div w:id="2123648070">
      <w:bodyDiv w:val="1"/>
      <w:marLeft w:val="0"/>
      <w:marRight w:val="0"/>
      <w:marTop w:val="0"/>
      <w:marBottom w:val="0"/>
      <w:divBdr>
        <w:top w:val="none" w:sz="0" w:space="0" w:color="auto"/>
        <w:left w:val="none" w:sz="0" w:space="0" w:color="auto"/>
        <w:bottom w:val="none" w:sz="0" w:space="0" w:color="auto"/>
        <w:right w:val="none" w:sz="0" w:space="0" w:color="auto"/>
      </w:divBdr>
    </w:div>
    <w:div w:id="2125490531">
      <w:bodyDiv w:val="1"/>
      <w:marLeft w:val="0"/>
      <w:marRight w:val="0"/>
      <w:marTop w:val="0"/>
      <w:marBottom w:val="0"/>
      <w:divBdr>
        <w:top w:val="none" w:sz="0" w:space="0" w:color="auto"/>
        <w:left w:val="none" w:sz="0" w:space="0" w:color="auto"/>
        <w:bottom w:val="none" w:sz="0" w:space="0" w:color="auto"/>
        <w:right w:val="none" w:sz="0" w:space="0" w:color="auto"/>
      </w:divBdr>
    </w:div>
    <w:div w:id="21347160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microsoft.com/office/2007/relationships/hdphoto" Target="media/hdphoto2.wdp"/>
  <Relationship Id="rId11" Type="http://schemas.openxmlformats.org/officeDocument/2006/relationships/image" Target="media/image3.png"/>
  <Relationship Id="rId12" Type="http://schemas.openxmlformats.org/officeDocument/2006/relationships/header" Target="header1.xml"/>
  <Relationship Id="rId13" Type="http://schemas.openxmlformats.org/officeDocument/2006/relationships/header" Target="header2.xml"/>
  <Relationship Id="rId14" Type="http://schemas.openxmlformats.org/officeDocument/2006/relationships/footer" Target="footer1.xml"/>
  <Relationship Id="rId15" Type="http://schemas.openxmlformats.org/officeDocument/2006/relationships/footer" Target="footer2.xml"/>
  <Relationship Id="rId16" Type="http://schemas.openxmlformats.org/officeDocument/2006/relationships/header" Target="header3.xml"/>
  <Relationship Id="rId17" Type="http://schemas.openxmlformats.org/officeDocument/2006/relationships/footer" Target="footer3.xml"/>
  <Relationship Id="rId18" Type="http://schemas.openxmlformats.org/officeDocument/2006/relationships/fontTable" Target="fontTable.xml"/>
  <Relationship Id="rId19" Type="http://schemas.openxmlformats.org/officeDocument/2006/relationships/theme" Target="theme/theme1.xml"/>
  <Relationship Id="rId2" Type="http://schemas.openxmlformats.org/officeDocument/2006/relationships/styles" Target="styles.xml"/>
  <Relationship Id="rId20" Type="http://schemas.openxmlformats.org/officeDocument/2006/relationships/customXml" Target="../customXml/item2.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microsoft.com/office/2007/relationships/hdphoto" Target="media/hdphoto1.wdp"/>
  <Relationship Id="rId9" Type="http://schemas.openxmlformats.org/officeDocument/2006/relationships/image" Target="media/image2.png"/>
</Relationships>

</file>

<file path=word/theme/theme1.xml><?xml version="1.0" encoding="utf-8"?>
<a:theme xmlns:a="http://schemas.openxmlformats.org/drawingml/2006/main" name="„Office“ tema">
  <a:themeElements>
    <a:clrScheme name="Šiauliai_">
      <a:dk1>
        <a:srgbClr val="2B2A28"/>
      </a:dk1>
      <a:lt1>
        <a:srgbClr val="F2F2F2"/>
      </a:lt1>
      <a:dk2>
        <a:srgbClr val="666666"/>
      </a:dk2>
      <a:lt2>
        <a:srgbClr val="FFFFFF"/>
      </a:lt2>
      <a:accent1>
        <a:srgbClr val="FDB515"/>
      </a:accent1>
      <a:accent2>
        <a:srgbClr val="E86700"/>
      </a:accent2>
      <a:accent3>
        <a:srgbClr val="A17C67"/>
      </a:accent3>
      <a:accent4>
        <a:srgbClr val="FDB515"/>
      </a:accent4>
      <a:accent5>
        <a:srgbClr val="FDD272"/>
      </a:accent5>
      <a:accent6>
        <a:srgbClr val="FDB515"/>
      </a:accent6>
      <a:hlink>
        <a:srgbClr val="FDB515"/>
      </a:hlink>
      <a:folHlink>
        <a:srgbClr val="666666"/>
      </a:folHlink>
    </a:clrScheme>
    <a:fontScheme name="Šiauliai">
      <a:majorFont>
        <a:latin typeface="Bahnschrift SemiBold SemiConden"/>
        <a:ea typeface=""/>
        <a:cs typeface=""/>
      </a:majorFont>
      <a:minorFont>
        <a:latin typeface="Bahnschrift Light SemiCondensed"/>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f108a9a5f7c94febb987ccbe881325e8" PartId="36504ae8d86b4824893e35cbdd2b2f2e"/>
  <Part Type="patvirtinta" Title="ŠIAULIŲ MIESTO SAVIVALDYBĖS" DocPartId="84c0a6df4d384346b38ce2d2281e2901" PartId="898f1279a6e8467695ca648f7a8f8b3a">
    <Part Type="skirsnis" Title="2025 –2033 METŲ STRATEGINIS PLĖTROS PLANAS" DocPartId="4bd28f31f43b496794357f64ed0d40d6" PartId="0e8def11602a465f9704945a5a2a45cf"/>
    <Part Type="skyrius" Nr="1" Title="BENDROJI INFORMACIJA" DocPartId="21aae772ca894dfeb4e3cb2bd96f0705" PartId="fc5fec956d354fbcbc08e4f0d782cb56"/>
    <Part Type="skyrius" Nr="2" Title="SAVIVALDYBĖS ESAMOS SITUACIJOS ANALIZĖ" DocPartId="8a836f8e24df4d07a5460ec02b4c4732" PartId="d40b60b48b404502a023bfaafe5d61c2"/>
    <Part Type="skyrius" Nr="3" Title="SAVIVALDYBĖS PLĖTROS VIZIJA" DocPartId="f4121822482445158a039598e358abcd" PartId="1e748474b75b464f8e4ef1599da86338"/>
    <Part Type="skyrius" Nr="4" Title="SAVIVALDYBĖS PLĖTROS TIKSLAI IR UŽDAVINIAI" DocPartId="7686bb8443e94acd9fa921049aa51704" PartId="c487f833e22446fb82b58aaea9026f8c"/>
    <Part Type="skyrius" Nr="5" Title="PRIEMONIŲ PLANAS" DocPartId="fec6947cee8b49a790a14e5070da5f67" PartId="6eb1156e546f462d9998e59d84226307"/>
    <Part Type="skyrius" Nr="6" Title="FINANSAVIMO PLANAS" DocPartId="1a8346f141994995b82ce3386a022bad" PartId="b01f09e8c77944d38812e867e012c1d3"/>
    <Part Type="skyrius" Nr="7" Title="SVARBIAUSI SAVIVALDYBĖS PROJEKTAI" DocPartId="7c2ed191b21948b78475f87b24b75b49" PartId="c4d794f616244c1e91388535d5824c66"/>
    <Part Type="skyrius" Nr="8" Title="PLANO ĮGYVENDINIMO IR STEBĖSENOS NUOSTATOS" DocPartId="acf9af42165240a79c61fe4f9ac79aae" PartId="f99943acf1dd4807806e85598ec98321"/>
  </Part>
</Parts>
</file>

<file path=customXml/itemProps1.xml><?xml version="1.0" encoding="utf-8"?>
<ds:datastoreItem xmlns:ds="http://schemas.openxmlformats.org/officeDocument/2006/customXml" ds:itemID="{7A9B74AE-0275-4390-9220-4840C2121B99}">
  <ds:schemaRefs>
    <ds:schemaRef ds:uri="http://schemas.openxmlformats.org/officeDocument/2006/bibliography"/>
  </ds:schemaRefs>
</ds:datastoreItem>
</file>

<file path=customXml/itemProps2.xml><?xml version="1.0" encoding="utf-8"?>
<ds:datastoreItem xmlns:ds="http://schemas.openxmlformats.org/officeDocument/2006/customXml" ds:itemID="{54F50733-5225-4673-A925-E62C84C8D4D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16395</Words>
  <Characters>112636</Characters>
  <Application>Microsoft Office Word</Application>
  <DocSecurity>4</DocSecurity>
  <Lines>7039</Lines>
  <Paragraphs>3910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125121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2024-05-21T14:18:00Z</dcterms:created>
  <dc:creator>Giedrė Skairytė</dc:creator>
  <lastModifiedBy>adlibuser</lastModifiedBy>
  <lastPrinted>2024-05-15T09:10:00Z</lastPrinted>
  <dcterms:modified xsi:type="dcterms:W3CDTF">2024-05-21T14:18:00Z</dcterms:modified>
  <revision>2</revision>
</coreProperties>
</file>