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769cca05eaf4fa2b4a753d0b08a7c0b"/>
        <w:lock w:val="sdtLocked"/>
        <w:richText/>
      </w:sdtPr>
      <w:sdtContent>
        <w:p>
          <w:pPr>
            <w:framePr w:w="1575" w:h="1080" w:hRule="exact" w:hSpace="180" w:wrap="auto" w:vAnchor="text" w:hAnchor="page" w:x="5662" w:y="14"/>
            <w:overflowPunct w:val="0"/>
            <w:jc w:val="center"/>
            <w:textAlignment w:val="baseline"/>
            <w:rPr>
              <w:sz w:val="8"/>
            </w:rPr>
          </w:pPr>
          <w:r>
            <w:rPr>
              <w:rFonts w:ascii="TimesLT" w:hAnsi="TimesLT"/>
              <w:sz w:val="8"/>
              <w:lang w:val="en-US"/>
            </w:rPr>
            <w:drawing>
              <wp:inline distT="0" distB="0" distL="0" distR="0" wp14:anchorId="61495090" wp14:editId="54A48A24">
                <wp:extent cx="1000125" cy="684770"/>
                <wp:effectExtent l="0" t="0" r="0" b="1270"/>
                <wp:docPr id="1085379912" name="Paveikslėlis 3" descr="Paveikslėlis, kuriame yra eskizas, piešimas, Linijinis piešimas, iliustracija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5379912" name="Paveikslėlis 3" descr="Paveikslėlis, kuriame yra eskizas, piešimas, Linijinis piešimas, iliustracija  Automatiškai sugeneruotas aprašyma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00125" cy="684770"/>
                        </a:xfrm>
                        <a:prstGeom prst="rect">
                          <a:avLst/>
                        </a:prstGeom>
                        <a:noFill/>
                        <a:ln>
                          <a:noFill/>
                        </a:ln>
                      </pic:spPr>
                    </pic:pic>
                  </a:graphicData>
                </a:graphic>
              </wp:inline>
            </w:drawing>
          </w:r>
          <w:r>
            <w:rPr>
              <w:rFonts w:cs="Tahoma"/>
              <w:b/>
              <w:color w:val="000000"/>
              <w:spacing w:val="20"/>
              <w:sz w:val="26"/>
              <w:szCs w:val="26"/>
              <w:lang w:val="en-US"/>
            </w:rPr>
            <w:drawing>
              <wp:inline distT="0" distB="0" distL="0" distR="0" wp14:anchorId="47545B26" wp14:editId="0A399301">
                <wp:extent cx="525145" cy="621030"/>
                <wp:effectExtent l="0" t="0" r="8255" b="7620"/>
                <wp:docPr id="2" name="Picture 3" descr="Paveikslėlis, kuriame yra eskizas, piešimas, iliustracija, Linijinis piešim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Paveikslėlis, kuriame yra eskizas, piešimas, iliustracija, Linijinis piešimas  Automatiškai sugeneruotas aprašyma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5145" cy="621030"/>
                        </a:xfrm>
                        <a:prstGeom prst="rect">
                          <a:avLst/>
                        </a:prstGeom>
                        <a:solidFill>
                          <a:srgbClr val="FFFFFF">
                            <a:alpha val="0"/>
                          </a:srgbClr>
                        </a:solidFill>
                        <a:ln>
                          <a:noFill/>
                        </a:ln>
                      </pic:spPr>
                    </pic:pic>
                  </a:graphicData>
                </a:graphic>
              </wp:inline>
            </w:drawing>
          </w:r>
        </w:p>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p>
        <w:p>
          <w:pPr>
            <w:overflowPunct w:val="0"/>
            <w:jc w:val="center"/>
            <w:textAlignment w:val="baseline"/>
            <w:rPr>
              <w:b/>
              <w:szCs w:val="24"/>
              <w:lang w:val="en-GB"/>
            </w:rPr>
          </w:pPr>
        </w:p>
        <w:p>
          <w:pPr>
            <w:overflowPunct w:val="0"/>
            <w:jc w:val="center"/>
            <w:textAlignment w:val="baseline"/>
            <w:rPr>
              <w:b/>
            </w:rPr>
          </w:pPr>
          <w:r>
            <w:rPr>
              <w:b/>
              <w:sz w:val="28"/>
              <w:lang w:val="en-GB"/>
            </w:rPr>
            <w:t>LIETUVOS RESPUBLIKOS ŽEMĖS ŪKIO MINISTERIJA</w:t>
          </w:r>
        </w:p>
        <w:p>
          <w:pPr>
            <w:overflowPunct w:val="0"/>
            <w:jc w:val="center"/>
            <w:textAlignment w:val="baseline"/>
          </w:pPr>
        </w:p>
        <w:p>
          <w:pPr>
            <w:overflowPunct w:val="0"/>
            <w:jc w:val="center"/>
            <w:textAlignment w:val="baseline"/>
            <w:rPr>
              <w:sz w:val="18"/>
              <w:szCs w:val="18"/>
            </w:rPr>
          </w:pPr>
          <w:r>
            <w:rPr>
              <w:sz w:val="18"/>
              <w:szCs w:val="18"/>
            </w:rPr>
            <w:t xml:space="preserve">Biudžetinė įstaiga, Gedimino pr. 19, 01103 Vilnius, tel. +370 5 239 1001, </w:t>
          </w:r>
        </w:p>
        <w:p>
          <w:pPr>
            <w:overflowPunct w:val="0"/>
            <w:jc w:val="center"/>
            <w:textAlignment w:val="baseline"/>
            <w:rPr>
              <w:sz w:val="18"/>
              <w:szCs w:val="18"/>
            </w:rPr>
          </w:pPr>
          <w:r>
            <w:rPr>
              <w:sz w:val="18"/>
              <w:szCs w:val="18"/>
            </w:rPr>
            <w:t xml:space="preserve">El. paštas </w:t>
          </w:r>
          <w:r>
            <w:rPr>
              <w:color w:val="0000FF"/>
              <w:sz w:val="18"/>
              <w:szCs w:val="18"/>
              <w:u w:val="single"/>
            </w:rPr>
            <w:t>zum@zum.lt</w:t>
          </w:r>
          <w:r>
            <w:rPr>
              <w:color w:val="0000FF"/>
              <w:sz w:val="18"/>
              <w:szCs w:val="18"/>
              <w:u w:val="single"/>
            </w:rPr>
            <w:t xml:space="preserve">, </w:t>
          </w:r>
          <w:r>
            <w:rPr>
              <w:color w:val="0000FF"/>
              <w:sz w:val="18"/>
              <w:szCs w:val="18"/>
              <w:u w:val="single"/>
            </w:rPr>
            <w:t>http://www.zum.lt</w:t>
          </w:r>
        </w:p>
        <w:p>
          <w:pPr>
            <w:pBdr>
              <w:bottom w:val="single" w:sz="4" w:space="1" w:color="auto"/>
            </w:pBdr>
            <w:overflowPunct w:val="0"/>
            <w:jc w:val="center"/>
            <w:textAlignment w:val="baseline"/>
            <w:rPr>
              <w:sz w:val="18"/>
              <w:szCs w:val="18"/>
            </w:rPr>
          </w:pPr>
          <w:r>
            <w:rPr>
              <w:sz w:val="18"/>
              <w:szCs w:val="18"/>
            </w:rPr>
            <w:t>Duomenys kaupiami ir saugomi Juridinių asmenų registre, kodas 188675190</w:t>
          </w:r>
        </w:p>
        <w:p>
          <w:pPr>
            <w:overflowPunct w:val="0"/>
            <w:jc w:val="center"/>
            <w:textAlignment w:val="baseline"/>
          </w:pPr>
        </w:p>
        <w:tbl>
          <w:tblPr>
            <w:tblW w:w="0" w:type="auto"/>
            <w:tblLook w:val="04A0" w:firstRow="1" w:lastRow="0" w:firstColumn="1" w:lastColumn="0" w:noHBand="0" w:noVBand="1"/>
          </w:tblPr>
          <w:tblGrid>
            <w:gridCol w:w="4800"/>
            <w:gridCol w:w="296"/>
            <w:gridCol w:w="1725"/>
            <w:gridCol w:w="530"/>
            <w:gridCol w:w="2288"/>
          </w:tblGrid>
          <w:tr>
            <w:tc>
              <w:tcPr>
                <w:tcW w:w="4920" w:type="dxa"/>
                <w:vMerge w:val="restart"/>
              </w:tcPr>
              <w:p>
                <w:pPr>
                  <w:overflowPunct w:val="0"/>
                  <w:jc w:val="both"/>
                  <w:textAlignment w:val="baseline"/>
                </w:pPr>
                <w:r>
                  <w:t>Pagal adresatų sąrašą</w:t>
                </w:r>
              </w:p>
              <w:p>
                <w:pPr>
                  <w:rPr>
                    <w:sz w:val="10"/>
                    <w:szCs w:val="10"/>
                  </w:rPr>
                </w:pPr>
              </w:p>
              <w:p>
                <w:pPr>
                  <w:overflowPunct w:val="0"/>
                  <w:jc w:val="both"/>
                  <w:textAlignment w:val="baseline"/>
                </w:pPr>
              </w:p>
            </w:tc>
            <w:tc>
              <w:tcPr>
                <w:tcW w:w="296" w:type="dxa"/>
              </w:tcPr>
              <w:p>
                <w:pPr>
                  <w:overflowPunct w:val="0"/>
                  <w:jc w:val="both"/>
                  <w:textAlignment w:val="baseline"/>
                </w:pPr>
              </w:p>
            </w:tc>
            <w:tc>
              <w:tcPr>
                <w:tcW w:w="1755" w:type="dxa"/>
                <w:tcBorders>
                  <w:bottom w:val="single" w:sz="4" w:space="0" w:color="auto"/>
                </w:tcBorders>
              </w:tcPr>
              <w:p>
                <w:pPr>
                  <w:overflowPunct w:val="0"/>
                  <w:jc w:val="both"/>
                  <w:textAlignment w:val="baseline"/>
                </w:pPr>
                <w:r>
                  <w:t>2024-</w:t>
                </w:r>
              </w:p>
            </w:tc>
            <w:tc>
              <w:tcPr>
                <w:tcW w:w="530" w:type="dxa"/>
              </w:tcPr>
              <w:p>
                <w:pPr>
                  <w:overflowPunct w:val="0"/>
                  <w:jc w:val="both"/>
                  <w:textAlignment w:val="baseline"/>
                </w:pPr>
                <w:r>
                  <w:t>Nr.</w:t>
                </w:r>
              </w:p>
            </w:tc>
            <w:tc>
              <w:tcPr>
                <w:tcW w:w="2354" w:type="dxa"/>
                <w:tcBorders>
                  <w:bottom w:val="single" w:sz="4" w:space="0" w:color="auto"/>
                </w:tcBorders>
              </w:tcPr>
              <w:p>
                <w:pPr>
                  <w:overflowPunct w:val="0"/>
                  <w:jc w:val="both"/>
                  <w:textAlignment w:val="baseline"/>
                </w:pPr>
              </w:p>
            </w:tc>
          </w:tr>
          <w:tr>
            <w:tc>
              <w:tcPr>
                <w:tcW w:w="4920" w:type="dxa"/>
                <w:vMerge/>
              </w:tcPr>
              <w:p>
                <w:pPr>
                  <w:overflowPunct w:val="0"/>
                  <w:jc w:val="both"/>
                  <w:textAlignment w:val="baseline"/>
                </w:pPr>
              </w:p>
            </w:tc>
            <w:tc>
              <w:tcPr>
                <w:tcW w:w="296" w:type="dxa"/>
              </w:tcPr>
              <w:p>
                <w:pPr>
                  <w:rPr>
                    <w:sz w:val="10"/>
                    <w:szCs w:val="10"/>
                  </w:rPr>
                </w:pPr>
              </w:p>
              <w:p>
                <w:pPr>
                  <w:overflowPunct w:val="0"/>
                  <w:jc w:val="both"/>
                  <w:textAlignment w:val="baseline"/>
                </w:pPr>
                <w:r>
                  <w:t>Į</w:t>
                </w:r>
              </w:p>
            </w:tc>
            <w:tc>
              <w:tcPr>
                <w:tcW w:w="1755" w:type="dxa"/>
                <w:tcBorders>
                  <w:top w:val="single" w:sz="4" w:space="0" w:color="auto"/>
                  <w:bottom w:val="single" w:sz="4" w:space="0" w:color="auto"/>
                </w:tcBorders>
              </w:tcPr>
              <w:p>
                <w:pPr>
                  <w:rPr>
                    <w:sz w:val="10"/>
                    <w:szCs w:val="10"/>
                  </w:rPr>
                </w:pPr>
              </w:p>
              <w:p>
                <w:pPr>
                  <w:overflowPunct w:val="0"/>
                  <w:jc w:val="both"/>
                  <w:textAlignment w:val="baseline"/>
                </w:pPr>
              </w:p>
            </w:tc>
            <w:tc>
              <w:tcPr>
                <w:tcW w:w="530" w:type="dxa"/>
              </w:tcPr>
              <w:p>
                <w:pPr>
                  <w:rPr>
                    <w:sz w:val="10"/>
                    <w:szCs w:val="10"/>
                  </w:rPr>
                </w:pPr>
              </w:p>
              <w:p>
                <w:pPr>
                  <w:overflowPunct w:val="0"/>
                  <w:jc w:val="both"/>
                  <w:textAlignment w:val="baseline"/>
                </w:pPr>
                <w:r>
                  <w:t>Nr.</w:t>
                </w:r>
              </w:p>
            </w:tc>
            <w:tc>
              <w:tcPr>
                <w:tcW w:w="2354" w:type="dxa"/>
                <w:tcBorders>
                  <w:top w:val="single" w:sz="4" w:space="0" w:color="auto"/>
                  <w:bottom w:val="single" w:sz="4" w:space="0" w:color="auto"/>
                </w:tcBorders>
              </w:tcPr>
              <w:p>
                <w:pPr>
                  <w:rPr>
                    <w:sz w:val="10"/>
                    <w:szCs w:val="10"/>
                  </w:rPr>
                </w:pPr>
              </w:p>
              <w:p>
                <w:pPr>
                  <w:overflowPunct w:val="0"/>
                  <w:jc w:val="both"/>
                  <w:textAlignment w:val="baseline"/>
                </w:pPr>
              </w:p>
            </w:tc>
          </w:tr>
          <w:tr>
            <w:trPr>
              <w:trHeight w:val="113"/>
            </w:trPr>
            <w:tc>
              <w:tcPr>
                <w:tcW w:w="4920" w:type="dxa"/>
                <w:vMerge/>
              </w:tcPr>
              <w:p>
                <w:pPr>
                  <w:overflowPunct w:val="0"/>
                  <w:jc w:val="both"/>
                  <w:textAlignment w:val="baseline"/>
                </w:pPr>
              </w:p>
            </w:tc>
            <w:tc>
              <w:tcPr>
                <w:tcW w:w="296" w:type="dxa"/>
              </w:tcPr>
              <w:p>
                <w:pPr>
                  <w:rPr>
                    <w:sz w:val="10"/>
                    <w:szCs w:val="10"/>
                  </w:rPr>
                </w:pPr>
              </w:p>
              <w:p>
                <w:pPr>
                  <w:overflowPunct w:val="0"/>
                  <w:jc w:val="both"/>
                  <w:textAlignment w:val="baseline"/>
                </w:pPr>
              </w:p>
            </w:tc>
            <w:tc>
              <w:tcPr>
                <w:tcW w:w="1755" w:type="dxa"/>
                <w:tcBorders>
                  <w:top w:val="single" w:sz="4" w:space="0" w:color="auto"/>
                </w:tcBorders>
              </w:tcPr>
              <w:p>
                <w:pPr>
                  <w:rPr>
                    <w:sz w:val="10"/>
                    <w:szCs w:val="10"/>
                  </w:rPr>
                </w:pPr>
              </w:p>
              <w:p>
                <w:pPr>
                  <w:overflowPunct w:val="0"/>
                  <w:jc w:val="both"/>
                  <w:textAlignment w:val="baseline"/>
                </w:pPr>
              </w:p>
            </w:tc>
            <w:tc>
              <w:tcPr>
                <w:tcW w:w="530" w:type="dxa"/>
              </w:tcPr>
              <w:p>
                <w:pPr>
                  <w:rPr>
                    <w:sz w:val="10"/>
                    <w:szCs w:val="10"/>
                  </w:rPr>
                </w:pPr>
              </w:p>
              <w:p>
                <w:pPr>
                  <w:overflowPunct w:val="0"/>
                  <w:jc w:val="both"/>
                  <w:textAlignment w:val="baseline"/>
                </w:pPr>
              </w:p>
            </w:tc>
            <w:tc>
              <w:tcPr>
                <w:tcW w:w="2354" w:type="dxa"/>
                <w:tcBorders>
                  <w:top w:val="single" w:sz="4" w:space="0" w:color="auto"/>
                </w:tcBorders>
              </w:tcPr>
              <w:p>
                <w:pPr>
                  <w:rPr>
                    <w:sz w:val="10"/>
                    <w:szCs w:val="10"/>
                  </w:rPr>
                </w:pPr>
              </w:p>
              <w:p>
                <w:pPr>
                  <w:overflowPunct w:val="0"/>
                  <w:jc w:val="both"/>
                  <w:textAlignment w:val="baseline"/>
                </w:pPr>
              </w:p>
            </w:tc>
          </w:tr>
        </w:tbl>
        <w:p>
          <w:pPr>
            <w:overflowPunct w:val="0"/>
            <w:jc w:val="both"/>
            <w:textAlignment w:val="baseline"/>
          </w:pPr>
        </w:p>
        <w:p>
          <w:pPr>
            <w:overflowPunct w:val="0"/>
            <w:jc w:val="both"/>
            <w:textAlignment w:val="baseline"/>
          </w:pPr>
        </w:p>
        <w:sdt>
          <w:sdtPr>
            <w:alias w:val="skirsnis"/>
            <w:tag w:val="part_88ac1f28fc144dcb88141cc522dcf2fd"/>
            <w:lock w:val="sdtLocked"/>
            <w:richText/>
          </w:sdtPr>
          <w:sdtContent>
            <w:p>
              <w:pPr>
                <w:overflowPunct w:val="0"/>
                <w:jc w:val="both"/>
                <w:textAlignment w:val="baseline"/>
                <w:rPr>
                  <w:b/>
                </w:rPr>
              </w:pPr>
              <w:sdt>
                <w:sdtPr>
                  <w:alias w:val="Pavadinimas"/>
                  <w:tag w:val="title_88ac1f28fc144dcb88141cc522dcf2fd"/>
                  <w:lock w:val="sdtLocked"/>
                  <w:richText/>
                </w:sdtPr>
                <w:sdtContent>
                  <w:r>
                    <w:rPr>
                      <w:b/>
                    </w:rPr>
                    <w:t xml:space="preserve">DĖL </w:t>
                  </w:r>
                  <w:r>
                    <w:rPr>
                      <w:b/>
                      <w:lang w:val="de-DE"/>
                    </w:rPr>
                    <w:t xml:space="preserve">ŽEMĖS ŪKIO MINISTRO 2019 M. GEGUŽĖS 29 D. ĮSAKYMO NR. 3D-332 „DĖL </w:t>
                  </w:r>
                  <w:r>
                    <w:rPr>
                      <w:b/>
                    </w:rPr>
                    <w:t xml:space="preserve">TRĘŠIAMŲJŲ PRODUKTŲ NAUDOJIMO REIKALAVIMŲ APRAŠO PATVIRTINIMO“ PAKEITIMO </w:t>
                  </w:r>
                  <w:r>
                    <w:rPr>
                      <w:b/>
                      <w:bCs/>
                      <w:caps/>
                      <w:color w:val="000000"/>
                    </w:rPr>
                    <w:t>projekto</w:t>
                  </w:r>
                </w:sdtContent>
              </w:sdt>
            </w:p>
            <w:p>
              <w:pPr>
                <w:overflowPunct w:val="0"/>
                <w:jc w:val="both"/>
                <w:textAlignment w:val="baseline"/>
                <w:rPr>
                  <w:sz w:val="22"/>
                </w:rPr>
              </w:pPr>
            </w:p>
            <w:p>
              <w:pPr>
                <w:widowControl w:val="0"/>
                <w:spacing w:line="360" w:lineRule="auto"/>
                <w:ind w:firstLine="720"/>
                <w:jc w:val="both"/>
                <w:rPr>
                  <w:szCs w:val="24"/>
                </w:rPr>
              </w:pPr>
            </w:p>
            <w:p>
              <w:pPr>
                <w:widowControl w:val="0"/>
                <w:spacing w:line="360" w:lineRule="auto"/>
                <w:ind w:firstLine="720"/>
                <w:jc w:val="both"/>
                <w:rPr>
                  <w:szCs w:val="24"/>
                </w:rPr>
              </w:pPr>
              <w:r>
                <w:rPr>
                  <w:szCs w:val="24"/>
                </w:rPr>
                <w:t>Žemės ūkio ministerija teikia išvadoms gauti Tręšiamųjų produktų naudojimo reikalavimų aprašo</w:t>
              </w:r>
              <w:r>
                <w:rPr>
                  <w:color w:val="000000"/>
                </w:rPr>
                <w:t xml:space="preserve">, patvirtinto </w:t>
              </w:r>
              <w:r>
                <w:rPr>
                  <w:szCs w:val="24"/>
                </w:rPr>
                <w:t xml:space="preserve">Lietuvos Respublikos žemės ūkio ministro 2019 m. gegužės 29 d. įsakymu Nr. 3D-332 „Dėl Tręšiamųjų produktų naudojimo reikalavimų aprašo patvirtinimo“, pakeitimo projektą (toliau – Įsakymo projektas).  </w:t>
              </w:r>
            </w:p>
            <w:p>
              <w:pPr>
                <w:widowControl w:val="0"/>
                <w:spacing w:line="360" w:lineRule="auto"/>
                <w:ind w:firstLine="720"/>
                <w:jc w:val="both"/>
                <w:rPr>
                  <w:szCs w:val="24"/>
                </w:rPr>
              </w:pPr>
              <w:r>
                <w:rPr>
                  <w:szCs w:val="24"/>
                </w:rPr>
                <w:t xml:space="preserve">Projektas parengtas siekiant žemės ūkio veiklos subjektams suteikti didesnį pasirinkimą, kokias naudoti tręšiamųjų produktų normas tręšiant augalus ir kaip pateikti duomenis apie einamaisiais metais panaudotas mineralines (neorganines) ir (arba) organines trąšas, išskyrus neorganines antrinių augalų maisto medžiagų (kalcio, magnio, natrio, sieros) bei mikroelementines trąšas. Taip pat siekiant supaprastinti reikalavimus, žemės ūkio veiklos subjektai informaciją apie einamaisiais metais panaudotas mineralines (neorganines) ir (arba) organines trąšas turės pateikti ne rečiau kaip vieną kartą per metus iki gruodžio 1 d. Papildyta tręšiamųjų produktų naudojimo apskaitos rekomenduojama forma pildant popierinę ar elektroninę formas. </w:t>
              </w:r>
            </w:p>
            <w:p>
              <w:pPr>
                <w:widowControl w:val="0"/>
                <w:spacing w:line="360" w:lineRule="auto"/>
                <w:ind w:firstLine="720"/>
                <w:jc w:val="both"/>
                <w:rPr>
                  <w:szCs w:val="24"/>
                </w:rPr>
              </w:pPr>
              <w:r>
                <w:rPr>
                  <w:szCs w:val="24"/>
                </w:rPr>
                <w:t>Įsakymo projektui įgyvendinti nereikės keisti informacinių sistemų.</w:t>
              </w:r>
            </w:p>
            <w:p>
              <w:pPr>
                <w:widowControl w:val="0"/>
                <w:spacing w:line="360" w:lineRule="auto"/>
                <w:ind w:firstLine="720"/>
                <w:jc w:val="both"/>
                <w:rPr>
                  <w:szCs w:val="24"/>
                </w:rPr>
              </w:pPr>
              <w:r>
                <w:rPr>
                  <w:szCs w:val="24"/>
                </w:rPr>
                <w:t>Įsakymo projektas bus skelbiamas Lietuvos Respublikos Seimo kanceliarijos teisės aktų informacinėje sistemoje. Pastabas ir pasiūlymus dėl Įsakymo projekto bus galima pateikti per 10 darbo dienų nuo jo paskelbimo TAIS dienos.</w:t>
              </w:r>
            </w:p>
            <w:p>
              <w:pPr>
                <w:widowControl w:val="0"/>
                <w:spacing w:line="360" w:lineRule="auto"/>
                <w:ind w:firstLine="720"/>
                <w:jc w:val="both"/>
                <w:rPr>
                  <w:szCs w:val="24"/>
                </w:rPr>
              </w:pPr>
              <w:r>
                <w:rPr>
                  <w:szCs w:val="24"/>
                </w:rPr>
                <w:t xml:space="preserve">Įsakymo projektas teikiamas derinti Lietuvos Respublikos aplinkos ministerijai, Valstybinei augalininkystės tarnybai prie Žemės ūkio ministerijos, Žemės ūkio duomenų centrui, Lietuvos grūdų augintojų asociacijai, Lietuvos ūkininkų sąjungai, Lietuvos žemės ūkio kooperatyvų asociacijai, Žemės ūkio rūmams, Žemės ūkio kooperatyvui „Lagrenas“, Lietuvos pramoninkų konfederacijai  ir Lietuvos žemės ūkio bendrovių asociacijai.</w:t>
              </w:r>
            </w:p>
            <w:p>
              <w:pPr>
                <w:widowControl w:val="0"/>
                <w:spacing w:line="360" w:lineRule="auto"/>
                <w:ind w:firstLine="720"/>
                <w:jc w:val="both"/>
                <w:rPr>
                  <w:szCs w:val="24"/>
                </w:rPr>
              </w:pPr>
              <w:r>
                <w:rPr>
                  <w:szCs w:val="24"/>
                </w:rPr>
                <w:t xml:space="preserve">Antikorupcinis vertinimas neatliekamas, kadangi projekte nereguliuojami visuomeniniai santykiai, numatyti Lietuvos Respublikos korupcijos prevencijos įstatyme. </w:t>
              </w:r>
            </w:p>
            <w:p>
              <w:pPr>
                <w:widowControl w:val="0"/>
                <w:spacing w:line="360" w:lineRule="auto"/>
                <w:ind w:firstLine="720"/>
                <w:jc w:val="both"/>
                <w:rPr>
                  <w:szCs w:val="24"/>
                </w:rPr>
              </w:pPr>
              <w:r>
                <w:rPr>
                  <w:szCs w:val="24"/>
                </w:rPr>
                <w:t>Ūkio subjektams sukeliamų prisitaikymo prie reguliavimo išlaidų vertinimas neatliekamas, kadangi įvedamų duomenų kiekis ir laikas juos suvesti nesikeičia. Numatomo teisinio reguliavimo poveikio vertinimas neatliekamas. Poveikio konkurencijai vertinimas neatliekamas. Įsakymo projektas neperkelia ir neįgyvendina ES direktyvų ar kitų ES teisės aktų.</w:t>
              </w:r>
            </w:p>
            <w:p>
              <w:pPr>
                <w:spacing w:line="360" w:lineRule="auto"/>
                <w:ind w:firstLine="720"/>
                <w:rPr>
                  <w:bCs/>
                  <w:color w:val="000000"/>
                  <w:szCs w:val="24"/>
                </w:rPr>
              </w:pPr>
              <w:r>
                <w:rPr>
                  <w:bCs/>
                  <w:color w:val="000000"/>
                  <w:szCs w:val="24"/>
                </w:rPr>
                <w:t xml:space="preserve">PRIDEDAMA: </w:t>
              </w:r>
            </w:p>
            <w:sdt>
              <w:sdtPr>
                <w:alias w:val="1 p."/>
                <w:tag w:val="part_73f2233bbb954a048052923b32512122"/>
                <w:lock w:val="sdtLocked"/>
                <w:richText/>
              </w:sdtPr>
              <w:sdtContent>
                <w:p>
                  <w:pPr>
                    <w:ind w:left="927" w:hanging="218"/>
                    <w:rPr>
                      <w:bCs/>
                      <w:color w:val="000000"/>
                      <w:szCs w:val="24"/>
                    </w:rPr>
                  </w:pPr>
                  <w:sdt>
                    <w:sdtPr>
                      <w:alias w:val="Numeris"/>
                      <w:tag w:val="nr_73f2233bbb954a048052923b32512122"/>
                      <w:lock w:val="sdtLocked"/>
                      <w:richText/>
                    </w:sdtPr>
                    <w:sdtContent>
                      <w:r>
                        <w:rPr>
                          <w:bCs/>
                          <w:color w:val="000000"/>
                          <w:szCs w:val="24"/>
                        </w:rPr>
                        <w:t>1</w:t>
                      </w:r>
                    </w:sdtContent>
                  </w:sdt>
                  <w:r>
                    <w:rPr>
                      <w:bCs/>
                      <w:color w:val="000000"/>
                      <w:szCs w:val="24"/>
                    </w:rPr>
                    <w:t>.</w:t>
                    <w:tab/>
                    <w:t xml:space="preserve">Įsakymo projektas, </w:t>
                  </w:r>
                  <w:r>
                    <w:rPr>
                      <w:bCs/>
                      <w:color w:val="000000"/>
                      <w:szCs w:val="24"/>
                      <w:lang w:val="en-GB"/>
                    </w:rPr>
                    <w:t>1</w:t>
                  </w:r>
                  <w:r>
                    <w:rPr>
                      <w:bCs/>
                      <w:color w:val="000000"/>
                      <w:szCs w:val="24"/>
                    </w:rPr>
                    <w:t xml:space="preserve"> lapas.</w:t>
                  </w:r>
                </w:p>
              </w:sdtContent>
            </w:sdt>
            <w:sdt>
              <w:sdtPr>
                <w:alias w:val="2 p."/>
                <w:tag w:val="part_ac5945faefe542688b0323aa1f259648"/>
                <w:lock w:val="sdtLocked"/>
                <w:richText/>
              </w:sdtPr>
              <w:sdtContent>
                <w:p>
                  <w:pPr>
                    <w:ind w:left="927" w:hanging="218"/>
                    <w:rPr>
                      <w:bCs/>
                      <w:color w:val="000000"/>
                      <w:szCs w:val="24"/>
                    </w:rPr>
                  </w:pPr>
                  <w:sdt>
                    <w:sdtPr>
                      <w:alias w:val="Numeris"/>
                      <w:tag w:val="nr_ac5945faefe542688b0323aa1f259648"/>
                      <w:lock w:val="sdtLocked"/>
                      <w:richText/>
                    </w:sdtPr>
                    <w:sdtContent>
                      <w:r>
                        <w:rPr>
                          <w:bCs/>
                          <w:color w:val="000000"/>
                          <w:szCs w:val="24"/>
                        </w:rPr>
                        <w:t>2</w:t>
                      </w:r>
                    </w:sdtContent>
                  </w:sdt>
                  <w:r>
                    <w:rPr>
                      <w:bCs/>
                      <w:color w:val="000000"/>
                      <w:szCs w:val="24"/>
                    </w:rPr>
                    <w:t>.</w:t>
                    <w:tab/>
                    <w:t xml:space="preserve">Įsakymo lyginamasis variantas, </w:t>
                  </w:r>
                  <w:r>
                    <w:rPr>
                      <w:bCs/>
                      <w:color w:val="000000"/>
                      <w:szCs w:val="24"/>
                      <w:lang w:val="en-GB"/>
                    </w:rPr>
                    <w:t>2</w:t>
                  </w:r>
                  <w:r>
                    <w:rPr>
                      <w:bCs/>
                      <w:color w:val="000000"/>
                      <w:szCs w:val="24"/>
                    </w:rPr>
                    <w:t xml:space="preserve"> lapai.</w:t>
                  </w:r>
                </w:p>
                <w:p>
                  <w:pPr>
                    <w:overflowPunct w:val="0"/>
                    <w:jc w:val="both"/>
                    <w:textAlignment w:val="baseline"/>
                  </w:pPr>
                </w:p>
                <w:p>
                  <w:pPr>
                    <w:overflowPunct w:val="0"/>
                    <w:jc w:val="both"/>
                    <w:textAlignment w:val="baseline"/>
                  </w:pPr>
                </w:p>
                <w:p>
                  <w:pPr>
                    <w:overflowPunct w:val="0"/>
                    <w:jc w:val="both"/>
                    <w:textAlignment w:val="baseline"/>
                  </w:pPr>
                  <w:r>
                    <w:t>Ministerijos kancleris</w:t>
                    <w:tab/>
                    <w:tab/>
                    <w:tab/>
                    <w:tab/>
                    <w:tab/>
                    <w:tab/>
                    <w:tab/>
                    <w:tab/>
                    <w:t xml:space="preserve">       Valdas Aleknavičius</w:t>
                  </w:r>
                </w:p>
                <w:p>
                  <w:pPr>
                    <w:widowControl w:val="0"/>
                    <w:overflowPunct w:val="0"/>
                    <w:spacing w:line="360" w:lineRule="auto"/>
                    <w:jc w:val="both"/>
                    <w:textAlignment w:val="baseline"/>
                    <w:rPr>
                      <w:szCs w:val="24"/>
                    </w:rPr>
                  </w:pPr>
                </w:p>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rPr>
                      <w:sz w:val="26"/>
                      <w:szCs w:val="26"/>
                    </w:rPr>
                  </w:pPr>
                </w:p>
                <w:p>
                  <w:pPr>
                    <w:overflowPunct w:val="0"/>
                    <w:jc w:val="both"/>
                    <w:textAlignment w:val="baseline"/>
                    <w:rPr>
                      <w:sz w:val="23"/>
                      <w:szCs w:val="23"/>
                    </w:rPr>
                  </w:pPr>
                  <w:r>
                    <w:rPr>
                      <w:sz w:val="23"/>
                      <w:szCs w:val="23"/>
                    </w:rPr>
                    <w:t xml:space="preserve">Vilma Lučiūnaitė, tel. 239 1171, el. p. </w:t>
                  </w:r>
                  <w:r>
                    <w:rPr>
                      <w:sz w:val="23"/>
                      <w:szCs w:val="23"/>
                    </w:rPr>
                    <w:t>vilma.luciunaite@zum.lt</w:t>
                  </w:r>
                </w:p>
                <w:p>
                  <w:pPr>
                    <w:rPr>
                      <w:sz w:val="23"/>
                      <w:szCs w:val="23"/>
                    </w:rPr>
                  </w:pPr>
                  <w:r>
                    <w:rPr>
                      <w:sz w:val="23"/>
                      <w:szCs w:val="23"/>
                    </w:rPr>
                    <w:br w:type="page"/>
                  </w:r>
                </w:p>
              </w:sdtContent>
            </w:sdt>
          </w:sdtContent>
        </w:sdt>
        <w:sdt>
          <w:sdtPr>
            <w:alias w:val="skirsnis"/>
            <w:tag w:val="part_732a863d588040439c5c10e56a434734"/>
            <w:lock w:val="sdtLocked"/>
            <w:richText/>
          </w:sdtPr>
          <w:sdtContent>
            <w:sdt>
              <w:sdtPr>
                <w:alias w:val="Pavadinimas"/>
                <w:tag w:val="title_732a863d588040439c5c10e56a434734"/>
                <w:lock w:val="sdtLocked"/>
                <w:richText/>
              </w:sdtPr>
              <w:sdtContent>
                <w:p>
                  <w:pPr>
                    <w:widowControl w:val="0"/>
                    <w:suppressAutoHyphens/>
                    <w:overflowPunct w:val="0"/>
                    <w:jc w:val="center"/>
                    <w:textAlignment w:val="baseline"/>
                    <w:rPr>
                      <w:b/>
                      <w:bCs/>
                      <w:szCs w:val="24"/>
                      <w:lang w:val="pt-PT"/>
                    </w:rPr>
                  </w:pPr>
                  <w:r>
                    <w:rPr>
                      <w:b/>
                      <w:bCs/>
                      <w:szCs w:val="24"/>
                    </w:rPr>
                    <w:t xml:space="preserve">ŽEMĖS ŪKIO MINISTERIJOS </w:t>
                  </w:r>
                  <w:r>
                    <w:rPr>
                      <w:b/>
                      <w:bCs/>
                      <w:szCs w:val="24"/>
                      <w:lang w:val="pt-PT"/>
                    </w:rPr>
                    <w:t>2024-0</w:t>
                  </w:r>
                  <w:r>
                    <w:rPr>
                      <w:b/>
                      <w:bCs/>
                      <w:szCs w:val="24"/>
                      <w:lang w:val="en-GB"/>
                    </w:rPr>
                    <w:t>9</w:t>
                  </w:r>
                  <w:r>
                    <w:rPr>
                      <w:b/>
                      <w:bCs/>
                      <w:szCs w:val="24"/>
                      <w:lang w:val="pt-PT"/>
                    </w:rPr>
                    <w:t xml:space="preserve">-   RAŠTO NR.   </w:t>
                  </w:r>
                </w:p>
                <w:p>
                  <w:pPr>
                    <w:widowControl w:val="0"/>
                    <w:suppressAutoHyphens/>
                    <w:overflowPunct w:val="0"/>
                    <w:jc w:val="center"/>
                    <w:textAlignment w:val="baseline"/>
                    <w:rPr>
                      <w:b/>
                      <w:bCs/>
                      <w:szCs w:val="24"/>
                      <w:lang w:val="pt-PT"/>
                    </w:rPr>
                  </w:pPr>
                  <w:r>
                    <w:rPr>
                      <w:b/>
                      <w:bCs/>
                      <w:szCs w:val="24"/>
                      <w:lang w:val="pt-PT"/>
                    </w:rPr>
                    <w:t>ADRESATŲ SĄRAŠAS</w:t>
                  </w:r>
                </w:p>
              </w:sdtContent>
            </w:sdt>
            <w:p>
              <w:pPr>
                <w:overflowPunct w:val="0"/>
                <w:spacing w:line="264" w:lineRule="auto"/>
                <w:textAlignment w:val="baseline"/>
                <w:rPr>
                  <w:rFonts w:ascii="TimesLT" w:hAnsi="TimesLT"/>
                  <w:lang w:val="pt-PT"/>
                </w:rPr>
              </w:pPr>
            </w:p>
          </w:sdtContent>
        </w:sdt>
        <w:sdt>
          <w:sdtPr>
            <w:alias w:val="signatura"/>
            <w:tag w:val="part_126b05291a1d43a3abcd49672db98a4e"/>
            <w:lock w:val="sdtLocked"/>
            <w:richText/>
          </w:sdtPr>
          <w:sdtContent>
            <w:p>
              <w:pPr>
                <w:overflowPunct w:val="0"/>
                <w:spacing w:line="264" w:lineRule="auto"/>
                <w:textAlignment w:val="baseline"/>
              </w:pPr>
              <w:r>
                <w:t>Lietuvos grūdų augintojų asociacija</w:t>
              </w:r>
            </w:p>
            <w:p>
              <w:pPr>
                <w:overflowPunct w:val="0"/>
                <w:spacing w:line="264" w:lineRule="auto"/>
                <w:textAlignment w:val="baseline"/>
              </w:pPr>
              <w:r>
                <w:t>Lietuvos pramonininkų konfederacija</w:t>
              </w:r>
            </w:p>
            <w:p>
              <w:pPr>
                <w:overflowPunct w:val="0"/>
                <w:spacing w:line="264" w:lineRule="auto"/>
                <w:textAlignment w:val="baseline"/>
              </w:pPr>
              <w:r>
                <w:t>Lietuvos Respublikos aplinkos ministerija</w:t>
              </w:r>
            </w:p>
            <w:p>
              <w:pPr>
                <w:overflowPunct w:val="0"/>
                <w:spacing w:line="264" w:lineRule="auto"/>
                <w:textAlignment w:val="baseline"/>
              </w:pPr>
              <w:r>
                <w:t>Lietuvos ūkininkų sąjunga</w:t>
              </w:r>
            </w:p>
            <w:p>
              <w:pPr>
                <w:overflowPunct w:val="0"/>
                <w:spacing w:line="264" w:lineRule="auto"/>
                <w:textAlignment w:val="baseline"/>
              </w:pPr>
              <w:r>
                <w:t>Lietuvos žemės ūkio bendrovių asociacija</w:t>
              </w:r>
            </w:p>
            <w:p>
              <w:pPr>
                <w:overflowPunct w:val="0"/>
                <w:spacing w:line="264" w:lineRule="auto"/>
                <w:textAlignment w:val="baseline"/>
              </w:pPr>
              <w:r>
                <w:rPr>
                  <w:szCs w:val="24"/>
                </w:rPr>
                <w:t>Lietuvos žemės ūkio kooperatyvų asociacija</w:t>
              </w:r>
            </w:p>
            <w:p>
              <w:pPr>
                <w:overflowPunct w:val="0"/>
                <w:spacing w:line="264" w:lineRule="auto"/>
                <w:textAlignment w:val="baseline"/>
              </w:pPr>
              <w:r>
                <w:t>Lietuvos žemės ūkio rūmai</w:t>
              </w:r>
            </w:p>
            <w:p>
              <w:pPr>
                <w:overflowPunct w:val="0"/>
                <w:spacing w:line="264" w:lineRule="auto"/>
                <w:textAlignment w:val="baseline"/>
              </w:pPr>
              <w:r>
                <w:t>Valstybinė augalininkystės tarnyba prie Žemės ūkio ministerijos</w:t>
              </w:r>
            </w:p>
            <w:p>
              <w:pPr>
                <w:overflowPunct w:val="0"/>
                <w:spacing w:line="264" w:lineRule="auto"/>
                <w:textAlignment w:val="baseline"/>
              </w:pPr>
              <w:r>
                <w:t>Žemės ūkio duomenų centras</w:t>
              </w:r>
            </w:p>
            <w:p>
              <w:pPr>
                <w:overflowPunct w:val="0"/>
                <w:spacing w:line="264" w:lineRule="auto"/>
                <w:textAlignment w:val="baseline"/>
              </w:pPr>
              <w:r>
                <w:t>Žemės ūkio kooperatyvas „Lagrenas“</w:t>
              </w:r>
            </w:p>
            <w:p>
              <w:pPr>
                <w:overflowPunct w:val="0"/>
                <w:jc w:val="both"/>
                <w:textAlignment w:val="baseline"/>
              </w:pP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7" w:h="16840" w:code="9"/>
      <w:pgMar w:top="1247" w:right="567" w:bottom="1134" w:left="1701" w:header="284"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overflowPunct w:val="0"/>
        <w:textAlignment w:val="baseline"/>
        <w:rPr>
          <w:rFonts w:ascii="TimesLT" w:hAnsi="TimesLT"/>
          <w:lang w:val="en-GB"/>
        </w:rPr>
      </w:pPr>
      <w:r>
        <w:rPr>
          <w:rFonts w:ascii="TimesLT" w:hAnsi="TimesLT"/>
          <w:lang w:val="en-GB"/>
        </w:rPr>
        <w:separator/>
      </w:r>
    </w:p>
  </w:endnote>
  <w:endnote w:type="continuationSeparator" w:id="0">
    <w:p>
      <w:pPr>
        <w:overflowPunct w:val="0"/>
        <w:textAlignment w:val="baseline"/>
        <w:rPr>
          <w:rFonts w:ascii="TimesLT" w:hAnsi="TimesLT"/>
          <w:lang w:val="en-GB"/>
        </w:rPr>
      </w:pPr>
      <w:r>
        <w:rPr>
          <w:rFonts w:ascii="TimesLT" w:hAnsi="TimesLT"/>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rFonts w:ascii="TimesLT" w:hAnsi="TimesLT"/>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right"/>
      <w:textAlignment w:val="baseline"/>
      <w:rPr>
        <w:sz w:val="18"/>
        <w:szCs w:val="18"/>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rFonts w:ascii="TimesLT" w:hAnsi="TimesLT"/>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overflowPunct w:val="0"/>
        <w:textAlignment w:val="baseline"/>
        <w:rPr>
          <w:rFonts w:ascii="TimesLT" w:hAnsi="TimesLT"/>
          <w:lang w:val="en-GB"/>
        </w:rPr>
      </w:pPr>
      <w:r>
        <w:rPr>
          <w:rFonts w:ascii="TimesLT" w:hAnsi="TimesLT"/>
          <w:lang w:val="en-GB"/>
        </w:rPr>
        <w:separator/>
      </w:r>
    </w:p>
  </w:footnote>
  <w:footnote w:type="continuationSeparator" w:id="0">
    <w:p>
      <w:pPr>
        <w:overflowPunct w:val="0"/>
        <w:textAlignment w:val="baseline"/>
        <w:rPr>
          <w:rFonts w:ascii="TimesLT" w:hAnsi="TimesLT"/>
          <w:lang w:val="en-GB"/>
        </w:rPr>
      </w:pPr>
      <w:r>
        <w:rPr>
          <w:rFonts w:ascii="TimesLT" w:hAnsi="TimesLT"/>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rFonts w:ascii="TimesLT" w:hAnsi="TimesLT"/>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center"/>
      <w:textAlignment w:val="baseline"/>
      <w:rPr>
        <w:rFonts w:ascii="TimesLT" w:hAnsi="TimesLT"/>
        <w:lang w:val="en-GB"/>
      </w:rPr>
    </w:pPr>
    <w:r>
      <w:rPr>
        <w:rFonts w:ascii="TimesLT" w:hAnsi="TimesLT"/>
        <w:lang w:val="en-GB"/>
      </w:rPr>
      <w:fldChar w:fldCharType="begin"/>
    </w:r>
    <w:r>
      <w:rPr>
        <w:rFonts w:ascii="TimesLT" w:hAnsi="TimesLT"/>
        <w:lang w:val="en-GB"/>
      </w:rPr>
      <w:instrText>PAGE   \* MERGEFORMAT</w:instrText>
    </w:r>
    <w:r>
      <w:rPr>
        <w:rFonts w:ascii="TimesLT" w:hAnsi="TimesLT"/>
        <w:lang w:val="en-GB"/>
      </w:rPr>
      <w:fldChar w:fldCharType="separate"/>
    </w:r>
    <w:r>
      <w:rPr>
        <w:rFonts w:ascii="TimesLT" w:hAnsi="TimesLT"/>
      </w:rPr>
      <w:t>2</w:t>
    </w:r>
    <w:r>
      <w:rPr>
        <w:rFonts w:ascii="TimesLT" w:hAnsi="TimesLT"/>
        <w:lang w:val="en-GB"/>
      </w:rPr>
      <w:fldChar w:fldCharType="end"/>
    </w:r>
  </w:p>
  <w:p>
    <w:pPr>
      <w:tabs>
        <w:tab w:val="center" w:pos="4153"/>
        <w:tab w:val="right" w:pos="8306"/>
      </w:tabs>
      <w:overflowPunct w:val="0"/>
      <w:textAlignment w:val="baseline"/>
      <w:rPr>
        <w:rFonts w:ascii="TimesLT" w:hAnsi="TimesLT"/>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rFonts w:ascii="TimesLT" w:hAnsi="TimesLT"/>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120"/>
  <w:drawingGridVerticalSpacing w:val="6"/>
  <w:displayHorizontalDrawingGridEvery w:val="2"/>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D9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62C087AE-C5E9-419D-A90A-FCAC0771EE4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jpeg"/>
  <Relationship Id="rId7"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96313c6a18c41e3952fed588be7fbbf" PartId="2769cca05eaf4fa2b4a753d0b08a7c0b">
    <Part Type="skirsnis" Title="DĖL ŽEMĖS ŪKIO MINISTRO 2019 M. GEGUŽĖS 29 D. ĮSAKYMO NR. 3D-332 „DĖL TRĘŠIAMŲJŲ PRODUKTŲ NAUDOJIMO REIKALAVIMŲ APRAŠO PATVIRTINIMO“ PAKEITIMO PROJEKTO" DocPartId="ed445096c3a74b0c9febf1b5916d25ff" PartId="88ac1f28fc144dcb88141cc522dcf2fd">
      <Part Type="punktas" Nr="1" Abbr="1 p." DocPartId="9559d519c8a24f1db3b813952c028b1b" PartId="73f2233bbb954a048052923b32512122"/>
      <Part Type="punktas" Nr="2" Abbr="2 p." DocPartId="6d698aeb3fcf4b4c833fb9f3d6b4c7e4" PartId="ac5945faefe542688b0323aa1f259648"/>
    </Part>
    <Part Type="skirsnis" Title="ŽEMĖS ŪKIO MINISTERIJOS 2024-09- RAŠTO NR. ADRESATŲ SĄRAŠAS" DocPartId="20e782246cf64a1ba1b66d92af210246" PartId="732a863d588040439c5c10e56a434734"/>
    <Part Type="signatura" DocPartId="74a76fb0006744e3bf6441e118c48408" PartId="126b05291a1d43a3abcd49672db98a4e"/>
  </Part>
</Parts>
</file>

<file path=customXml/itemProps1.xml><?xml version="1.0" encoding="utf-8"?>
<ds:datastoreItem xmlns:ds="http://schemas.openxmlformats.org/officeDocument/2006/customXml" ds:itemID="{A2DF6243-E658-4A40-9D89-3D43C06C49E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422</Words>
  <Characters>3105</Characters>
  <Application>Microsoft Office Word</Application>
  <DocSecurity>4</DocSecurity>
  <Lines>119</Lines>
  <Paragraphs>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3486</CharactersWithSpaces>
  <SharedDoc>false</SharedDoc>
  <HyperlinkBase/>
  <HLinks>
    <vt:vector size="6" baseType="variant">
      <vt:variant>
        <vt:i4>917540</vt:i4>
      </vt:variant>
      <vt:variant>
        <vt:i4>0</vt:i4>
      </vt:variant>
      <vt:variant>
        <vt:i4>0</vt:i4>
      </vt:variant>
      <vt:variant>
        <vt:i4>5</vt:i4>
      </vt:variant>
      <vt:variant>
        <vt:lpwstr>mailto:zum@zum.lt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2024-09-20T11:55:00Z</dcterms:created>
  <dc:creator>Natalija Solovjova</dc:creator>
  <lastModifiedBy>adlibuser</lastModifiedBy>
  <dcterms:modified xsi:type="dcterms:W3CDTF">2024-09-20T11:55:00Z</dcterms:modified>
  <revision>2</revision>
</coreProperties>
</file>