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a7c28980074acca40c742d4162fb7e"/>
        <w:lock w:val="sdtLocked"/>
        <w:richText/>
      </w:sdtPr>
      <w:sdtContent>
        <w:p>
          <w:pPr>
            <w:suppressAutoHyphens/>
          </w:pPr>
        </w:p>
        <w:sdt>
          <w:sdtPr>
            <w:alias w:val="skyrius"/>
            <w:tag w:val="part_e0cff41ba421475fac63660c7afc9ca7"/>
            <w:lock w:val="sdtLocked"/>
            <w:richText/>
          </w:sdtPr>
          <w:sdtContent>
            <w:p>
              <w:pPr>
                <w:suppressAutoHyphens/>
                <w:jc w:val="center"/>
                <w:rPr>
                  <w:b/>
                  <w:szCs w:val="24"/>
                </w:rPr>
              </w:pPr>
              <w:r>
                <w:rPr>
                  <w:b/>
                  <w:szCs w:val="24"/>
                </w:rPr>
                <w:t>ŠIAULIŲ MIESTO SAVIVALDYBĖS ŽEMĖS VALDYMO SKYRIUS</w:t>
              </w:r>
            </w:p>
            <w:p>
              <w:pPr>
                <w:tabs>
                  <w:tab w:val="left" w:pos="851"/>
                </w:tabs>
                <w:suppressAutoHyphens/>
                <w:ind w:hanging="180"/>
                <w:jc w:val="center"/>
                <w:rPr>
                  <w:sz w:val="22"/>
                  <w:szCs w:val="22"/>
                </w:rPr>
              </w:pPr>
            </w:p>
            <w:p>
              <w:pPr>
                <w:suppressAutoHyphens/>
                <w:ind w:right="-87"/>
                <w:jc w:val="center"/>
                <w:rPr>
                  <w:b/>
                  <w:bCs/>
                  <w:sz w:val="22"/>
                  <w:szCs w:val="22"/>
                  <w:shd w:val="clear" w:color="auto" w:fill="FFFFFF"/>
                </w:rPr>
              </w:pPr>
              <w:sdt>
                <w:sdtPr>
                  <w:alias w:val="Pavadinimas"/>
                  <w:tag w:val="title_e0cff41ba421475fac63660c7afc9ca7"/>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IŠNUOMOTI VALSTYBINĖS ŽEMĖS SKLYPO DALĮ BENDRAI NAUDOJAMAME ŽEMĖS SKLYPE METALISTŲ G. 8C, ŠIAULIŲ MIESTE“ </w:t>
                  </w:r>
                </w:sdtContent>
              </w:sdt>
            </w:p>
            <w:p>
              <w:pPr>
                <w:suppressAutoHyphens/>
                <w:ind w:right="-87"/>
                <w:jc w:val="center"/>
                <w:rPr>
                  <w:b/>
                  <w:sz w:val="22"/>
                  <w:szCs w:val="22"/>
                  <w:lang w:eastAsia="lt-LT"/>
                </w:rPr>
              </w:pPr>
            </w:p>
            <w:sdt>
              <w:sdtPr>
                <w:alias w:val="poskyris"/>
                <w:tag w:val="part_96336345f8f94c4ab810eb60e101052a"/>
                <w:lock w:val="sdtLocked"/>
                <w:richText/>
              </w:sdtPr>
              <w:sdtContent>
                <w:p>
                  <w:pPr>
                    <w:tabs>
                      <w:tab w:val="left" w:pos="851"/>
                    </w:tabs>
                    <w:suppressAutoHyphens/>
                    <w:jc w:val="center"/>
                    <w:rPr>
                      <w:b/>
                      <w:sz w:val="22"/>
                      <w:szCs w:val="22"/>
                      <w:lang w:eastAsia="lt-LT"/>
                    </w:rPr>
                  </w:pPr>
                  <w:sdt>
                    <w:sdtPr>
                      <w:alias w:val="Pavadinimas"/>
                      <w:tag w:val="title_96336345f8f94c4ab810eb60e101052a"/>
                      <w:lock w:val="sdtLocked"/>
                      <w:richText/>
                    </w:sdtPr>
                    <w:sdtContent>
                      <w:r>
                        <w:rPr>
                          <w:b/>
                          <w:sz w:val="22"/>
                          <w:szCs w:val="22"/>
                          <w:lang w:eastAsia="lt-LT"/>
                        </w:rPr>
                        <w:t>AIŠKINAMASIS RAŠTAS</w:t>
                      </w:r>
                    </w:sdtContent>
                  </w:sdt>
                </w:p>
                <w:p>
                  <w:pPr>
                    <w:tabs>
                      <w:tab w:val="left" w:pos="851"/>
                    </w:tabs>
                    <w:suppressAutoHyphens/>
                    <w:jc w:val="center"/>
                    <w:rPr>
                      <w:sz w:val="22"/>
                      <w:szCs w:val="22"/>
                      <w:lang w:eastAsia="lt-LT"/>
                    </w:rPr>
                  </w:pPr>
                </w:p>
                <w:p>
                  <w:pPr>
                    <w:tabs>
                      <w:tab w:val="left" w:pos="851"/>
                    </w:tabs>
                    <w:suppressAutoHyphens/>
                    <w:jc w:val="center"/>
                    <w:rPr>
                      <w:sz w:val="22"/>
                      <w:szCs w:val="22"/>
                    </w:rPr>
                  </w:pPr>
                  <w:r>
                    <w:rPr>
                      <w:sz w:val="22"/>
                      <w:szCs w:val="22"/>
                      <w:lang w:eastAsia="lt-LT"/>
                    </w:rPr>
                    <w:t>2024 m. __________ d.</w:t>
                  </w:r>
                </w:p>
                <w:p>
                  <w:pPr>
                    <w:tabs>
                      <w:tab w:val="left" w:pos="851"/>
                    </w:tabs>
                    <w:suppressAutoHyphens/>
                    <w:ind w:left="4820" w:hanging="4820"/>
                    <w:jc w:val="center"/>
                    <w:rPr>
                      <w:bCs/>
                      <w:sz w:val="22"/>
                      <w:szCs w:val="22"/>
                      <w:lang w:eastAsia="lt-LT"/>
                    </w:rPr>
                  </w:pPr>
                  <w:r>
                    <w:rPr>
                      <w:bCs/>
                      <w:sz w:val="22"/>
                      <w:szCs w:val="22"/>
                      <w:lang w:eastAsia="lt-LT"/>
                    </w:rPr>
                    <w:t>Šiauliai</w:t>
                  </w:r>
                </w:p>
                <w:p>
                  <w:pPr>
                    <w:tabs>
                      <w:tab w:val="left" w:pos="851"/>
                    </w:tabs>
                    <w:suppressAutoHyphens/>
                    <w:ind w:firstLine="1440"/>
                    <w:jc w:val="both"/>
                    <w:rPr>
                      <w:b/>
                      <w:bCs/>
                      <w:sz w:val="22"/>
                      <w:szCs w:val="22"/>
                      <w:lang w:eastAsia="lt-LT"/>
                    </w:rPr>
                  </w:pPr>
                </w:p>
              </w:sdtContent>
            </w:sdt>
            <w:sdt>
              <w:sdtPr>
                <w:alias w:val="poskyris"/>
                <w:tag w:val="part_d1e3cee199494fbcbb4c8aa0e9f032db"/>
                <w:lock w:val="sdtLocked"/>
                <w:richText/>
              </w:sdtPr>
              <w:sdtContent>
                <w:p>
                  <w:pPr>
                    <w:tabs>
                      <w:tab w:val="left" w:pos="851"/>
                    </w:tabs>
                    <w:suppressAutoHyphens/>
                    <w:ind w:firstLine="851"/>
                    <w:jc w:val="both"/>
                    <w:rPr>
                      <w:b/>
                      <w:bCs/>
                      <w:sz w:val="22"/>
                      <w:szCs w:val="22"/>
                      <w:lang w:eastAsia="lt-LT"/>
                    </w:rPr>
                  </w:pPr>
                  <w:sdt>
                    <w:sdtPr>
                      <w:alias w:val="Pavadinimas"/>
                      <w:tag w:val="title_d1e3cee199494fbcbb4c8aa0e9f032db"/>
                      <w:lock w:val="sdtLocked"/>
                      <w:richText/>
                    </w:sdtPr>
                    <w:sdtContent>
                      <w:r>
                        <w:rPr>
                          <w:b/>
                          <w:bCs/>
                          <w:sz w:val="22"/>
                          <w:szCs w:val="22"/>
                          <w:lang w:eastAsia="lt-LT"/>
                        </w:rPr>
                        <w:t>Parengto sprendimo projekto tikslai ir uždaviniai:</w:t>
                      </w:r>
                    </w:sdtContent>
                  </w:sdt>
                </w:p>
                <w:p>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0,7501 ha ploto žemės sklypo dalies, esančios bendrai naudojamame 0,9141 ha ploto žemės sklype Metalistų g. 8C, Šiaulių mieste.</w:t>
                  </w:r>
                </w:p>
              </w:sdtContent>
            </w:sdt>
            <w:sdt>
              <w:sdtPr>
                <w:alias w:val="poskyris"/>
                <w:tag w:val="part_ca50245399c24005b47c50e9b367af42"/>
                <w:lock w:val="sdtLocked"/>
                <w:richText/>
              </w:sdtPr>
              <w:sdtContent>
                <w:p>
                  <w:pPr>
                    <w:tabs>
                      <w:tab w:val="left" w:pos="709"/>
                    </w:tabs>
                    <w:suppressAutoHyphens/>
                    <w:ind w:firstLine="851"/>
                    <w:jc w:val="both"/>
                    <w:rPr>
                      <w:b/>
                      <w:bCs/>
                      <w:sz w:val="22"/>
                      <w:szCs w:val="22"/>
                      <w:lang w:eastAsia="lt-LT"/>
                    </w:rPr>
                  </w:pPr>
                  <w:sdt>
                    <w:sdtPr>
                      <w:alias w:val="Pavadinimas"/>
                      <w:tag w:val="title_ca50245399c24005b47c50e9b367af42"/>
                      <w:lock w:val="sdtLocked"/>
                      <w:richText/>
                    </w:sdtPr>
                    <w:sdtContent>
                      <w:r>
                        <w:rPr>
                          <w:b/>
                          <w:bCs/>
                          <w:sz w:val="22"/>
                          <w:szCs w:val="22"/>
                          <w:lang w:eastAsia="lt-LT"/>
                        </w:rPr>
                        <w:t>Dabartinis sprendimo projekte aptariamų klausimų reguliavimas:</w:t>
                      </w:r>
                    </w:sdtContent>
                  </w:sdt>
                </w:p>
                <w:p>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pPr>
                    <w:widowControl w:val="0"/>
                    <w:ind w:firstLine="851"/>
                    <w:jc w:val="both"/>
                    <w:rPr>
                      <w:sz w:val="22"/>
                      <w:szCs w:val="22"/>
                      <w:lang w:eastAsia="lt-LT"/>
                    </w:rPr>
                  </w:pPr>
                  <w:r>
                    <w:rPr>
                      <w:color w:val="000000"/>
                      <w:sz w:val="22"/>
                      <w:szCs w:val="22"/>
                      <w:lang w:eastAsia="lt-LT"/>
                    </w:rPr>
                    <w:t xml:space="preserve">Taisyklių 39.7 papunktyje nurodyta, kad </w:t>
                  </w:r>
                  <w:r>
                    <w:rPr>
                      <w:i/>
                      <w:iCs/>
                      <w:color w:val="000000"/>
                      <w:sz w:val="22"/>
                      <w:szCs w:val="22"/>
                      <w:lang w:eastAsia="lt-LT"/>
                    </w:rPr>
                    <w:t>valstybinės žemės nuomotojui nustačius, kad galima sudaryti valstybinės žemės nuomos sutartį Žemės įstatymuose 9 straipsnio 23 ir 26 (</w:t>
                  </w:r>
                  <w:r>
                    <w:rPr>
                      <w:sz w:val="22"/>
                      <w:szCs w:val="22"/>
                    </w:rPr>
                    <w:t xml:space="preserve">išnuomojamas valstybinės žemės sklypas statiniams ir (ar) įrenginiams eksploatuoti, kurių paskirtis neatitinka valstybinės žemės sklypo pagrindinės žemės naudojimo paskirties ir (ar) naudojimo būdo) </w:t>
                  </w:r>
                  <w:r>
                    <w:rPr>
                      <w:i/>
                      <w:iCs/>
                      <w:color w:val="000000"/>
                      <w:sz w:val="22"/>
                      <w:szCs w:val="22"/>
                      <w:lang w:eastAsia="lt-LT"/>
                    </w:rPr>
                    <w:t xml:space="preserve">dalyse nurodytais atvejais arba pašalinus neatitikimus, – valstybinės žemės nuomotojas užsako pagal šiuos papunkčius pageidaujamo išsinuomoti žemės </w:t>
                  </w:r>
                  <w:r>
                    <w:rPr>
                      <w:i/>
                      <w:iCs/>
                      <w:sz w:val="22"/>
                      <w:szCs w:val="22"/>
                      <w:lang w:eastAsia="lt-LT"/>
                    </w:rPr>
                    <w:t>sklypo individualųjį vertinimą;</w:t>
                  </w:r>
                </w:p>
                <w:p>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pPr>
                    <w:suppressAutoHyphens/>
                    <w:ind w:firstLine="851"/>
                    <w:jc w:val="both"/>
                    <w:rPr>
                      <w:sz w:val="22"/>
                      <w:szCs w:val="22"/>
                      <w:lang w:eastAsia="lt-LT"/>
                    </w:rPr>
                  </w:pPr>
                  <w:r>
                    <w:rPr>
                      <w:sz w:val="22"/>
                      <w:szCs w:val="22"/>
                      <w:lang w:eastAsia="lt-LT"/>
                    </w:rPr>
                    <w:t>Žemės sklype pastatas</w:t>
                  </w:r>
                  <w:r>
                    <w:rPr>
                      <w:bCs/>
                      <w:sz w:val="22"/>
                      <w:szCs w:val="22"/>
                      <w:lang w:eastAsia="lt-LT"/>
                    </w:rPr>
                    <w:t xml:space="preserve"> (unikalus Nr. 2998-9016-5022) pastatytas 1989 m.</w:t>
                  </w:r>
                </w:p>
                <w:p>
                  <w:pPr>
                    <w:suppressAutoHyphens/>
                    <w:ind w:firstLine="851"/>
                    <w:jc w:val="both"/>
                    <w:rPr>
                      <w:bCs/>
                      <w:sz w:val="22"/>
                      <w:szCs w:val="22"/>
                      <w:lang w:eastAsia="lt-LT"/>
                    </w:rPr>
                  </w:pPr>
                  <w:r>
                    <w:rPr>
                      <w:sz w:val="22"/>
                      <w:szCs w:val="22"/>
                      <w:lang w:eastAsia="lt-LT"/>
                    </w:rPr>
                    <w:t>Vadovaujantis STR 1.12.06:2002 9.1 papunkčiu, plytų pastato, kurio paskirtis – garažų, ekonomiškai pagrįstas naudojimo terminas yra 60 metų</w:t>
                  </w:r>
                  <w:r>
                    <w:rPr>
                      <w:bCs/>
                      <w:sz w:val="22"/>
                      <w:szCs w:val="22"/>
                      <w:lang w:eastAsia="lt-LT"/>
                    </w:rPr>
                    <w:t>.</w:t>
                  </w:r>
                </w:p>
                <w:p>
                  <w:pPr>
                    <w:suppressAutoHyphens/>
                    <w:ind w:firstLine="851"/>
                    <w:jc w:val="both"/>
                    <w:rPr>
                      <w:sz w:val="22"/>
                      <w:szCs w:val="22"/>
                      <w:lang w:eastAsia="lt-LT"/>
                    </w:rPr>
                  </w:pPr>
                  <w:r>
                    <w:rPr>
                      <w:sz w:val="22"/>
                      <w:szCs w:val="22"/>
                      <w:lang w:eastAsia="lt-LT"/>
                    </w:rPr>
                    <w:t>T = S – (S x (N / 100)) + M</w:t>
                  </w:r>
                </w:p>
                <w:p>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pPr>
                    <w:suppressAutoHyphens/>
                    <w:ind w:firstLine="851"/>
                    <w:jc w:val="both"/>
                    <w:rPr>
                      <w:sz w:val="22"/>
                      <w:szCs w:val="22"/>
                      <w:lang w:eastAsia="lt-LT"/>
                    </w:rPr>
                  </w:pPr>
                  <w:r>
                    <w:rPr>
                      <w:sz w:val="22"/>
                      <w:szCs w:val="22"/>
                      <w:lang w:eastAsia="lt-LT"/>
                    </w:rPr>
                    <w:t>T = 60 – (60 x (26/100)) +1999=2044-2024=19 metų</w:t>
                  </w:r>
                </w:p>
                <w:p>
                  <w:pPr>
                    <w:suppressAutoHyphens/>
                    <w:ind w:firstLine="851"/>
                    <w:jc w:val="both"/>
                    <w:rPr>
                      <w:bCs/>
                      <w:sz w:val="22"/>
                      <w:szCs w:val="22"/>
                      <w:lang w:eastAsia="lt-LT"/>
                    </w:rPr>
                  </w:pPr>
                  <w:r>
                    <w:rPr>
                      <w:bCs/>
                      <w:sz w:val="22"/>
                      <w:szCs w:val="22"/>
                      <w:lang w:eastAsia="lt-LT"/>
                    </w:rPr>
                    <w:t>Nekilnojamojo turto registro duomenų bazės išrašo 12 punkte nurodyta pastaba, kad aikštelė, kurios unikalus Nr. 4400-2849-1376, adresu Metalistų g. 8C, Šiaulių mieste, dubliuojasi su dalimi kiemo aikštelės, unikalus Nr. 4400-5771-5456, adresu Šiauliai, Metalistų g. 8A.</w:t>
                  </w:r>
                </w:p>
                <w:p>
                  <w:pPr>
                    <w:suppressAutoHyphens/>
                    <w:ind w:firstLine="851"/>
                    <w:jc w:val="both"/>
                    <w:rPr>
                      <w:bCs/>
                      <w:sz w:val="22"/>
                      <w:szCs w:val="22"/>
                      <w:lang w:eastAsia="lt-LT"/>
                    </w:rPr>
                  </w:pPr>
                  <w:r>
                    <w:rPr>
                      <w:bCs/>
                      <w:sz w:val="22"/>
                      <w:szCs w:val="22"/>
                      <w:lang w:eastAsia="lt-LT"/>
                    </w:rPr>
                    <w:t xml:space="preserve">Patikrinus Nekilnojamojo turto registro duomenų bazės išrašą, nustatyta, kad aikštelei (unikalus Nr. 4400-2849-1376) yra įregistruotas juridinis faktas – iškelta byla, susijusi su nekilnojamuoju daiktu, dėl deklaracijos ir kadastrinių matavimų pripažinimo negaliojančiais ir turto registracijos panaikinimo. Kadangi dėl 1624,6 kv. m ploto aikštelės vyksta teisminis procesas, aikštelei reikalinga 0,1640 ha ploto dalis, esanti bendrai naudojamame 0,9141 ha ploto žemės sklype nebus išnuomota. </w:t>
                  </w:r>
                </w:p>
                <w:p>
                  <w:pPr>
                    <w:suppressAutoHyphens/>
                    <w:ind w:firstLine="851"/>
                    <w:jc w:val="both"/>
                    <w:rPr>
                      <w:bCs/>
                      <w:sz w:val="22"/>
                      <w:szCs w:val="22"/>
                      <w:lang w:eastAsia="lt-LT"/>
                    </w:rPr>
                  </w:pPr>
                  <w:r>
                    <w:rPr>
                      <w:bCs/>
                      <w:sz w:val="22"/>
                      <w:szCs w:val="22"/>
                      <w:lang w:eastAsia="lt-LT"/>
                    </w:rPr>
                    <w:t xml:space="preserve">Nekilnojamojo turto registro duomenų bazės išrašo 10.3 papunktyje nurodyta (kadastro žyma) apie savavališką statybą. Atlikus faktinių duomenų patikrinimą vietoje nustatyta, kad savavališkai pastatytas statinys neturi pamato ir pastatytas ant esamos asfaltuotos aikštelės (2024-05-22 faktinių duomenų patikrinimo vietoje aktas Nr. ŽV-78). </w:t>
                  </w:r>
                  <w:r>
                    <w:rPr>
                      <w:sz w:val="22"/>
                      <w:szCs w:val="22"/>
                      <w:lang w:eastAsia="lt-LT"/>
                    </w:rPr>
                    <w:t>Vadovaujantis Lietuvos Respublikos teritorijų planavimo, statybos ir žemės naudojimo valstybinės priežiūros įstatymo 1 straipsnio 1 dalimi, 13 straipsniu ir 14 straipsniu, šio įstatymo nuostatas įgyvendina Valstybinė teritorijų planavimo ir statybos inspekcija prie Aplinkos ministerijos. Šiaulių miesto savivaldybės administracijai nėra priskirta funkcija tirti statinių savavališką statybą. Įvertinus, tai kas išdėstyta anksčiau minima kadastro žyma netrukdo sudaryti nuomos sutartį.</w:t>
                  </w:r>
                </w:p>
                <w:p>
                  <w:pPr>
                    <w:suppressAutoHyphens/>
                    <w:ind w:firstLine="851"/>
                    <w:jc w:val="both"/>
                    <w:rPr>
                      <w:sz w:val="22"/>
                      <w:szCs w:val="22"/>
                      <w:lang w:eastAsia="lt-LT"/>
                    </w:rPr>
                  </w:pPr>
                  <w:r>
                    <w:rPr>
                      <w:sz w:val="22"/>
                      <w:szCs w:val="22"/>
                      <w:lang w:eastAsia="lt-LT"/>
                    </w:rPr>
                    <w:t>2024-03-04 atlikus faktinių duomenų patikrinimą vietoje (akto Nr. ŽV-21), nustatyta, kad Žemės sklypas kompaktiškai užstatytas statiniais ir atitinka statiniams ir įrenginiams eksploatuoti reikalingo žemės sklypo būtino dydžio reikalavimus.</w:t>
                  </w:r>
                </w:p>
                <w:p>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pPr>
                    <w:suppressAutoHyphens/>
                    <w:ind w:firstLine="851"/>
                    <w:jc w:val="both"/>
                    <w:rPr>
                      <w:sz w:val="22"/>
                      <w:szCs w:val="22"/>
                    </w:rPr>
                  </w:pPr>
                  <w:r>
                    <w:rPr>
                      <w:sz w:val="22"/>
                      <w:szCs w:val="22"/>
                    </w:rPr>
                    <w:t>Nuomos sutarties projektas saugomas Žemės valdymo skyriuje.</w:t>
                  </w:r>
                </w:p>
              </w:sdtContent>
            </w:sdt>
            <w:sdt>
              <w:sdtPr>
                <w:alias w:val="poskyris"/>
                <w:tag w:val="part_8c270f28ecd84234915425f9b2f6e308"/>
                <w:lock w:val="sdtLocked"/>
                <w:richText/>
              </w:sdtPr>
              <w:sdtContent>
                <w:p>
                  <w:pPr>
                    <w:tabs>
                      <w:tab w:val="left" w:pos="851"/>
                    </w:tabs>
                    <w:suppressAutoHyphens/>
                    <w:ind w:firstLine="851"/>
                    <w:jc w:val="both"/>
                    <w:rPr>
                      <w:b/>
                      <w:sz w:val="22"/>
                      <w:szCs w:val="22"/>
                      <w:lang w:eastAsia="lt-LT"/>
                    </w:rPr>
                  </w:pPr>
                  <w:sdt>
                    <w:sdtPr>
                      <w:alias w:val="Pavadinimas"/>
                      <w:tag w:val="title_8c270f28ecd84234915425f9b2f6e308"/>
                      <w:lock w:val="sdtLocked"/>
                      <w:richText/>
                    </w:sdtPr>
                    <w:sdtContent>
                      <w:r>
                        <w:rPr>
                          <w:b/>
                          <w:sz w:val="22"/>
                          <w:szCs w:val="22"/>
                          <w:lang w:eastAsia="lt-LT"/>
                        </w:rPr>
                        <w:t>Sprendimo projekte numatytos naujos teisinio reglamentavimo nuostatos:</w:t>
                      </w:r>
                    </w:sdtContent>
                  </w:sdt>
                </w:p>
                <w:p>
                  <w:pPr>
                    <w:tabs>
                      <w:tab w:val="left" w:pos="697"/>
                    </w:tabs>
                    <w:suppressAutoHyphens/>
                    <w:ind w:firstLine="851"/>
                    <w:jc w:val="both"/>
                    <w:rPr>
                      <w:sz w:val="22"/>
                      <w:szCs w:val="22"/>
                    </w:rPr>
                  </w:pPr>
                  <w:r>
                    <w:rPr>
                      <w:color w:val="000000"/>
                      <w:sz w:val="22"/>
                      <w:szCs w:val="22"/>
                    </w:rPr>
                    <w:t>Nenumatoma</w:t>
                  </w:r>
                </w:p>
              </w:sdtContent>
            </w:sdt>
            <w:sdt>
              <w:sdtPr>
                <w:alias w:val="poskyris"/>
                <w:tag w:val="part_08f6821ed9c142bcaa1d5fa12c61a291"/>
                <w:lock w:val="sdtLocked"/>
                <w:richText/>
              </w:sdtPr>
              <w:sdtContent>
                <w:p>
                  <w:pPr>
                    <w:widowControl w:val="0"/>
                    <w:suppressAutoHyphens/>
                    <w:ind w:firstLine="851"/>
                    <w:jc w:val="both"/>
                    <w:rPr>
                      <w:kern w:val="2"/>
                      <w:sz w:val="22"/>
                      <w:szCs w:val="22"/>
                      <w:shd w:val="clear" w:color="auto" w:fill="FFFFFF"/>
                      <w:lang w:eastAsia="lt-LT"/>
                    </w:rPr>
                  </w:pPr>
                  <w:sdt>
                    <w:sdtPr>
                      <w:alias w:val="Pavadinimas"/>
                      <w:tag w:val="title_08f6821ed9c142bcaa1d5fa12c61a291"/>
                      <w:lock w:val="sdtLocked"/>
                      <w:richText/>
                    </w:sdtPr>
                    <w:sdtContent>
                      <w:r>
                        <w:rPr>
                          <w:rFonts w:eastAsia="Lucida Sans Unicode"/>
                          <w:b/>
                          <w:kern w:val="1"/>
                          <w:sz w:val="22"/>
                          <w:szCs w:val="22"/>
                          <w:lang w:eastAsia="lt-LT"/>
                        </w:rPr>
                        <w:t>Priėmus sprendimą, galimos pasekmės (tiek teigiamos, tiek neigiamos).</w:t>
                      </w:r>
                    </w:sdtContent>
                  </w:sdt>
                </w:p>
                <w:p>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469eb176a124e3a9fc529bb3a5adf45"/>
                <w:lock w:val="sdtLocked"/>
                <w:richText/>
              </w:sdtPr>
              <w:sdtContent>
                <w:p>
                  <w:pPr>
                    <w:widowControl w:val="0"/>
                    <w:suppressAutoHyphens/>
                    <w:ind w:firstLine="851"/>
                    <w:jc w:val="both"/>
                    <w:rPr>
                      <w:rFonts w:eastAsia="Lucida Sans Unicode"/>
                      <w:b/>
                      <w:kern w:val="1"/>
                      <w:sz w:val="22"/>
                      <w:szCs w:val="22"/>
                      <w:lang w:eastAsia="lt-LT"/>
                    </w:rPr>
                  </w:pPr>
                  <w:sdt>
                    <w:sdtPr>
                      <w:alias w:val="Pavadinimas"/>
                      <w:tag w:val="title_6469eb176a124e3a9fc529bb3a5adf45"/>
                      <w:lock w:val="sdtLocked"/>
                      <w:richText/>
                    </w:sdtPr>
                    <w:sdtContent>
                      <w:r>
                        <w:rPr>
                          <w:rFonts w:eastAsia="Lucida Sans Unicode"/>
                          <w:b/>
                          <w:kern w:val="1"/>
                          <w:sz w:val="22"/>
                          <w:szCs w:val="22"/>
                          <w:lang w:eastAsia="lt-LT"/>
                        </w:rPr>
                        <w:t>Priėmus sprendimą, keičiami ar pripažįstami negaliojančiais teisės aktai.</w:t>
                      </w:r>
                    </w:sdtContent>
                  </w:sdt>
                </w:p>
                <w:p>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3765ad0c5e12455f800eb41e78639010"/>
                <w:lock w:val="sdtLocked"/>
                <w:richText/>
              </w:sdtPr>
              <w:sdtContent>
                <w:p>
                  <w:pPr>
                    <w:widowControl w:val="0"/>
                    <w:suppressAutoHyphens/>
                    <w:ind w:firstLine="851"/>
                    <w:jc w:val="both"/>
                    <w:rPr>
                      <w:rFonts w:eastAsia="Lucida Sans Unicode"/>
                      <w:b/>
                      <w:kern w:val="1"/>
                      <w:sz w:val="22"/>
                      <w:szCs w:val="22"/>
                      <w:lang w:eastAsia="lt-LT"/>
                    </w:rPr>
                  </w:pPr>
                  <w:sdt>
                    <w:sdtPr>
                      <w:alias w:val="Pavadinimas"/>
                      <w:tag w:val="title_3765ad0c5e12455f800eb41e78639010"/>
                      <w:lock w:val="sdtLocked"/>
                      <w:richText/>
                    </w:sdtPr>
                    <w:sdtContent>
                      <w:r>
                        <w:rPr>
                          <w:rFonts w:eastAsia="Lucida Sans Unicode"/>
                          <w:b/>
                          <w:kern w:val="1"/>
                          <w:sz w:val="22"/>
                          <w:szCs w:val="22"/>
                          <w:lang w:eastAsia="lt-LT"/>
                        </w:rPr>
                        <w:t>Sprendimui įgyvendinti reikalingi priimti papildomi teisės aktai.</w:t>
                      </w:r>
                    </w:sdtContent>
                  </w:sdt>
                </w:p>
                <w:p>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48e2a8fefec4f4ab25058debcc1c53d"/>
                <w:lock w:val="sdtLocked"/>
                <w:richText/>
              </w:sdtPr>
              <w:sdtContent>
                <w:p>
                  <w:pPr>
                    <w:widowControl w:val="0"/>
                    <w:suppressAutoHyphens/>
                    <w:ind w:firstLine="851"/>
                    <w:jc w:val="both"/>
                    <w:rPr>
                      <w:rFonts w:eastAsia="Lucida Sans Unicode"/>
                      <w:b/>
                      <w:kern w:val="1"/>
                      <w:sz w:val="22"/>
                      <w:szCs w:val="22"/>
                      <w:lang w:eastAsia="lt-LT"/>
                    </w:rPr>
                  </w:pPr>
                  <w:sdt>
                    <w:sdtPr>
                      <w:alias w:val="Pavadinimas"/>
                      <w:tag w:val="title_648e2a8fefec4f4ab25058debcc1c53d"/>
                      <w:lock w:val="sdtLocked"/>
                      <w:richText/>
                    </w:sdtPr>
                    <w:sdtContent>
                      <w:r>
                        <w:rPr>
                          <w:rFonts w:eastAsia="Lucida Sans Unicode"/>
                          <w:b/>
                          <w:kern w:val="1"/>
                          <w:sz w:val="22"/>
                          <w:szCs w:val="22"/>
                          <w:lang w:eastAsia="lt-LT"/>
                        </w:rPr>
                        <w:t>Sprendimui įgyvendinti reikalingos lėšos.</w:t>
                      </w:r>
                    </w:sdtContent>
                  </w:sdt>
                </w:p>
                <w:p>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bac8c148d7f447d0a6ab19c1ecde3938"/>
                <w:lock w:val="sdtLocked"/>
                <w:richText/>
              </w:sdtPr>
              <w:sdtContent>
                <w:p>
                  <w:pPr>
                    <w:widowControl w:val="0"/>
                    <w:suppressAutoHyphens/>
                    <w:ind w:firstLine="851"/>
                    <w:jc w:val="both"/>
                    <w:rPr>
                      <w:rFonts w:eastAsia="Lucida Sans Unicode"/>
                      <w:b/>
                      <w:kern w:val="1"/>
                      <w:sz w:val="22"/>
                      <w:szCs w:val="22"/>
                      <w:lang w:eastAsia="lt-LT"/>
                    </w:rPr>
                  </w:pPr>
                  <w:sdt>
                    <w:sdtPr>
                      <w:alias w:val="Pavadinimas"/>
                      <w:tag w:val="title_bac8c148d7f447d0a6ab19c1ecde3938"/>
                      <w:lock w:val="sdtLocked"/>
                      <w:richText/>
                    </w:sdtPr>
                    <w:sdtContent>
                      <w:r>
                        <w:rPr>
                          <w:rFonts w:eastAsia="Lucida Sans Unicode"/>
                          <w:b/>
                          <w:kern w:val="1"/>
                          <w:sz w:val="22"/>
                          <w:szCs w:val="22"/>
                          <w:lang w:eastAsia="lt-LT"/>
                        </w:rPr>
                        <w:t>Sprendimo projekto antikorupcinis vertinimas.</w:t>
                      </w:r>
                    </w:sdtContent>
                  </w:sdt>
                </w:p>
                <w:p>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Šiaulių miesto savivaldybės administracijos Žemės valdymo skyrius. Tiesioginis rengėjas − skyriaus vyr. specialistė Deimantė Jurgelytė, tel. 8 41 509 585.</w:t>
                  </w:r>
                </w:p>
              </w:sdtContent>
            </w:sdt>
            <w:sdt>
              <w:sdtPr>
                <w:alias w:val="poskyris"/>
                <w:tag w:val="part_19f0a635dcbc44928661112eeff589ee"/>
                <w:lock w:val="sdtLocked"/>
                <w:richText/>
              </w:sdtPr>
              <w:sdtContent>
                <w:p>
                  <w:pPr>
                    <w:widowControl w:val="0"/>
                    <w:suppressAutoHyphens/>
                    <w:ind w:firstLine="851"/>
                    <w:jc w:val="both"/>
                    <w:rPr>
                      <w:rFonts w:eastAsia="Lucida Sans Unicode"/>
                      <w:b/>
                      <w:kern w:val="1"/>
                      <w:sz w:val="22"/>
                      <w:szCs w:val="22"/>
                      <w:lang w:eastAsia="lt-LT"/>
                    </w:rPr>
                  </w:pPr>
                  <w:sdt>
                    <w:sdtPr>
                      <w:alias w:val="Pavadinimas"/>
                      <w:tag w:val="title_19f0a635dcbc44928661112eeff589ee"/>
                      <w:lock w:val="sdtLocked"/>
                      <w:richText/>
                    </w:sdtPr>
                    <w:sdtContent>
                      <w:r>
                        <w:rPr>
                          <w:rFonts w:eastAsia="Lucida Sans Unicode"/>
                          <w:b/>
                          <w:kern w:val="1"/>
                          <w:sz w:val="22"/>
                          <w:szCs w:val="22"/>
                          <w:lang w:eastAsia="lt-LT"/>
                        </w:rPr>
                        <w:t>Numatomo teisinio reguliavimo poveikio vertinimo rezultatai.</w:t>
                      </w:r>
                    </w:sdtContent>
                  </w:sdt>
                </w:p>
                <w:p>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pPr>
                    <w:widowControl w:val="0"/>
                    <w:suppressAutoHyphens/>
                    <w:ind w:firstLine="851"/>
                    <w:jc w:val="both"/>
                    <w:rPr>
                      <w:rFonts w:eastAsia="Lucida Sans Unicode"/>
                      <w:kern w:val="1"/>
                      <w:sz w:val="22"/>
                      <w:szCs w:val="22"/>
                      <w:shd w:val="clear" w:color="auto" w:fill="FFFFFF"/>
                      <w:lang w:eastAsia="lt-LT"/>
                    </w:rPr>
                  </w:pPr>
                </w:p>
                <w:p>
                  <w:pPr>
                    <w:tabs>
                      <w:tab w:val="left" w:pos="570"/>
                    </w:tabs>
                    <w:suppressAutoHyphens/>
                    <w:ind w:left="57" w:firstLine="737"/>
                    <w:jc w:val="both"/>
                    <w:rPr>
                      <w:color w:val="000000"/>
                      <w:sz w:val="22"/>
                      <w:szCs w:val="22"/>
                    </w:rPr>
                  </w:pPr>
                </w:p>
                <w:p>
                  <w:pPr>
                    <w:tabs>
                      <w:tab w:val="left" w:pos="570"/>
                    </w:tabs>
                    <w:suppressAutoHyphens/>
                    <w:ind w:firstLine="851"/>
                    <w:jc w:val="both"/>
                    <w:rPr>
                      <w:color w:val="000000"/>
                      <w:sz w:val="22"/>
                      <w:szCs w:val="22"/>
                    </w:rPr>
                  </w:pPr>
                </w:p>
              </w:sdtContent>
            </w:sdt>
          </w:sdtContent>
        </w:sdt>
        <w:sdt>
          <w:sdtPr>
            <w:alias w:val="signatura"/>
            <w:tag w:val="part_5d44a391cdac46448e30a7a9d573db5d"/>
            <w:lock w:val="sdtLocked"/>
            <w:richText/>
          </w:sdtPr>
          <w:sdtContent>
            <w:p>
              <w:pPr>
                <w:suppressAutoHyphens/>
                <w:spacing w:line="276" w:lineRule="auto"/>
                <w:rPr>
                  <w:color w:val="000000"/>
                  <w:sz w:val="22"/>
                  <w:szCs w:val="22"/>
                  <w:u w:val="single"/>
                  <w:shd w:val="clear" w:color="auto" w:fill="FFFFFF"/>
                </w:rPr>
              </w:pPr>
              <w:r>
                <w:rPr>
                  <w:color w:val="000000"/>
                  <w:sz w:val="22"/>
                  <w:szCs w:val="22"/>
                  <w:shd w:val="clear" w:color="auto" w:fill="FFFFFF"/>
                </w:rPr>
                <w:t>Skyriaus vedėja</w:t>
                <w:tab/>
                <w:tab/>
                <w:tab/>
                <w:t xml:space="preserve">                                            Oksana Gruzdienė</w:t>
              </w:r>
            </w:p>
            <w:p>
              <w:pPr>
                <w:rPr>
                  <w:sz w:val="12"/>
                  <w:szCs w:val="12"/>
                </w:rPr>
              </w:pPr>
            </w:p>
            <w:p>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jc w:val="center"/>
    </w:pPr>
    <w:r>
      <w:fldChar w:fldCharType="begin"/>
    </w:r>
    <w:r>
      <w:instrText>PAGE   \* MERGEFORMAT</w:instrText>
    </w:r>
    <w:r>
      <w:fldChar w:fldCharType="separate"/>
    </w:r>
    <w:r>
      <w:t>2</w:t>
    </w:r>
    <w:r>
      <w:fldChar w:fldCharType="end"/>
    </w:r>
  </w:p>
  <w:p>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0062681">
      <w:bodyDiv w:val="1"/>
      <w:marLeft w:val="0"/>
      <w:marRight w:val="0"/>
      <w:marTop w:val="0"/>
      <w:marBottom w:val="0"/>
      <w:divBdr>
        <w:top w:val="none" w:sz="0" w:space="0" w:color="auto"/>
        <w:left w:val="none" w:sz="0" w:space="0" w:color="auto"/>
        <w:bottom w:val="none" w:sz="0" w:space="0" w:color="auto"/>
        <w:right w:val="none" w:sz="0" w:space="0" w:color="auto"/>
      </w:divBdr>
    </w:div>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680356798">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894509416">
      <w:bodyDiv w:val="1"/>
      <w:marLeft w:val="0"/>
      <w:marRight w:val="0"/>
      <w:marTop w:val="0"/>
      <w:marBottom w:val="0"/>
      <w:divBdr>
        <w:top w:val="none" w:sz="0" w:space="0" w:color="auto"/>
        <w:left w:val="none" w:sz="0" w:space="0" w:color="auto"/>
        <w:bottom w:val="none" w:sz="0" w:space="0" w:color="auto"/>
        <w:right w:val="none" w:sz="0" w:space="0" w:color="auto"/>
      </w:divBdr>
    </w:div>
    <w:div w:id="964431876">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013027734">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4f960010f7048a696d758efd4fcd285" PartId="aaa7c28980074acca40c742d4162fb7e">
    <Part Type="skyrius" Nr="999" Title="SPRENDIMO „DĖL PRITARIMO IŠNUOMOTI VALSTYBINĖS ŽEMĖS SKLYPO DALĮ BENDRAI NAUDOJAMAME ŽEMĖS SKLYPE METALISTŲ G. 8C, ŠIAULIŲ MIESTE“" DocPartId="768fdd7ac48a43a3816cac82e201af5c" PartId="e0cff41ba421475fac63660c7afc9ca7">
      <Part Type="poskyris" Title="AIŠKINAMASIS RAŠTAS" DocPartId="8dc475de3d5848829e3473a1306e37ca" PartId="96336345f8f94c4ab810eb60e101052a"/>
      <Part Type="poskyris" Title="Parengto sprendimo projekto tikslai ir uždaviniai:" DocPartId="2b482d89ffbe437aa415804de9f75fa1" PartId="d1e3cee199494fbcbb4c8aa0e9f032db"/>
      <Part Type="poskyris" Title="Dabartinis sprendimo projekte aptariamų klausimų reguliavimas:" DocPartId="eb739245a4f34154b6603a0aa95aa4e6" PartId="ca50245399c24005b47c50e9b367af42"/>
      <Part Type="poskyris" Title="Sprendimo projekte numatytos naujos teisinio reglamentavimo nuostatos:" DocPartId="819447b61d834297806006fc5d12a3fc" PartId="8c270f28ecd84234915425f9b2f6e308"/>
      <Part Type="poskyris" Title="Priėmus sprendimą, galimos pasekmės (tiek teigiamos, tiek neigiamos)." DocPartId="ea81ea6ed4f748c4ad4f25bbb80b521f" PartId="08f6821ed9c142bcaa1d5fa12c61a291"/>
      <Part Type="poskyris" Title="Priėmus sprendimą, keičiami ar pripažįstami negaliojančiais teisės aktai." DocPartId="4002dfe6bdde4f62a8e90a7224c1e09f" PartId="6469eb176a124e3a9fc529bb3a5adf45"/>
      <Part Type="poskyris" Title="Sprendimui įgyvendinti reikalingi priimti papildomi teisės aktai." DocPartId="13eb38aa72b540ab89504ed1b3c34396" PartId="3765ad0c5e12455f800eb41e78639010"/>
      <Part Type="poskyris" Title="Sprendimui įgyvendinti reikalingos lėšos." DocPartId="5f37fc02d73143dc889a12ae522a895a" PartId="648e2a8fefec4f4ab25058debcc1c53d"/>
      <Part Type="poskyris" Title="Sprendimo projekto antikorupcinis vertinimas." DocPartId="c997e4418c5346439d81f89f07c99a2f" PartId="bac8c148d7f447d0a6ab19c1ecde3938"/>
      <Part Type="poskyris" Title="Numatomo teisinio reguliavimo poveikio vertinimo rezultatai." DocPartId="f245ee829a37408581dbc269f69a7fef" PartId="19f0a635dcbc44928661112eeff589ee"/>
    </Part>
    <Part Type="signatura" DocPartId="3b7e3c6957b6426c9b0c4ce1788f78e4" PartId="5d44a391cdac46448e30a7a9d573db5d"/>
  </Part>
</Parts>
</file>

<file path=customXml/itemProps1.xml><?xml version="1.0" encoding="utf-8"?>
<ds:datastoreItem xmlns:ds="http://schemas.openxmlformats.org/officeDocument/2006/customXml" ds:itemID="{4A698682-7E9B-47AD-A5BA-E5A84AB4711C}">
  <ds:schemaRefs>
    <ds:schemaRef ds:uri="http://schemas.openxmlformats.org/officeDocument/2006/bibliography"/>
  </ds:schemaRefs>
</ds:datastoreItem>
</file>

<file path=customXml/itemProps2.xml><?xml version="1.0" encoding="utf-8"?>
<ds:datastoreItem xmlns:ds="http://schemas.openxmlformats.org/officeDocument/2006/customXml" ds:itemID="{35E53803-489D-436B-91E1-E582011FC4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833</Words>
  <Characters>6027</Characters>
  <Application>Microsoft Office Word</Application>
  <DocSecurity>4</DocSecurity>
  <Lines>94</Lines>
  <Paragraphs>46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6814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2024-08-19T09:47:00Z</dcterms:created>
  <dc:creator>Žyvilė Rimšienė</dc:creator>
  <dc:language>en-GB</dc:language>
  <lastModifiedBy>adlibuser</lastModifiedBy>
  <lastPrinted>2024-03-21T08:05:00Z</lastPrinted>
  <dcterms:modified xsi:type="dcterms:W3CDTF">2024-08-19T09:47:00Z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