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36FD361"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ŠIAULIŲ MIESTO SAVIVALDYBĖS ADMINISTRACIJA</w:t>
      </w:r>
    </w:p>
    <w:p w14:paraId="42BB8000" w14:textId="6A6D6282">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TURTO VALDYMO SKYRIUS</w:t>
      </w:r>
    </w:p>
    <w:p w14:paraId="5F54A075" w14:textId="77777777">
      <w:pPr>
        <w:widowControl w:val="0"/>
        <w:suppressAutoHyphens/>
        <w:jc w:val="center"/>
        <w:rPr>
          <w:rFonts w:eastAsia="Lucida Sans Unicode" w:cs="Tahoma"/>
          <w:b/>
          <w:bCs/>
          <w:kern w:val="1"/>
          <w:szCs w:val="24"/>
          <w:lang w:eastAsia="lt-LT"/>
        </w:rPr>
      </w:pPr>
    </w:p>
    <w:p w14:paraId="09E43666" w14:textId="0ADE8861">
      <w:pPr>
        <w:tabs>
          <w:tab w:val="left" w:pos="0"/>
        </w:tabs>
        <w:suppressAutoHyphens/>
        <w:jc w:val="center"/>
        <w:rPr>
          <w:rFonts w:eastAsia="Lucida Sans Unicode"/>
          <w:b/>
          <w:kern w:val="1"/>
          <w:szCs w:val="24"/>
          <w:lang w:eastAsia="lt-LT"/>
        </w:rPr>
      </w:pPr>
      <w:r>
        <w:rPr>
          <w:rFonts w:eastAsia="Lucida Sans Unicode" w:cs="Tahoma"/>
          <w:b/>
          <w:bCs/>
          <w:kern w:val="1"/>
          <w:szCs w:val="24"/>
          <w:lang w:eastAsia="lt-LT"/>
        </w:rPr>
        <w:t>SPRENDIMO „</w:t>
      </w:r>
      <w:r>
        <w:rPr>
          <w:rFonts w:eastAsia="Lucida Sans Unicode"/>
          <w:b/>
          <w:kern w:val="1"/>
          <w:szCs w:val="24"/>
          <w:lang w:eastAsia="lt-LT"/>
        </w:rPr>
        <w:t>DĖL SUTIKIMO PERIMTI VALSTYBĖS TURTĄ</w:t>
      </w:r>
      <w:r>
        <w:rPr>
          <w:rFonts w:eastAsia="Lucida Sans Unicode"/>
          <w:b/>
          <w:bCs/>
          <w:kern w:val="1"/>
          <w:szCs w:val="24"/>
          <w:lang w:eastAsia="lt-LT"/>
        </w:rPr>
        <w:t>“</w:t>
      </w:r>
    </w:p>
    <w:p w14:paraId="4C9CA110" w14:textId="3987ABC1">
      <w:pPr>
        <w:widowControl w:val="0"/>
        <w:suppressAutoHyphens/>
        <w:jc w:val="center"/>
        <w:rPr>
          <w:rFonts w:eastAsia="Lucida Sans Unicode" w:cs="Tahoma"/>
          <w:b/>
          <w:bCs/>
          <w:kern w:val="1"/>
          <w:szCs w:val="24"/>
          <w:lang w:eastAsia="lt-LT"/>
        </w:rPr>
      </w:pPr>
    </w:p>
    <w:p w14:paraId="1D5F7324"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AIŠKINAMASIS RAŠTAS</w:t>
      </w:r>
    </w:p>
    <w:p w14:paraId="71D0FA73" w14:textId="77777777">
      <w:pPr>
        <w:widowControl w:val="0"/>
        <w:suppressAutoHyphens/>
        <w:jc w:val="center"/>
        <w:rPr>
          <w:rFonts w:eastAsia="Lucida Sans Unicode" w:cs="Tahoma"/>
          <w:kern w:val="1"/>
          <w:szCs w:val="24"/>
          <w:lang w:eastAsia="lt-LT"/>
        </w:rPr>
      </w:pPr>
    </w:p>
    <w:p w14:paraId="79250DD4" w14:textId="7C85145B">
      <w:pPr>
        <w:widowControl w:val="0"/>
        <w:suppressAutoHyphens/>
        <w:jc w:val="center"/>
        <w:rPr>
          <w:rFonts w:eastAsia="Lucida Sans Unicode" w:cs="Tahoma"/>
          <w:kern w:val="1"/>
          <w:szCs w:val="24"/>
          <w:lang w:eastAsia="lt-LT"/>
        </w:rPr>
      </w:pPr>
      <w:r>
        <w:rPr>
          <w:rFonts w:eastAsia="Lucida Sans Unicode" w:cs="Tahoma"/>
          <w:kern w:val="1"/>
          <w:szCs w:val="24"/>
          <w:lang w:eastAsia="lt-LT"/>
        </w:rPr>
        <w:t>2021-12-30</w:t>
      </w:r>
    </w:p>
    <w:p w14:paraId="1D906831" w14:textId="77777777">
      <w:pPr>
        <w:widowControl w:val="0"/>
        <w:suppressAutoHyphens/>
        <w:jc w:val="center"/>
        <w:rPr>
          <w:rFonts w:eastAsia="Lucida Sans Unicode" w:cs="Tahoma"/>
          <w:kern w:val="1"/>
          <w:szCs w:val="24"/>
          <w:lang w:eastAsia="lt-LT"/>
        </w:rPr>
      </w:pPr>
      <w:r>
        <w:rPr>
          <w:rFonts w:eastAsia="Lucida Sans Unicode" w:cs="Tahoma"/>
          <w:kern w:val="1"/>
          <w:szCs w:val="24"/>
          <w:lang w:eastAsia="lt-LT"/>
        </w:rPr>
        <w:t>Šiauliai</w:t>
      </w:r>
    </w:p>
    <w:p w14:paraId="47F9E21D" w14:textId="77777777"/>
    <w:p w14:paraId="586442DB" w14:textId="77777777">
      <w:pPr>
        <w:widowControl w:val="0"/>
        <w:suppressAutoHyphens/>
        <w:ind w:firstLine="709"/>
        <w:jc w:val="both"/>
        <w:rPr>
          <w:rFonts w:eastAsia="Lucida Sans Unicode"/>
          <w:kern w:val="1"/>
          <w:szCs w:val="24"/>
          <w:lang w:eastAsia="lt-LT"/>
        </w:rPr>
      </w:pPr>
      <w:r>
        <w:rPr>
          <w:rFonts w:eastAsia="Lucida Sans Unicode"/>
          <w:b/>
          <w:kern w:val="1"/>
          <w:szCs w:val="24"/>
          <w:lang w:eastAsia="lt-LT"/>
        </w:rPr>
        <w:t>Parengto sprendimo projekto tikslai ir uždaviniai</w:t>
      </w:r>
      <w:r>
        <w:rPr>
          <w:rFonts w:eastAsia="Lucida Sans Unicode"/>
          <w:kern w:val="1"/>
          <w:szCs w:val="24"/>
          <w:lang w:eastAsia="lt-LT"/>
        </w:rPr>
        <w:t>:</w:t>
      </w:r>
    </w:p>
    <w:p w14:paraId="751B327B" w14:textId="48EA992D">
      <w:pPr>
        <w:widowControl w:val="0"/>
        <w:suppressAutoHyphens/>
        <w:ind w:firstLine="744"/>
        <w:jc w:val="both"/>
        <w:rPr>
          <w:rFonts w:eastAsia="Lucida Sans Unicode"/>
          <w:kern w:val="1"/>
          <w:szCs w:val="24"/>
          <w:shd w:val="clear" w:color="auto" w:fill="FFFFFF"/>
          <w:lang w:eastAsia="de-DE" w:bidi="de-DE"/>
        </w:rPr>
      </w:pPr>
      <w:r>
        <w:rPr>
          <w:rFonts w:eastAsia="HG Mincho Light J"/>
          <w:kern w:val="1"/>
          <w:szCs w:val="24"/>
          <w:lang w:eastAsia="lt-LT"/>
        </w:rPr>
        <w:t>Sutikti perimti</w:t>
      </w:r>
      <w:r>
        <w:rPr>
          <w:kern w:val="1"/>
          <w:szCs w:val="24"/>
          <w:lang w:val="de-DE" w:eastAsia="lt-LT"/>
        </w:rPr>
        <w:t xml:space="preserve"> </w:t>
      </w:r>
      <w:r>
        <w:rPr>
          <w:rFonts w:eastAsia="Lucida Sans Unicode"/>
          <w:kern w:val="1"/>
          <w:szCs w:val="24"/>
          <w:shd w:val="clear" w:color="auto" w:fill="FFFFFF"/>
          <w:lang w:eastAsia="lt-LT"/>
        </w:rPr>
        <w:t xml:space="preserve">Šiaulių miesto savivaldybės nuosavybėn valstybei nuosavybės teise priklausantį, šiuo metu Lietuvos nacionalinės Martyno Mažvydo bibliotekos patikėjimo teise valdomą ilgalaikį ir trumpalaikį turtą. Jį perėmus, perduoti Šiaulių miesto savivaldybės </w:t>
      </w:r>
      <w:r>
        <w:rPr>
          <w:rFonts w:eastAsia="Lucida Sans Unicode"/>
          <w:kern w:val="1"/>
          <w:szCs w:val="24"/>
          <w:lang w:eastAsia="lt-LT"/>
        </w:rPr>
        <w:t xml:space="preserve">viešajai bibliotekai </w:t>
      </w:r>
      <w:r>
        <w:rPr>
          <w:rFonts w:eastAsia="Lucida Sans Unicode"/>
          <w:kern w:val="1"/>
          <w:szCs w:val="24"/>
          <w:shd w:val="clear" w:color="auto" w:fill="FFFFFF"/>
          <w:lang w:eastAsia="lt-LT"/>
        </w:rPr>
        <w:t>valdyti, naudoti ir disponuoti juo patikėjimo teise.</w:t>
      </w:r>
    </w:p>
    <w:p w14:paraId="6FA8DC22" w14:textId="4F90547C">
      <w:pPr>
        <w:widowControl w:val="0"/>
        <w:suppressAutoHyphens/>
        <w:ind w:firstLine="720"/>
        <w:jc w:val="both"/>
        <w:rPr>
          <w:rFonts w:eastAsia="Lucida Sans Unicode"/>
          <w:b/>
          <w:kern w:val="1"/>
          <w:szCs w:val="24"/>
          <w:lang w:eastAsia="lt-LT"/>
        </w:rPr>
      </w:pPr>
      <w:r>
        <w:rPr>
          <w:rFonts w:eastAsia="Lucida Sans Unicode"/>
          <w:b/>
          <w:kern w:val="1"/>
          <w:szCs w:val="24"/>
          <w:lang w:eastAsia="lt-LT"/>
        </w:rPr>
        <w:t>Dabartinis sprendimo projekte aptariamų klausimų reguliavimas:</w:t>
      </w:r>
    </w:p>
    <w:p w14:paraId="25B94A83" w14:textId="49AD174F">
      <w:pPr>
        <w:widowControl w:val="0"/>
        <w:suppressAutoHyphens/>
        <w:ind w:firstLine="744"/>
        <w:jc w:val="both"/>
        <w:rPr>
          <w:rFonts w:eastAsia="Lucida Sans Unicode"/>
          <w:b/>
          <w:kern w:val="1"/>
          <w:szCs w:val="24"/>
          <w:lang w:eastAsia="lt-LT"/>
        </w:rPr>
      </w:pPr>
      <w:r>
        <w:rPr>
          <w:rFonts w:eastAsia="Lucida Sans Unicode"/>
          <w:kern w:val="1"/>
          <w:szCs w:val="24"/>
          <w:lang w:eastAsia="lt-LT"/>
        </w:rPr>
        <w:t xml:space="preserve">Sprendimo projektas parengtas vadovaujantis Lietuvos Respublikos vietos savivaldos įstatymo 6 straipsnio 13 ir 24 punktais, kurie nustato savivaldybės savarankiškąsias funkcijas – </w:t>
      </w:r>
      <w:r>
        <w:rPr>
          <w:rFonts w:eastAsia="Lucida Sans Unicode"/>
          <w:color w:val="000000"/>
          <w:kern w:val="1"/>
          <w:szCs w:val="24"/>
          <w:lang w:eastAsia="lt-LT"/>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ir informacinės visuomenės plėtros įgyvendinimas</w:t>
      </w:r>
      <w:r>
        <w:rPr>
          <w:rFonts w:eastAsia="Lucida Sans Unicode"/>
          <w:kern w:val="1"/>
          <w:szCs w:val="24"/>
          <w:lang w:eastAsia="lt-LT"/>
        </w:rPr>
        <w:t>. Taip pat vadovaujamasi Lietuvos Respublikos valstybės ir savivaldybių turto valdymo, naudojimo ir disponavimo juo įstatymo 6 straipsnio 2 punktu ir 20 straipsnio 1 dalies 4 punktu, kurie apibrėžia, kad savivaldybė turtą įgyja savivaldybės tarybos sutikimu, perimdama valstybės turtą savivaldybių savarankiškosioms funkcijoms įgyvendinti, o valstybei nuosavybės teise priklausantis turtas perduodamas savivaldybių nuosavybėn Vyriausybės nutarimu.</w:t>
      </w:r>
    </w:p>
    <w:p w14:paraId="6D9ED3C1"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 xml:space="preserve">Sprendimo projekte numatytos naujos teisinio reglamentavimo nuostatos: </w:t>
      </w:r>
    </w:p>
    <w:p w14:paraId="7884C4E1" w14:textId="5C04D99D">
      <w:pPr>
        <w:widowControl w:val="0"/>
        <w:suppressAutoHyphens/>
        <w:ind w:firstLine="744"/>
        <w:jc w:val="both"/>
        <w:rPr>
          <w:kern w:val="1"/>
          <w:szCs w:val="24"/>
          <w:lang w:val="de-DE" w:eastAsia="lt-LT"/>
        </w:rPr>
      </w:pPr>
      <w:r>
        <w:rPr>
          <w:kern w:val="1"/>
          <w:szCs w:val="24"/>
          <w:lang w:val="de-DE" w:eastAsia="lt-LT"/>
        </w:rPr>
        <w:t xml:space="preserve">Lietuvos nacionalinė Martyno Mažvydo biblioteka, įgyvendindama Europos Sąjungos struktūrinių fondų lėšomis bendrai finansuojamą projektą „Gyventojų skatinimas išmaniai naudotis internetu atnaujintoje viešosios interneto prieigos infrastruktūroje“ bei Lietuvos Respublikos kultūros ministerijos investicijų projektą „Bibliotekų kompiuterizavimas“, vykdo </w:t>
      </w:r>
      <w:r>
        <w:rPr>
          <w:rFonts w:eastAsia="Lucida Sans Unicode"/>
          <w:kern w:val="1"/>
          <w:szCs w:val="24"/>
          <w:lang w:eastAsia="lt-LT"/>
        </w:rPr>
        <w:t xml:space="preserve">ilgalaikio materialiojo ir nematerialiojo bei trumpalaikio </w:t>
      </w:r>
      <w:r>
        <w:rPr>
          <w:kern w:val="1"/>
          <w:szCs w:val="24"/>
          <w:lang w:val="de-DE" w:eastAsia="lt-LT"/>
        </w:rPr>
        <w:t xml:space="preserve">turto perdavimo procedūrą savivaldybių viešosioms bibliotekoms. Tarybos sprendimo projekte numatyta </w:t>
      </w:r>
      <w:r>
        <w:rPr>
          <w:rFonts w:eastAsia="Lucida Sans Unicode"/>
          <w:kern w:val="1"/>
          <w:szCs w:val="24"/>
          <w:lang w:eastAsia="lt-LT"/>
        </w:rPr>
        <w:t xml:space="preserve">sutikti perimti valstybei nuosavybės teise priklausantį ir šiuo metu Lietuvos nacionalinės Martyno Mažvydo bibliotekos patikėjimo teise valdomą ilgalaikį ir trumpalaikį materialųjį bei nematerialųjį turtą (priedas) </w:t>
      </w:r>
      <w:r>
        <w:rPr>
          <w:rFonts w:eastAsia="Lucida Sans Unicode"/>
          <w:color w:val="000000"/>
          <w:kern w:val="1"/>
          <w:szCs w:val="24"/>
          <w:lang w:eastAsia="lt-LT"/>
        </w:rPr>
        <w:t xml:space="preserve">Savivaldybės nuosavybėn savarankiškoms savivaldybės funkcijoms įgyvendinti, o perėmus šį turtą, jį perduoti </w:t>
      </w:r>
      <w:r>
        <w:rPr>
          <w:kern w:val="1"/>
          <w:szCs w:val="24"/>
          <w:lang w:val="de-DE" w:eastAsia="lt-LT"/>
        </w:rPr>
        <w:t xml:space="preserve">Šiaulių miesto savivaldybės viešajai bibliotekai valdyti, naudoti ir disponuoti juo patikėjimo teise viešosios bibliotekos veiklai, plėtojant interneto prieigos paslaugų teikimą. </w:t>
      </w:r>
    </w:p>
    <w:p w14:paraId="75224FB0" w14:textId="617A724B">
      <w:pPr>
        <w:widowControl w:val="0"/>
        <w:suppressAutoHyphens/>
        <w:ind w:firstLine="744"/>
        <w:jc w:val="both"/>
        <w:rPr>
          <w:kern w:val="2"/>
          <w:szCs w:val="24"/>
          <w:shd w:val="clear" w:color="auto" w:fill="FFFFFF"/>
          <w:lang w:eastAsia="lt-LT"/>
        </w:rPr>
      </w:pPr>
      <w:r>
        <w:rPr>
          <w:rFonts w:eastAsia="Lucida Sans Unicode"/>
          <w:b/>
          <w:kern w:val="1"/>
          <w:szCs w:val="24"/>
          <w:lang w:eastAsia="lt-LT"/>
        </w:rPr>
        <w:t>Priėmus sprendimą, galimos pasekmės (tiek teigiamos, tiek neigiamos).</w:t>
      </w:r>
    </w:p>
    <w:p w14:paraId="4057FD1C" w14:textId="77777777">
      <w:pPr>
        <w:widowControl w:val="0"/>
        <w:tabs>
          <w:tab w:val="left" w:pos="709"/>
          <w:tab w:val="left" w:pos="851"/>
        </w:tabs>
        <w:suppressAutoHyphens/>
        <w:ind w:firstLine="709"/>
        <w:jc w:val="both"/>
        <w:rPr>
          <w:rFonts w:eastAsia="Lucida Sans Unicode"/>
          <w:kern w:val="1"/>
          <w:szCs w:val="24"/>
          <w:lang w:eastAsia="lt-LT"/>
        </w:rPr>
      </w:pPr>
      <w:r>
        <w:rPr>
          <w:rFonts w:eastAsia="Lucida Sans Unicode"/>
          <w:kern w:val="1"/>
          <w:szCs w:val="24"/>
          <w:lang w:eastAsia="lt-LT"/>
        </w:rPr>
        <w:t>Priėmus sprendimą neigiamų pasekmių nenumatoma.</w:t>
      </w:r>
    </w:p>
    <w:p w14:paraId="0A9603DA"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Priėmus sprendimą, keičiami ar pripažįstami negaliojančiais teisės aktai.</w:t>
      </w:r>
    </w:p>
    <w:p w14:paraId="381E6C28"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Priėmus sprendimą, teisės aktai nekeičiami ir nepripažįstami negaliojančiais.</w:t>
      </w:r>
    </w:p>
    <w:p w14:paraId="0228099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reikalingi priimti papildomi teisės aktai.</w:t>
      </w:r>
    </w:p>
    <w:p w14:paraId="550464CE"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priimti papildomų teisės aktų nereikia.</w:t>
      </w:r>
    </w:p>
    <w:p w14:paraId="249C1E3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reikalingos lėšos.</w:t>
      </w:r>
    </w:p>
    <w:p w14:paraId="143FD343"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lėšos nebus reikalingos.</w:t>
      </w:r>
    </w:p>
    <w:p w14:paraId="6F987C6A"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projekto antikorupcinis vertinimas.</w:t>
      </w:r>
    </w:p>
    <w:p w14:paraId="47E9EEDC"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Sprendimo projekto </w:t>
      </w:r>
      <w:r>
        <w:rPr>
          <w:rFonts w:eastAsia="Lucida Sans Unicode"/>
          <w:bCs/>
          <w:kern w:val="1"/>
          <w:szCs w:val="24"/>
          <w:lang w:eastAsia="lt-LT"/>
        </w:rPr>
        <w:t>antikorupcinis vertinimas</w:t>
      </w:r>
      <w:r>
        <w:rPr>
          <w:rFonts w:eastAsia="Lucida Sans Unicode"/>
          <w:kern w:val="1"/>
          <w:szCs w:val="24"/>
          <w:lang w:eastAsia="lt-LT"/>
        </w:rPr>
        <w:t xml:space="preserve"> nereikalingas, nes šis projektas nėra susijęs nei su viena iš </w:t>
      </w:r>
      <w:r>
        <w:rPr>
          <w:rFonts w:eastAsia="Lucida Sans Unicode"/>
          <w:kern w:val="1"/>
          <w:szCs w:val="24"/>
          <w:lang w:eastAsia="ar-SA"/>
        </w:rPr>
        <w:t>sričių, išvardintų Šiaulių miesto savivaldybės teisės aktų ar jų projektų antikorupcinio vertinimo metodikoje</w:t>
      </w:r>
      <w:r>
        <w:rPr>
          <w:rFonts w:eastAsia="Lucida Sans Unicode"/>
          <w:kern w:val="1"/>
          <w:szCs w:val="24"/>
          <w:lang w:eastAsia="lt-LT"/>
        </w:rPr>
        <w:t>.</w:t>
      </w:r>
    </w:p>
    <w:p w14:paraId="747D4D9A" w14:textId="5BF2788E">
      <w:pPr>
        <w:widowControl w:val="0"/>
        <w:suppressAutoHyphens/>
        <w:ind w:firstLine="720"/>
        <w:jc w:val="both"/>
        <w:rPr>
          <w:rFonts w:eastAsia="Lucida Sans Unicode"/>
          <w:kern w:val="1"/>
          <w:szCs w:val="24"/>
          <w:lang w:eastAsia="lt-LT"/>
        </w:rPr>
      </w:pPr>
      <w:r>
        <w:rPr>
          <w:rFonts w:eastAsia="Lucida Sans Unicode"/>
          <w:b/>
          <w:kern w:val="1"/>
          <w:szCs w:val="24"/>
          <w:lang w:eastAsia="lt-LT"/>
        </w:rPr>
        <w:t xml:space="preserve">Sprendimo projektą parengė </w:t>
      </w:r>
      <w:r>
        <w:rPr>
          <w:rFonts w:eastAsia="Lucida Sans Unicode"/>
          <w:kern w:val="1"/>
          <w:szCs w:val="24"/>
          <w:lang w:eastAsia="lt-LT"/>
        </w:rPr>
        <w:t>Šiaulių miesto savivaldybės administracijos Turto valdymo</w:t>
      </w:r>
      <w:r>
        <w:rPr>
          <w:rFonts w:eastAsia="Lucida Sans Unicode"/>
          <w:color w:val="FF0000"/>
          <w:kern w:val="1"/>
          <w:szCs w:val="24"/>
          <w:lang w:eastAsia="lt-LT"/>
        </w:rPr>
        <w:t xml:space="preserve"> </w:t>
      </w:r>
      <w:r>
        <w:rPr>
          <w:rFonts w:eastAsia="Lucida Sans Unicode"/>
          <w:kern w:val="1"/>
          <w:szCs w:val="24"/>
          <w:lang w:eastAsia="lt-LT"/>
        </w:rPr>
        <w:t xml:space="preserve">skyrius. Tiesioginis rengėjas − skyriaus vyr. specialistė Vita Jančenkienė, tel. 8 41 596 255. </w:t>
      </w:r>
    </w:p>
    <w:p w14:paraId="1280F20D" w14:textId="77777777">
      <w:pPr>
        <w:widowControl w:val="0"/>
        <w:suppressAutoHyphens/>
        <w:ind w:firstLine="720"/>
        <w:jc w:val="both"/>
        <w:rPr>
          <w:rFonts w:eastAsia="Lucida Sans Unicode"/>
          <w:kern w:val="1"/>
          <w:szCs w:val="24"/>
          <w:lang w:eastAsia="lt-LT"/>
        </w:rPr>
      </w:pPr>
    </w:p>
    <w:p w14:paraId="06170B6E" w14:textId="4A821E01">
      <w:pPr>
        <w:widowControl w:val="0"/>
        <w:suppressAutoHyphens/>
        <w:ind w:firstLine="744"/>
        <w:jc w:val="both"/>
        <w:rPr>
          <w:rFonts w:eastAsia="Lucida Sans Unicode"/>
          <w:b/>
          <w:kern w:val="1"/>
          <w:szCs w:val="24"/>
          <w:lang w:eastAsia="lt-LT"/>
        </w:rPr>
      </w:pPr>
      <w:r>
        <w:rPr>
          <w:rFonts w:eastAsia="Lucida Sans Unicode"/>
          <w:b/>
          <w:kern w:val="1"/>
          <w:szCs w:val="24"/>
          <w:lang w:eastAsia="lt-LT"/>
        </w:rPr>
        <w:t>Numatomo teisinio reguliavimo poveikio vertinimo rezultatai.</w:t>
      </w:r>
    </w:p>
    <w:p w14:paraId="3D1E1F74" w14:textId="77777777">
      <w:pPr>
        <w:widowControl w:val="0"/>
        <w:suppressAutoHyphens/>
        <w:ind w:firstLine="720"/>
        <w:jc w:val="both"/>
        <w:rPr>
          <w:rFonts w:eastAsia="Lucida Sans Unicode"/>
          <w:kern w:val="1"/>
          <w:szCs w:val="24"/>
          <w:lang w:eastAsia="lt-LT"/>
        </w:rPr>
      </w:pPr>
      <w:r>
        <w:rPr>
          <w:rFonts w:eastAsia="Lucida Sans Unicode"/>
          <w:bCs/>
          <w:kern w:val="1"/>
          <w:szCs w:val="24"/>
          <w:lang w:eastAsia="lt-LT"/>
        </w:rPr>
        <w:t>Numatomo teisinio reguliavimo poveikio vertinimas neatliekamas, nes sprendimo projektu nėra numatoma reglamentuoti iki tol nereglamentuotus santykius ar iš esmės keisti teisinį reguliavimą</w:t>
      </w:r>
      <w:r>
        <w:rPr>
          <w:rFonts w:eastAsia="Lucida Sans Unicode"/>
          <w:kern w:val="1"/>
          <w:szCs w:val="24"/>
          <w:lang w:eastAsia="lt-LT"/>
        </w:rPr>
        <w:t xml:space="preserve">. </w:t>
      </w:r>
    </w:p>
    <w:p w14:paraId="495CF8AE" w14:textId="2E43F61F">
      <w:pPr>
        <w:widowControl w:val="0"/>
        <w:suppressAutoHyphens/>
        <w:jc w:val="both"/>
        <w:rPr>
          <w:rFonts w:eastAsia="Lucida Sans Unicode"/>
          <w:kern w:val="1"/>
          <w:szCs w:val="24"/>
          <w:lang w:eastAsia="lt-LT"/>
        </w:rPr>
      </w:pPr>
    </w:p>
    <w:p w14:paraId="0EBCFB3D" w14:textId="77777777">
      <w:pPr>
        <w:widowControl w:val="0"/>
        <w:suppressAutoHyphens/>
        <w:jc w:val="both"/>
        <w:rPr>
          <w:rFonts w:eastAsia="Lucida Sans Unicode"/>
          <w:kern w:val="1"/>
          <w:szCs w:val="24"/>
          <w:lang w:eastAsia="lt-LT"/>
        </w:rPr>
      </w:pPr>
    </w:p>
    <w:p w14:paraId="0CA2ED68" w14:textId="0045D96F">
      <w:pPr>
        <w:widowControl w:val="0"/>
        <w:suppressAutoHyphens/>
        <w:rPr>
          <w:rFonts w:eastAsia="Lucida Sans Unicode" w:cs="Tahoma"/>
          <w:kern w:val="1"/>
          <w:szCs w:val="24"/>
          <w:lang w:eastAsia="lt-LT"/>
        </w:rPr>
      </w:pPr>
      <w:r>
        <w:rPr>
          <w:rFonts w:eastAsia="Lucida Sans Unicode" w:cs="Tahoma"/>
          <w:kern w:val="1"/>
          <w:szCs w:val="24"/>
          <w:lang w:eastAsia="lt-LT"/>
        </w:rPr>
        <w:t>Turto valdymo skyriaus vedėja</w:t>
        <w:tab/>
        <w:tab/>
        <w:t xml:space="preserve">             </w:t>
        <w:tab/>
        <w:tab/>
        <w:t xml:space="preserve">                                    Ija Jencienė </w:t>
      </w:r>
    </w:p>
    <w:p w14:paraId="2E1DC22B" w14:textId="2F2D13BF">
      <w:pPr>
        <w:widowControl w:val="0"/>
        <w:suppressAutoHyphens/>
        <w:rPr>
          <w:rFonts w:eastAsia="Lucida Sans Unicode" w:cs="Tahoma"/>
          <w:kern w:val="1"/>
          <w:szCs w:val="24"/>
          <w:lang w:eastAsia="lt-LT"/>
        </w:rPr>
      </w:pPr>
    </w:p>
    <w:sectPr>
      <w:pgSz w:w="11906" w:h="16838"/>
      <w:pgMar w:top="851" w:right="567" w:bottom="851" w:left="153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1674" w14:textId="77777777">
      <w:pPr>
        <w:widowControl w:val="0"/>
        <w:suppressAutoHyphens/>
        <w:rPr>
          <w:rFonts w:eastAsia="Lucida Sans Unicode"/>
          <w:kern w:val="1"/>
          <w:szCs w:val="24"/>
          <w:lang w:eastAsia="lt-LT"/>
        </w:rPr>
      </w:pPr>
      <w:r>
        <w:rPr>
          <w:rFonts w:eastAsia="Lucida Sans Unicode"/>
          <w:kern w:val="1"/>
          <w:szCs w:val="24"/>
          <w:lang w:eastAsia="lt-LT"/>
        </w:rPr>
        <w:separator/>
      </w:r>
    </w:p>
  </w:endnote>
  <w:endnote w:type="continuationSeparator" w:id="0">
    <w:p w14:paraId="6602DC3D"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G Mincho Light J">
    <w:charset w:val="BA"/>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2CA4" w14:textId="77777777">
      <w:pPr>
        <w:widowControl w:val="0"/>
        <w:suppressAutoHyphens/>
        <w:rPr>
          <w:rFonts w:eastAsia="Lucida Sans Unicode"/>
          <w:kern w:val="1"/>
          <w:szCs w:val="24"/>
          <w:lang w:eastAsia="lt-LT"/>
        </w:rPr>
      </w:pPr>
      <w:r>
        <w:rPr>
          <w:rFonts w:eastAsia="Lucida Sans Unicode"/>
          <w:kern w:val="1"/>
          <w:szCs w:val="24"/>
          <w:lang w:eastAsia="lt-LT"/>
        </w:rPr>
        <w:separator/>
      </w:r>
    </w:p>
  </w:footnote>
  <w:footnote w:type="continuationSeparator" w:id="0">
    <w:p w14:paraId="0883302C"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04ED6"/>
  <w15:docId w15:val="{65A2B85E-3D0B-40B1-A057-16F96B79475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5074169">
      <w:bodyDiv w:val="1"/>
      <w:marLeft w:val="0"/>
      <w:marRight w:val="0"/>
      <w:marTop w:val="0"/>
      <w:marBottom w:val="0"/>
      <w:divBdr>
        <w:top w:val="none" w:sz="0" w:space="0" w:color="auto"/>
        <w:left w:val="none" w:sz="0" w:space="0" w:color="auto"/>
        <w:bottom w:val="none" w:sz="0" w:space="0" w:color="auto"/>
        <w:right w:val="none" w:sz="0" w:space="0" w:color="auto"/>
      </w:divBdr>
      <w:divsChild>
        <w:div w:id="1665084085">
          <w:marLeft w:val="0"/>
          <w:marRight w:val="0"/>
          <w:marTop w:val="0"/>
          <w:marBottom w:val="0"/>
          <w:divBdr>
            <w:top w:val="none" w:sz="0" w:space="0" w:color="auto"/>
            <w:left w:val="none" w:sz="0" w:space="0" w:color="auto"/>
            <w:bottom w:val="none" w:sz="0" w:space="0" w:color="auto"/>
            <w:right w:val="none" w:sz="0" w:space="0" w:color="auto"/>
          </w:divBdr>
        </w:div>
        <w:div w:id="2066565559">
          <w:marLeft w:val="0"/>
          <w:marRight w:val="0"/>
          <w:marTop w:val="0"/>
          <w:marBottom w:val="0"/>
          <w:divBdr>
            <w:top w:val="none" w:sz="0" w:space="0" w:color="auto"/>
            <w:left w:val="none" w:sz="0" w:space="0" w:color="auto"/>
            <w:bottom w:val="none" w:sz="0" w:space="0" w:color="auto"/>
            <w:right w:val="none" w:sz="0" w:space="0" w:color="auto"/>
          </w:divBdr>
        </w:div>
      </w:divsChild>
    </w:div>
    <w:div w:id="272448077">
      <w:bodyDiv w:val="1"/>
      <w:marLeft w:val="0"/>
      <w:marRight w:val="0"/>
      <w:marTop w:val="0"/>
      <w:marBottom w:val="0"/>
      <w:divBdr>
        <w:top w:val="none" w:sz="0" w:space="0" w:color="auto"/>
        <w:left w:val="none" w:sz="0" w:space="0" w:color="auto"/>
        <w:bottom w:val="none" w:sz="0" w:space="0" w:color="auto"/>
        <w:right w:val="none" w:sz="0" w:space="0" w:color="auto"/>
      </w:divBdr>
    </w:div>
    <w:div w:id="375785847">
      <w:bodyDiv w:val="1"/>
      <w:marLeft w:val="0"/>
      <w:marRight w:val="0"/>
      <w:marTop w:val="0"/>
      <w:marBottom w:val="0"/>
      <w:divBdr>
        <w:top w:val="none" w:sz="0" w:space="0" w:color="auto"/>
        <w:left w:val="none" w:sz="0" w:space="0" w:color="auto"/>
        <w:bottom w:val="none" w:sz="0" w:space="0" w:color="auto"/>
        <w:right w:val="none" w:sz="0" w:space="0" w:color="auto"/>
      </w:divBdr>
    </w:div>
    <w:div w:id="867525359">
      <w:bodyDiv w:val="1"/>
      <w:marLeft w:val="0"/>
      <w:marRight w:val="0"/>
      <w:marTop w:val="0"/>
      <w:marBottom w:val="0"/>
      <w:divBdr>
        <w:top w:val="none" w:sz="0" w:space="0" w:color="auto"/>
        <w:left w:val="none" w:sz="0" w:space="0" w:color="auto"/>
        <w:bottom w:val="none" w:sz="0" w:space="0" w:color="auto"/>
        <w:right w:val="none" w:sz="0" w:space="0" w:color="auto"/>
      </w:divBdr>
      <w:divsChild>
        <w:div w:id="2132825203">
          <w:marLeft w:val="0"/>
          <w:marRight w:val="0"/>
          <w:marTop w:val="0"/>
          <w:marBottom w:val="0"/>
          <w:divBdr>
            <w:top w:val="none" w:sz="0" w:space="0" w:color="auto"/>
            <w:left w:val="none" w:sz="0" w:space="0" w:color="auto"/>
            <w:bottom w:val="none" w:sz="0" w:space="0" w:color="auto"/>
            <w:right w:val="none" w:sz="0" w:space="0" w:color="auto"/>
          </w:divBdr>
        </w:div>
        <w:div w:id="1823622200">
          <w:marLeft w:val="0"/>
          <w:marRight w:val="0"/>
          <w:marTop w:val="0"/>
          <w:marBottom w:val="0"/>
          <w:divBdr>
            <w:top w:val="none" w:sz="0" w:space="0" w:color="auto"/>
            <w:left w:val="none" w:sz="0" w:space="0" w:color="auto"/>
            <w:bottom w:val="none" w:sz="0" w:space="0" w:color="auto"/>
            <w:right w:val="none" w:sz="0" w:space="0" w:color="auto"/>
          </w:divBdr>
        </w:div>
      </w:divsChild>
    </w:div>
    <w:div w:id="1166432148">
      <w:bodyDiv w:val="1"/>
      <w:marLeft w:val="0"/>
      <w:marRight w:val="0"/>
      <w:marTop w:val="0"/>
      <w:marBottom w:val="0"/>
      <w:divBdr>
        <w:top w:val="none" w:sz="0" w:space="0" w:color="auto"/>
        <w:left w:val="none" w:sz="0" w:space="0" w:color="auto"/>
        <w:bottom w:val="none" w:sz="0" w:space="0" w:color="auto"/>
        <w:right w:val="none" w:sz="0" w:space="0" w:color="auto"/>
      </w:divBdr>
    </w:div>
    <w:div w:id="1220746628">
      <w:bodyDiv w:val="1"/>
      <w:marLeft w:val="0"/>
      <w:marRight w:val="0"/>
      <w:marTop w:val="0"/>
      <w:marBottom w:val="0"/>
      <w:divBdr>
        <w:top w:val="none" w:sz="0" w:space="0" w:color="auto"/>
        <w:left w:val="none" w:sz="0" w:space="0" w:color="auto"/>
        <w:bottom w:val="none" w:sz="0" w:space="0" w:color="auto"/>
        <w:right w:val="none" w:sz="0" w:space="0" w:color="auto"/>
      </w:divBdr>
    </w:div>
    <w:div w:id="1251424956">
      <w:bodyDiv w:val="1"/>
      <w:marLeft w:val="0"/>
      <w:marRight w:val="0"/>
      <w:marTop w:val="0"/>
      <w:marBottom w:val="0"/>
      <w:divBdr>
        <w:top w:val="none" w:sz="0" w:space="0" w:color="auto"/>
        <w:left w:val="none" w:sz="0" w:space="0" w:color="auto"/>
        <w:bottom w:val="none" w:sz="0" w:space="0" w:color="auto"/>
        <w:right w:val="none" w:sz="0" w:space="0" w:color="auto"/>
      </w:divBdr>
    </w:div>
    <w:div w:id="1303273240">
      <w:bodyDiv w:val="1"/>
      <w:marLeft w:val="0"/>
      <w:marRight w:val="0"/>
      <w:marTop w:val="0"/>
      <w:marBottom w:val="0"/>
      <w:divBdr>
        <w:top w:val="none" w:sz="0" w:space="0" w:color="auto"/>
        <w:left w:val="none" w:sz="0" w:space="0" w:color="auto"/>
        <w:bottom w:val="none" w:sz="0" w:space="0" w:color="auto"/>
        <w:right w:val="none" w:sz="0" w:space="0" w:color="auto"/>
      </w:divBdr>
    </w:div>
    <w:div w:id="1411923323">
      <w:bodyDiv w:val="1"/>
      <w:marLeft w:val="0"/>
      <w:marRight w:val="0"/>
      <w:marTop w:val="0"/>
      <w:marBottom w:val="0"/>
      <w:divBdr>
        <w:top w:val="none" w:sz="0" w:space="0" w:color="auto"/>
        <w:left w:val="none" w:sz="0" w:space="0" w:color="auto"/>
        <w:bottom w:val="none" w:sz="0" w:space="0" w:color="auto"/>
        <w:right w:val="none" w:sz="0" w:space="0" w:color="auto"/>
      </w:divBdr>
    </w:div>
    <w:div w:id="1586920203">
      <w:bodyDiv w:val="1"/>
      <w:marLeft w:val="0"/>
      <w:marRight w:val="0"/>
      <w:marTop w:val="0"/>
      <w:marBottom w:val="0"/>
      <w:divBdr>
        <w:top w:val="none" w:sz="0" w:space="0" w:color="auto"/>
        <w:left w:val="none" w:sz="0" w:space="0" w:color="auto"/>
        <w:bottom w:val="none" w:sz="0" w:space="0" w:color="auto"/>
        <w:right w:val="none" w:sz="0" w:space="0" w:color="auto"/>
      </w:divBdr>
    </w:div>
    <w:div w:id="2032219959">
      <w:bodyDiv w:val="1"/>
      <w:marLeft w:val="0"/>
      <w:marRight w:val="0"/>
      <w:marTop w:val="0"/>
      <w:marBottom w:val="0"/>
      <w:divBdr>
        <w:top w:val="none" w:sz="0" w:space="0" w:color="auto"/>
        <w:left w:val="none" w:sz="0" w:space="0" w:color="auto"/>
        <w:bottom w:val="none" w:sz="0" w:space="0" w:color="auto"/>
        <w:right w:val="none" w:sz="0" w:space="0" w:color="auto"/>
      </w:divBdr>
      <w:divsChild>
        <w:div w:id="594870373">
          <w:marLeft w:val="0"/>
          <w:marRight w:val="0"/>
          <w:marTop w:val="0"/>
          <w:marBottom w:val="0"/>
          <w:divBdr>
            <w:top w:val="none" w:sz="0" w:space="0" w:color="auto"/>
            <w:left w:val="none" w:sz="0" w:space="0" w:color="auto"/>
            <w:bottom w:val="none" w:sz="0" w:space="0" w:color="auto"/>
            <w:right w:val="none" w:sz="0" w:space="0" w:color="auto"/>
          </w:divBdr>
        </w:div>
        <w:div w:id="7755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3559</Characters>
  <Application>Microsoft Office Word</Application>
  <DocSecurity>4</DocSecurity>
  <Lines>61</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3974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2022-01-10T17:53:00Z</dcterms:created>
  <dc:creator>d.janilioniene</dc:creator>
  <lastModifiedBy>adlibuser</lastModifiedBy>
  <lastPrinted>2020-08-28T07:49:00Z</lastPrinted>
  <dcterms:modified xsi:type="dcterms:W3CDTF">2022-01-10T17:53:00Z</dcterms:modified>
  <revision>2</revision>
</coreProperties>
</file>