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476b12980184a73ace44aee46ecf779"/>
        <w:lock w:val="sdtLocked"/>
        <w:richText/>
      </w:sdtPr>
      <w:sdtContent>
        <w:p w14:paraId="5E94A559" w14:textId="77777777">
          <w:pPr>
            <w:tabs>
              <w:tab w:val="center" w:pos="4153"/>
              <w:tab w:val="right" w:pos="8306"/>
            </w:tabs>
            <w:overflowPunct w:val="0"/>
            <w:textAlignment w:val="baseline"/>
            <w:rPr>
              <w:sz w:val="20"/>
              <w:lang w:val="en-GB"/>
            </w:rPr>
          </w:pPr>
        </w:p>
        <w:p w14:paraId="2D4BD0D9" w14:textId="031FDB17">
          <w:pPr>
            <w:jc w:val="center"/>
            <w:rPr>
              <w:szCs w:val="24"/>
            </w:rPr>
          </w:pPr>
          <w:r>
            <w:rPr>
              <w:szCs w:val="24"/>
            </w:rPr>
            <w:t xml:space="preserve">DIREKTYVOS 91/271/EEB IR LIETUVOS RESPUBLIKOS GERIAMOJO VANDENS TIEKIMO IR NUOTEKŲ TVARKYMO ĮSTATYMO NR. X-764  ĮSTATYMO PAKEITIMO ĮSTATYMO PROJEKTO ATITIKTIES LENTELĖ</w:t>
          </w:r>
        </w:p>
        <w:p w14:paraId="5097EF45" w14:textId="77777777">
          <w:pPr>
            <w:jc w:val="center"/>
            <w:rPr>
              <w:szCs w:val="24"/>
            </w:rPr>
          </w:pPr>
        </w:p>
        <w:tbl>
          <w:tblPr>
            <w:tblW w:w="152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4"/>
            <w:gridCol w:w="7987"/>
            <w:gridCol w:w="2160"/>
          </w:tblGrid>
          <w:tr w14:paraId="67E3687B" w14:textId="77777777">
            <w:trPr>
              <w:trHeight w:val="1414"/>
            </w:trPr>
            <w:tc>
              <w:tcPr>
                <w:tcW w:w="5104" w:type="dxa"/>
                <w:shd w:val="clear" w:color="auto" w:fill="FFFFFF"/>
              </w:tcPr>
              <w:p w14:paraId="6FC30D1E" w14:textId="77777777">
                <w:pPr>
                  <w:jc w:val="both"/>
                  <w:rPr>
                    <w:b/>
                    <w:szCs w:val="24"/>
                  </w:rPr>
                </w:pPr>
                <w:r>
                  <w:rPr>
                    <w:b/>
                    <w:szCs w:val="24"/>
                  </w:rPr>
                  <w:t xml:space="preserve">1991 m. gegužės 21 d. Tarybos direktyva </w:t>
                </w:r>
                <w:fldSimple w:instr="HYPERLINK http://eur-lex.europa.eu/legal-content/LIT/TXT/?uri=CELEX:31991L0271&amp;locale=lt \t _blank">
                  <w:r>
                    <w:rPr>
                      <w:b/>
                      <w:szCs w:val="24"/>
                      <w:u w:val="single"/>
                      <w:color w:val="0000FF" w:themeColor="hyperlink"/>
                    </w:rPr>
                    <w:t>91/271/EEB</w:t>
                  </w:r>
                </w:fldSimple>
                <w:r>
                  <w:rPr>
                    <w:b/>
                    <w:szCs w:val="24"/>
                  </w:rPr>
                  <w:t xml:space="preserve"> dėl miesto nuotėkų valymo</w:t>
                </w:r>
              </w:p>
              <w:p w14:paraId="28DB3D0C" w14:textId="77777777">
                <w:pPr>
                  <w:jc w:val="both"/>
                  <w:rPr>
                    <w:b/>
                    <w:szCs w:val="24"/>
                  </w:rPr>
                </w:pPr>
              </w:p>
              <w:p w14:paraId="7DC1C6A7" w14:textId="77777777">
                <w:pPr>
                  <w:jc w:val="both"/>
                  <w:rPr>
                    <w:b/>
                    <w:sz w:val="20"/>
                  </w:rPr>
                </w:pPr>
              </w:p>
            </w:tc>
            <w:tc>
              <w:tcPr>
                <w:tcW w:w="7987" w:type="dxa"/>
                <w:shd w:val="clear" w:color="auto" w:fill="FFFFFF"/>
              </w:tcPr>
              <w:p w14:paraId="0DEEF7F2" w14:textId="60ACBF5A">
                <w:pPr>
                  <w:tabs>
                    <w:tab w:val="left" w:pos="742"/>
                  </w:tabs>
                  <w:jc w:val="both"/>
                  <w:rPr>
                    <w:b/>
                    <w:szCs w:val="24"/>
                  </w:rPr>
                </w:pPr>
                <w:r>
                  <w:rPr>
                    <w:b/>
                    <w:szCs w:val="24"/>
                  </w:rPr>
                  <w:t xml:space="preserve">Lietuvos Respublikos geriamojo vandens tiekimo ir nuotekų tvarkymo įstatymo Nr. X-764  pakeitimo įstatymo projektas</w:t>
                </w:r>
              </w:p>
            </w:tc>
            <w:tc>
              <w:tcPr>
                <w:tcW w:w="2160" w:type="dxa"/>
                <w:shd w:val="clear" w:color="auto" w:fill="FFFFFF"/>
              </w:tcPr>
              <w:p w14:paraId="23AABB62" w14:textId="77777777">
                <w:pPr>
                  <w:jc w:val="both"/>
                  <w:rPr>
                    <w:b/>
                    <w:sz w:val="20"/>
                  </w:rPr>
                </w:pPr>
                <w:r>
                  <w:rPr>
                    <w:b/>
                    <w:szCs w:val="24"/>
                  </w:rPr>
                  <w:t>Direktyvos perkėlimo ir įgyvendinimo lygis</w:t>
                </w:r>
              </w:p>
            </w:tc>
          </w:tr>
          <w:tr w14:paraId="7D447171" w14:textId="77777777">
            <w:tc>
              <w:tcPr>
                <w:tcW w:w="5104" w:type="dxa"/>
                <w:shd w:val="clear" w:color="auto" w:fill="FFFFFF"/>
              </w:tcPr>
              <w:p w14:paraId="1A2C1446" w14:textId="77777777">
                <w:pPr>
                  <w:shd w:val="clear" w:color="auto" w:fill="FFFFFF"/>
                  <w:ind w:left="144" w:right="317"/>
                  <w:jc w:val="both"/>
                  <w:textAlignment w:val="baseline"/>
                  <w:rPr>
                    <w:color w:val="000000"/>
                    <w:szCs w:val="24"/>
                  </w:rPr>
                </w:pPr>
                <w:r>
                  <w:rPr>
                    <w:color w:val="000000"/>
                    <w:szCs w:val="24"/>
                  </w:rPr>
                  <w:t>2 straipsnis</w:t>
                </w:r>
              </w:p>
              <w:p w14:paraId="28126FE3" w14:textId="77777777">
                <w:pPr>
                  <w:shd w:val="clear" w:color="auto" w:fill="FFFFFF"/>
                  <w:ind w:left="144" w:right="317"/>
                  <w:jc w:val="both"/>
                  <w:textAlignment w:val="baseline"/>
                  <w:rPr>
                    <w:color w:val="000000"/>
                    <w:szCs w:val="24"/>
                  </w:rPr>
                </w:pPr>
                <w:r>
                  <w:rPr>
                    <w:color w:val="000000"/>
                    <w:szCs w:val="24"/>
                  </w:rPr>
                  <w:t>Šioje direktyvoje:</w:t>
                </w:r>
              </w:p>
              <w:p w14:paraId="665B229E" w14:textId="77777777">
                <w:pPr>
                  <w:shd w:val="clear" w:color="auto" w:fill="FFFFFF"/>
                  <w:ind w:left="144" w:right="317"/>
                  <w:jc w:val="both"/>
                  <w:textAlignment w:val="baseline"/>
                  <w:rPr>
                    <w:color w:val="000000"/>
                    <w:szCs w:val="24"/>
                  </w:rPr>
                </w:pPr>
                <w:r>
                  <w:rPr>
                    <w:color w:val="000000"/>
                    <w:szCs w:val="24"/>
                  </w:rPr>
                  <w:t>&lt;...&gt;</w:t>
                </w:r>
              </w:p>
              <w:p w14:paraId="514BE85B" w14:textId="77777777">
                <w:pPr>
                  <w:shd w:val="clear" w:color="auto" w:fill="FFFFFF"/>
                  <w:ind w:left="144" w:right="317"/>
                  <w:jc w:val="both"/>
                  <w:textAlignment w:val="baseline"/>
                  <w:rPr>
                    <w:color w:val="000000"/>
                    <w:szCs w:val="24"/>
                  </w:rPr>
                </w:pPr>
                <w:r>
                  <w:rPr>
                    <w:color w:val="000000"/>
                    <w:szCs w:val="24"/>
                  </w:rPr>
                  <w:t>4) "aglomeracija" — tai tam tikras plotas, kuris yra gana tankiai apgyvendintas ir (arba) kuriame gana sutelkta ūkinė veikla, dėl to reikia surinkti miesto nuotėkas ir jas nukreipti į miesto nuotėkų valymo įrenginius arba į galutinę išleidimo vietą;</w:t>
                </w:r>
              </w:p>
              <w:p w14:paraId="681DC68B" w14:textId="77777777">
                <w:pPr>
                  <w:shd w:val="clear" w:color="auto" w:fill="FFFFFF"/>
                  <w:ind w:left="144" w:right="317"/>
                  <w:jc w:val="both"/>
                  <w:textAlignment w:val="baseline"/>
                  <w:rPr>
                    <w:color w:val="000000"/>
                    <w:szCs w:val="24"/>
                  </w:rPr>
                </w:pPr>
                <w:r>
                  <w:rPr>
                    <w:color w:val="000000"/>
                    <w:szCs w:val="24"/>
                  </w:rPr>
                  <w:t>5) "nuotėkų surinkimo sistema" — tai vamzdynų sistema, kurioje surenkamos ir per kurią teka miesto nuotėkos;</w:t>
                </w:r>
              </w:p>
              <w:p w14:paraId="5956BA61" w14:textId="77777777">
                <w:pPr>
                  <w:shd w:val="clear" w:color="auto" w:fill="FFFFFF"/>
                  <w:ind w:left="144" w:right="317"/>
                  <w:jc w:val="both"/>
                  <w:textAlignment w:val="baseline"/>
                  <w:rPr>
                    <w:color w:val="000000"/>
                    <w:szCs w:val="24"/>
                  </w:rPr>
                </w:pPr>
                <w:r>
                  <w:rPr>
                    <w:color w:val="000000"/>
                    <w:szCs w:val="24"/>
                  </w:rPr>
                  <w:t>6) "1 g. e. (gyventojų ekvivalentas)" — tai organinė biologiškai skaidoma apkrova, kuriai oksiduoti deguonies poreikis (BDS5) yra 60 g per dieną;</w:t>
                </w:r>
              </w:p>
              <w:p w14:paraId="6F390D0D" w14:textId="77777777">
                <w:pPr>
                  <w:shd w:val="clear" w:color="auto" w:fill="FFFFFF"/>
                  <w:ind w:left="144" w:right="317"/>
                  <w:jc w:val="both"/>
                  <w:textAlignment w:val="baseline"/>
                  <w:rPr>
                    <w:color w:val="000000"/>
                    <w:szCs w:val="24"/>
                  </w:rPr>
                </w:pPr>
                <w:r>
                  <w:rPr>
                    <w:color w:val="000000"/>
                    <w:szCs w:val="24"/>
                  </w:rPr>
                  <w:t>&lt;...&gt;</w:t>
                </w:r>
              </w:p>
              <w:p w14:paraId="7AB6A88D" w14:textId="77777777">
                <w:pPr>
                  <w:shd w:val="clear" w:color="auto" w:fill="FFFFFF"/>
                  <w:ind w:left="144" w:right="317"/>
                  <w:jc w:val="both"/>
                  <w:textAlignment w:val="baseline"/>
                  <w:rPr>
                    <w:b/>
                    <w:sz w:val="20"/>
                    <w:lang w:val="en-US"/>
                  </w:rPr>
                </w:pPr>
              </w:p>
            </w:tc>
            <w:tc>
              <w:tcPr>
                <w:tcW w:w="7987" w:type="dxa"/>
                <w:shd w:val="clear" w:color="auto" w:fill="FFFFFF"/>
              </w:tcPr>
              <w:p w14:paraId="4C6D1ABD" w14:textId="77777777"/>
              <w:p w14:paraId="10A7A5B2" w14:textId="03D4FEAA">
                <w:pPr>
                  <w:ind w:firstLine="720"/>
                  <w:jc w:val="both"/>
                  <w:rPr>
                    <w:b/>
                    <w:bCs/>
                    <w:szCs w:val="24"/>
                  </w:rPr>
                </w:pPr>
                <w:r>
                  <w:rPr>
                    <w:b/>
                    <w:bCs/>
                    <w:szCs w:val="24"/>
                  </w:rPr>
                  <w:t>„3 straipsnis. Pagrindinės šio įstatymo sąvokos</w:t>
                </w:r>
              </w:p>
              <w:p w14:paraId="1D3A6573" w14:textId="7DF2B676">
                <w:pPr>
                  <w:ind w:firstLine="720"/>
                  <w:jc w:val="both"/>
                  <w:rPr>
                    <w:b/>
                    <w:szCs w:val="24"/>
                  </w:rPr>
                </w:pPr>
                <w:r>
                  <w:rPr>
                    <w:b/>
                    <w:bCs/>
                    <w:szCs w:val="24"/>
                  </w:rPr>
                  <w:t>&lt;...&gt;</w:t>
                </w:r>
              </w:p>
              <w:p w14:paraId="0A8C59C3" w14:textId="77777777">
                <w:pPr>
                  <w:ind w:firstLine="720"/>
                  <w:jc w:val="both"/>
                  <w:rPr>
                    <w:szCs w:val="24"/>
                  </w:rPr>
                </w:pPr>
                <w:r>
                  <w:rPr>
                    <w:szCs w:val="24"/>
                  </w:rPr>
                  <w:t xml:space="preserve">2. </w:t>
                </w:r>
                <w:r>
                  <w:rPr>
                    <w:b/>
                    <w:szCs w:val="24"/>
                  </w:rPr>
                  <w:t>Aglomeracija</w:t>
                </w:r>
                <w:r>
                  <w:rPr>
                    <w:szCs w:val="24"/>
                  </w:rPr>
                  <w:t xml:space="preserve"> – urbanizuotose ar urbanizuojamose teritorijose esanti viešojo geriamojo vandens tiekimo ir nuotekų tvarkymo teritorija ar jos dalis, kurioje susidaro ar gali susidaryti 2 000 ir daugiau gyventojų ekvivalentų atitinkanti tarša ir kurioje geriamasis vanduo tiekiamas ar numatomas tiekti centralizuota geriamojo vandens tiekimo sistema arba išgaunamas individualiai, o susidarančios ar galinčios susidaryti nuotekos surenkamos centralizuotomis nuotekų surinkimo sistemomis arba sutvarkomos nuotekų valymo (arba) kaupimo įrenginiais.</w:t>
                </w:r>
              </w:p>
              <w:p w14:paraId="634EBAC9" w14:textId="7E4D455D">
                <w:pPr>
                  <w:ind w:firstLine="720"/>
                  <w:jc w:val="both"/>
                  <w:rPr>
                    <w:szCs w:val="24"/>
                  </w:rPr>
                </w:pPr>
                <w:r>
                  <w:rPr>
                    <w:szCs w:val="24"/>
                  </w:rPr>
                  <w:t>&lt;...&gt;</w:t>
                </w:r>
              </w:p>
              <w:p w14:paraId="455C34E1" w14:textId="77777777">
                <w:pPr>
                  <w:ind w:firstLine="720"/>
                  <w:jc w:val="both"/>
                  <w:rPr>
                    <w:szCs w:val="24"/>
                  </w:rPr>
                </w:pPr>
                <w:r>
                  <w:rPr>
                    <w:szCs w:val="24"/>
                  </w:rPr>
                  <w:t xml:space="preserve">6. </w:t>
                </w:r>
                <w:r>
                  <w:rPr>
                    <w:b/>
                    <w:szCs w:val="24"/>
                  </w:rPr>
                  <w:t>Centralizuotoji nuotekų surinkimo sistema</w:t>
                </w:r>
                <w:r>
                  <w:rPr>
                    <w:szCs w:val="24"/>
                  </w:rPr>
                  <w:t xml:space="preserve"> – geriamojo vandens tiekėjui ir nuotekų tvarkytojui nuosavybės teise priklausanti ar kitaip valdoma arba naudojama vamzdynų sistema, į kurią patenkančios nuotekos nukreipiamos į miestų, miestelių, kaimų nuotekų valymo įrenginius.</w:t>
                </w:r>
              </w:p>
              <w:p w14:paraId="756B028F" w14:textId="2BD65CAC">
                <w:pPr>
                  <w:ind w:firstLine="720"/>
                  <w:jc w:val="both"/>
                  <w:rPr>
                    <w:szCs w:val="24"/>
                  </w:rPr>
                </w:pPr>
                <w:r>
                  <w:rPr>
                    <w:szCs w:val="24"/>
                  </w:rPr>
                  <w:t>&lt;...&gt;</w:t>
                </w:r>
              </w:p>
              <w:p w14:paraId="7D656790" w14:textId="691CF36A">
                <w:pPr>
                  <w:ind w:firstLine="720"/>
                  <w:jc w:val="both"/>
                  <w:rPr>
                    <w:szCs w:val="24"/>
                  </w:rPr>
                </w:pPr>
                <w:r>
                  <w:rPr>
                    <w:szCs w:val="24"/>
                  </w:rPr>
                  <w:t xml:space="preserve">19. </w:t>
                </w:r>
                <w:r>
                  <w:rPr>
                    <w:b/>
                    <w:szCs w:val="24"/>
                  </w:rPr>
                  <w:t>Gyventojų ekvivalentas</w:t>
                </w:r>
                <w:r>
                  <w:rPr>
                    <w:szCs w:val="24"/>
                  </w:rPr>
                  <w:t xml:space="preserve"> – sutartinis vienetas taršos nuotekomis šaltinio dydžiui išreikšti. Vienas gyventojų ekvivalentas reiškia taršos šaltinį, kuriame per parą susidarančiose nuotekose esantiems organiniams teršalams biologiškai suskaidyti deguonies poreikis (BDS5) yra 60 gramų.“</w:t>
                </w:r>
              </w:p>
              <w:p w14:paraId="3642F89F" w14:textId="77777777">
                <w:pPr>
                  <w:ind w:firstLine="720"/>
                  <w:jc w:val="both"/>
                  <w:rPr>
                    <w:sz w:val="20"/>
                  </w:rPr>
                </w:pPr>
              </w:p>
            </w:tc>
            <w:tc>
              <w:tcPr>
                <w:tcW w:w="2160" w:type="dxa"/>
                <w:shd w:val="clear" w:color="auto" w:fill="FFFFFF"/>
              </w:tcPr>
              <w:p w14:paraId="4248C899" w14:textId="2CFA89CD">
                <w:pPr>
                  <w:jc w:val="both"/>
                  <w:rPr>
                    <w:b/>
                    <w:sz w:val="22"/>
                    <w:szCs w:val="22"/>
                  </w:rPr>
                </w:pPr>
                <w:r>
                  <w:rPr>
                    <w:sz w:val="22"/>
                    <w:szCs w:val="22"/>
                  </w:rPr>
                  <w:t>Visiškas</w:t>
                </w:r>
              </w:p>
            </w:tc>
          </w:tr>
          <w:tr w14:paraId="63465B43" w14:textId="77777777">
            <w:trPr>
              <w:trHeight w:val="608"/>
            </w:trPr>
            <w:tc>
              <w:tcPr>
                <w:tcW w:w="5104" w:type="dxa"/>
                <w:shd w:val="clear" w:color="auto" w:fill="FFFFFF"/>
              </w:tcPr>
              <w:p w14:paraId="45C0F06A" w14:textId="77777777">
                <w:pPr>
                  <w:shd w:val="clear" w:color="auto" w:fill="FFFFFF"/>
                  <w:ind w:left="138" w:right="323"/>
                  <w:jc w:val="both"/>
                  <w:textAlignment w:val="baseline"/>
                  <w:rPr>
                    <w:color w:val="000000"/>
                    <w:szCs w:val="24"/>
                  </w:rPr>
                </w:pPr>
                <w:r>
                  <w:rPr>
                    <w:color w:val="000000"/>
                    <w:szCs w:val="24"/>
                  </w:rPr>
                  <w:t>3 straipsnis</w:t>
                </w:r>
              </w:p>
              <w:p w14:paraId="15D3EFCC" w14:textId="77777777">
                <w:pPr>
                  <w:shd w:val="clear" w:color="auto" w:fill="FFFFFF"/>
                  <w:ind w:left="138" w:right="323"/>
                  <w:jc w:val="both"/>
                  <w:textAlignment w:val="baseline"/>
                  <w:rPr>
                    <w:color w:val="000000"/>
                    <w:szCs w:val="24"/>
                  </w:rPr>
                </w:pPr>
                <w:r>
                  <w:rPr>
                    <w:color w:val="000000"/>
                    <w:szCs w:val="24"/>
                  </w:rPr>
                  <w:t>1. Valstybės narės užtikrina, kad visose aglomeracijose būtų miesto nuotėkų surinkimo sistemos,</w:t>
                </w:r>
              </w:p>
              <w:p w14:paraId="7EA31E0D" w14:textId="77777777">
                <w:pPr>
                  <w:shd w:val="clear" w:color="auto" w:fill="FFFFFF"/>
                  <w:ind w:left="138" w:right="323"/>
                  <w:jc w:val="both"/>
                  <w:textAlignment w:val="baseline"/>
                  <w:rPr>
                    <w:color w:val="000000"/>
                    <w:szCs w:val="24"/>
                  </w:rPr>
                </w:pPr>
                <w:r>
                  <w:rPr>
                    <w:color w:val="000000"/>
                    <w:szCs w:val="24"/>
                  </w:rPr>
                  <w:t>- aglomeracijose, turinčiose daugiau kaip 15000 gyventojų ekvivalentų (g.e), jos turi būti pastatytos ne vėliau kaip iki 2000 m. gruodžio 31 d. ir</w:t>
                </w:r>
              </w:p>
              <w:p w14:paraId="52C4DAB9" w14:textId="77777777">
                <w:pPr>
                  <w:shd w:val="clear" w:color="auto" w:fill="FFFFFF"/>
                  <w:ind w:left="138" w:right="323"/>
                  <w:jc w:val="both"/>
                  <w:textAlignment w:val="baseline"/>
                  <w:rPr>
                    <w:color w:val="000000"/>
                    <w:szCs w:val="24"/>
                  </w:rPr>
                </w:pPr>
                <w:r>
                  <w:rPr>
                    <w:color w:val="000000"/>
                    <w:szCs w:val="24"/>
                  </w:rPr>
                  <w:t>- aglomeracijose, turinčiose nuo 2000 iki 15000 g.e., ne vėliau kaip iki 2005 m. gruodžio 31 d.</w:t>
                </w:r>
              </w:p>
              <w:p w14:paraId="6507CABD" w14:textId="77777777">
                <w:pPr>
                  <w:shd w:val="clear" w:color="auto" w:fill="FFFFFF"/>
                  <w:ind w:left="138" w:right="323"/>
                  <w:jc w:val="both"/>
                  <w:textAlignment w:val="baseline"/>
                  <w:rPr>
                    <w:color w:val="000000"/>
                    <w:szCs w:val="24"/>
                  </w:rPr>
                </w:pPr>
                <w:r>
                  <w:rPr>
                    <w:color w:val="000000"/>
                    <w:szCs w:val="24"/>
                  </w:rPr>
                  <w:t>Kai miesto nuotėkos išleidžiamos į paviršinius vandens priimtuvus, kurie pagal 5 straipsnyje duotą apibrėžimą laikomi "jautria zona", valstybės narės užtikrina, kad aglomeracijose, turinčiose daugiau kaip 10000 g.e., nuotėkų surinkimo sistemos būtų įrengtos ne vėliau kaip iki 1998 m gruodžio 31 d.</w:t>
                </w:r>
              </w:p>
              <w:p w14:paraId="76F9A533" w14:textId="77777777">
                <w:pPr>
                  <w:shd w:val="clear" w:color="auto" w:fill="FFFFFF"/>
                  <w:ind w:left="138" w:right="323"/>
                  <w:jc w:val="both"/>
                  <w:textAlignment w:val="baseline"/>
                  <w:rPr>
                    <w:color w:val="000000"/>
                    <w:szCs w:val="24"/>
                  </w:rPr>
                </w:pPr>
                <w:r>
                  <w:rPr>
                    <w:color w:val="000000"/>
                    <w:szCs w:val="24"/>
                  </w:rPr>
                  <w:t>Kai nuotėkų surinkimo sistemų įrengimas nėra pateisinamas dėl to, kad tokia sistema neduotų naudos aplinkai, arba dėl to, kad ji per daug brangiai kainuotų, yra naudojamos atskiros individualios sistemos arba kitokios atitinkamos sistemos, kurios užtikrina tokį pat aplinkos apsaugos lygį.</w:t>
                </w:r>
              </w:p>
              <w:p w14:paraId="62438EFC" w14:textId="77777777">
                <w:pPr>
                  <w:shd w:val="clear" w:color="auto" w:fill="FFFFFF"/>
                  <w:ind w:left="150" w:right="350"/>
                  <w:jc w:val="both"/>
                  <w:textAlignment w:val="baseline"/>
                  <w:rPr>
                    <w:sz w:val="20"/>
                    <w:lang w:val="en-US"/>
                  </w:rPr>
                </w:pPr>
              </w:p>
            </w:tc>
            <w:tc>
              <w:tcPr>
                <w:tcW w:w="7987" w:type="dxa"/>
                <w:shd w:val="clear" w:color="auto" w:fill="FFFFFF"/>
              </w:tcPr>
              <w:p w14:paraId="54D14452" w14:textId="77777777">
                <w:pPr>
                  <w:ind w:firstLine="771"/>
                  <w:jc w:val="both"/>
                  <w:rPr>
                    <w:b/>
                    <w:color w:val="000000"/>
                    <w:szCs w:val="24"/>
                    <w:shd w:val="clear" w:color="auto" w:fill="FFFFFF"/>
                  </w:rPr>
                </w:pPr>
                <w:r>
                  <w:rPr>
                    <w:b/>
                    <w:color w:val="000000"/>
                    <w:szCs w:val="24"/>
                    <w:shd w:val="clear" w:color="auto" w:fill="FFFFFF"/>
                  </w:rPr>
                  <w:t>„10 straipsnis. Savivaldybių institucijų kompetencija geriamojo vandens tiekimo ir nuotekų tvarkymo reguliavimo srityje</w:t>
                </w:r>
              </w:p>
              <w:p w14:paraId="5F2FED02" w14:textId="6305DA3D">
                <w:pPr>
                  <w:ind w:left="1069" w:hanging="360"/>
                  <w:jc w:val="both"/>
                  <w:rPr>
                    <w:color w:val="000000"/>
                    <w:szCs w:val="24"/>
                    <w:shd w:val="clear" w:color="auto" w:fill="FFFFFF"/>
                  </w:rPr>
                </w:pPr>
                <w:r>
                  <w:rPr>
                    <w:color w:val="000000"/>
                    <w:szCs w:val="24"/>
                  </w:rPr>
                  <w:t>1.</w:t>
                  <w:tab/>
                </w:r>
                <w:r>
                  <w:rPr>
                    <w:color w:val="000000"/>
                    <w:szCs w:val="24"/>
                    <w:shd w:val="clear" w:color="auto" w:fill="FFFFFF"/>
                  </w:rPr>
                  <w:t>Savivaldybių tarybos:</w:t>
                </w:r>
              </w:p>
              <w:p w14:paraId="010C77E6" w14:textId="4CA44C14">
                <w:pPr>
                  <w:ind w:left="1069" w:firstLine="62"/>
                  <w:jc w:val="both"/>
                  <w:rPr>
                    <w:color w:val="000000"/>
                    <w:szCs w:val="24"/>
                    <w:shd w:val="clear" w:color="auto" w:fill="FFFFFF"/>
                  </w:rPr>
                </w:pPr>
                <w:r>
                  <w:rPr>
                    <w:color w:val="000000"/>
                    <w:szCs w:val="24"/>
                    <w:shd w:val="clear" w:color="auto" w:fill="FFFFFF"/>
                  </w:rPr>
                  <w:t>&lt;...&gt;</w:t>
                </w:r>
              </w:p>
              <w:p w14:paraId="44458DBA" w14:textId="77777777">
                <w:pPr>
                  <w:ind w:firstLine="720"/>
                  <w:jc w:val="both"/>
                  <w:rPr>
                    <w:szCs w:val="24"/>
                  </w:rPr>
                </w:pPr>
                <w:r>
                  <w:rPr>
                    <w:szCs w:val="24"/>
                  </w:rPr>
                  <w:t>2) tvirtindamos infrastruktūros plėtros planus, sprendimu nustato aglomeracijų ir viešojo geriamojo vandens tiekimo teritorijų ribas;</w:t>
                </w:r>
              </w:p>
              <w:p w14:paraId="4AAD18C9" w14:textId="77777777">
                <w:pPr>
                  <w:ind w:firstLine="771"/>
                  <w:jc w:val="both"/>
                  <w:rPr>
                    <w:color w:val="000000"/>
                    <w:szCs w:val="24"/>
                    <w:shd w:val="clear" w:color="auto" w:fill="FFFFFF"/>
                  </w:rPr>
                </w:pPr>
                <w:r>
                  <w:rPr>
                    <w:color w:val="000000"/>
                    <w:szCs w:val="24"/>
                    <w:shd w:val="clear" w:color="auto" w:fill="FFFFFF"/>
                  </w:rPr>
                  <w:t>&lt;...&gt;</w:t>
                </w:r>
              </w:p>
              <w:p w14:paraId="4FF28CDC" w14:textId="23741591">
                <w:pPr>
                  <w:ind w:left="1069" w:hanging="360"/>
                  <w:jc w:val="both"/>
                  <w:rPr>
                    <w:color w:val="000000"/>
                    <w:szCs w:val="24"/>
                    <w:shd w:val="clear" w:color="auto" w:fill="FFFFFF"/>
                  </w:rPr>
                </w:pPr>
                <w:r>
                  <w:rPr>
                    <w:color w:val="000000"/>
                    <w:szCs w:val="24"/>
                  </w:rPr>
                  <w:t>2.</w:t>
                  <w:tab/>
                </w:r>
                <w:r>
                  <w:rPr>
                    <w:color w:val="000000"/>
                    <w:szCs w:val="24"/>
                    <w:shd w:val="clear" w:color="auto" w:fill="FFFFFF"/>
                  </w:rPr>
                  <w:t>Savivaldybės vykdomoji institucija:</w:t>
                </w:r>
              </w:p>
              <w:p w14:paraId="5D10DD06" w14:textId="24F2E243">
                <w:pPr>
                  <w:ind w:left="709"/>
                  <w:jc w:val="both"/>
                  <w:rPr>
                    <w:color w:val="000000"/>
                    <w:szCs w:val="24"/>
                    <w:shd w:val="clear" w:color="auto" w:fill="FFFFFF"/>
                  </w:rPr>
                </w:pPr>
                <w:r>
                  <w:rPr>
                    <w:color w:val="000000"/>
                    <w:szCs w:val="24"/>
                    <w:shd w:val="clear" w:color="auto" w:fill="FFFFFF"/>
                  </w:rPr>
                  <w:t>&lt;...&gt;</w:t>
                </w:r>
              </w:p>
              <w:p w14:paraId="2D3568BA" w14:textId="77777777">
                <w:pPr>
                  <w:ind w:firstLine="720"/>
                  <w:jc w:val="both"/>
                  <w:rPr>
                    <w:szCs w:val="24"/>
                    <w:lang w:val="en-US"/>
                  </w:rPr>
                </w:pPr>
                <w:r>
                  <w:rPr>
                    <w:szCs w:val="24"/>
                    <w:lang w:val="en-US"/>
                  </w:rPr>
                  <w:t xml:space="preserve">3) prižiūri ir užtikrina viešųjų vandens tiekėjų, regioninių viešųjų vandens tiekėjų, paviršinių nuotekų tvarkytojų veiklos ir infrastruktūros plėtros planų sprendinių įgyvendinimą; </w:t>
                </w:r>
              </w:p>
              <w:p w14:paraId="44356130" w14:textId="77777777">
                <w:pPr>
                  <w:ind w:firstLine="771"/>
                  <w:jc w:val="both"/>
                  <w:rPr>
                    <w:szCs w:val="24"/>
                  </w:rPr>
                </w:pPr>
                <w:r>
                  <w:rPr>
                    <w:szCs w:val="24"/>
                  </w:rPr>
                  <w:t>4) koordinuoja ir prižiūri geriamojo vandens tiekimo ir nuotekų tvarkymo, paviršinių nuotekų tvarkymo paslaugų teikimą savivaldybės teritorijoje;</w:t>
                </w:r>
              </w:p>
              <w:p w14:paraId="1D01BADE" w14:textId="4EDE4EDF">
                <w:pPr>
                  <w:ind w:firstLine="709"/>
                  <w:jc w:val="both"/>
                  <w:rPr>
                    <w:color w:val="000000"/>
                    <w:szCs w:val="24"/>
                    <w:shd w:val="clear" w:color="auto" w:fill="FFFFFF"/>
                  </w:rPr>
                </w:pPr>
                <w:r>
                  <w:rPr>
                    <w:color w:val="000000"/>
                    <w:szCs w:val="24"/>
                    <w:shd w:val="clear" w:color="auto" w:fill="FFFFFF"/>
                  </w:rPr>
                  <w:t>&lt;...&gt;</w:t>
                </w:r>
              </w:p>
              <w:p w14:paraId="737E9D52" w14:textId="77777777">
                <w:pPr>
                  <w:ind w:firstLine="720"/>
                  <w:jc w:val="both"/>
                  <w:rPr>
                    <w:szCs w:val="24"/>
                  </w:rPr>
                </w:pPr>
                <w:r>
                  <w:rPr>
                    <w:szCs w:val="24"/>
                  </w:rPr>
                  <w:t>8) infrastruktūros plėtros planavimo procedūrų metu užtikrina šio įstatymo 12 straipsnio 3 dalyje nustatytų reikalavimų įgyvendinimą;</w:t>
                </w:r>
              </w:p>
              <w:p w14:paraId="5B66480D" w14:textId="2C91FE69">
                <w:pPr>
                  <w:ind w:firstLine="720"/>
                  <w:jc w:val="both"/>
                  <w:rPr>
                    <w:szCs w:val="24"/>
                  </w:rPr>
                </w:pPr>
                <w:r>
                  <w:rPr>
                    <w:szCs w:val="24"/>
                  </w:rPr>
                  <w:t>9) siekiant užtikrinti individualiųjų nuotekų tvarkymo priežiūrą, Nuotekų tvarkymo informacinėje sistemoje teikia duomenis aplinkos ministro nustatyta tvarka apie išduotus statybą leidžiančius dokumentus, kuriais leidžiama įrengti nuotekų valymo (ar) kaupimo įrenginius;</w:t>
                </w:r>
              </w:p>
              <w:p w14:paraId="11E66255" w14:textId="77777777">
                <w:pPr>
                  <w:ind w:firstLine="720"/>
                  <w:jc w:val="both"/>
                  <w:rPr>
                    <w:szCs w:val="24"/>
                  </w:rPr>
                </w:pPr>
                <w:r>
                  <w:rPr>
                    <w:szCs w:val="24"/>
                  </w:rPr>
                  <w:t xml:space="preserve">10) tikrina, ar asmenys, individualiai tvarkantys nuotekas, turi apmokėjimą už sukauptų nuotekų transportavimą patvirtinančius dokumentus arba viešąją sutartį su geriamojo vandens tiekėju arba nuotekų transportavimo paslaugas teikiančiu asmeniu arba individualiųjų nuotekų valymo ir (arba) kaupimo įrenginių priežiūrą  vykdančiu asmeniu, ar individualiųjų nuotekų valymo įrenginių priežiūra (eksploatacija) vykdoma Nuotekų tvarkymo reglamente, Nuotekų kaupimo rezervuarų ir septikų įrengimo, eksploatavimo ir kontrolės tvarkos apraše ir Nuotekų valymo įrenginių taikymo reglamento nustatyta tvarka;</w:t>
                </w:r>
              </w:p>
              <w:p w14:paraId="4E5717D7" w14:textId="77777777">
                <w:pPr>
                  <w:ind w:firstLine="720"/>
                  <w:jc w:val="both"/>
                  <w:rPr>
                    <w:szCs w:val="24"/>
                  </w:rPr>
                </w:pPr>
                <w:r>
                  <w:rPr>
                    <w:szCs w:val="24"/>
                  </w:rPr>
                  <w:t xml:space="preserve">11) kas 10 metų įvertina, ar infrastruktūros plėtros planuose nustatytos aglomeracijų ribos  ir viešosios geriamojo vandens tiekimo teritorijos atitinka realią situaciją, prireikus inicijuoja minėto plano keitimą;</w:t>
                </w:r>
              </w:p>
              <w:p w14:paraId="10C7898E" w14:textId="7E3A7F73">
                <w:pPr>
                  <w:ind w:firstLine="720"/>
                  <w:jc w:val="both"/>
                  <w:rPr>
                    <w:szCs w:val="24"/>
                  </w:rPr>
                </w:pPr>
                <w:r>
                  <w:rPr>
                    <w:szCs w:val="24"/>
                  </w:rPr>
                  <w:t>12) atlieka savivaldybės teritorijoje nuotekų valymo ir (arba) kaupimo įrenginių inventorizaciją ir Nuotekų tvarkymo informacinėje sistemoje teikia duomenis aplinkos ministro nustatyta tvarka;</w:t>
                </w:r>
              </w:p>
              <w:p w14:paraId="33AB2BE8" w14:textId="253851A5">
                <w:pPr>
                  <w:widowControl w:val="0"/>
                  <w:ind w:firstLine="872"/>
                  <w:jc w:val="both"/>
                  <w:rPr>
                    <w:szCs w:val="24"/>
                  </w:rPr>
                </w:pPr>
                <w:r>
                  <w:rPr>
                    <w:szCs w:val="24"/>
                  </w:rPr>
                  <w:t>&lt;...&gt;“</w:t>
                </w:r>
              </w:p>
              <w:p w14:paraId="316C8966" w14:textId="77777777">
                <w:pPr>
                  <w:widowControl w:val="0"/>
                  <w:ind w:firstLine="810"/>
                  <w:jc w:val="both"/>
                  <w:rPr>
                    <w:szCs w:val="24"/>
                  </w:rPr>
                </w:pPr>
              </w:p>
              <w:p w14:paraId="48C0230C" w14:textId="77777777">
                <w:pPr>
                  <w:ind w:firstLine="742"/>
                  <w:jc w:val="both"/>
                  <w:rPr>
                    <w:b/>
                    <w:szCs w:val="24"/>
                  </w:rPr>
                </w:pPr>
                <w:r>
                  <w:rPr>
                    <w:b/>
                    <w:szCs w:val="24"/>
                  </w:rPr>
                  <w:t>„12 straipsnis.</w:t>
                </w:r>
                <w:r>
                  <w:rPr>
                    <w:szCs w:val="24"/>
                  </w:rPr>
                  <w:t> </w:t>
                </w:r>
                <w:r>
                  <w:rPr>
                    <w:b/>
                    <w:szCs w:val="24"/>
                  </w:rPr>
                  <w:t>Geriamojo vandens tiekimo ir nuotekų tvarkymo planavimas</w:t>
                </w:r>
              </w:p>
              <w:p w14:paraId="1D74B36C" w14:textId="1B56292F">
                <w:pPr>
                  <w:ind w:firstLine="680"/>
                  <w:jc w:val="both"/>
                  <w:rPr>
                    <w:szCs w:val="24"/>
                  </w:rPr>
                </w:pPr>
                <w:r>
                  <w:rPr>
                    <w:b/>
                    <w:szCs w:val="24"/>
                  </w:rPr>
                  <w:t>&lt;...&gt;</w:t>
                </w:r>
              </w:p>
              <w:p w14:paraId="52059A13" w14:textId="77777777">
                <w:pPr>
                  <w:ind w:firstLine="720"/>
                  <w:jc w:val="both"/>
                  <w:rPr>
                    <w:szCs w:val="24"/>
                  </w:rPr>
                </w:pPr>
                <w:r>
                  <w:rPr>
                    <w:szCs w:val="24"/>
                  </w:rPr>
                  <w:t>2. Savivaldybių vykdomos institucijos turi siekti, kad pagal infrastruktūros plėtros planus visi savivaldybės gyventojai gautų saugos ir kokybės reikalavimus atitinkantį geriamąjį vandenį ir nuotekų tvarkymo paslaugas arba turėtų galimybę individualiai apsirūpinti geriamuoju vandeniu ir (arba) individualiai tvarkyti nuotekas. Aglomeracijose turi būti planuojamos centralizuotosios geriamojo vandens tiekimo ir centralizuotosios nuotekų surinkimo sistemos, išskyrus atvejus, nurodytus šio straipsnio 3 dalyje.</w:t>
                </w:r>
              </w:p>
              <w:p w14:paraId="3BF4BBE5" w14:textId="77777777">
                <w:pPr>
                  <w:ind w:firstLine="720"/>
                  <w:jc w:val="both"/>
                  <w:rPr>
                    <w:szCs w:val="24"/>
                  </w:rPr>
                </w:pPr>
                <w:r>
                  <w:rPr>
                    <w:szCs w:val="24"/>
                  </w:rPr>
                  <w:t xml:space="preserve">3. Kai aglomeracijoje centralizuotųjų nuotekų surinkimo sistemų įrengimas neduos naudos aplinkai arba centralizuotųjų geriamojo vandens tiekimo sistemų ir (arba) centralizuotųjų nuotekų surinkimo sistemų įrengimo nepateisina argumentuotai pagrįsta didelė tokios sistemos įrengimo kaina ir tai ekonomiškai pagrįsta infrastruktūros plėtros plane, tokiose planu išskirtose teritorijose turi būti numatytas individualus apsirūpinimas geriamuoju vandeniu ir (arba) nuotekų tvarkymas nuotekų valymo ar kaupimo įrenginiais, kurie leidžia užtikrinti nuotekų išvalymą iki toje aglomeracijoje, viešojo vandens tiekėjo taršos leidimuose arba taršos integruotos prevencijos ir kontrolės leidimuose nustatytų keliamų reikalavimų. </w:t>
                </w:r>
              </w:p>
              <w:p w14:paraId="2F4D7B44" w14:textId="4149FC45">
                <w:pPr>
                  <w:ind w:firstLine="782"/>
                  <w:jc w:val="both"/>
                  <w:rPr>
                    <w:szCs w:val="24"/>
                  </w:rPr>
                </w:pPr>
                <w:r>
                  <w:rPr>
                    <w:szCs w:val="24"/>
                  </w:rPr>
                  <w:t>&lt;...&gt;“.</w:t>
                </w:r>
              </w:p>
              <w:p w14:paraId="4A7E9EA5"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tc>
            <w:tc>
              <w:tcPr>
                <w:tcW w:w="2160" w:type="dxa"/>
                <w:shd w:val="clear" w:color="auto" w:fill="FFFFFF"/>
              </w:tcPr>
              <w:p w14:paraId="7698E998" w14:textId="6BF59D76">
                <w:pPr>
                  <w:jc w:val="both"/>
                  <w:rPr>
                    <w:sz w:val="22"/>
                    <w:szCs w:val="22"/>
                  </w:rPr>
                </w:pPr>
                <w:r>
                  <w:rPr>
                    <w:sz w:val="22"/>
                    <w:szCs w:val="22"/>
                  </w:rPr>
                  <w:t>Visiškas</w:t>
                </w:r>
              </w:p>
            </w:tc>
          </w:tr>
        </w:tbl>
        <w:p w14:paraId="1D27FAAD" w14:textId="0B8541C7">
          <w:pPr>
            <w:jc w:val="both"/>
            <w:rPr>
              <w:sz w:val="20"/>
            </w:rPr>
          </w:pPr>
        </w:p>
        <w:p w14:paraId="10FF7DD3" w14:textId="5AED126B">
          <w:pPr>
            <w:ind w:firstLine="2160"/>
            <w:jc w:val="center"/>
            <w:rPr>
              <w:sz w:val="20"/>
              <w:u w:val="single"/>
            </w:rPr>
          </w:pPr>
        </w:p>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709" w:right="1134" w:bottom="851" w:left="1134"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4014F" w14:textId="77777777">
      <w:pPr>
        <w:jc w:val="both"/>
        <w:rPr>
          <w:szCs w:val="24"/>
        </w:rPr>
      </w:pPr>
      <w:r>
        <w:rPr>
          <w:szCs w:val="24"/>
        </w:rPr>
        <w:separator/>
      </w:r>
    </w:p>
  </w:endnote>
  <w:endnote w:type="continuationSeparator" w:id="0">
    <w:p w14:paraId="47A84888" w14:textId="77777777">
      <w:pPr>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9B6CE" w14:textId="77777777">
    <w:pPr>
      <w:tabs>
        <w:tab w:val="center" w:pos="4153"/>
        <w:tab w:val="right" w:pos="8306"/>
      </w:tabs>
      <w:overflowPunct w:val="0"/>
      <w:textAlignment w:val="baseline"/>
      <w:rPr>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83C72" w14:textId="77777777">
    <w:pPr>
      <w:tabs>
        <w:tab w:val="center" w:pos="4153"/>
        <w:tab w:val="right" w:pos="8306"/>
      </w:tabs>
      <w:overflowPunct w:val="0"/>
      <w:textAlignment w:val="baseline"/>
      <w:rPr>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D0BE8" w14:textId="77777777">
    <w:pPr>
      <w:tabs>
        <w:tab w:val="center" w:pos="4153"/>
        <w:tab w:val="right" w:pos="8306"/>
      </w:tabs>
      <w:overflowPunct w:val="0"/>
      <w:textAlignment w:val="baseline"/>
      <w:rPr>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C87074" w14:textId="77777777">
      <w:pPr>
        <w:jc w:val="both"/>
        <w:rPr>
          <w:szCs w:val="24"/>
        </w:rPr>
      </w:pPr>
      <w:r>
        <w:rPr>
          <w:szCs w:val="24"/>
        </w:rPr>
        <w:separator/>
      </w:r>
    </w:p>
  </w:footnote>
  <w:footnote w:type="continuationSeparator" w:id="0">
    <w:p w14:paraId="7EAA3FC6" w14:textId="77777777">
      <w:pPr>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6ECD5" w14:textId="77777777">
    <w:pPr>
      <w:framePr w:wrap="auto" w:vAnchor="text" w:hAnchor="margin" w:xAlign="center" w:y="1"/>
      <w:tabs>
        <w:tab w:val="center" w:pos="4153"/>
        <w:tab w:val="right" w:pos="8306"/>
      </w:tabs>
      <w:overflowPunct w:val="0"/>
      <w:textAlignment w:val="baseline"/>
      <w:rPr>
        <w:sz w:val="20"/>
        <w:lang w:val="en-GB"/>
      </w:rPr>
    </w:pPr>
    <w:r>
      <w:rPr>
        <w:sz w:val="20"/>
        <w:lang w:val="en-GB"/>
      </w:rPr>
      <w:fldChar w:fldCharType="begin"/>
    </w:r>
    <w:r>
      <w:rPr>
        <w:sz w:val="20"/>
        <w:lang w:val="en-GB"/>
      </w:rPr>
      <w:instrText xml:space="preserve">PAGE  </w:instrText>
    </w:r>
    <w:r>
      <w:rPr>
        <w:sz w:val="20"/>
        <w:lang w:val="en-GB"/>
      </w:rPr>
      <w:fldChar w:fldCharType="end"/>
    </w:r>
  </w:p>
  <w:p w14:paraId="22385AA2" w14:textId="77777777">
    <w:pPr>
      <w:tabs>
        <w:tab w:val="center" w:pos="4153"/>
        <w:tab w:val="right" w:pos="8306"/>
      </w:tabs>
      <w:overflowPunct w:val="0"/>
      <w:textAlignment w:val="baseline"/>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95427" w14:textId="77777777">
    <w:pPr>
      <w:framePr w:wrap="auto" w:vAnchor="text" w:hAnchor="margin" w:xAlign="center" w:y="1"/>
      <w:tabs>
        <w:tab w:val="center" w:pos="4153"/>
        <w:tab w:val="right" w:pos="8306"/>
      </w:tabs>
      <w:overflowPunct w:val="0"/>
      <w:textAlignment w:val="baseline"/>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3</w:t>
    </w:r>
    <w:r>
      <w:rPr>
        <w:sz w:val="20"/>
        <w:lang w:val="en-GB"/>
      </w:rPr>
      <w:fldChar w:fldCharType="end"/>
    </w:r>
  </w:p>
  <w:p w14:paraId="24DE2945" w14:textId="77777777">
    <w:pPr>
      <w:tabs>
        <w:tab w:val="center" w:pos="4153"/>
        <w:tab w:val="right" w:pos="8306"/>
      </w:tabs>
      <w:overflowPunct w:val="0"/>
      <w:textAlignment w:val="baseline"/>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F6398" w14:textId="77777777">
    <w:pPr>
      <w:tabs>
        <w:tab w:val="center" w:pos="4153"/>
        <w:tab w:val="right" w:pos="8306"/>
      </w:tabs>
      <w:overflowPunct w:val="0"/>
      <w:textAlignment w:val="baseline"/>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29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ED0F8C"/>
  <w15:docId w15:val="{C474872D-B6A6-454C-915A-DFD3127BC1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625148">
      <w:bodyDiv w:val="1"/>
      <w:marLeft w:val="0"/>
      <w:marRight w:val="0"/>
      <w:marTop w:val="0"/>
      <w:marBottom w:val="0"/>
      <w:divBdr>
        <w:top w:val="none" w:sz="0" w:space="0" w:color="auto"/>
        <w:left w:val="none" w:sz="0" w:space="0" w:color="auto"/>
        <w:bottom w:val="none" w:sz="0" w:space="0" w:color="auto"/>
        <w:right w:val="none" w:sz="0" w:space="0" w:color="auto"/>
      </w:divBdr>
      <w:divsChild>
        <w:div w:id="1663389645">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471481612">
      <w:bodyDiv w:val="1"/>
      <w:marLeft w:val="0"/>
      <w:marRight w:val="0"/>
      <w:marTop w:val="0"/>
      <w:marBottom w:val="0"/>
      <w:divBdr>
        <w:top w:val="none" w:sz="0" w:space="0" w:color="auto"/>
        <w:left w:val="none" w:sz="0" w:space="0" w:color="auto"/>
        <w:bottom w:val="none" w:sz="0" w:space="0" w:color="auto"/>
        <w:right w:val="none" w:sz="0" w:space="0" w:color="auto"/>
      </w:divBdr>
      <w:divsChild>
        <w:div w:id="292291955">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557857393">
      <w:bodyDiv w:val="1"/>
      <w:marLeft w:val="0"/>
      <w:marRight w:val="0"/>
      <w:marTop w:val="0"/>
      <w:marBottom w:val="0"/>
      <w:divBdr>
        <w:top w:val="none" w:sz="0" w:space="0" w:color="auto"/>
        <w:left w:val="none" w:sz="0" w:space="0" w:color="auto"/>
        <w:bottom w:val="none" w:sz="0" w:space="0" w:color="auto"/>
        <w:right w:val="none" w:sz="0" w:space="0" w:color="auto"/>
      </w:divBdr>
      <w:divsChild>
        <w:div w:id="69404254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568535891">
      <w:bodyDiv w:val="1"/>
      <w:marLeft w:val="0"/>
      <w:marRight w:val="0"/>
      <w:marTop w:val="0"/>
      <w:marBottom w:val="0"/>
      <w:divBdr>
        <w:top w:val="none" w:sz="0" w:space="0" w:color="auto"/>
        <w:left w:val="none" w:sz="0" w:space="0" w:color="auto"/>
        <w:bottom w:val="none" w:sz="0" w:space="0" w:color="auto"/>
        <w:right w:val="none" w:sz="0" w:space="0" w:color="auto"/>
      </w:divBdr>
      <w:divsChild>
        <w:div w:id="75867695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609243825">
      <w:bodyDiv w:val="1"/>
      <w:marLeft w:val="0"/>
      <w:marRight w:val="0"/>
      <w:marTop w:val="0"/>
      <w:marBottom w:val="0"/>
      <w:divBdr>
        <w:top w:val="none" w:sz="0" w:space="0" w:color="auto"/>
        <w:left w:val="none" w:sz="0" w:space="0" w:color="auto"/>
        <w:bottom w:val="none" w:sz="0" w:space="0" w:color="auto"/>
        <w:right w:val="none" w:sz="0" w:space="0" w:color="auto"/>
      </w:divBdr>
      <w:divsChild>
        <w:div w:id="161423927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741174077">
      <w:bodyDiv w:val="1"/>
      <w:marLeft w:val="0"/>
      <w:marRight w:val="0"/>
      <w:marTop w:val="0"/>
      <w:marBottom w:val="0"/>
      <w:divBdr>
        <w:top w:val="none" w:sz="0" w:space="0" w:color="auto"/>
        <w:left w:val="none" w:sz="0" w:space="0" w:color="auto"/>
        <w:bottom w:val="none" w:sz="0" w:space="0" w:color="auto"/>
        <w:right w:val="none" w:sz="0" w:space="0" w:color="auto"/>
      </w:divBdr>
      <w:divsChild>
        <w:div w:id="41228735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878930127">
      <w:bodyDiv w:val="1"/>
      <w:marLeft w:val="0"/>
      <w:marRight w:val="0"/>
      <w:marTop w:val="0"/>
      <w:marBottom w:val="0"/>
      <w:divBdr>
        <w:top w:val="none" w:sz="0" w:space="0" w:color="auto"/>
        <w:left w:val="none" w:sz="0" w:space="0" w:color="auto"/>
        <w:bottom w:val="none" w:sz="0" w:space="0" w:color="auto"/>
        <w:right w:val="none" w:sz="0" w:space="0" w:color="auto"/>
      </w:divBdr>
      <w:divsChild>
        <w:div w:id="92924133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987781310">
      <w:bodyDiv w:val="1"/>
      <w:marLeft w:val="0"/>
      <w:marRight w:val="0"/>
      <w:marTop w:val="0"/>
      <w:marBottom w:val="0"/>
      <w:divBdr>
        <w:top w:val="none" w:sz="0" w:space="0" w:color="auto"/>
        <w:left w:val="none" w:sz="0" w:space="0" w:color="auto"/>
        <w:bottom w:val="none" w:sz="0" w:space="0" w:color="auto"/>
        <w:right w:val="none" w:sz="0" w:space="0" w:color="auto"/>
      </w:divBdr>
      <w:divsChild>
        <w:div w:id="739208358">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076439063">
      <w:bodyDiv w:val="1"/>
      <w:marLeft w:val="0"/>
      <w:marRight w:val="0"/>
      <w:marTop w:val="0"/>
      <w:marBottom w:val="0"/>
      <w:divBdr>
        <w:top w:val="none" w:sz="0" w:space="0" w:color="auto"/>
        <w:left w:val="none" w:sz="0" w:space="0" w:color="auto"/>
        <w:bottom w:val="none" w:sz="0" w:space="0" w:color="auto"/>
        <w:right w:val="none" w:sz="0" w:space="0" w:color="auto"/>
      </w:divBdr>
      <w:divsChild>
        <w:div w:id="91227422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076513414">
      <w:bodyDiv w:val="1"/>
      <w:marLeft w:val="0"/>
      <w:marRight w:val="0"/>
      <w:marTop w:val="0"/>
      <w:marBottom w:val="0"/>
      <w:divBdr>
        <w:top w:val="none" w:sz="0" w:space="0" w:color="auto"/>
        <w:left w:val="none" w:sz="0" w:space="0" w:color="auto"/>
        <w:bottom w:val="none" w:sz="0" w:space="0" w:color="auto"/>
        <w:right w:val="none" w:sz="0" w:space="0" w:color="auto"/>
      </w:divBdr>
    </w:div>
    <w:div w:id="1110515986">
      <w:bodyDiv w:val="1"/>
      <w:marLeft w:val="0"/>
      <w:marRight w:val="0"/>
      <w:marTop w:val="0"/>
      <w:marBottom w:val="0"/>
      <w:divBdr>
        <w:top w:val="none" w:sz="0" w:space="0" w:color="auto"/>
        <w:left w:val="none" w:sz="0" w:space="0" w:color="auto"/>
        <w:bottom w:val="none" w:sz="0" w:space="0" w:color="auto"/>
        <w:right w:val="none" w:sz="0" w:space="0" w:color="auto"/>
      </w:divBdr>
      <w:divsChild>
        <w:div w:id="158812470">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123842984">
      <w:bodyDiv w:val="1"/>
      <w:marLeft w:val="0"/>
      <w:marRight w:val="0"/>
      <w:marTop w:val="0"/>
      <w:marBottom w:val="0"/>
      <w:divBdr>
        <w:top w:val="none" w:sz="0" w:space="0" w:color="auto"/>
        <w:left w:val="none" w:sz="0" w:space="0" w:color="auto"/>
        <w:bottom w:val="none" w:sz="0" w:space="0" w:color="auto"/>
        <w:right w:val="none" w:sz="0" w:space="0" w:color="auto"/>
      </w:divBdr>
      <w:divsChild>
        <w:div w:id="587619590">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124157935">
      <w:bodyDiv w:val="1"/>
      <w:marLeft w:val="0"/>
      <w:marRight w:val="0"/>
      <w:marTop w:val="0"/>
      <w:marBottom w:val="0"/>
      <w:divBdr>
        <w:top w:val="none" w:sz="0" w:space="0" w:color="auto"/>
        <w:left w:val="none" w:sz="0" w:space="0" w:color="auto"/>
        <w:bottom w:val="none" w:sz="0" w:space="0" w:color="auto"/>
        <w:right w:val="none" w:sz="0" w:space="0" w:color="auto"/>
      </w:divBdr>
      <w:divsChild>
        <w:div w:id="86718371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231234400">
      <w:bodyDiv w:val="1"/>
      <w:marLeft w:val="0"/>
      <w:marRight w:val="0"/>
      <w:marTop w:val="0"/>
      <w:marBottom w:val="0"/>
      <w:divBdr>
        <w:top w:val="none" w:sz="0" w:space="0" w:color="auto"/>
        <w:left w:val="none" w:sz="0" w:space="0" w:color="auto"/>
        <w:bottom w:val="none" w:sz="0" w:space="0" w:color="auto"/>
        <w:right w:val="none" w:sz="0" w:space="0" w:color="auto"/>
      </w:divBdr>
    </w:div>
    <w:div w:id="1278561001">
      <w:bodyDiv w:val="1"/>
      <w:marLeft w:val="0"/>
      <w:marRight w:val="0"/>
      <w:marTop w:val="0"/>
      <w:marBottom w:val="0"/>
      <w:divBdr>
        <w:top w:val="none" w:sz="0" w:space="0" w:color="auto"/>
        <w:left w:val="none" w:sz="0" w:space="0" w:color="auto"/>
        <w:bottom w:val="none" w:sz="0" w:space="0" w:color="auto"/>
        <w:right w:val="none" w:sz="0" w:space="0" w:color="auto"/>
      </w:divBdr>
      <w:divsChild>
        <w:div w:id="101307346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285769934">
      <w:bodyDiv w:val="1"/>
      <w:marLeft w:val="0"/>
      <w:marRight w:val="0"/>
      <w:marTop w:val="0"/>
      <w:marBottom w:val="0"/>
      <w:divBdr>
        <w:top w:val="none" w:sz="0" w:space="0" w:color="auto"/>
        <w:left w:val="none" w:sz="0" w:space="0" w:color="auto"/>
        <w:bottom w:val="none" w:sz="0" w:space="0" w:color="auto"/>
        <w:right w:val="none" w:sz="0" w:space="0" w:color="auto"/>
      </w:divBdr>
      <w:divsChild>
        <w:div w:id="2588643">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291742414">
      <w:bodyDiv w:val="1"/>
      <w:marLeft w:val="0"/>
      <w:marRight w:val="0"/>
      <w:marTop w:val="0"/>
      <w:marBottom w:val="0"/>
      <w:divBdr>
        <w:top w:val="none" w:sz="0" w:space="0" w:color="auto"/>
        <w:left w:val="none" w:sz="0" w:space="0" w:color="auto"/>
        <w:bottom w:val="none" w:sz="0" w:space="0" w:color="auto"/>
        <w:right w:val="none" w:sz="0" w:space="0" w:color="auto"/>
      </w:divBdr>
      <w:divsChild>
        <w:div w:id="1285427763">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323893914">
      <w:bodyDiv w:val="1"/>
      <w:marLeft w:val="0"/>
      <w:marRight w:val="0"/>
      <w:marTop w:val="0"/>
      <w:marBottom w:val="0"/>
      <w:divBdr>
        <w:top w:val="none" w:sz="0" w:space="0" w:color="auto"/>
        <w:left w:val="none" w:sz="0" w:space="0" w:color="auto"/>
        <w:bottom w:val="none" w:sz="0" w:space="0" w:color="auto"/>
        <w:right w:val="none" w:sz="0" w:space="0" w:color="auto"/>
      </w:divBdr>
      <w:divsChild>
        <w:div w:id="132809878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531841730">
      <w:bodyDiv w:val="1"/>
      <w:marLeft w:val="0"/>
      <w:marRight w:val="0"/>
      <w:marTop w:val="0"/>
      <w:marBottom w:val="0"/>
      <w:divBdr>
        <w:top w:val="none" w:sz="0" w:space="0" w:color="auto"/>
        <w:left w:val="none" w:sz="0" w:space="0" w:color="auto"/>
        <w:bottom w:val="none" w:sz="0" w:space="0" w:color="auto"/>
        <w:right w:val="none" w:sz="0" w:space="0" w:color="auto"/>
      </w:divBdr>
      <w:divsChild>
        <w:div w:id="155203803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542546827">
      <w:bodyDiv w:val="1"/>
      <w:marLeft w:val="0"/>
      <w:marRight w:val="0"/>
      <w:marTop w:val="0"/>
      <w:marBottom w:val="0"/>
      <w:divBdr>
        <w:top w:val="none" w:sz="0" w:space="0" w:color="auto"/>
        <w:left w:val="none" w:sz="0" w:space="0" w:color="auto"/>
        <w:bottom w:val="none" w:sz="0" w:space="0" w:color="auto"/>
        <w:right w:val="none" w:sz="0" w:space="0" w:color="auto"/>
      </w:divBdr>
      <w:divsChild>
        <w:div w:id="659894618">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572497957">
      <w:bodyDiv w:val="1"/>
      <w:marLeft w:val="0"/>
      <w:marRight w:val="0"/>
      <w:marTop w:val="0"/>
      <w:marBottom w:val="0"/>
      <w:divBdr>
        <w:top w:val="none" w:sz="0" w:space="0" w:color="auto"/>
        <w:left w:val="none" w:sz="0" w:space="0" w:color="auto"/>
        <w:bottom w:val="none" w:sz="0" w:space="0" w:color="auto"/>
        <w:right w:val="none" w:sz="0" w:space="0" w:color="auto"/>
      </w:divBdr>
      <w:divsChild>
        <w:div w:id="204474449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602838219">
      <w:bodyDiv w:val="1"/>
      <w:marLeft w:val="0"/>
      <w:marRight w:val="0"/>
      <w:marTop w:val="0"/>
      <w:marBottom w:val="0"/>
      <w:divBdr>
        <w:top w:val="none" w:sz="0" w:space="0" w:color="auto"/>
        <w:left w:val="none" w:sz="0" w:space="0" w:color="auto"/>
        <w:bottom w:val="none" w:sz="0" w:space="0" w:color="auto"/>
        <w:right w:val="none" w:sz="0" w:space="0" w:color="auto"/>
      </w:divBdr>
      <w:divsChild>
        <w:div w:id="63591391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658725951">
      <w:bodyDiv w:val="1"/>
      <w:marLeft w:val="0"/>
      <w:marRight w:val="0"/>
      <w:marTop w:val="0"/>
      <w:marBottom w:val="0"/>
      <w:divBdr>
        <w:top w:val="none" w:sz="0" w:space="0" w:color="auto"/>
        <w:left w:val="none" w:sz="0" w:space="0" w:color="auto"/>
        <w:bottom w:val="none" w:sz="0" w:space="0" w:color="auto"/>
        <w:right w:val="none" w:sz="0" w:space="0" w:color="auto"/>
      </w:divBdr>
      <w:divsChild>
        <w:div w:id="186347168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703968490">
      <w:bodyDiv w:val="1"/>
      <w:marLeft w:val="0"/>
      <w:marRight w:val="0"/>
      <w:marTop w:val="0"/>
      <w:marBottom w:val="0"/>
      <w:divBdr>
        <w:top w:val="none" w:sz="0" w:space="0" w:color="auto"/>
        <w:left w:val="none" w:sz="0" w:space="0" w:color="auto"/>
        <w:bottom w:val="none" w:sz="0" w:space="0" w:color="auto"/>
        <w:right w:val="none" w:sz="0" w:space="0" w:color="auto"/>
      </w:divBdr>
      <w:divsChild>
        <w:div w:id="38175986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762798316">
      <w:bodyDiv w:val="1"/>
      <w:marLeft w:val="0"/>
      <w:marRight w:val="0"/>
      <w:marTop w:val="0"/>
      <w:marBottom w:val="0"/>
      <w:divBdr>
        <w:top w:val="none" w:sz="0" w:space="0" w:color="auto"/>
        <w:left w:val="none" w:sz="0" w:space="0" w:color="auto"/>
        <w:bottom w:val="none" w:sz="0" w:space="0" w:color="auto"/>
        <w:right w:val="none" w:sz="0" w:space="0" w:color="auto"/>
      </w:divBdr>
    </w:div>
    <w:div w:id="1765690441">
      <w:bodyDiv w:val="1"/>
      <w:marLeft w:val="0"/>
      <w:marRight w:val="0"/>
      <w:marTop w:val="0"/>
      <w:marBottom w:val="0"/>
      <w:divBdr>
        <w:top w:val="none" w:sz="0" w:space="0" w:color="auto"/>
        <w:left w:val="none" w:sz="0" w:space="0" w:color="auto"/>
        <w:bottom w:val="none" w:sz="0" w:space="0" w:color="auto"/>
        <w:right w:val="none" w:sz="0" w:space="0" w:color="auto"/>
      </w:divBdr>
      <w:divsChild>
        <w:div w:id="34113095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823307321">
      <w:bodyDiv w:val="1"/>
      <w:marLeft w:val="0"/>
      <w:marRight w:val="0"/>
      <w:marTop w:val="0"/>
      <w:marBottom w:val="0"/>
      <w:divBdr>
        <w:top w:val="none" w:sz="0" w:space="0" w:color="auto"/>
        <w:left w:val="none" w:sz="0" w:space="0" w:color="auto"/>
        <w:bottom w:val="none" w:sz="0" w:space="0" w:color="auto"/>
        <w:right w:val="none" w:sz="0" w:space="0" w:color="auto"/>
      </w:divBdr>
      <w:divsChild>
        <w:div w:id="692266233">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831824635">
      <w:bodyDiv w:val="1"/>
      <w:marLeft w:val="0"/>
      <w:marRight w:val="0"/>
      <w:marTop w:val="0"/>
      <w:marBottom w:val="0"/>
      <w:divBdr>
        <w:top w:val="none" w:sz="0" w:space="0" w:color="auto"/>
        <w:left w:val="none" w:sz="0" w:space="0" w:color="auto"/>
        <w:bottom w:val="none" w:sz="0" w:space="0" w:color="auto"/>
        <w:right w:val="none" w:sz="0" w:space="0" w:color="auto"/>
      </w:divBdr>
      <w:divsChild>
        <w:div w:id="884367333">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890919825">
      <w:bodyDiv w:val="1"/>
      <w:marLeft w:val="0"/>
      <w:marRight w:val="0"/>
      <w:marTop w:val="0"/>
      <w:marBottom w:val="0"/>
      <w:divBdr>
        <w:top w:val="none" w:sz="0" w:space="0" w:color="auto"/>
        <w:left w:val="none" w:sz="0" w:space="0" w:color="auto"/>
        <w:bottom w:val="none" w:sz="0" w:space="0" w:color="auto"/>
        <w:right w:val="none" w:sz="0" w:space="0" w:color="auto"/>
      </w:divBdr>
      <w:divsChild>
        <w:div w:id="142233387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924753295">
      <w:bodyDiv w:val="1"/>
      <w:marLeft w:val="0"/>
      <w:marRight w:val="0"/>
      <w:marTop w:val="0"/>
      <w:marBottom w:val="0"/>
      <w:divBdr>
        <w:top w:val="none" w:sz="0" w:space="0" w:color="auto"/>
        <w:left w:val="none" w:sz="0" w:space="0" w:color="auto"/>
        <w:bottom w:val="none" w:sz="0" w:space="0" w:color="auto"/>
        <w:right w:val="none" w:sz="0" w:space="0" w:color="auto"/>
      </w:divBdr>
      <w:divsChild>
        <w:div w:id="506140390">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018075119">
      <w:bodyDiv w:val="1"/>
      <w:marLeft w:val="0"/>
      <w:marRight w:val="0"/>
      <w:marTop w:val="0"/>
      <w:marBottom w:val="0"/>
      <w:divBdr>
        <w:top w:val="none" w:sz="0" w:space="0" w:color="auto"/>
        <w:left w:val="none" w:sz="0" w:space="0" w:color="auto"/>
        <w:bottom w:val="none" w:sz="0" w:space="0" w:color="auto"/>
        <w:right w:val="none" w:sz="0" w:space="0" w:color="auto"/>
      </w:divBdr>
      <w:divsChild>
        <w:div w:id="344407588">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023312854">
      <w:bodyDiv w:val="1"/>
      <w:marLeft w:val="0"/>
      <w:marRight w:val="0"/>
      <w:marTop w:val="0"/>
      <w:marBottom w:val="0"/>
      <w:divBdr>
        <w:top w:val="none" w:sz="0" w:space="0" w:color="auto"/>
        <w:left w:val="none" w:sz="0" w:space="0" w:color="auto"/>
        <w:bottom w:val="none" w:sz="0" w:space="0" w:color="auto"/>
        <w:right w:val="none" w:sz="0" w:space="0" w:color="auto"/>
      </w:divBdr>
      <w:divsChild>
        <w:div w:id="4753483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033219300">
      <w:bodyDiv w:val="1"/>
      <w:marLeft w:val="0"/>
      <w:marRight w:val="0"/>
      <w:marTop w:val="0"/>
      <w:marBottom w:val="0"/>
      <w:divBdr>
        <w:top w:val="none" w:sz="0" w:space="0" w:color="auto"/>
        <w:left w:val="none" w:sz="0" w:space="0" w:color="auto"/>
        <w:bottom w:val="none" w:sz="0" w:space="0" w:color="auto"/>
        <w:right w:val="none" w:sz="0" w:space="0" w:color="auto"/>
      </w:divBdr>
    </w:div>
    <w:div w:id="2060010968">
      <w:bodyDiv w:val="1"/>
      <w:marLeft w:val="0"/>
      <w:marRight w:val="0"/>
      <w:marTop w:val="0"/>
      <w:marBottom w:val="0"/>
      <w:divBdr>
        <w:top w:val="none" w:sz="0" w:space="0" w:color="auto"/>
        <w:left w:val="none" w:sz="0" w:space="0" w:color="auto"/>
        <w:bottom w:val="none" w:sz="0" w:space="0" w:color="auto"/>
        <w:right w:val="none" w:sz="0" w:space="0" w:color="auto"/>
      </w:divBdr>
      <w:divsChild>
        <w:div w:id="1702364600">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071734037">
      <w:bodyDiv w:val="1"/>
      <w:marLeft w:val="0"/>
      <w:marRight w:val="0"/>
      <w:marTop w:val="0"/>
      <w:marBottom w:val="0"/>
      <w:divBdr>
        <w:top w:val="none" w:sz="0" w:space="0" w:color="auto"/>
        <w:left w:val="none" w:sz="0" w:space="0" w:color="auto"/>
        <w:bottom w:val="none" w:sz="0" w:space="0" w:color="auto"/>
        <w:right w:val="none" w:sz="0" w:space="0" w:color="auto"/>
      </w:divBdr>
      <w:divsChild>
        <w:div w:id="175616902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081058813">
      <w:bodyDiv w:val="1"/>
      <w:marLeft w:val="0"/>
      <w:marRight w:val="0"/>
      <w:marTop w:val="0"/>
      <w:marBottom w:val="0"/>
      <w:divBdr>
        <w:top w:val="none" w:sz="0" w:space="0" w:color="auto"/>
        <w:left w:val="none" w:sz="0" w:space="0" w:color="auto"/>
        <w:bottom w:val="none" w:sz="0" w:space="0" w:color="auto"/>
        <w:right w:val="none" w:sz="0" w:space="0" w:color="auto"/>
      </w:divBdr>
      <w:divsChild>
        <w:div w:id="118451941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da37f3b89f0a4ef587f7c8b47bf87ded" PartId="5476b12980184a73ace44aee46ecf779"/>
</Parts>
</file>

<file path=customXml/itemProps1.xml><?xml version="1.0" encoding="utf-8"?>
<ds:datastoreItem xmlns:ds="http://schemas.openxmlformats.org/officeDocument/2006/customXml" ds:itemID="{A5F2B98E-BD95-47AB-B65D-DEFEA41892A8}">
  <ds:schemaRefs>
    <ds:schemaRef ds:uri="http://schemas.openxmlformats.org/officeDocument/2006/bibliography"/>
  </ds:schemaRefs>
</ds:datastoreItem>
</file>

<file path=customXml/itemProps2.xml><?xml version="1.0" encoding="utf-8"?>
<ds:datastoreItem xmlns:ds="http://schemas.openxmlformats.org/officeDocument/2006/customXml" ds:itemID="{23993C03-B335-4E6F-B5D6-19C5A7F8A6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801</Words>
  <Characters>5706</Characters>
  <Application>Microsoft Office Word</Application>
  <DocSecurity>4</DocSecurity>
  <Lines>146</Lines>
  <Paragraphs>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Palyginamoji analizė</vt:lpstr>
      <vt:lpstr>Palyginamoji analizė</vt:lpstr>
    </vt:vector>
  </TitlesOfParts>
  <Company>Soc. apsaugos ir darbo min.</Company>
  <LinksUpToDate>false</LinksUpToDate>
  <CharactersWithSpaces>6454</CharactersWithSpaces>
  <SharedDoc>false</SharedDoc>
  <HyperlinkBase/>
  <HLinks>
    <vt:vector size="6" baseType="variant">
      <vt:variant>
        <vt:i4>1507402</vt:i4>
      </vt:variant>
      <vt:variant>
        <vt:i4>0</vt:i4>
      </vt:variant>
      <vt:variant>
        <vt:i4>0</vt:i4>
      </vt:variant>
      <vt:variant>
        <vt:i4>5</vt:i4>
      </vt:variant>
      <vt:variant>
        <vt:lpwstr>http://www.esinvesticijos.lt/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2022-03-24T16:33:00Z</dcterms:created>
  <dc:creator>LR SADM</dc:creator>
  <lastModifiedBy>adlibuser</lastModifiedBy>
  <lastPrinted>2013-12-12T05:49:00Z</lastPrinted>
  <dcterms:modified xsi:type="dcterms:W3CDTF">2022-03-24T16:33:00Z</dcterms:modified>
  <revision>2</revision>
  <dc:title>Palyginamoji analizė</dc:title>
</coreProperties>
</file>