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18a62d105e4efc9c96f7abf1d6ad8c"/>
        <w:lock w:val="sdtLocked"/>
        <w:richText/>
      </w:sdtPr>
      <w:sdtContent>
        <w:p>
          <w:pPr>
            <w:tabs>
              <w:tab w:val="center" w:pos="4153"/>
              <w:tab w:val="right" w:pos="8306"/>
            </w:tabs>
            <w:rPr>
              <w:lang w:eastAsia="lt-LT"/>
            </w:rPr>
          </w:pPr>
        </w:p>
        <w:p>
          <w:pPr>
            <w:spacing w:line="360" w:lineRule="atLeast"/>
            <w:jc w:val="center"/>
            <w:rPr>
              <w:szCs w:val="24"/>
              <w:lang w:eastAsia="lt-LT"/>
            </w:rPr>
          </w:pPr>
          <w:r>
            <w:rPr>
              <w:szCs w:val="24"/>
              <w:lang w:eastAsia="lt-LT"/>
            </w:rPr>
            <w:t>Lietuvos Respublikos aplinkos ministerija</w:t>
          </w:r>
        </w:p>
        <w:p>
          <w:pPr>
            <w:jc w:val="center"/>
            <w:rPr>
              <w:lang w:eastAsia="lt-LT"/>
            </w:rPr>
          </w:pPr>
        </w:p>
        <w:p>
          <w:pPr>
            <w:jc w:val="center"/>
            <w:rPr>
              <w:lang w:eastAsia="lt-LT"/>
            </w:rPr>
          </w:pPr>
          <w:r>
            <w:rPr>
              <w:b/>
              <w:bCs/>
              <w:color w:val="000000"/>
              <w:lang w:eastAsia="lt-LT"/>
            </w:rPr>
            <w:t xml:space="preserve">ADMINISTRACINĖS NAŠTOS </w:t>
          </w:r>
          <w:r>
            <w:rPr>
              <w:b/>
              <w:lang w:eastAsia="lt-LT"/>
            </w:rPr>
            <w:t>ŪKIO SUBJEKTAMS</w:t>
          </w:r>
          <w:r>
            <w:rPr>
              <w:b/>
              <w:bCs/>
              <w:color w:val="000000"/>
              <w:lang w:eastAsia="lt-LT"/>
            </w:rPr>
            <w:t xml:space="preserve"> APSKAIČIAVIMO ATASKAITA</w:t>
          </w:r>
        </w:p>
        <w:p>
          <w:pPr>
            <w:spacing w:line="360" w:lineRule="atLeast"/>
            <w:jc w:val="center"/>
            <w:rPr>
              <w:lang w:eastAsia="lt-LT"/>
            </w:rPr>
          </w:pPr>
          <w:r>
            <w:rPr>
              <w:lang w:eastAsia="lt-LT"/>
            </w:rPr>
            <w:t xml:space="preserve">2022 m.  kovo 21 d.</w:t>
          </w:r>
          <w:r>
            <w:rPr>
              <w:b/>
              <w:bCs/>
              <w:lang w:eastAsia="lt-LT"/>
            </w:rPr>
            <w:t xml:space="preserve"> </w:t>
          </w:r>
          <w:r>
            <w:rPr>
              <w:lang w:eastAsia="lt-LT"/>
            </w:rPr>
            <w:t>Nr.1</w:t>
          </w:r>
        </w:p>
        <w:p>
          <w:pPr>
            <w:ind w:left="5865"/>
            <w:rPr>
              <w:lang w:eastAsia="lt-LT"/>
            </w:rPr>
          </w:pPr>
        </w:p>
        <w:tbl>
          <w:tblPr>
            <w:tblW w:w="158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6"/>
            <w:gridCol w:w="1698"/>
            <w:gridCol w:w="2586"/>
            <w:gridCol w:w="1388"/>
            <w:gridCol w:w="992"/>
            <w:gridCol w:w="596"/>
            <w:gridCol w:w="567"/>
            <w:gridCol w:w="852"/>
            <w:gridCol w:w="849"/>
            <w:gridCol w:w="852"/>
            <w:gridCol w:w="1134"/>
            <w:gridCol w:w="992"/>
            <w:gridCol w:w="1134"/>
            <w:gridCol w:w="1667"/>
          </w:tblGrid>
          <w:tr>
            <w:trPr>
              <w:trHeight w:val="20"/>
            </w:trPr>
            <w:tc>
              <w:tcPr>
                <w:tcW w:w="2272" w:type="pct"/>
                <w:gridSpan w:val="5"/>
              </w:tcPr>
              <w:p>
                <w:pPr>
                  <w:jc w:val="both"/>
                  <w:rPr>
                    <w:rFonts w:ascii="Calibri" w:hAnsi="Calibri"/>
                    <w:sz w:val="20"/>
                    <w:lang w:eastAsia="lt-LT"/>
                  </w:rPr>
                </w:pPr>
                <w:r>
                  <w:rPr>
                    <w:rFonts w:ascii="TimesLT" w:hAnsi="TimesLT"/>
                    <w:sz w:val="20"/>
                    <w:lang w:eastAsia="lt-LT"/>
                  </w:rPr>
                  <w:t xml:space="preserve">Lietuvos Respublikos Geriamojo vandens tiekimo ir nuotekų tvarkymo įstatymo Nr. X-764 pakeitimo įstatymas (toliau – </w:t>
                </w:r>
                <w:r>
                  <w:rPr>
                    <w:sz w:val="20"/>
                    <w:lang w:eastAsia="lt-LT"/>
                  </w:rPr>
                  <w:t>Projektas)</w:t>
                </w:r>
              </w:p>
            </w:tc>
            <w:tc>
              <w:tcPr>
                <w:tcW w:w="367" w:type="pct"/>
                <w:gridSpan w:val="2"/>
              </w:tcPr>
              <w:p>
                <w:pPr>
                  <w:jc w:val="center"/>
                  <w:rPr>
                    <w:sz w:val="20"/>
                    <w:lang w:eastAsia="lt-LT"/>
                  </w:rPr>
                </w:pPr>
                <w:r>
                  <w:rPr>
                    <w:sz w:val="20"/>
                    <w:lang w:eastAsia="lt-LT"/>
                  </w:rPr>
                  <w:t>Laikas (valandomis)</w:t>
                </w:r>
              </w:p>
            </w:tc>
            <w:tc>
              <w:tcPr>
                <w:tcW w:w="269" w:type="pct"/>
              </w:tcPr>
              <w:p>
                <w:pPr>
                  <w:jc w:val="center"/>
                  <w:rPr>
                    <w:sz w:val="20"/>
                    <w:lang w:eastAsia="lt-LT"/>
                  </w:rPr>
                </w:pPr>
                <w:r>
                  <w:rPr>
                    <w:sz w:val="20"/>
                    <w:lang w:eastAsia="lt-LT"/>
                  </w:rPr>
                  <w:t xml:space="preserve">Vidinis tarifas </w:t>
                </w:r>
              </w:p>
            </w:tc>
            <w:tc>
              <w:tcPr>
                <w:tcW w:w="268" w:type="pct"/>
              </w:tcPr>
              <w:p>
                <w:pPr>
                  <w:jc w:val="center"/>
                  <w:rPr>
                    <w:sz w:val="20"/>
                    <w:lang w:eastAsia="lt-LT"/>
                  </w:rPr>
                </w:pPr>
                <w:r>
                  <w:rPr>
                    <w:sz w:val="20"/>
                    <w:lang w:eastAsia="lt-LT"/>
                  </w:rPr>
                  <w:t>Pridėtinės išlaidos</w:t>
                </w:r>
              </w:p>
            </w:tc>
            <w:tc>
              <w:tcPr>
                <w:tcW w:w="269" w:type="pct"/>
              </w:tcPr>
              <w:p>
                <w:pPr>
                  <w:jc w:val="center"/>
                  <w:rPr>
                    <w:sz w:val="20"/>
                    <w:lang w:eastAsia="lt-LT"/>
                  </w:rPr>
                </w:pPr>
                <w:r>
                  <w:rPr>
                    <w:sz w:val="20"/>
                    <w:lang w:eastAsia="lt-LT"/>
                  </w:rPr>
                  <w:t xml:space="preserve">Išorinis tarifas </w:t>
                </w:r>
              </w:p>
            </w:tc>
            <w:tc>
              <w:tcPr>
                <w:tcW w:w="358" w:type="pct"/>
              </w:tcPr>
              <w:p>
                <w:pPr>
                  <w:jc w:val="center"/>
                  <w:rPr>
                    <w:sz w:val="20"/>
                    <w:lang w:eastAsia="lt-LT"/>
                  </w:rPr>
                </w:pPr>
                <w:r>
                  <w:rPr>
                    <w:sz w:val="20"/>
                    <w:lang w:eastAsia="lt-LT"/>
                  </w:rPr>
                  <w:t>Vykdymo veiksmo atlikimo dažnis per metus</w:t>
                </w:r>
              </w:p>
            </w:tc>
            <w:tc>
              <w:tcPr>
                <w:tcW w:w="313" w:type="pct"/>
              </w:tcPr>
              <w:p>
                <w:pPr>
                  <w:jc w:val="center"/>
                  <w:rPr>
                    <w:sz w:val="20"/>
                    <w:lang w:eastAsia="lt-LT"/>
                  </w:rPr>
                </w:pPr>
                <w:r>
                  <w:rPr>
                    <w:sz w:val="20"/>
                    <w:lang w:eastAsia="lt-LT"/>
                  </w:rPr>
                  <w:t xml:space="preserve">Ūkio subjektų skaičius </w:t>
                </w:r>
              </w:p>
            </w:tc>
            <w:tc>
              <w:tcPr>
                <w:tcW w:w="358" w:type="pct"/>
              </w:tcPr>
              <w:p>
                <w:pPr>
                  <w:jc w:val="center"/>
                  <w:rPr>
                    <w:sz w:val="20"/>
                    <w:lang w:eastAsia="lt-LT"/>
                  </w:rPr>
                </w:pPr>
                <w:r>
                  <w:rPr>
                    <w:spacing w:val="-4"/>
                    <w:sz w:val="20"/>
                    <w:lang w:eastAsia="lt-LT"/>
                  </w:rPr>
                  <w:t>Kiekio kintamasis</w:t>
                </w:r>
              </w:p>
            </w:tc>
            <w:tc>
              <w:tcPr>
                <w:tcW w:w="526" w:type="pct"/>
              </w:tcPr>
              <w:p>
                <w:pPr>
                  <w:jc w:val="center"/>
                  <w:rPr>
                    <w:sz w:val="20"/>
                    <w:lang w:eastAsia="lt-LT"/>
                  </w:rPr>
                </w:pPr>
                <w:r>
                  <w:rPr>
                    <w:sz w:val="20"/>
                    <w:lang w:eastAsia="lt-LT"/>
                  </w:rPr>
                  <w:t>Administracinė našta ūkio subjektams</w:t>
                </w:r>
              </w:p>
            </w:tc>
          </w:tr>
          <w:tr>
            <w:trPr>
              <w:trHeight w:val="20"/>
            </w:trPr>
            <w:tc>
              <w:tcPr>
                <w:tcW w:w="169" w:type="pct"/>
              </w:tcPr>
              <w:p>
                <w:pPr>
                  <w:jc w:val="both"/>
                  <w:rPr>
                    <w:sz w:val="20"/>
                    <w:lang w:eastAsia="lt-LT"/>
                  </w:rPr>
                </w:pPr>
                <w:r>
                  <w:rPr>
                    <w:sz w:val="20"/>
                    <w:lang w:eastAsia="lt-LT"/>
                  </w:rPr>
                  <w:t>Eil. Nr.</w:t>
                </w:r>
              </w:p>
            </w:tc>
            <w:tc>
              <w:tcPr>
                <w:tcW w:w="536" w:type="pct"/>
              </w:tcPr>
              <w:p>
                <w:pPr>
                  <w:rPr>
                    <w:sz w:val="20"/>
                    <w:lang w:eastAsia="lt-LT"/>
                  </w:rPr>
                </w:pPr>
                <w:r>
                  <w:rPr>
                    <w:sz w:val="20"/>
                    <w:lang w:eastAsia="lt-LT"/>
                  </w:rPr>
                  <w:t>Tiriamas straipsnis (-iai), punktas (-ai)</w:t>
                </w:r>
              </w:p>
            </w:tc>
            <w:tc>
              <w:tcPr>
                <w:tcW w:w="816" w:type="pct"/>
              </w:tcPr>
              <w:p>
                <w:pPr>
                  <w:jc w:val="both"/>
                  <w:rPr>
                    <w:sz w:val="20"/>
                    <w:lang w:eastAsia="lt-LT"/>
                  </w:rPr>
                </w:pPr>
                <w:r>
                  <w:rPr>
                    <w:sz w:val="20"/>
                    <w:lang w:eastAsia="lt-LT"/>
                  </w:rPr>
                  <w:t xml:space="preserve">Vykdymo veiksmas </w:t>
                </w:r>
              </w:p>
            </w:tc>
            <w:tc>
              <w:tcPr>
                <w:tcW w:w="438" w:type="pct"/>
              </w:tcPr>
              <w:p>
                <w:pPr>
                  <w:jc w:val="both"/>
                  <w:rPr>
                    <w:sz w:val="20"/>
                    <w:lang w:eastAsia="lt-LT"/>
                  </w:rPr>
                </w:pPr>
                <w:r>
                  <w:rPr>
                    <w:sz w:val="20"/>
                    <w:lang w:eastAsia="lt-LT"/>
                  </w:rPr>
                  <w:t>Tikslinė grupė</w:t>
                </w:r>
              </w:p>
            </w:tc>
            <w:tc>
              <w:tcPr>
                <w:tcW w:w="313" w:type="pct"/>
              </w:tcPr>
              <w:p>
                <w:pPr>
                  <w:jc w:val="both"/>
                  <w:rPr>
                    <w:sz w:val="20"/>
                    <w:lang w:eastAsia="lt-LT"/>
                  </w:rPr>
                </w:pPr>
                <w:r>
                  <w:rPr>
                    <w:sz w:val="20"/>
                    <w:lang w:eastAsia="lt-LT"/>
                  </w:rPr>
                  <w:t xml:space="preserve">Kilmė </w:t>
                </w:r>
              </w:p>
              <w:p>
                <w:pPr>
                  <w:jc w:val="both"/>
                  <w:rPr>
                    <w:sz w:val="20"/>
                    <w:lang w:eastAsia="lt-LT"/>
                  </w:rPr>
                </w:pPr>
              </w:p>
            </w:tc>
            <w:tc>
              <w:tcPr>
                <w:tcW w:w="188" w:type="pct"/>
              </w:tcPr>
              <w:p>
                <w:pPr>
                  <w:jc w:val="center"/>
                  <w:rPr>
                    <w:sz w:val="20"/>
                    <w:lang w:eastAsia="lt-LT"/>
                  </w:rPr>
                </w:pPr>
                <w:r>
                  <w:rPr>
                    <w:sz w:val="20"/>
                    <w:lang w:eastAsia="lt-LT"/>
                  </w:rPr>
                  <w:t>T</w:t>
                </w:r>
                <w:r>
                  <w:rPr>
                    <w:sz w:val="20"/>
                    <w:vertAlign w:val="subscript"/>
                    <w:lang w:eastAsia="lt-LT"/>
                  </w:rPr>
                  <w:t>v</w:t>
                </w:r>
              </w:p>
            </w:tc>
            <w:tc>
              <w:tcPr>
                <w:tcW w:w="179" w:type="pct"/>
              </w:tcPr>
              <w:p>
                <w:pPr>
                  <w:jc w:val="center"/>
                  <w:rPr>
                    <w:sz w:val="20"/>
                    <w:lang w:eastAsia="lt-LT"/>
                  </w:rPr>
                </w:pPr>
                <w:r>
                  <w:rPr>
                    <w:sz w:val="20"/>
                    <w:lang w:eastAsia="lt-LT"/>
                  </w:rPr>
                  <w:t>T</w:t>
                </w:r>
                <w:r>
                  <w:rPr>
                    <w:sz w:val="20"/>
                    <w:vertAlign w:val="subscript"/>
                    <w:lang w:eastAsia="lt-LT"/>
                  </w:rPr>
                  <w:t>i</w:t>
                </w:r>
              </w:p>
            </w:tc>
            <w:tc>
              <w:tcPr>
                <w:tcW w:w="269" w:type="pct"/>
              </w:tcPr>
              <w:p>
                <w:pPr>
                  <w:jc w:val="center"/>
                  <w:rPr>
                    <w:sz w:val="20"/>
                    <w:lang w:eastAsia="lt-LT"/>
                  </w:rPr>
                </w:pPr>
                <w:r>
                  <w:rPr>
                    <w:sz w:val="20"/>
                    <w:lang w:eastAsia="lt-LT"/>
                  </w:rPr>
                  <w:t>C</w:t>
                </w:r>
                <w:r>
                  <w:rPr>
                    <w:sz w:val="20"/>
                    <w:vertAlign w:val="subscript"/>
                    <w:lang w:eastAsia="lt-LT"/>
                  </w:rPr>
                  <w:t xml:space="preserve">v    </w:t>
                </w:r>
              </w:p>
            </w:tc>
            <w:tc>
              <w:tcPr>
                <w:tcW w:w="268" w:type="pct"/>
              </w:tcPr>
              <w:p>
                <w:pPr>
                  <w:jc w:val="center"/>
                  <w:rPr>
                    <w:sz w:val="20"/>
                    <w:lang w:eastAsia="lt-LT"/>
                  </w:rPr>
                </w:pPr>
                <w:r>
                  <w:rPr>
                    <w:sz w:val="20"/>
                    <w:lang w:eastAsia="lt-LT"/>
                  </w:rPr>
                  <w:t>P</w:t>
                </w:r>
              </w:p>
            </w:tc>
            <w:tc>
              <w:tcPr>
                <w:tcW w:w="269" w:type="pct"/>
              </w:tcPr>
              <w:p>
                <w:pPr>
                  <w:jc w:val="center"/>
                  <w:rPr>
                    <w:sz w:val="20"/>
                    <w:lang w:eastAsia="lt-LT"/>
                  </w:rPr>
                </w:pPr>
                <w:r>
                  <w:rPr>
                    <w:sz w:val="20"/>
                    <w:lang w:eastAsia="lt-LT"/>
                  </w:rPr>
                  <w:t>C</w:t>
                </w:r>
                <w:r>
                  <w:rPr>
                    <w:sz w:val="20"/>
                    <w:vertAlign w:val="subscript"/>
                    <w:lang w:eastAsia="lt-LT"/>
                  </w:rPr>
                  <w:t>i</w:t>
                </w:r>
              </w:p>
            </w:tc>
            <w:tc>
              <w:tcPr>
                <w:tcW w:w="358" w:type="pct"/>
              </w:tcPr>
              <w:p>
                <w:pPr>
                  <w:jc w:val="center"/>
                  <w:rPr>
                    <w:sz w:val="20"/>
                    <w:lang w:eastAsia="lt-LT"/>
                  </w:rPr>
                </w:pPr>
                <w:r>
                  <w:rPr>
                    <w:sz w:val="20"/>
                    <w:lang w:eastAsia="lt-LT"/>
                  </w:rPr>
                  <w:t>F</w:t>
                </w:r>
              </w:p>
            </w:tc>
            <w:tc>
              <w:tcPr>
                <w:tcW w:w="313" w:type="pct"/>
              </w:tcPr>
              <w:p>
                <w:pPr>
                  <w:jc w:val="center"/>
                  <w:rPr>
                    <w:sz w:val="20"/>
                    <w:lang w:eastAsia="lt-LT"/>
                  </w:rPr>
                </w:pPr>
                <w:r>
                  <w:rPr>
                    <w:sz w:val="20"/>
                    <w:lang w:eastAsia="lt-LT"/>
                  </w:rPr>
                  <w:t>L</w:t>
                </w:r>
              </w:p>
            </w:tc>
            <w:tc>
              <w:tcPr>
                <w:tcW w:w="358" w:type="pct"/>
              </w:tcPr>
              <w:p>
                <w:pPr>
                  <w:jc w:val="center"/>
                  <w:rPr>
                    <w:sz w:val="20"/>
                    <w:lang w:eastAsia="lt-LT"/>
                  </w:rPr>
                </w:pPr>
                <w:r>
                  <w:rPr>
                    <w:sz w:val="20"/>
                    <w:lang w:eastAsia="lt-LT"/>
                  </w:rPr>
                  <w:t>Q (F x L)</w:t>
                </w:r>
              </w:p>
            </w:tc>
            <w:tc>
              <w:tcPr>
                <w:tcW w:w="526" w:type="pct"/>
              </w:tcPr>
              <w:p>
                <w:pPr>
                  <w:rPr>
                    <w:sz w:val="20"/>
                    <w:lang w:eastAsia="lt-LT"/>
                  </w:rPr>
                </w:pPr>
                <w:r>
                  <w:rPr>
                    <w:sz w:val="20"/>
                    <w:lang w:eastAsia="lt-LT"/>
                  </w:rPr>
                  <w:t>AN</w:t>
                </w:r>
                <w:r>
                  <w:rPr>
                    <w:sz w:val="20"/>
                    <w:vertAlign w:val="subscript"/>
                    <w:lang w:eastAsia="lt-LT"/>
                  </w:rPr>
                  <w:t>vv</w:t>
                </w:r>
                <w:r>
                  <w:rPr>
                    <w:sz w:val="20"/>
                    <w:lang w:eastAsia="lt-LT"/>
                  </w:rPr>
                  <w:t xml:space="preserve"> = (C</w:t>
                </w:r>
                <w:r>
                  <w:rPr>
                    <w:sz w:val="20"/>
                    <w:vertAlign w:val="subscript"/>
                    <w:lang w:eastAsia="lt-LT"/>
                  </w:rPr>
                  <w:t>v</w:t>
                </w:r>
                <w:r>
                  <w:rPr>
                    <w:sz w:val="20"/>
                    <w:lang w:eastAsia="lt-LT"/>
                  </w:rPr>
                  <w:t xml:space="preserve"> x P x T</w:t>
                </w:r>
                <w:r>
                  <w:rPr>
                    <w:sz w:val="20"/>
                    <w:vertAlign w:val="subscript"/>
                    <w:lang w:eastAsia="lt-LT"/>
                  </w:rPr>
                  <w:t>v</w:t>
                </w:r>
                <w:r>
                  <w:rPr>
                    <w:sz w:val="20"/>
                    <w:lang w:eastAsia="lt-LT"/>
                  </w:rPr>
                  <w:t xml:space="preserve"> + </w:t>
                  <w:br/>
                  <w:t>+ C</w:t>
                </w:r>
                <w:r>
                  <w:rPr>
                    <w:sz w:val="20"/>
                    <w:vertAlign w:val="subscript"/>
                    <w:lang w:eastAsia="lt-LT"/>
                  </w:rPr>
                  <w:t>i</w:t>
                </w:r>
                <w:r>
                  <w:rPr>
                    <w:sz w:val="20"/>
                    <w:lang w:eastAsia="lt-LT"/>
                  </w:rPr>
                  <w:t xml:space="preserve"> x T</w:t>
                </w:r>
                <w:r>
                  <w:rPr>
                    <w:sz w:val="20"/>
                    <w:vertAlign w:val="subscript"/>
                    <w:lang w:eastAsia="lt-LT"/>
                  </w:rPr>
                  <w:t>i</w:t>
                </w:r>
                <w:r>
                  <w:rPr>
                    <w:sz w:val="20"/>
                    <w:lang w:eastAsia="lt-LT"/>
                  </w:rPr>
                  <w:t>) x Q</w:t>
                </w:r>
              </w:p>
            </w:tc>
          </w:tr>
          <w:tr>
            <w:trPr>
              <w:trHeight w:val="20"/>
            </w:trPr>
            <w:tc>
              <w:tcPr>
                <w:tcW w:w="5000" w:type="pct"/>
                <w:gridSpan w:val="14"/>
              </w:tcPr>
              <w:p>
                <w:pPr>
                  <w:ind w:left="720" w:hanging="360"/>
                  <w:rPr>
                    <w:sz w:val="20"/>
                    <w:lang w:eastAsia="lt-LT"/>
                  </w:rPr>
                </w:pPr>
                <w:r>
                  <w:rPr>
                    <w:sz w:val="20"/>
                    <w:lang w:eastAsia="lt-LT"/>
                  </w:rPr>
                  <w:t>1.</w:t>
                  <w:tab/>
                  <w:t>Lietuvos Respublikos geriamojo vandens tiekimo ir nuotekų tvarkymo įstatymas (toliau – Įstatymas)</w:t>
                </w:r>
              </w:p>
            </w:tc>
          </w:tr>
          <w:tr>
            <w:trPr>
              <w:trHeight w:val="20"/>
            </w:trPr>
            <w:tc>
              <w:tcPr>
                <w:tcW w:w="169" w:type="pct"/>
              </w:tcPr>
              <w:p>
                <w:pPr>
                  <w:jc w:val="both"/>
                  <w:rPr>
                    <w:sz w:val="20"/>
                    <w:lang w:eastAsia="lt-LT"/>
                  </w:rPr>
                </w:pPr>
                <w:r>
                  <w:rPr>
                    <w:sz w:val="20"/>
                    <w:lang w:eastAsia="lt-LT"/>
                  </w:rPr>
                  <w:t>1.1</w:t>
                </w:r>
              </w:p>
            </w:tc>
            <w:tc>
              <w:tcPr>
                <w:tcW w:w="53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Įstatymo 34 straipsnio 4 dalis</w:t>
                </w:r>
              </w:p>
            </w:tc>
            <w:tc>
              <w:tcPr>
                <w:tcW w:w="81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„Geriamojo vandens tiekėjai ir nuotekų tvarkytojai, &lt;...&gt; sąnaudas ir pajamas planuoja pagal patvirtintus geriamojo vandens tiekimo ir nuotekų tvarkymo infrastruktūros plėtros planus ir geriamojo vandens tiekėjų ir nuotekų tvarkytojų, paviršinių nuotekų tvarkytojų veiklos planus, parengtus pagal Geriamojo vandens tiekėjų ir nuotekų tvarkytojų veiklos planų rengimo taisykles. Geriamojo vandens tiekėjų ir nuotekų tvarkytojų, paviršinių nuotekų tvarkytojų veiklos planai rengiami ne trumpesniam kaip 3 metų laikotarpiui ir tvirtinami savivaldybės tarybos. &lt;...&gt;“</w:t>
                </w:r>
              </w:p>
            </w:tc>
            <w:tc>
              <w:tcPr>
                <w:tcW w:w="438" w:type="pct"/>
              </w:tcPr>
              <w:p>
                <w:pPr>
                  <w:ind w:right="-61"/>
                  <w:jc w:val="both"/>
                  <w:rPr>
                    <w:sz w:val="20"/>
                    <w:lang w:eastAsia="lt-LT"/>
                  </w:rPr>
                </w:pPr>
                <w:r>
                  <w:rPr>
                    <w:sz w:val="20"/>
                    <w:lang w:eastAsia="lt-LT"/>
                  </w:rPr>
                  <w:t>Savivaldybių tarybos</w:t>
                </w:r>
              </w:p>
            </w:tc>
            <w:tc>
              <w:tcPr>
                <w:tcW w:w="313" w:type="pct"/>
              </w:tcPr>
              <w:p>
                <w:pPr>
                  <w:jc w:val="both"/>
                  <w:rPr>
                    <w:sz w:val="20"/>
                    <w:lang w:eastAsia="lt-LT"/>
                  </w:rPr>
                </w:pPr>
                <w:r>
                  <w:rPr>
                    <w:sz w:val="20"/>
                    <w:lang w:eastAsia="lt-LT"/>
                  </w:rPr>
                  <w:t>LR teisės aktai</w:t>
                </w:r>
              </w:p>
            </w:tc>
            <w:tc>
              <w:tcPr>
                <w:tcW w:w="188" w:type="pct"/>
              </w:tcPr>
              <w:p>
                <w:pPr>
                  <w:jc w:val="center"/>
                  <w:rPr>
                    <w:sz w:val="20"/>
                    <w:lang w:eastAsia="lt-LT"/>
                  </w:rPr>
                </w:pPr>
                <w:r>
                  <w:rPr>
                    <w:sz w:val="20"/>
                    <w:lang w:eastAsia="lt-LT"/>
                  </w:rPr>
                  <w:t>1</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12,5</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1</w:t>
                </w:r>
              </w:p>
            </w:tc>
            <w:tc>
              <w:tcPr>
                <w:tcW w:w="313" w:type="pct"/>
              </w:tcPr>
              <w:p>
                <w:pPr>
                  <w:jc w:val="center"/>
                  <w:rPr>
                    <w:sz w:val="20"/>
                    <w:lang w:val="en-US" w:eastAsia="lt-LT"/>
                  </w:rPr>
                </w:pPr>
                <w:r>
                  <w:rPr>
                    <w:sz w:val="20"/>
                    <w:lang w:val="en-US" w:eastAsia="lt-LT"/>
                  </w:rPr>
                  <w:t>60</w:t>
                </w:r>
              </w:p>
            </w:tc>
            <w:tc>
              <w:tcPr>
                <w:tcW w:w="358" w:type="pct"/>
              </w:tcPr>
              <w:p>
                <w:pPr>
                  <w:jc w:val="center"/>
                  <w:rPr>
                    <w:sz w:val="20"/>
                    <w:lang w:eastAsia="lt-LT"/>
                  </w:rPr>
                </w:pPr>
                <w:r>
                  <w:rPr>
                    <w:sz w:val="20"/>
                    <w:lang w:eastAsia="lt-LT"/>
                  </w:rPr>
                  <w:t>60</w:t>
                </w:r>
              </w:p>
            </w:tc>
            <w:tc>
              <w:tcPr>
                <w:tcW w:w="526" w:type="pct"/>
              </w:tcPr>
              <w:p>
                <w:pPr>
                  <w:jc w:val="center"/>
                  <w:rPr>
                    <w:sz w:val="20"/>
                    <w:lang w:eastAsia="lt-LT"/>
                  </w:rPr>
                </w:pPr>
                <w:r>
                  <w:rPr>
                    <w:sz w:val="20"/>
                    <w:lang w:eastAsia="lt-LT"/>
                  </w:rPr>
                  <w:t>937,5</w:t>
                </w:r>
              </w:p>
            </w:tc>
          </w:tr>
          <w:tr>
            <w:trPr>
              <w:trHeight w:val="20"/>
            </w:trPr>
            <w:tc>
              <w:tcPr>
                <w:tcW w:w="169" w:type="pct"/>
              </w:tcPr>
              <w:p>
                <w:pPr>
                  <w:jc w:val="both"/>
                  <w:rPr>
                    <w:sz w:val="20"/>
                    <w:lang w:eastAsia="lt-LT"/>
                  </w:rPr>
                </w:pPr>
                <w:r>
                  <w:rPr>
                    <w:sz w:val="20"/>
                    <w:lang w:eastAsia="lt-LT"/>
                  </w:rPr>
                  <w:t>1.2</w:t>
                </w:r>
              </w:p>
            </w:tc>
            <w:tc>
              <w:tcPr>
                <w:tcW w:w="53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Įstatymo 34 straipsnio 13 dalis</w:t>
                </w:r>
              </w:p>
            </w:tc>
            <w:tc>
              <w:tcPr>
                <w:tcW w:w="81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„Geriamojo vandens tiekėjai ir nuotekų tvarkytojai, vadovaudamiesi Geriamojo vandens tiekimo ir nuotekų tvarkymo paslaugų kainų nustatymo metodika, parengia ir, suderinę su Valstybine kainų ir energetikos kontrolės komisija, teikia savivaldybių taryboms perskaičiuotų geriamojo vandens tiekimo ir nuotekų tvarkymo paslaugų bazinių kainų projektą &lt;...&gt;“.</w:t>
                </w:r>
              </w:p>
            </w:tc>
            <w:tc>
              <w:tcPr>
                <w:tcW w:w="438" w:type="pct"/>
              </w:tcPr>
              <w:p>
                <w:pPr>
                  <w:ind w:right="-61"/>
                  <w:jc w:val="both"/>
                  <w:rPr>
                    <w:sz w:val="20"/>
                    <w:lang w:eastAsia="lt-LT"/>
                  </w:rPr>
                </w:pPr>
                <w:r>
                  <w:rPr>
                    <w:sz w:val="20"/>
                    <w:lang w:eastAsia="lt-LT"/>
                  </w:rPr>
                  <w:t>Savivaldybių tarybos</w:t>
                </w:r>
              </w:p>
            </w:tc>
            <w:tc>
              <w:tcPr>
                <w:tcW w:w="313" w:type="pct"/>
              </w:tcPr>
              <w:p>
                <w:pPr>
                  <w:jc w:val="both"/>
                  <w:rPr>
                    <w:sz w:val="20"/>
                    <w:lang w:eastAsia="lt-LT"/>
                  </w:rPr>
                </w:pPr>
                <w:r>
                  <w:rPr>
                    <w:sz w:val="20"/>
                    <w:lang w:eastAsia="lt-LT"/>
                  </w:rPr>
                  <w:t>LR teisės aktai</w:t>
                </w:r>
              </w:p>
            </w:tc>
            <w:tc>
              <w:tcPr>
                <w:tcW w:w="188" w:type="pct"/>
              </w:tcPr>
              <w:p>
                <w:pPr>
                  <w:jc w:val="center"/>
                  <w:rPr>
                    <w:sz w:val="20"/>
                    <w:lang w:eastAsia="lt-LT"/>
                  </w:rPr>
                </w:pPr>
                <w:r>
                  <w:rPr>
                    <w:sz w:val="20"/>
                    <w:lang w:eastAsia="lt-LT"/>
                  </w:rPr>
                  <w:t>1</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12,5</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1</w:t>
                </w:r>
              </w:p>
            </w:tc>
            <w:tc>
              <w:tcPr>
                <w:tcW w:w="313" w:type="pct"/>
              </w:tcPr>
              <w:p>
                <w:pPr>
                  <w:jc w:val="center"/>
                  <w:rPr>
                    <w:sz w:val="20"/>
                    <w:lang w:val="en-US" w:eastAsia="lt-LT"/>
                  </w:rPr>
                </w:pPr>
                <w:r>
                  <w:rPr>
                    <w:sz w:val="20"/>
                    <w:lang w:val="en-US" w:eastAsia="lt-LT"/>
                  </w:rPr>
                  <w:t>60</w:t>
                </w:r>
              </w:p>
            </w:tc>
            <w:tc>
              <w:tcPr>
                <w:tcW w:w="358" w:type="pct"/>
              </w:tcPr>
              <w:p>
                <w:pPr>
                  <w:jc w:val="center"/>
                  <w:rPr>
                    <w:sz w:val="20"/>
                    <w:lang w:eastAsia="lt-LT"/>
                  </w:rPr>
                </w:pPr>
                <w:r>
                  <w:rPr>
                    <w:sz w:val="20"/>
                    <w:lang w:eastAsia="lt-LT"/>
                  </w:rPr>
                  <w:t>60</w:t>
                </w:r>
              </w:p>
            </w:tc>
            <w:tc>
              <w:tcPr>
                <w:tcW w:w="526" w:type="pct"/>
              </w:tcPr>
              <w:p>
                <w:pPr>
                  <w:jc w:val="center"/>
                  <w:rPr>
                    <w:sz w:val="20"/>
                    <w:lang w:eastAsia="lt-LT"/>
                  </w:rPr>
                </w:pPr>
                <w:r>
                  <w:rPr>
                    <w:sz w:val="20"/>
                    <w:lang w:eastAsia="lt-LT"/>
                  </w:rPr>
                  <w:t>937,5</w:t>
                </w:r>
              </w:p>
            </w:tc>
          </w:tr>
          <w:tr>
            <w:trPr>
              <w:trHeight w:val="20"/>
            </w:trPr>
            <w:tc>
              <w:tcPr>
                <w:tcW w:w="169" w:type="pct"/>
              </w:tcPr>
              <w:p>
                <w:pPr>
                  <w:jc w:val="both"/>
                  <w:rPr>
                    <w:sz w:val="20"/>
                    <w:lang w:eastAsia="lt-LT"/>
                  </w:rPr>
                </w:pPr>
              </w:p>
            </w:tc>
            <w:tc>
              <w:tcPr>
                <w:tcW w:w="53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val="en-US" w:eastAsia="lt-LT"/>
                  </w:rPr>
                </w:pPr>
                <w:r>
                  <w:rPr>
                    <w:sz w:val="20"/>
                    <w:lang w:eastAsia="lt-LT"/>
                  </w:rPr>
                  <w:t xml:space="preserve">Įstatymo </w:t>
                </w:r>
                <w:r>
                  <w:rPr>
                    <w:sz w:val="20"/>
                    <w:lang w:val="en-US" w:eastAsia="lt-LT"/>
                  </w:rPr>
                  <w:t>36 str.1 d.</w:t>
                </w:r>
              </w:p>
            </w:tc>
            <w:tc>
              <w:tcPr>
                <w:tcW w:w="81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Informacija apie geriamojo vandens tiekėją ir nuotekų tvarkytoją, paviršinių nuotekų tvarkytoją, tiekiamo geriamojo vandens ir teikiamų nuotekų tvarkymo paslaugų kokybę, paviršinių nuotekų tvarkymą, paslaugų teikimo sąlygas ir numatomus sutarčių sąlygų pakeitimus, sistemų eksploatavimą, modernizavimą, plėtrą, renovaciją, investicijas į sistemos plėtrą ir renovaciją, paslaugų kainas ir tarifus, jų struktūrą yra vieša, skelbiama savivaldybių, geriamojo vandens tiekėjų ir nuotekų tvarkytojų, paviršinių nuotekų tvarkytojų interneto svetainėse. Savivaldybių, geriamojo vandens tiekėjų ir nuotekų tvarkytojų, paviršinių nuotekų tvarkytojų interneto svetainėse skelbiama informacija atnaujinama esant pasikeitimams, bet ne rečiau kaip kartą per metus.“</w:t>
                </w:r>
              </w:p>
            </w:tc>
            <w:tc>
              <w:tcPr>
                <w:tcW w:w="438" w:type="pct"/>
              </w:tcPr>
              <w:p>
                <w:pPr>
                  <w:ind w:right="-61"/>
                  <w:jc w:val="both"/>
                  <w:rPr>
                    <w:sz w:val="20"/>
                    <w:lang w:eastAsia="lt-LT"/>
                  </w:rPr>
                </w:pPr>
                <w:r>
                  <w:rPr>
                    <w:sz w:val="20"/>
                    <w:lang w:eastAsia="lt-LT"/>
                  </w:rPr>
                  <w:t>Geriamojo vandens tiekėja ir nuotekų tvarkytojai,</w:t>
                </w:r>
              </w:p>
              <w:p>
                <w:pPr>
                  <w:ind w:right="-61"/>
                  <w:jc w:val="both"/>
                  <w:rPr>
                    <w:sz w:val="20"/>
                    <w:lang w:eastAsia="lt-LT"/>
                  </w:rPr>
                </w:pPr>
                <w:r>
                  <w:rPr>
                    <w:sz w:val="20"/>
                    <w:lang w:eastAsia="lt-LT"/>
                  </w:rPr>
                  <w:t>savivaldybės</w:t>
                </w:r>
              </w:p>
            </w:tc>
            <w:tc>
              <w:tcPr>
                <w:tcW w:w="313" w:type="pct"/>
              </w:tcPr>
              <w:p>
                <w:pPr>
                  <w:rPr>
                    <w:sz w:val="20"/>
                    <w:lang w:eastAsia="lt-LT"/>
                  </w:rPr>
                </w:pPr>
                <w:r>
                  <w:rPr>
                    <w:sz w:val="20"/>
                    <w:lang w:eastAsia="lt-LT"/>
                  </w:rPr>
                  <w:t>LR teisės aktai</w:t>
                </w:r>
              </w:p>
            </w:tc>
            <w:tc>
              <w:tcPr>
                <w:tcW w:w="188" w:type="pct"/>
              </w:tcPr>
              <w:p>
                <w:pPr>
                  <w:rPr>
                    <w:sz w:val="20"/>
                    <w:lang w:eastAsia="lt-LT"/>
                  </w:rPr>
                </w:pPr>
                <w:r>
                  <w:rPr>
                    <w:sz w:val="20"/>
                    <w:lang w:eastAsia="lt-LT"/>
                  </w:rPr>
                  <w:t>0,5</w:t>
                </w:r>
              </w:p>
            </w:tc>
            <w:tc>
              <w:tcPr>
                <w:tcW w:w="179" w:type="pct"/>
              </w:tcPr>
              <w:p>
                <w:pPr>
                  <w:rPr>
                    <w:sz w:val="20"/>
                    <w:lang w:eastAsia="lt-LT"/>
                  </w:rPr>
                </w:pPr>
                <w:r>
                  <w:rPr>
                    <w:sz w:val="20"/>
                    <w:lang w:eastAsia="lt-LT"/>
                  </w:rPr>
                  <w:t>-</w:t>
                </w:r>
              </w:p>
            </w:tc>
            <w:tc>
              <w:tcPr>
                <w:tcW w:w="269" w:type="pct"/>
              </w:tcPr>
              <w:p>
                <w:pPr>
                  <w:rPr>
                    <w:sz w:val="20"/>
                    <w:lang w:eastAsia="lt-LT"/>
                  </w:rPr>
                </w:pPr>
                <w:r>
                  <w:rPr>
                    <w:sz w:val="20"/>
                    <w:lang w:eastAsia="lt-LT"/>
                  </w:rPr>
                  <w:t>8,82</w:t>
                </w:r>
              </w:p>
            </w:tc>
            <w:tc>
              <w:tcPr>
                <w:tcW w:w="268" w:type="pct"/>
              </w:tcPr>
              <w:p>
                <w:pPr>
                  <w:rPr>
                    <w:sz w:val="20"/>
                    <w:lang w:eastAsia="lt-LT"/>
                  </w:rPr>
                </w:pPr>
                <w:r>
                  <w:rPr>
                    <w:sz w:val="20"/>
                    <w:lang w:eastAsia="lt-LT"/>
                  </w:rPr>
                  <w:t>1,25</w:t>
                </w:r>
              </w:p>
            </w:tc>
            <w:tc>
              <w:tcPr>
                <w:tcW w:w="269" w:type="pct"/>
              </w:tcPr>
              <w:p>
                <w:pPr>
                  <w:rPr>
                    <w:sz w:val="20"/>
                    <w:lang w:eastAsia="lt-LT"/>
                  </w:rPr>
                </w:pPr>
                <w:r>
                  <w:rPr>
                    <w:sz w:val="20"/>
                    <w:lang w:eastAsia="lt-LT"/>
                  </w:rPr>
                  <w:t>-</w:t>
                </w:r>
              </w:p>
            </w:tc>
            <w:tc>
              <w:tcPr>
                <w:tcW w:w="358" w:type="pct"/>
              </w:tcPr>
              <w:p>
                <w:pPr>
                  <w:rPr>
                    <w:sz w:val="20"/>
                    <w:lang w:eastAsia="lt-LT"/>
                  </w:rPr>
                </w:pPr>
                <w:r>
                  <w:rPr>
                    <w:sz w:val="20"/>
                    <w:lang w:eastAsia="lt-LT"/>
                  </w:rPr>
                  <w:t>1</w:t>
                </w:r>
              </w:p>
            </w:tc>
            <w:tc>
              <w:tcPr>
                <w:tcW w:w="313" w:type="pct"/>
              </w:tcPr>
              <w:p>
                <w:pPr>
                  <w:rPr>
                    <w:sz w:val="20"/>
                    <w:lang w:eastAsia="lt-LT"/>
                  </w:rPr>
                </w:pPr>
                <w:r>
                  <w:rPr>
                    <w:sz w:val="20"/>
                    <w:lang w:eastAsia="lt-LT"/>
                  </w:rPr>
                  <w:t>120</w:t>
                </w:r>
              </w:p>
            </w:tc>
            <w:tc>
              <w:tcPr>
                <w:tcW w:w="358" w:type="pct"/>
              </w:tcPr>
              <w:p>
                <w:pPr>
                  <w:rPr>
                    <w:sz w:val="20"/>
                    <w:lang w:eastAsia="lt-LT"/>
                  </w:rPr>
                </w:pPr>
                <w:r>
                  <w:rPr>
                    <w:sz w:val="20"/>
                    <w:lang w:eastAsia="lt-LT"/>
                  </w:rPr>
                  <w:t>120</w:t>
                </w:r>
              </w:p>
            </w:tc>
            <w:tc>
              <w:tcPr>
                <w:tcW w:w="526" w:type="pct"/>
              </w:tcPr>
              <w:p>
                <w:pPr>
                  <w:jc w:val="center"/>
                  <w:rPr>
                    <w:sz w:val="20"/>
                    <w:lang w:eastAsia="lt-LT"/>
                  </w:rPr>
                </w:pPr>
                <w:r>
                  <w:rPr>
                    <w:sz w:val="20"/>
                    <w:lang w:eastAsia="lt-LT"/>
                  </w:rPr>
                  <w:t>661,5</w:t>
                </w:r>
              </w:p>
            </w:tc>
          </w:tr>
          <w:tr>
            <w:trPr>
              <w:trHeight w:val="20"/>
            </w:trPr>
            <w:tc>
              <w:tcPr>
                <w:tcW w:w="169" w:type="pct"/>
              </w:tcPr>
              <w:p>
                <w:pPr>
                  <w:jc w:val="both"/>
                  <w:rPr>
                    <w:sz w:val="20"/>
                    <w:lang w:eastAsia="lt-LT"/>
                  </w:rPr>
                </w:pPr>
              </w:p>
            </w:tc>
            <w:tc>
              <w:tcPr>
                <w:tcW w:w="536" w:type="pct"/>
              </w:tcPr>
              <w:p>
                <w:pPr>
                  <w:rPr>
                    <w:sz w:val="20"/>
                    <w:lang w:eastAsia="lt-LT"/>
                  </w:rPr>
                </w:pPr>
              </w:p>
            </w:tc>
            <w:tc>
              <w:tcPr>
                <w:tcW w:w="81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p>
            </w:tc>
            <w:tc>
              <w:tcPr>
                <w:tcW w:w="438" w:type="pct"/>
              </w:tcPr>
              <w:p>
                <w:pPr>
                  <w:ind w:right="-61"/>
                  <w:jc w:val="both"/>
                  <w:rPr>
                    <w:sz w:val="20"/>
                    <w:lang w:eastAsia="lt-LT"/>
                  </w:rPr>
                </w:pPr>
              </w:p>
            </w:tc>
            <w:tc>
              <w:tcPr>
                <w:tcW w:w="313" w:type="pct"/>
              </w:tcPr>
              <w:p>
                <w:pPr>
                  <w:jc w:val="both"/>
                  <w:rPr>
                    <w:sz w:val="20"/>
                    <w:lang w:eastAsia="lt-LT"/>
                  </w:rPr>
                </w:pPr>
              </w:p>
            </w:tc>
            <w:tc>
              <w:tcPr>
                <w:tcW w:w="188" w:type="pct"/>
              </w:tcPr>
              <w:p>
                <w:pPr>
                  <w:rPr>
                    <w:sz w:val="20"/>
                    <w:lang w:eastAsia="lt-LT"/>
                  </w:rPr>
                </w:pPr>
              </w:p>
            </w:tc>
            <w:tc>
              <w:tcPr>
                <w:tcW w:w="179" w:type="pct"/>
              </w:tcPr>
              <w:p>
                <w:pPr>
                  <w:jc w:val="center"/>
                  <w:rPr>
                    <w:sz w:val="20"/>
                    <w:lang w:eastAsia="lt-LT"/>
                  </w:rPr>
                </w:pPr>
              </w:p>
            </w:tc>
            <w:tc>
              <w:tcPr>
                <w:tcW w:w="269" w:type="pct"/>
              </w:tcPr>
              <w:p>
                <w:pPr>
                  <w:jc w:val="center"/>
                  <w:rPr>
                    <w:sz w:val="20"/>
                    <w:lang w:eastAsia="lt-LT"/>
                  </w:rPr>
                </w:pPr>
              </w:p>
            </w:tc>
            <w:tc>
              <w:tcPr>
                <w:tcW w:w="268" w:type="pct"/>
              </w:tcPr>
              <w:p>
                <w:pPr>
                  <w:jc w:val="center"/>
                  <w:rPr>
                    <w:sz w:val="20"/>
                    <w:lang w:eastAsia="lt-LT"/>
                  </w:rPr>
                </w:pPr>
              </w:p>
            </w:tc>
            <w:tc>
              <w:tcPr>
                <w:tcW w:w="269" w:type="pct"/>
              </w:tcPr>
              <w:p>
                <w:pPr>
                  <w:jc w:val="center"/>
                  <w:rPr>
                    <w:sz w:val="20"/>
                    <w:lang w:eastAsia="lt-LT"/>
                  </w:rPr>
                </w:pPr>
              </w:p>
            </w:tc>
            <w:tc>
              <w:tcPr>
                <w:tcW w:w="358" w:type="pct"/>
              </w:tcPr>
              <w:p>
                <w:pPr>
                  <w:jc w:val="center"/>
                  <w:rPr>
                    <w:sz w:val="20"/>
                    <w:lang w:eastAsia="lt-LT"/>
                  </w:rPr>
                </w:pPr>
              </w:p>
            </w:tc>
            <w:tc>
              <w:tcPr>
                <w:tcW w:w="313" w:type="pct"/>
              </w:tcPr>
              <w:p>
                <w:pPr>
                  <w:jc w:val="center"/>
                  <w:rPr>
                    <w:sz w:val="20"/>
                    <w:lang w:eastAsia="lt-LT"/>
                  </w:rPr>
                </w:pPr>
              </w:p>
            </w:tc>
            <w:tc>
              <w:tcPr>
                <w:tcW w:w="358" w:type="pct"/>
              </w:tcPr>
              <w:p>
                <w:pPr>
                  <w:jc w:val="center"/>
                  <w:rPr>
                    <w:sz w:val="20"/>
                    <w:lang w:eastAsia="lt-LT"/>
                  </w:rPr>
                </w:pPr>
              </w:p>
            </w:tc>
            <w:tc>
              <w:tcPr>
                <w:tcW w:w="526" w:type="pct"/>
                <w:vAlign w:val="center"/>
              </w:tcPr>
              <w:p>
                <w:pPr>
                  <w:jc w:val="both"/>
                  <w:rPr>
                    <w:sz w:val="20"/>
                    <w:lang w:eastAsia="lt-LT"/>
                  </w:rPr>
                </w:pPr>
                <w:r>
                  <w:rPr>
                    <w:sz w:val="20"/>
                    <w:lang w:eastAsia="lt-LT"/>
                  </w:rPr>
                  <w:t>ANiį= ΣANvv =2536,5</w:t>
                </w:r>
              </w:p>
            </w:tc>
          </w:tr>
          <w:tr>
            <w:trPr>
              <w:trHeight w:val="20"/>
            </w:trPr>
            <w:tc>
              <w:tcPr>
                <w:tcW w:w="169" w:type="pct"/>
              </w:tcPr>
              <w:p>
                <w:pPr>
                  <w:jc w:val="both"/>
                  <w:rPr>
                    <w:sz w:val="20"/>
                    <w:lang w:eastAsia="lt-LT"/>
                  </w:rPr>
                </w:pPr>
              </w:p>
            </w:tc>
            <w:tc>
              <w:tcPr>
                <w:tcW w:w="536" w:type="pct"/>
              </w:tcPr>
              <w:p>
                <w:pPr>
                  <w:rPr>
                    <w:sz w:val="20"/>
                    <w:lang w:eastAsia="lt-LT"/>
                  </w:rPr>
                </w:pPr>
              </w:p>
            </w:tc>
            <w:tc>
              <w:tcPr>
                <w:tcW w:w="816" w:type="pct"/>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p>
            </w:tc>
            <w:tc>
              <w:tcPr>
                <w:tcW w:w="438" w:type="pct"/>
              </w:tcPr>
              <w:p>
                <w:pPr>
                  <w:ind w:right="-61"/>
                  <w:jc w:val="both"/>
                  <w:rPr>
                    <w:sz w:val="20"/>
                    <w:lang w:eastAsia="lt-LT"/>
                  </w:rPr>
                </w:pPr>
              </w:p>
            </w:tc>
            <w:tc>
              <w:tcPr>
                <w:tcW w:w="313" w:type="pct"/>
              </w:tcPr>
              <w:p>
                <w:pPr>
                  <w:jc w:val="both"/>
                  <w:rPr>
                    <w:sz w:val="20"/>
                    <w:lang w:eastAsia="lt-LT"/>
                  </w:rPr>
                </w:pPr>
              </w:p>
            </w:tc>
            <w:tc>
              <w:tcPr>
                <w:tcW w:w="188" w:type="pct"/>
              </w:tcPr>
              <w:p>
                <w:pPr>
                  <w:rPr>
                    <w:sz w:val="20"/>
                    <w:lang w:eastAsia="lt-LT"/>
                  </w:rPr>
                </w:pPr>
              </w:p>
            </w:tc>
            <w:tc>
              <w:tcPr>
                <w:tcW w:w="179" w:type="pct"/>
              </w:tcPr>
              <w:p>
                <w:pPr>
                  <w:jc w:val="center"/>
                  <w:rPr>
                    <w:sz w:val="20"/>
                    <w:lang w:eastAsia="lt-LT"/>
                  </w:rPr>
                </w:pPr>
              </w:p>
            </w:tc>
            <w:tc>
              <w:tcPr>
                <w:tcW w:w="269" w:type="pct"/>
              </w:tcPr>
              <w:p>
                <w:pPr>
                  <w:jc w:val="center"/>
                  <w:rPr>
                    <w:sz w:val="20"/>
                    <w:lang w:eastAsia="lt-LT"/>
                  </w:rPr>
                </w:pPr>
              </w:p>
            </w:tc>
            <w:tc>
              <w:tcPr>
                <w:tcW w:w="268" w:type="pct"/>
              </w:tcPr>
              <w:p>
                <w:pPr>
                  <w:jc w:val="center"/>
                  <w:rPr>
                    <w:sz w:val="20"/>
                    <w:lang w:eastAsia="lt-LT"/>
                  </w:rPr>
                </w:pPr>
              </w:p>
            </w:tc>
            <w:tc>
              <w:tcPr>
                <w:tcW w:w="269" w:type="pct"/>
              </w:tcPr>
              <w:p>
                <w:pPr>
                  <w:jc w:val="center"/>
                  <w:rPr>
                    <w:sz w:val="20"/>
                    <w:lang w:eastAsia="lt-LT"/>
                  </w:rPr>
                </w:pPr>
              </w:p>
            </w:tc>
            <w:tc>
              <w:tcPr>
                <w:tcW w:w="358" w:type="pct"/>
              </w:tcPr>
              <w:p>
                <w:pPr>
                  <w:jc w:val="center"/>
                  <w:rPr>
                    <w:sz w:val="20"/>
                    <w:lang w:eastAsia="lt-LT"/>
                  </w:rPr>
                </w:pPr>
              </w:p>
            </w:tc>
            <w:tc>
              <w:tcPr>
                <w:tcW w:w="313" w:type="pct"/>
              </w:tcPr>
              <w:p>
                <w:pPr>
                  <w:jc w:val="center"/>
                  <w:rPr>
                    <w:sz w:val="20"/>
                    <w:lang w:eastAsia="lt-LT"/>
                  </w:rPr>
                </w:pPr>
              </w:p>
            </w:tc>
            <w:tc>
              <w:tcPr>
                <w:tcW w:w="358" w:type="pct"/>
              </w:tcPr>
              <w:p>
                <w:pPr>
                  <w:jc w:val="center"/>
                  <w:rPr>
                    <w:sz w:val="20"/>
                    <w:lang w:eastAsia="lt-LT"/>
                  </w:rPr>
                </w:pPr>
              </w:p>
            </w:tc>
            <w:tc>
              <w:tcPr>
                <w:tcW w:w="526" w:type="pct"/>
                <w:vAlign w:val="center"/>
              </w:tcPr>
              <w:p>
                <w:pPr>
                  <w:jc w:val="both"/>
                  <w:rPr>
                    <w:color w:val="000000"/>
                    <w:sz w:val="20"/>
                    <w:lang w:eastAsia="lt-LT"/>
                  </w:rPr>
                </w:pPr>
                <w:r>
                  <w:rPr>
                    <w:sz w:val="20"/>
                    <w:lang w:eastAsia="lt-LT"/>
                  </w:rPr>
                  <w:t>AN</w:t>
                </w:r>
                <w:r>
                  <w:rPr>
                    <w:sz w:val="20"/>
                    <w:vertAlign w:val="subscript"/>
                    <w:lang w:eastAsia="lt-LT"/>
                  </w:rPr>
                  <w:t>ta</w:t>
                </w:r>
                <w:r>
                  <w:rPr>
                    <w:sz w:val="20"/>
                    <w:vertAlign w:val="superscript"/>
                    <w:lang w:eastAsia="lt-LT"/>
                  </w:rPr>
                  <w:t>G</w:t>
                </w:r>
                <w:r>
                  <w:rPr>
                    <w:color w:val="000000"/>
                    <w:sz w:val="20"/>
                    <w:lang w:eastAsia="lt-LT"/>
                  </w:rPr>
                  <w:t>= Σ AN</w:t>
                </w:r>
                <w:r>
                  <w:rPr>
                    <w:color w:val="000000"/>
                    <w:sz w:val="20"/>
                    <w:vertAlign w:val="subscript"/>
                    <w:lang w:eastAsia="lt-LT"/>
                  </w:rPr>
                  <w:t>iį</w:t>
                </w:r>
                <w:r>
                  <w:rPr>
                    <w:sz w:val="20"/>
                    <w:lang w:eastAsia="lt-LT"/>
                  </w:rPr>
                  <w:t xml:space="preserve">=2536,5 </w:t>
                </w:r>
              </w:p>
            </w:tc>
          </w:tr>
          <w:tr>
            <w:trPr>
              <w:trHeight w:val="20"/>
            </w:trPr>
            <w:tc>
              <w:tcPr>
                <w:tcW w:w="5000" w:type="pct"/>
                <w:gridSpan w:val="14"/>
              </w:tcPr>
              <w:p>
                <w:pPr>
                  <w:ind w:left="720" w:hanging="360"/>
                  <w:rPr>
                    <w:sz w:val="20"/>
                    <w:lang w:eastAsia="lt-LT"/>
                  </w:rPr>
                </w:pPr>
                <w:r>
                  <w:rPr>
                    <w:sz w:val="20"/>
                    <w:lang w:eastAsia="lt-LT"/>
                  </w:rPr>
                  <w:t>2.</w:t>
                  <w:tab/>
                  <w:t>Projektas</w:t>
                </w:r>
              </w:p>
            </w:tc>
          </w:tr>
          <w:tr>
            <w:trPr>
              <w:trHeight w:val="20"/>
            </w:trPr>
            <w:tc>
              <w:tcPr>
                <w:tcW w:w="169" w:type="pct"/>
              </w:tcPr>
              <w:p>
                <w:pPr>
                  <w:jc w:val="both"/>
                  <w:rPr>
                    <w:sz w:val="20"/>
                    <w:lang w:eastAsia="lt-LT"/>
                  </w:rPr>
                </w:pPr>
                <w:r>
                  <w:rPr>
                    <w:sz w:val="20"/>
                    <w:lang w:eastAsia="lt-LT"/>
                  </w:rPr>
                  <w:t>2.1.</w:t>
                </w:r>
              </w:p>
            </w:tc>
            <w:tc>
              <w:tcPr>
                <w:tcW w:w="536" w:type="pct"/>
              </w:tcPr>
              <w:p>
                <w:pPr>
                  <w:rPr>
                    <w:sz w:val="20"/>
                    <w:lang w:eastAsia="lt-LT"/>
                  </w:rPr>
                </w:pPr>
                <w:r>
                  <w:rPr>
                    <w:sz w:val="20"/>
                    <w:lang w:eastAsia="lt-LT"/>
                  </w:rPr>
                  <w:t>Projekto 20 str. 2 d. 18 p.</w:t>
                </w:r>
              </w:p>
            </w:tc>
            <w:tc>
              <w:tcPr>
                <w:tcW w:w="816" w:type="pct"/>
              </w:tcPr>
              <w:p>
                <w:pPr>
                  <w:rPr>
                    <w:sz w:val="20"/>
                    <w:lang w:eastAsia="lt-LT"/>
                  </w:rPr>
                </w:pPr>
                <w:r>
                  <w:rPr>
                    <w:sz w:val="20"/>
                    <w:lang w:eastAsia="lt-LT"/>
                  </w:rPr>
                  <w:t>savo interneto svetainėje pateikti rekomendacijas, kaip sumažinti geriamojo vandens suvartojimą ir išvengti stovinčio geriamojo vandens keliamos rizikos sveikatai;</w:t>
                </w:r>
              </w:p>
            </w:tc>
            <w:tc>
              <w:tcPr>
                <w:tcW w:w="438" w:type="pct"/>
              </w:tcPr>
              <w:p>
                <w:pPr>
                  <w:ind w:right="-61"/>
                  <w:jc w:val="both"/>
                  <w:rPr>
                    <w:sz w:val="20"/>
                    <w:lang w:eastAsia="lt-LT"/>
                  </w:rPr>
                </w:pPr>
                <w:r>
                  <w:rPr>
                    <w:sz w:val="20"/>
                    <w:lang w:eastAsia="lt-LT"/>
                  </w:rPr>
                  <w:t>Geriamojo vandens tiekėjai ir nuotekų tvarkytojai</w:t>
                </w:r>
              </w:p>
            </w:tc>
            <w:tc>
              <w:tcPr>
                <w:tcW w:w="313" w:type="pct"/>
              </w:tcPr>
              <w:p>
                <w:pPr>
                  <w:jc w:val="both"/>
                  <w:rPr>
                    <w:sz w:val="16"/>
                    <w:szCs w:val="16"/>
                    <w:lang w:eastAsia="lt-LT"/>
                  </w:rPr>
                </w:pPr>
                <w:r>
                  <w:rPr>
                    <w:sz w:val="16"/>
                    <w:szCs w:val="16"/>
                    <w:lang w:eastAsia="lt-LT"/>
                  </w:rPr>
                  <w:t xml:space="preserve">Tarptautinė teisė </w:t>
                </w:r>
              </w:p>
            </w:tc>
            <w:tc>
              <w:tcPr>
                <w:tcW w:w="188" w:type="pct"/>
              </w:tcPr>
              <w:p>
                <w:pPr>
                  <w:jc w:val="center"/>
                  <w:rPr>
                    <w:sz w:val="20"/>
                    <w:lang w:eastAsia="lt-LT"/>
                  </w:rPr>
                </w:pPr>
                <w:r>
                  <w:rPr>
                    <w:sz w:val="20"/>
                    <w:lang w:eastAsia="lt-LT"/>
                  </w:rPr>
                  <w:t>0,5</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6,09</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0,33</w:t>
                </w:r>
              </w:p>
            </w:tc>
            <w:tc>
              <w:tcPr>
                <w:tcW w:w="313" w:type="pct"/>
              </w:tcPr>
              <w:p>
                <w:pPr>
                  <w:jc w:val="center"/>
                  <w:rPr>
                    <w:sz w:val="20"/>
                    <w:lang w:eastAsia="lt-LT"/>
                  </w:rPr>
                </w:pPr>
                <w:r>
                  <w:rPr>
                    <w:sz w:val="20"/>
                    <w:lang w:eastAsia="lt-LT"/>
                  </w:rPr>
                  <w:t>75</w:t>
                </w:r>
                <w:r>
                  <w:rPr>
                    <w:color w:val="000000"/>
                    <w:sz w:val="20"/>
                    <w:lang w:eastAsia="lt-LT"/>
                  </w:rPr>
                  <w:t>*</w:t>
                </w:r>
              </w:p>
            </w:tc>
            <w:tc>
              <w:tcPr>
                <w:tcW w:w="358" w:type="pct"/>
              </w:tcPr>
              <w:p>
                <w:pPr>
                  <w:jc w:val="center"/>
                  <w:rPr>
                    <w:sz w:val="20"/>
                    <w:lang w:eastAsia="lt-LT"/>
                  </w:rPr>
                </w:pPr>
                <w:r>
                  <w:rPr>
                    <w:sz w:val="20"/>
                    <w:lang w:eastAsia="lt-LT"/>
                  </w:rPr>
                  <w:t>24,75</w:t>
                </w:r>
              </w:p>
            </w:tc>
            <w:tc>
              <w:tcPr>
                <w:tcW w:w="526" w:type="pct"/>
              </w:tcPr>
              <w:p>
                <w:pPr>
                  <w:jc w:val="center"/>
                  <w:rPr>
                    <w:sz w:val="20"/>
                    <w:lang w:eastAsia="lt-LT"/>
                  </w:rPr>
                </w:pPr>
                <w:r>
                  <w:rPr>
                    <w:sz w:val="20"/>
                    <w:lang w:eastAsia="lt-LT"/>
                  </w:rPr>
                  <w:t>94,20</w:t>
                </w:r>
              </w:p>
            </w:tc>
          </w:tr>
          <w:tr>
            <w:trPr>
              <w:trHeight w:val="20"/>
            </w:trPr>
            <w:tc>
              <w:tcPr>
                <w:tcW w:w="169" w:type="pct"/>
              </w:tcPr>
              <w:p>
                <w:pPr>
                  <w:jc w:val="both"/>
                  <w:rPr>
                    <w:sz w:val="20"/>
                    <w:lang w:eastAsia="lt-LT"/>
                  </w:rPr>
                </w:pPr>
                <w:r>
                  <w:rPr>
                    <w:sz w:val="20"/>
                    <w:lang w:eastAsia="lt-LT"/>
                  </w:rPr>
                  <w:t>2.2.</w:t>
                </w:r>
              </w:p>
            </w:tc>
            <w:tc>
              <w:tcPr>
                <w:tcW w:w="536" w:type="pct"/>
              </w:tcPr>
              <w:p>
                <w:pPr>
                  <w:rPr>
                    <w:sz w:val="20"/>
                    <w:lang w:eastAsia="lt-LT"/>
                  </w:rPr>
                </w:pPr>
                <w:r>
                  <w:rPr>
                    <w:sz w:val="20"/>
                    <w:lang w:eastAsia="lt-LT"/>
                  </w:rPr>
                  <w:t>Projekto 20 str. 2 d. 18 p.</w:t>
                </w:r>
              </w:p>
            </w:tc>
            <w:tc>
              <w:tcPr>
                <w:tcW w:w="816" w:type="pct"/>
              </w:tcPr>
              <w:p>
                <w:pPr>
                  <w:rPr>
                    <w:sz w:val="20"/>
                    <w:lang w:eastAsia="lt-LT"/>
                  </w:rPr>
                </w:pPr>
                <w:r>
                  <w:rPr>
                    <w:sz w:val="20"/>
                    <w:lang w:eastAsia="lt-LT"/>
                  </w:rPr>
                  <w:t>„viešai skelbti gyventojams informaciją, kokių veiksmų reikia imtis, kai paaiškėja, kad geriamąjį vandenį galimai nesaugu naudoti &lt;...&gt;“;</w:t>
                </w:r>
              </w:p>
            </w:tc>
            <w:tc>
              <w:tcPr>
                <w:tcW w:w="438" w:type="pct"/>
              </w:tcPr>
              <w:p>
                <w:pPr>
                  <w:ind w:right="-61"/>
                  <w:jc w:val="both"/>
                  <w:rPr>
                    <w:sz w:val="20"/>
                    <w:lang w:eastAsia="lt-LT"/>
                  </w:rPr>
                </w:pPr>
                <w:r>
                  <w:rPr>
                    <w:sz w:val="20"/>
                    <w:lang w:eastAsia="lt-LT"/>
                  </w:rPr>
                  <w:t>Geriamojo vandens tiekėjai ir nuotekų tvarkytojai</w:t>
                </w:r>
              </w:p>
            </w:tc>
            <w:tc>
              <w:tcPr>
                <w:tcW w:w="313" w:type="pct"/>
              </w:tcPr>
              <w:p>
                <w:pPr>
                  <w:jc w:val="both"/>
                  <w:rPr>
                    <w:sz w:val="16"/>
                    <w:szCs w:val="16"/>
                    <w:lang w:eastAsia="lt-LT"/>
                  </w:rPr>
                </w:pPr>
                <w:r>
                  <w:rPr>
                    <w:sz w:val="16"/>
                    <w:szCs w:val="16"/>
                    <w:lang w:eastAsia="lt-LT"/>
                  </w:rPr>
                  <w:t>Tarptautinė teisė</w:t>
                </w:r>
              </w:p>
            </w:tc>
            <w:tc>
              <w:tcPr>
                <w:tcW w:w="188" w:type="pct"/>
              </w:tcPr>
              <w:p>
                <w:pPr>
                  <w:jc w:val="center"/>
                  <w:rPr>
                    <w:sz w:val="20"/>
                    <w:lang w:eastAsia="lt-LT"/>
                  </w:rPr>
                </w:pPr>
                <w:r>
                  <w:rPr>
                    <w:sz w:val="20"/>
                    <w:lang w:eastAsia="lt-LT"/>
                  </w:rPr>
                  <w:t>0,25</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6,09</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0,33</w:t>
                </w:r>
              </w:p>
            </w:tc>
            <w:tc>
              <w:tcPr>
                <w:tcW w:w="313" w:type="pct"/>
              </w:tcPr>
              <w:p>
                <w:pPr>
                  <w:jc w:val="center"/>
                  <w:rPr>
                    <w:sz w:val="20"/>
                    <w:lang w:eastAsia="lt-LT"/>
                  </w:rPr>
                </w:pPr>
                <w:r>
                  <w:rPr>
                    <w:sz w:val="20"/>
                    <w:lang w:eastAsia="lt-LT"/>
                  </w:rPr>
                  <w:t>75*</w:t>
                </w:r>
              </w:p>
            </w:tc>
            <w:tc>
              <w:tcPr>
                <w:tcW w:w="358" w:type="pct"/>
              </w:tcPr>
              <w:p>
                <w:pPr>
                  <w:jc w:val="center"/>
                  <w:rPr>
                    <w:sz w:val="20"/>
                    <w:lang w:eastAsia="lt-LT"/>
                  </w:rPr>
                </w:pPr>
                <w:r>
                  <w:rPr>
                    <w:sz w:val="20"/>
                    <w:lang w:eastAsia="lt-LT"/>
                  </w:rPr>
                  <w:t>24,75</w:t>
                </w:r>
              </w:p>
            </w:tc>
            <w:tc>
              <w:tcPr>
                <w:tcW w:w="526" w:type="pct"/>
              </w:tcPr>
              <w:p>
                <w:pPr>
                  <w:jc w:val="center"/>
                  <w:rPr>
                    <w:sz w:val="20"/>
                    <w:lang w:eastAsia="lt-LT"/>
                  </w:rPr>
                </w:pPr>
                <w:r>
                  <w:rPr>
                    <w:sz w:val="20"/>
                    <w:lang w:eastAsia="lt-LT"/>
                  </w:rPr>
                  <w:t>47,10</w:t>
                </w:r>
              </w:p>
            </w:tc>
          </w:tr>
          <w:tr>
            <w:trPr>
              <w:trHeight w:val="20"/>
            </w:trPr>
            <w:tc>
              <w:tcPr>
                <w:tcW w:w="169" w:type="pct"/>
              </w:tcPr>
              <w:p>
                <w:pPr>
                  <w:jc w:val="both"/>
                  <w:rPr>
                    <w:sz w:val="20"/>
                    <w:lang w:eastAsia="lt-LT"/>
                  </w:rPr>
                </w:pPr>
                <w:r>
                  <w:rPr>
                    <w:sz w:val="20"/>
                    <w:lang w:eastAsia="lt-LT"/>
                  </w:rPr>
                  <w:t>2.3.</w:t>
                </w:r>
              </w:p>
            </w:tc>
            <w:tc>
              <w:tcPr>
                <w:tcW w:w="536" w:type="pct"/>
              </w:tcPr>
              <w:p>
                <w:pPr>
                  <w:rPr>
                    <w:sz w:val="20"/>
                    <w:lang w:eastAsia="lt-LT"/>
                  </w:rPr>
                </w:pPr>
                <w:r>
                  <w:rPr>
                    <w:sz w:val="20"/>
                    <w:lang w:eastAsia="lt-LT"/>
                  </w:rPr>
                  <w:t xml:space="preserve">Projekto 21 str. 1 d. </w:t>
                </w:r>
              </w:p>
            </w:tc>
            <w:tc>
              <w:tcPr>
                <w:tcW w:w="816" w:type="pct"/>
              </w:tcPr>
              <w:p>
                <w:pPr>
                  <w:rPr>
                    <w:sz w:val="20"/>
                    <w:lang w:eastAsia="lt-LT"/>
                  </w:rPr>
                </w:pPr>
                <w:r>
                  <w:rPr>
                    <w:sz w:val="20"/>
                    <w:lang w:eastAsia="lt-LT"/>
                  </w:rPr>
                  <w:t xml:space="preserve">„Nuotekų transportavimo paslaugas gali teikti geriamojo vandens tiekėjai ir nuotekų tvarkytojai ir kiti asmenys, kurie turi nuosavybės teise ar teisėtai valdo nuotekoms transportuoti reikalingus įrenginius ir transportą ir  šią veiklą įregistravę Nuotekų tvarkymo informacinėje sistemoje aplinkos ministro nustatyta tvarka.“</w:t>
                </w:r>
              </w:p>
            </w:tc>
            <w:tc>
              <w:tcPr>
                <w:tcW w:w="438" w:type="pct"/>
              </w:tcPr>
              <w:p>
                <w:pPr>
                  <w:ind w:right="-61"/>
                  <w:jc w:val="both"/>
                  <w:rPr>
                    <w:sz w:val="20"/>
                    <w:lang w:eastAsia="lt-LT"/>
                  </w:rPr>
                </w:pPr>
                <w:r>
                  <w:rPr>
                    <w:sz w:val="20"/>
                    <w:lang w:eastAsia="lt-LT"/>
                  </w:rPr>
                  <w:t>Asmenys, teikiantys nuotekų transportavimo</w:t>
                </w:r>
              </w:p>
              <w:p>
                <w:pPr>
                  <w:ind w:right="-61"/>
                  <w:jc w:val="both"/>
                  <w:rPr>
                    <w:sz w:val="20"/>
                    <w:lang w:eastAsia="lt-LT"/>
                  </w:rPr>
                </w:pPr>
                <w:r>
                  <w:rPr>
                    <w:sz w:val="20"/>
                    <w:lang w:eastAsia="lt-LT"/>
                  </w:rPr>
                  <w:t>paslaugas</w:t>
                </w:r>
              </w:p>
            </w:tc>
            <w:tc>
              <w:tcPr>
                <w:tcW w:w="313" w:type="pct"/>
              </w:tcPr>
              <w:p>
                <w:pPr>
                  <w:jc w:val="both"/>
                  <w:rPr>
                    <w:sz w:val="16"/>
                    <w:szCs w:val="16"/>
                    <w:lang w:eastAsia="lt-LT"/>
                  </w:rPr>
                </w:pPr>
                <w:r>
                  <w:rPr>
                    <w:sz w:val="16"/>
                    <w:szCs w:val="16"/>
                    <w:lang w:eastAsia="lt-LT"/>
                  </w:rPr>
                  <w:t>Tarptautinė teisė</w:t>
                </w:r>
              </w:p>
            </w:tc>
            <w:tc>
              <w:tcPr>
                <w:tcW w:w="188" w:type="pct"/>
              </w:tcPr>
              <w:p>
                <w:pPr>
                  <w:jc w:val="center"/>
                  <w:rPr>
                    <w:sz w:val="20"/>
                    <w:lang w:eastAsia="lt-LT"/>
                  </w:rPr>
                </w:pPr>
                <w:r>
                  <w:rPr>
                    <w:sz w:val="20"/>
                    <w:lang w:eastAsia="lt-LT"/>
                  </w:rPr>
                  <w:t>0,5</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6,09</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0,2</w:t>
                </w:r>
              </w:p>
            </w:tc>
            <w:tc>
              <w:tcPr>
                <w:tcW w:w="313" w:type="pct"/>
              </w:tcPr>
              <w:p>
                <w:pPr>
                  <w:jc w:val="center"/>
                  <w:rPr>
                    <w:sz w:val="20"/>
                    <w:lang w:eastAsia="lt-LT"/>
                  </w:rPr>
                </w:pPr>
                <w:r>
                  <w:rPr>
                    <w:sz w:val="20"/>
                    <w:lang w:eastAsia="lt-LT"/>
                  </w:rPr>
                  <w:t>138**</w:t>
                </w:r>
              </w:p>
            </w:tc>
            <w:tc>
              <w:tcPr>
                <w:tcW w:w="358" w:type="pct"/>
              </w:tcPr>
              <w:p>
                <w:pPr>
                  <w:jc w:val="center"/>
                  <w:rPr>
                    <w:sz w:val="20"/>
                    <w:lang w:eastAsia="lt-LT"/>
                  </w:rPr>
                </w:pPr>
                <w:r>
                  <w:rPr>
                    <w:sz w:val="20"/>
                    <w:lang w:eastAsia="lt-LT"/>
                  </w:rPr>
                  <w:t>27,6</w:t>
                </w:r>
              </w:p>
            </w:tc>
            <w:tc>
              <w:tcPr>
                <w:tcW w:w="526" w:type="pct"/>
              </w:tcPr>
              <w:p>
                <w:pPr>
                  <w:jc w:val="center"/>
                  <w:rPr>
                    <w:sz w:val="20"/>
                    <w:lang w:eastAsia="lt-LT"/>
                  </w:rPr>
                </w:pPr>
                <w:r>
                  <w:rPr>
                    <w:sz w:val="20"/>
                    <w:lang w:eastAsia="lt-LT"/>
                  </w:rPr>
                  <w:t>105,05</w:t>
                </w:r>
              </w:p>
            </w:tc>
          </w:tr>
          <w:tr>
            <w:trPr>
              <w:trHeight w:val="20"/>
            </w:trPr>
            <w:tc>
              <w:tcPr>
                <w:tcW w:w="169" w:type="pct"/>
              </w:tcPr>
              <w:p>
                <w:pPr>
                  <w:jc w:val="both"/>
                  <w:rPr>
                    <w:sz w:val="20"/>
                    <w:lang w:eastAsia="lt-LT"/>
                  </w:rPr>
                </w:pPr>
                <w:r>
                  <w:rPr>
                    <w:sz w:val="20"/>
                    <w:lang w:eastAsia="lt-LT"/>
                  </w:rPr>
                  <w:t>2.4.</w:t>
                </w:r>
              </w:p>
            </w:tc>
            <w:tc>
              <w:tcPr>
                <w:tcW w:w="536" w:type="pct"/>
              </w:tcPr>
              <w:p>
                <w:pPr>
                  <w:rPr>
                    <w:sz w:val="20"/>
                    <w:lang w:eastAsia="lt-LT"/>
                  </w:rPr>
                </w:pPr>
                <w:r>
                  <w:rPr>
                    <w:sz w:val="20"/>
                    <w:lang w:eastAsia="lt-LT"/>
                  </w:rPr>
                  <w:t>Projekto 21 str. 2 d.</w:t>
                </w:r>
              </w:p>
            </w:tc>
            <w:tc>
              <w:tcPr>
                <w:tcW w:w="816" w:type="pct"/>
              </w:tcPr>
              <w:p>
                <w:pPr>
                  <w:rPr>
                    <w:sz w:val="20"/>
                    <w:lang w:eastAsia="lt-LT"/>
                  </w:rPr>
                </w:pPr>
                <w:r>
                  <w:rPr>
                    <w:sz w:val="20"/>
                    <w:lang w:eastAsia="lt-LT"/>
                  </w:rPr>
                  <w:t>Nuotekų transportavimo paslaugas teikiantys asmenys, jeigu nuotekų transportavimo paslaugas teikia ne geriamojo vandens tiekėjas, privalo su sudaryti sutartį dėl individualiųjų nuotekų transportavimo ir išleidimo į šio geriamojo vandens tiekėjo valdomą nuotekų tvarkymo infrastruktūrą ir sutartis su asmenimis, kuriems teikia nuotekų transportavimo paslaugas. Nuotekų transportavimo paslaugų sutartys sudaromos pagal Geriamojo vandens tiekimo ir (arba) nuotekų tvarkymo viešosios sutarties standartinėse sąlygose nustatytus reikalavimus ir yra registruojamos Nuotekų tvarkymo informacinėje sistemoje.“</w:t>
                </w:r>
              </w:p>
            </w:tc>
            <w:tc>
              <w:tcPr>
                <w:tcW w:w="438" w:type="pct"/>
              </w:tcPr>
              <w:p>
                <w:pPr>
                  <w:rPr>
                    <w:sz w:val="18"/>
                    <w:szCs w:val="18"/>
                    <w:lang w:eastAsia="lt-LT"/>
                  </w:rPr>
                </w:pPr>
                <w:r>
                  <w:rPr>
                    <w:sz w:val="18"/>
                    <w:szCs w:val="18"/>
                    <w:lang w:eastAsia="lt-LT"/>
                  </w:rPr>
                  <w:t>Asmenys, teikiantys nuotekų transportavimo</w:t>
                </w:r>
              </w:p>
              <w:p>
                <w:pPr>
                  <w:rPr>
                    <w:sz w:val="20"/>
                    <w:lang w:eastAsia="lt-LT"/>
                  </w:rPr>
                </w:pPr>
                <w:r>
                  <w:rPr>
                    <w:sz w:val="18"/>
                    <w:szCs w:val="18"/>
                    <w:lang w:eastAsia="lt-LT"/>
                  </w:rPr>
                  <w:t>paslaugas</w:t>
                </w:r>
              </w:p>
            </w:tc>
            <w:tc>
              <w:tcPr>
                <w:tcW w:w="313" w:type="pct"/>
              </w:tcPr>
              <w:p>
                <w:pPr>
                  <w:rPr>
                    <w:sz w:val="16"/>
                    <w:szCs w:val="16"/>
                    <w:lang w:eastAsia="lt-LT"/>
                  </w:rPr>
                </w:pPr>
                <w:r>
                  <w:rPr>
                    <w:sz w:val="16"/>
                    <w:szCs w:val="16"/>
                    <w:lang w:eastAsia="lt-LT"/>
                  </w:rPr>
                  <w:t>Tarptautinė teisė</w:t>
                </w:r>
              </w:p>
            </w:tc>
            <w:tc>
              <w:tcPr>
                <w:tcW w:w="188" w:type="pct"/>
              </w:tcPr>
              <w:p>
                <w:pPr>
                  <w:jc w:val="center"/>
                  <w:rPr>
                    <w:sz w:val="20"/>
                    <w:lang w:eastAsia="lt-LT"/>
                  </w:rPr>
                </w:pPr>
                <w:r>
                  <w:rPr>
                    <w:sz w:val="20"/>
                    <w:lang w:eastAsia="lt-LT"/>
                  </w:rPr>
                  <w:t>0,25</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6,09</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val="en-US" w:eastAsia="lt-LT"/>
                  </w:rPr>
                </w:pPr>
                <w:r>
                  <w:rPr>
                    <w:sz w:val="20"/>
                    <w:lang w:val="en-US" w:eastAsia="lt-LT"/>
                  </w:rPr>
                  <w:t>50***</w:t>
                </w:r>
              </w:p>
            </w:tc>
            <w:tc>
              <w:tcPr>
                <w:tcW w:w="313" w:type="pct"/>
              </w:tcPr>
              <w:p>
                <w:pPr>
                  <w:jc w:val="center"/>
                  <w:rPr>
                    <w:sz w:val="20"/>
                    <w:lang w:eastAsia="lt-LT"/>
                  </w:rPr>
                </w:pPr>
                <w:r>
                  <w:rPr>
                    <w:sz w:val="20"/>
                    <w:lang w:eastAsia="lt-LT"/>
                  </w:rPr>
                  <w:t>78</w:t>
                </w:r>
                <w:r>
                  <w:rPr>
                    <w:color w:val="000000"/>
                    <w:sz w:val="20"/>
                    <w:lang w:eastAsia="lt-LT"/>
                  </w:rPr>
                  <w:t>**</w:t>
                </w:r>
              </w:p>
            </w:tc>
            <w:tc>
              <w:tcPr>
                <w:tcW w:w="358" w:type="pct"/>
              </w:tcPr>
              <w:p>
                <w:pPr>
                  <w:jc w:val="center"/>
                  <w:rPr>
                    <w:sz w:val="20"/>
                    <w:lang w:val="en-US" w:eastAsia="lt-LT"/>
                  </w:rPr>
                </w:pPr>
                <w:r>
                  <w:rPr>
                    <w:sz w:val="20"/>
                    <w:lang w:val="en-US" w:eastAsia="lt-LT"/>
                  </w:rPr>
                  <w:t>3900</w:t>
                </w:r>
              </w:p>
            </w:tc>
            <w:tc>
              <w:tcPr>
                <w:tcW w:w="526" w:type="pct"/>
              </w:tcPr>
              <w:p>
                <w:pPr>
                  <w:jc w:val="center"/>
                  <w:rPr>
                    <w:sz w:val="20"/>
                    <w:lang w:eastAsia="lt-LT"/>
                  </w:rPr>
                </w:pPr>
                <w:r>
                  <w:rPr>
                    <w:sz w:val="20"/>
                    <w:lang w:eastAsia="lt-LT"/>
                  </w:rPr>
                  <w:t>7422,18</w:t>
                </w:r>
              </w:p>
            </w:tc>
          </w:tr>
          <w:tr>
            <w:trPr>
              <w:trHeight w:val="20"/>
            </w:trPr>
            <w:tc>
              <w:tcPr>
                <w:tcW w:w="169" w:type="pct"/>
              </w:tcPr>
              <w:p>
                <w:pPr>
                  <w:jc w:val="both"/>
                  <w:rPr>
                    <w:sz w:val="20"/>
                    <w:lang w:eastAsia="lt-LT"/>
                  </w:rPr>
                </w:pPr>
                <w:r>
                  <w:rPr>
                    <w:sz w:val="20"/>
                    <w:lang w:eastAsia="lt-LT"/>
                  </w:rPr>
                  <w:t>2.5.</w:t>
                </w:r>
              </w:p>
            </w:tc>
            <w:tc>
              <w:tcPr>
                <w:tcW w:w="536" w:type="pct"/>
              </w:tcPr>
              <w:p>
                <w:pPr>
                  <w:rPr>
                    <w:sz w:val="20"/>
                    <w:lang w:val="en-US" w:eastAsia="lt-LT"/>
                  </w:rPr>
                </w:pPr>
                <w:r>
                  <w:rPr>
                    <w:sz w:val="20"/>
                    <w:lang w:eastAsia="lt-LT"/>
                  </w:rPr>
                  <w:t xml:space="preserve">Projekto </w:t>
                </w:r>
                <w:r>
                  <w:rPr>
                    <w:sz w:val="20"/>
                    <w:lang w:val="en-US" w:eastAsia="lt-LT"/>
                  </w:rPr>
                  <w:t>38 str. 1 d.</w:t>
                </w:r>
              </w:p>
            </w:tc>
            <w:tc>
              <w:tcPr>
                <w:tcW w:w="816" w:type="pct"/>
              </w:tcPr>
              <w:p>
                <w:pPr>
                  <w:rPr>
                    <w:sz w:val="20"/>
                    <w:lang w:eastAsia="ar-SA"/>
                  </w:rPr>
                </w:pPr>
                <w:r>
                  <w:rPr>
                    <w:sz w:val="20"/>
                    <w:lang w:eastAsia="ar-SA"/>
                  </w:rPr>
                  <w:t>„&lt;...&gt; Informacija apie prieigą prie geriamojo vandens viešosiose erdvėse skelbiama savivaldybės interneto svetainėse.“</w:t>
                </w:r>
              </w:p>
            </w:tc>
            <w:tc>
              <w:tcPr>
                <w:tcW w:w="438" w:type="pct"/>
              </w:tcPr>
              <w:p>
                <w:pPr>
                  <w:ind w:right="-61"/>
                  <w:jc w:val="both"/>
                  <w:rPr>
                    <w:sz w:val="20"/>
                    <w:lang w:eastAsia="lt-LT"/>
                  </w:rPr>
                </w:pPr>
                <w:r>
                  <w:rPr>
                    <w:sz w:val="20"/>
                    <w:lang w:eastAsia="lt-LT"/>
                  </w:rPr>
                  <w:t>savivaldybė</w:t>
                </w:r>
              </w:p>
            </w:tc>
            <w:tc>
              <w:tcPr>
                <w:tcW w:w="313" w:type="pct"/>
              </w:tcPr>
              <w:p>
                <w:pPr>
                  <w:jc w:val="both"/>
                  <w:rPr>
                    <w:sz w:val="16"/>
                    <w:szCs w:val="16"/>
                    <w:lang w:eastAsia="lt-LT"/>
                  </w:rPr>
                </w:pPr>
                <w:r>
                  <w:rPr>
                    <w:sz w:val="16"/>
                    <w:szCs w:val="16"/>
                    <w:lang w:eastAsia="lt-LT"/>
                  </w:rPr>
                  <w:t>Tarptautinė teisė</w:t>
                </w:r>
              </w:p>
            </w:tc>
            <w:tc>
              <w:tcPr>
                <w:tcW w:w="188" w:type="pct"/>
              </w:tcPr>
              <w:p>
                <w:pPr>
                  <w:jc w:val="center"/>
                  <w:rPr>
                    <w:sz w:val="20"/>
                    <w:lang w:eastAsia="lt-LT"/>
                  </w:rPr>
                </w:pPr>
                <w:r>
                  <w:rPr>
                    <w:sz w:val="20"/>
                    <w:lang w:eastAsia="lt-LT"/>
                  </w:rPr>
                  <w:t>0,25</w:t>
                </w:r>
              </w:p>
            </w:tc>
            <w:tc>
              <w:tcPr>
                <w:tcW w:w="179" w:type="pct"/>
              </w:tcPr>
              <w:p>
                <w:pPr>
                  <w:jc w:val="center"/>
                  <w:rPr>
                    <w:sz w:val="20"/>
                    <w:lang w:eastAsia="lt-LT"/>
                  </w:rPr>
                </w:pPr>
                <w:r>
                  <w:rPr>
                    <w:sz w:val="20"/>
                    <w:lang w:eastAsia="lt-LT"/>
                  </w:rPr>
                  <w:t>-</w:t>
                </w:r>
              </w:p>
            </w:tc>
            <w:tc>
              <w:tcPr>
                <w:tcW w:w="269" w:type="pct"/>
              </w:tcPr>
              <w:p>
                <w:pPr>
                  <w:jc w:val="center"/>
                  <w:rPr>
                    <w:sz w:val="20"/>
                    <w:lang w:eastAsia="lt-LT"/>
                  </w:rPr>
                </w:pPr>
                <w:r>
                  <w:rPr>
                    <w:sz w:val="20"/>
                    <w:lang w:eastAsia="lt-LT"/>
                  </w:rPr>
                  <w:t>8,82</w:t>
                </w:r>
              </w:p>
            </w:tc>
            <w:tc>
              <w:tcPr>
                <w:tcW w:w="268" w:type="pct"/>
              </w:tcPr>
              <w:p>
                <w:pPr>
                  <w:jc w:val="center"/>
                  <w:rPr>
                    <w:sz w:val="20"/>
                    <w:lang w:eastAsia="lt-LT"/>
                  </w:rPr>
                </w:pPr>
                <w:r>
                  <w:rPr>
                    <w:sz w:val="20"/>
                    <w:lang w:eastAsia="lt-LT"/>
                  </w:rPr>
                  <w:t>1,25</w:t>
                </w:r>
              </w:p>
            </w:tc>
            <w:tc>
              <w:tcPr>
                <w:tcW w:w="269" w:type="pct"/>
              </w:tcPr>
              <w:p>
                <w:pPr>
                  <w:jc w:val="center"/>
                  <w:rPr>
                    <w:sz w:val="20"/>
                    <w:lang w:eastAsia="lt-LT"/>
                  </w:rPr>
                </w:pPr>
                <w:r>
                  <w:rPr>
                    <w:sz w:val="20"/>
                    <w:lang w:eastAsia="lt-LT"/>
                  </w:rPr>
                  <w:t>-</w:t>
                </w:r>
              </w:p>
            </w:tc>
            <w:tc>
              <w:tcPr>
                <w:tcW w:w="358" w:type="pct"/>
              </w:tcPr>
              <w:p>
                <w:pPr>
                  <w:jc w:val="center"/>
                  <w:rPr>
                    <w:sz w:val="20"/>
                    <w:lang w:eastAsia="lt-LT"/>
                  </w:rPr>
                </w:pPr>
                <w:r>
                  <w:rPr>
                    <w:sz w:val="20"/>
                    <w:lang w:eastAsia="lt-LT"/>
                  </w:rPr>
                  <w:t>1</w:t>
                </w:r>
              </w:p>
            </w:tc>
            <w:tc>
              <w:tcPr>
                <w:tcW w:w="313" w:type="pct"/>
              </w:tcPr>
              <w:p>
                <w:pPr>
                  <w:jc w:val="center"/>
                  <w:rPr>
                    <w:sz w:val="20"/>
                    <w:lang w:eastAsia="lt-LT"/>
                  </w:rPr>
                </w:pPr>
                <w:r>
                  <w:rPr>
                    <w:sz w:val="20"/>
                    <w:lang w:eastAsia="lt-LT"/>
                  </w:rPr>
                  <w:t>60</w:t>
                </w:r>
              </w:p>
            </w:tc>
            <w:tc>
              <w:tcPr>
                <w:tcW w:w="358" w:type="pct"/>
              </w:tcPr>
              <w:p>
                <w:pPr>
                  <w:jc w:val="center"/>
                  <w:rPr>
                    <w:sz w:val="20"/>
                    <w:lang w:eastAsia="lt-LT"/>
                  </w:rPr>
                </w:pPr>
                <w:r>
                  <w:rPr>
                    <w:sz w:val="20"/>
                    <w:lang w:eastAsia="lt-LT"/>
                  </w:rPr>
                  <w:t>60</w:t>
                </w:r>
              </w:p>
            </w:tc>
            <w:tc>
              <w:tcPr>
                <w:tcW w:w="526" w:type="pct"/>
              </w:tcPr>
              <w:p>
                <w:pPr>
                  <w:jc w:val="center"/>
                  <w:rPr>
                    <w:sz w:val="20"/>
                    <w:lang w:eastAsia="lt-LT"/>
                  </w:rPr>
                </w:pPr>
                <w:r>
                  <w:rPr>
                    <w:sz w:val="20"/>
                    <w:lang w:eastAsia="lt-LT"/>
                  </w:rPr>
                  <w:t>165,37</w:t>
                </w:r>
              </w:p>
            </w:tc>
          </w:tr>
          <w:tr>
            <w:trPr>
              <w:trHeight w:val="20"/>
            </w:trPr>
            <w:tc>
              <w:tcPr>
                <w:tcW w:w="169" w:type="pct"/>
              </w:tcPr>
              <w:p>
                <w:pPr>
                  <w:jc w:val="both"/>
                  <w:rPr>
                    <w:sz w:val="20"/>
                    <w:lang w:eastAsia="lt-LT"/>
                  </w:rPr>
                </w:pPr>
              </w:p>
            </w:tc>
            <w:tc>
              <w:tcPr>
                <w:tcW w:w="536" w:type="pct"/>
              </w:tcPr>
              <w:p>
                <w:pPr>
                  <w:jc w:val="both"/>
                  <w:rPr>
                    <w:sz w:val="20"/>
                    <w:lang w:eastAsia="lt-LT"/>
                  </w:rPr>
                </w:pPr>
              </w:p>
            </w:tc>
            <w:tc>
              <w:tcPr>
                <w:tcW w:w="816" w:type="pct"/>
              </w:tcPr>
              <w:p>
                <w:pPr>
                  <w:jc w:val="both"/>
                  <w:rPr>
                    <w:sz w:val="20"/>
                    <w:lang w:eastAsia="lt-LT"/>
                  </w:rPr>
                </w:pPr>
              </w:p>
            </w:tc>
            <w:tc>
              <w:tcPr>
                <w:tcW w:w="438" w:type="pct"/>
              </w:tcPr>
              <w:p>
                <w:pPr>
                  <w:jc w:val="both"/>
                  <w:rPr>
                    <w:b/>
                    <w:i/>
                    <w:sz w:val="20"/>
                    <w:lang w:eastAsia="lt-LT"/>
                  </w:rPr>
                </w:pPr>
              </w:p>
            </w:tc>
            <w:tc>
              <w:tcPr>
                <w:tcW w:w="313" w:type="pct"/>
              </w:tcPr>
              <w:p>
                <w:pPr>
                  <w:jc w:val="both"/>
                  <w:rPr>
                    <w:sz w:val="20"/>
                    <w:lang w:eastAsia="lt-LT"/>
                  </w:rPr>
                </w:pPr>
              </w:p>
            </w:tc>
            <w:tc>
              <w:tcPr>
                <w:tcW w:w="188" w:type="pct"/>
              </w:tcPr>
              <w:p>
                <w:pPr>
                  <w:jc w:val="both"/>
                  <w:rPr>
                    <w:sz w:val="20"/>
                    <w:lang w:eastAsia="lt-LT"/>
                  </w:rPr>
                </w:pPr>
              </w:p>
            </w:tc>
            <w:tc>
              <w:tcPr>
                <w:tcW w:w="179" w:type="pct"/>
              </w:tcPr>
              <w:p>
                <w:pPr>
                  <w:jc w:val="both"/>
                  <w:rPr>
                    <w:sz w:val="20"/>
                    <w:lang w:eastAsia="lt-LT"/>
                  </w:rPr>
                </w:pPr>
              </w:p>
            </w:tc>
            <w:tc>
              <w:tcPr>
                <w:tcW w:w="269" w:type="pct"/>
              </w:tcPr>
              <w:p>
                <w:pPr>
                  <w:jc w:val="both"/>
                  <w:rPr>
                    <w:sz w:val="20"/>
                    <w:lang w:eastAsia="lt-LT"/>
                  </w:rPr>
                </w:pPr>
              </w:p>
            </w:tc>
            <w:tc>
              <w:tcPr>
                <w:tcW w:w="268" w:type="pct"/>
              </w:tcPr>
              <w:p>
                <w:pPr>
                  <w:jc w:val="both"/>
                  <w:rPr>
                    <w:sz w:val="20"/>
                    <w:lang w:eastAsia="lt-LT"/>
                  </w:rPr>
                </w:pPr>
              </w:p>
            </w:tc>
            <w:tc>
              <w:tcPr>
                <w:tcW w:w="269" w:type="pct"/>
              </w:tcPr>
              <w:p>
                <w:pPr>
                  <w:jc w:val="both"/>
                  <w:rPr>
                    <w:sz w:val="20"/>
                    <w:lang w:eastAsia="lt-LT"/>
                  </w:rPr>
                </w:pPr>
              </w:p>
            </w:tc>
            <w:tc>
              <w:tcPr>
                <w:tcW w:w="358" w:type="pct"/>
              </w:tcPr>
              <w:p>
                <w:pPr>
                  <w:jc w:val="both"/>
                  <w:rPr>
                    <w:sz w:val="20"/>
                    <w:lang w:eastAsia="lt-LT"/>
                  </w:rPr>
                </w:pPr>
              </w:p>
            </w:tc>
            <w:tc>
              <w:tcPr>
                <w:tcW w:w="313" w:type="pct"/>
              </w:tcPr>
              <w:p>
                <w:pPr>
                  <w:jc w:val="both"/>
                  <w:rPr>
                    <w:sz w:val="20"/>
                    <w:lang w:eastAsia="lt-LT"/>
                  </w:rPr>
                </w:pPr>
              </w:p>
            </w:tc>
            <w:tc>
              <w:tcPr>
                <w:tcW w:w="358" w:type="pct"/>
              </w:tcPr>
              <w:p>
                <w:pPr>
                  <w:jc w:val="both"/>
                  <w:rPr>
                    <w:sz w:val="20"/>
                    <w:lang w:eastAsia="lt-LT"/>
                  </w:rPr>
                </w:pPr>
              </w:p>
            </w:tc>
            <w:tc>
              <w:tcPr>
                <w:tcW w:w="526" w:type="pct"/>
              </w:tcPr>
              <w:p>
                <w:pPr>
                  <w:jc w:val="both"/>
                  <w:rPr>
                    <w:color w:val="000000"/>
                    <w:sz w:val="20"/>
                    <w:lang w:eastAsia="lt-LT"/>
                  </w:rPr>
                </w:pPr>
                <w:r>
                  <w:rPr>
                    <w:color w:val="000000"/>
                    <w:sz w:val="20"/>
                    <w:lang w:eastAsia="lt-LT"/>
                  </w:rPr>
                  <w:t>AN</w:t>
                </w:r>
                <w:r>
                  <w:rPr>
                    <w:color w:val="000000"/>
                    <w:sz w:val="20"/>
                    <w:vertAlign w:val="subscript"/>
                    <w:lang w:eastAsia="lt-LT"/>
                  </w:rPr>
                  <w:t xml:space="preserve">iį </w:t>
                </w:r>
                <w:r>
                  <w:rPr>
                    <w:color w:val="000000"/>
                    <w:sz w:val="20"/>
                    <w:lang w:eastAsia="lt-LT"/>
                  </w:rPr>
                  <w:t>= Σ AN</w:t>
                </w:r>
                <w:r>
                  <w:rPr>
                    <w:color w:val="000000"/>
                    <w:sz w:val="20"/>
                    <w:vertAlign w:val="subscript"/>
                    <w:lang w:eastAsia="lt-LT"/>
                  </w:rPr>
                  <w:t>vv</w:t>
                </w:r>
                <w:r>
                  <w:rPr>
                    <w:color w:val="000000"/>
                    <w:sz w:val="20"/>
                    <w:lang w:eastAsia="lt-LT"/>
                  </w:rPr>
                  <w:t xml:space="preserve"> = </w:t>
                </w:r>
              </w:p>
              <w:p>
                <w:pPr>
                  <w:jc w:val="both"/>
                  <w:rPr>
                    <w:color w:val="000000"/>
                    <w:sz w:val="20"/>
                    <w:lang w:eastAsia="lt-LT"/>
                  </w:rPr>
                </w:pPr>
                <w:r>
                  <w:rPr>
                    <w:color w:val="000000"/>
                    <w:sz w:val="20"/>
                    <w:lang w:eastAsia="lt-LT"/>
                  </w:rPr>
                  <w:t>7833,90</w:t>
                </w:r>
              </w:p>
            </w:tc>
          </w:tr>
          <w:tr>
            <w:trPr>
              <w:trHeight w:val="20"/>
            </w:trPr>
            <w:tc>
              <w:tcPr>
                <w:tcW w:w="169" w:type="pct"/>
              </w:tcPr>
              <w:p>
                <w:pPr>
                  <w:ind w:firstLine="53"/>
                  <w:jc w:val="both"/>
                  <w:rPr>
                    <w:sz w:val="20"/>
                    <w:lang w:eastAsia="lt-LT"/>
                  </w:rPr>
                </w:pPr>
              </w:p>
            </w:tc>
            <w:tc>
              <w:tcPr>
                <w:tcW w:w="536" w:type="pct"/>
              </w:tcPr>
              <w:p>
                <w:pPr>
                  <w:ind w:firstLine="53"/>
                  <w:jc w:val="both"/>
                  <w:rPr>
                    <w:sz w:val="20"/>
                    <w:lang w:eastAsia="lt-LT"/>
                  </w:rPr>
                </w:pPr>
              </w:p>
            </w:tc>
            <w:tc>
              <w:tcPr>
                <w:tcW w:w="816" w:type="pct"/>
              </w:tcPr>
              <w:p>
                <w:pPr>
                  <w:ind w:firstLine="53"/>
                  <w:jc w:val="both"/>
                  <w:rPr>
                    <w:sz w:val="20"/>
                    <w:lang w:eastAsia="lt-LT"/>
                  </w:rPr>
                </w:pPr>
              </w:p>
            </w:tc>
            <w:tc>
              <w:tcPr>
                <w:tcW w:w="438" w:type="pct"/>
              </w:tcPr>
              <w:p>
                <w:pPr>
                  <w:ind w:firstLine="53"/>
                  <w:jc w:val="both"/>
                  <w:rPr>
                    <w:b/>
                    <w:i/>
                    <w:sz w:val="20"/>
                    <w:lang w:eastAsia="lt-LT"/>
                  </w:rPr>
                </w:pPr>
              </w:p>
            </w:tc>
            <w:tc>
              <w:tcPr>
                <w:tcW w:w="313" w:type="pct"/>
              </w:tcPr>
              <w:p>
                <w:pPr>
                  <w:jc w:val="both"/>
                  <w:rPr>
                    <w:sz w:val="20"/>
                    <w:lang w:eastAsia="lt-LT"/>
                  </w:rPr>
                </w:pPr>
              </w:p>
            </w:tc>
            <w:tc>
              <w:tcPr>
                <w:tcW w:w="188" w:type="pct"/>
              </w:tcPr>
              <w:p>
                <w:pPr>
                  <w:ind w:firstLine="53"/>
                  <w:jc w:val="both"/>
                  <w:rPr>
                    <w:sz w:val="20"/>
                    <w:lang w:eastAsia="lt-LT"/>
                  </w:rPr>
                </w:pPr>
              </w:p>
            </w:tc>
            <w:tc>
              <w:tcPr>
                <w:tcW w:w="179" w:type="pct"/>
              </w:tcPr>
              <w:p>
                <w:pPr>
                  <w:jc w:val="both"/>
                  <w:rPr>
                    <w:sz w:val="20"/>
                    <w:lang w:eastAsia="lt-LT"/>
                  </w:rPr>
                </w:pPr>
              </w:p>
            </w:tc>
            <w:tc>
              <w:tcPr>
                <w:tcW w:w="269" w:type="pct"/>
              </w:tcPr>
              <w:p>
                <w:pPr>
                  <w:ind w:firstLine="53"/>
                  <w:jc w:val="both"/>
                  <w:rPr>
                    <w:sz w:val="20"/>
                    <w:lang w:eastAsia="lt-LT"/>
                  </w:rPr>
                </w:pPr>
              </w:p>
            </w:tc>
            <w:tc>
              <w:tcPr>
                <w:tcW w:w="268" w:type="pct"/>
              </w:tcPr>
              <w:p>
                <w:pPr>
                  <w:jc w:val="both"/>
                  <w:rPr>
                    <w:sz w:val="20"/>
                    <w:lang w:eastAsia="lt-LT"/>
                  </w:rPr>
                </w:pPr>
              </w:p>
            </w:tc>
            <w:tc>
              <w:tcPr>
                <w:tcW w:w="269" w:type="pct"/>
              </w:tcPr>
              <w:p>
                <w:pPr>
                  <w:jc w:val="both"/>
                  <w:rPr>
                    <w:sz w:val="20"/>
                    <w:lang w:eastAsia="lt-LT"/>
                  </w:rPr>
                </w:pPr>
              </w:p>
            </w:tc>
            <w:tc>
              <w:tcPr>
                <w:tcW w:w="358" w:type="pct"/>
              </w:tcPr>
              <w:p>
                <w:pPr>
                  <w:ind w:firstLine="53"/>
                  <w:jc w:val="both"/>
                  <w:rPr>
                    <w:sz w:val="20"/>
                    <w:lang w:eastAsia="lt-LT"/>
                  </w:rPr>
                </w:pPr>
              </w:p>
            </w:tc>
            <w:tc>
              <w:tcPr>
                <w:tcW w:w="313" w:type="pct"/>
              </w:tcPr>
              <w:p>
                <w:pPr>
                  <w:ind w:firstLine="53"/>
                  <w:jc w:val="both"/>
                  <w:rPr>
                    <w:sz w:val="20"/>
                    <w:lang w:eastAsia="lt-LT"/>
                  </w:rPr>
                </w:pPr>
              </w:p>
            </w:tc>
            <w:tc>
              <w:tcPr>
                <w:tcW w:w="358" w:type="pct"/>
              </w:tcPr>
              <w:p>
                <w:pPr>
                  <w:ind w:firstLine="53"/>
                  <w:jc w:val="both"/>
                  <w:rPr>
                    <w:sz w:val="20"/>
                    <w:lang w:eastAsia="lt-LT"/>
                  </w:rPr>
                </w:pPr>
              </w:p>
            </w:tc>
            <w:tc>
              <w:tcPr>
                <w:tcW w:w="526" w:type="pct"/>
              </w:tcPr>
              <w:p>
                <w:pPr>
                  <w:jc w:val="both"/>
                  <w:rPr>
                    <w:color w:val="000000"/>
                    <w:sz w:val="20"/>
                    <w:lang w:eastAsia="lt-LT"/>
                  </w:rPr>
                </w:pPr>
                <w:r>
                  <w:rPr>
                    <w:sz w:val="20"/>
                    <w:lang w:eastAsia="lt-LT"/>
                  </w:rPr>
                  <w:t>AN</w:t>
                </w:r>
                <w:r>
                  <w:rPr>
                    <w:sz w:val="20"/>
                    <w:vertAlign w:val="subscript"/>
                    <w:lang w:eastAsia="lt-LT"/>
                  </w:rPr>
                  <w:t>ta</w:t>
                </w:r>
                <w:r>
                  <w:rPr>
                    <w:sz w:val="20"/>
                    <w:vertAlign w:val="superscript"/>
                    <w:lang w:eastAsia="lt-LT"/>
                  </w:rPr>
                  <w:t>N</w:t>
                </w:r>
                <w:r>
                  <w:rPr>
                    <w:color w:val="000000"/>
                    <w:sz w:val="20"/>
                    <w:lang w:eastAsia="lt-LT"/>
                  </w:rPr>
                  <w:t xml:space="preserve"> = Σ AN</w:t>
                </w:r>
                <w:r>
                  <w:rPr>
                    <w:color w:val="000000"/>
                    <w:sz w:val="20"/>
                    <w:vertAlign w:val="subscript"/>
                    <w:lang w:eastAsia="lt-LT"/>
                  </w:rPr>
                  <w:t>iį</w:t>
                </w:r>
                <w:r>
                  <w:rPr>
                    <w:color w:val="000000"/>
                    <w:sz w:val="20"/>
                    <w:lang w:eastAsia="lt-LT"/>
                  </w:rPr>
                  <w:t xml:space="preserve"> =</w:t>
                </w:r>
              </w:p>
              <w:p>
                <w:pPr>
                  <w:jc w:val="both"/>
                  <w:rPr>
                    <w:color w:val="000000"/>
                    <w:sz w:val="20"/>
                    <w:lang w:eastAsia="lt-LT"/>
                  </w:rPr>
                </w:pPr>
                <w:r>
                  <w:rPr>
                    <w:sz w:val="20"/>
                    <w:lang w:eastAsia="lt-LT"/>
                  </w:rPr>
                  <w:t>7833,90</w:t>
                </w:r>
              </w:p>
              <w:p>
                <w:pPr>
                  <w:jc w:val="both"/>
                  <w:rPr>
                    <w:sz w:val="20"/>
                    <w:lang w:eastAsia="lt-LT"/>
                  </w:rPr>
                </w:pPr>
              </w:p>
            </w:tc>
          </w:tr>
          <w:tr>
            <w:trPr>
              <w:trHeight w:val="20"/>
            </w:trPr>
            <w:tc>
              <w:tcPr>
                <w:tcW w:w="5000" w:type="pct"/>
                <w:gridSpan w:val="14"/>
              </w:tcPr>
              <w:p>
                <w:pPr>
                  <w:jc w:val="both"/>
                  <w:rPr>
                    <w:b/>
                    <w:color w:val="000000"/>
                    <w:sz w:val="20"/>
                    <w:lang w:eastAsia="lt-LT"/>
                  </w:rPr>
                </w:pPr>
                <w:r>
                  <w:rPr>
                    <w:b/>
                    <w:color w:val="000000"/>
                    <w:sz w:val="20"/>
                    <w:lang w:eastAsia="lt-LT"/>
                  </w:rPr>
                  <w:t>Teisės akto projekto sukeliamas numatomas administracinės naštos pokytis (Lietuvos Respublikos piniginiais vienetais)</w:t>
                </w:r>
              </w:p>
            </w:tc>
          </w:tr>
          <w:tr>
            <w:trPr>
              <w:trHeight w:val="20"/>
            </w:trPr>
            <w:tc>
              <w:tcPr>
                <w:tcW w:w="4474" w:type="pct"/>
                <w:gridSpan w:val="13"/>
              </w:tcPr>
              <w:p>
                <w:pPr>
                  <w:jc w:val="both"/>
                  <w:rPr>
                    <w:sz w:val="20"/>
                    <w:lang w:eastAsia="lt-LT"/>
                  </w:rPr>
                </w:pPr>
                <w:r>
                  <w:rPr>
                    <w:b/>
                    <w:bCs/>
                    <w:sz w:val="20"/>
                    <w:lang w:eastAsia="lt-LT"/>
                  </w:rPr>
                  <w:t>AN</w:t>
                </w:r>
                <w:r>
                  <w:rPr>
                    <w:b/>
                    <w:bCs/>
                    <w:sz w:val="20"/>
                    <w:vertAlign w:val="superscript"/>
                    <w:lang w:eastAsia="lt-LT"/>
                  </w:rPr>
                  <w:t>P</w:t>
                </w:r>
                <w:r>
                  <w:rPr>
                    <w:b/>
                    <w:bCs/>
                    <w:sz w:val="20"/>
                    <w:lang w:eastAsia="lt-LT"/>
                  </w:rPr>
                  <w:t xml:space="preserve"> = AN</w:t>
                </w:r>
                <w:r>
                  <w:rPr>
                    <w:b/>
                    <w:bCs/>
                    <w:sz w:val="20"/>
                    <w:vertAlign w:val="subscript"/>
                    <w:lang w:eastAsia="lt-LT"/>
                  </w:rPr>
                  <w:t>ta</w:t>
                </w:r>
                <w:r>
                  <w:rPr>
                    <w:b/>
                    <w:bCs/>
                    <w:sz w:val="20"/>
                    <w:vertAlign w:val="superscript"/>
                    <w:lang w:eastAsia="lt-LT"/>
                  </w:rPr>
                  <w:t>N</w:t>
                </w:r>
                <w:r>
                  <w:rPr>
                    <w:b/>
                    <w:bCs/>
                    <w:sz w:val="20"/>
                    <w:lang w:eastAsia="lt-LT"/>
                  </w:rPr>
                  <w:t xml:space="preserve"> - AN</w:t>
                </w:r>
                <w:r>
                  <w:rPr>
                    <w:b/>
                    <w:bCs/>
                    <w:sz w:val="20"/>
                    <w:vertAlign w:val="subscript"/>
                    <w:lang w:eastAsia="lt-LT"/>
                  </w:rPr>
                  <w:t>ta</w:t>
                </w:r>
                <w:r>
                  <w:rPr>
                    <w:b/>
                    <w:bCs/>
                    <w:sz w:val="20"/>
                    <w:vertAlign w:val="superscript"/>
                    <w:lang w:eastAsia="lt-LT"/>
                  </w:rPr>
                  <w:t>G</w:t>
                </w:r>
                <w:r>
                  <w:rPr>
                    <w:b/>
                    <w:bCs/>
                    <w:sz w:val="20"/>
                    <w:lang w:eastAsia="lt-LT"/>
                  </w:rPr>
                  <w:t>  </w:t>
                </w:r>
                <w:r>
                  <w:rPr>
                    <w:sz w:val="20"/>
                    <w:lang w:eastAsia="lt-LT"/>
                  </w:rPr>
                  <w:t>Pastaba. Neigiamas skirtumas rašomas skliaustuose.</w:t>
                </w:r>
              </w:p>
            </w:tc>
            <w:tc>
              <w:tcPr>
                <w:tcW w:w="526" w:type="pct"/>
              </w:tcPr>
              <w:p>
                <w:pPr>
                  <w:jc w:val="both"/>
                  <w:rPr>
                    <w:color w:val="000000"/>
                    <w:sz w:val="20"/>
                    <w:lang w:eastAsia="lt-LT"/>
                  </w:rPr>
                </w:pPr>
                <w:r>
                  <w:rPr>
                    <w:color w:val="000000"/>
                    <w:sz w:val="20"/>
                    <w:lang w:eastAsia="lt-LT"/>
                  </w:rPr>
                  <w:t>AN</w:t>
                </w:r>
                <w:r>
                  <w:rPr>
                    <w:color w:val="000000"/>
                    <w:sz w:val="20"/>
                    <w:vertAlign w:val="superscript"/>
                    <w:lang w:eastAsia="lt-LT"/>
                  </w:rPr>
                  <w:t>P</w:t>
                </w:r>
                <w:r>
                  <w:rPr>
                    <w:color w:val="000000"/>
                    <w:sz w:val="20"/>
                    <w:lang w:eastAsia="lt-LT"/>
                  </w:rPr>
                  <w:t>=</w:t>
                </w:r>
              </w:p>
              <w:p>
                <w:pPr>
                  <w:jc w:val="both"/>
                  <w:rPr>
                    <w:color w:val="000000"/>
                    <w:sz w:val="20"/>
                    <w:lang w:eastAsia="lt-LT"/>
                  </w:rPr>
                </w:pPr>
                <w:r>
                  <w:rPr>
                    <w:sz w:val="20"/>
                    <w:lang w:val="en-US" w:eastAsia="lt-LT"/>
                  </w:rPr>
                  <w:t>=</w:t>
                </w:r>
                <w:r>
                  <w:rPr>
                    <w:color w:val="000000"/>
                    <w:sz w:val="20"/>
                    <w:lang w:eastAsia="lt-LT"/>
                  </w:rPr>
                  <w:t xml:space="preserve">7833,90- </w:t>
                </w:r>
                <w:r>
                  <w:rPr>
                    <w:sz w:val="20"/>
                    <w:lang w:eastAsia="lt-LT"/>
                  </w:rPr>
                  <w:t>2536,5</w:t>
                </w:r>
                <w:r>
                  <w:rPr>
                    <w:sz w:val="20"/>
                    <w:lang w:val="en-US" w:eastAsia="lt-LT"/>
                  </w:rPr>
                  <w:t>=</w:t>
                </w:r>
              </w:p>
              <w:p>
                <w:pPr>
                  <w:jc w:val="both"/>
                  <w:rPr>
                    <w:b/>
                    <w:color w:val="000000"/>
                    <w:sz w:val="20"/>
                    <w:lang w:eastAsia="lt-LT"/>
                  </w:rPr>
                </w:pPr>
                <w:r>
                  <w:rPr>
                    <w:sz w:val="20"/>
                    <w:lang w:val="en-US" w:eastAsia="lt-LT"/>
                  </w:rPr>
                  <w:t>=</w:t>
                </w:r>
                <w:r>
                  <w:rPr>
                    <w:b/>
                    <w:color w:val="000000"/>
                    <w:sz w:val="20"/>
                    <w:lang w:eastAsia="lt-LT"/>
                  </w:rPr>
                  <w:t>5297,40</w:t>
                </w:r>
              </w:p>
            </w:tc>
          </w:tr>
        </w:tbl>
        <w:p>
          <w:pPr>
            <w:ind w:firstLine="709"/>
            <w:jc w:val="both"/>
            <w:rPr>
              <w:color w:val="000000"/>
              <w:sz w:val="20"/>
              <w:lang w:eastAsia="lt-LT"/>
            </w:rPr>
          </w:pPr>
        </w:p>
        <w:p>
          <w:pPr>
            <w:ind w:firstLine="709"/>
            <w:jc w:val="both"/>
            <w:rPr>
              <w:color w:val="000000"/>
              <w:sz w:val="20"/>
              <w:lang w:eastAsia="lt-LT"/>
            </w:rPr>
          </w:pPr>
          <w:r>
            <w:rPr>
              <w:color w:val="000000"/>
              <w:sz w:val="20"/>
              <w:lang w:eastAsia="lt-LT"/>
            </w:rPr>
            <w:t>Pastabos:</w:t>
          </w:r>
        </w:p>
        <w:p>
          <w:pPr>
            <w:ind w:firstLine="709"/>
            <w:jc w:val="both"/>
            <w:rPr>
              <w:color w:val="000000"/>
              <w:sz w:val="20"/>
              <w:lang w:eastAsia="lt-LT"/>
            </w:rPr>
          </w:pPr>
          <w:r>
            <w:rPr>
              <w:color w:val="000000"/>
              <w:sz w:val="20"/>
              <w:lang w:eastAsia="lt-LT"/>
            </w:rPr>
            <w:t>* - Apytikris ūkio subjektų skaičius pagal Valstybinės energetikos reguliavimo tarybos duomenis</w:t>
          </w:r>
        </w:p>
        <w:p>
          <w:pPr>
            <w:ind w:firstLine="709"/>
            <w:jc w:val="both"/>
            <w:rPr>
              <w:color w:val="000000"/>
              <w:sz w:val="20"/>
              <w:lang w:eastAsia="lt-LT"/>
            </w:rPr>
          </w:pPr>
          <w:r>
            <w:rPr>
              <w:color w:val="000000"/>
              <w:sz w:val="20"/>
              <w:lang w:eastAsia="lt-LT"/>
            </w:rPr>
            <w:t>**</w:t>
          </w:r>
          <w:r>
            <w:rPr>
              <w:sz w:val="20"/>
              <w:lang w:eastAsia="lt-LT"/>
            </w:rPr>
            <w:t xml:space="preserve">  - </w:t>
          </w:r>
          <w:r>
            <w:rPr>
              <w:color w:val="000000"/>
              <w:sz w:val="20"/>
              <w:lang w:eastAsia="lt-LT"/>
            </w:rPr>
            <w:t>Apytikris ūkio subjektų skaičius pagal vandens tiekėjų elektroniniame tinklalapyje skelbiamus duomenis</w:t>
          </w:r>
        </w:p>
        <w:p>
          <w:pPr>
            <w:ind w:firstLine="709"/>
            <w:jc w:val="both"/>
            <w:rPr>
              <w:color w:val="000000"/>
              <w:sz w:val="20"/>
              <w:lang w:eastAsia="lt-LT"/>
            </w:rPr>
          </w:pPr>
          <w:r>
            <w:rPr>
              <w:color w:val="000000"/>
              <w:sz w:val="20"/>
              <w:lang w:eastAsia="lt-LT"/>
            </w:rPr>
            <w:t xml:space="preserve">***  - Apytikris vienam nuotekų transportuotojui tenkantis sutarčių skaičius.</w:t>
          </w:r>
        </w:p>
        <w:p>
          <w:pPr>
            <w:ind w:firstLine="709"/>
            <w:jc w:val="both"/>
            <w:rPr>
              <w:color w:val="000000"/>
              <w:sz w:val="20"/>
              <w:lang w:eastAsia="lt-LT"/>
            </w:rPr>
          </w:pPr>
        </w:p>
        <w:p>
          <w:pPr>
            <w:ind w:firstLine="709"/>
            <w:jc w:val="both"/>
            <w:rPr>
              <w:color w:val="000000"/>
              <w:sz w:val="20"/>
              <w:lang w:eastAsia="lt-LT"/>
            </w:rPr>
          </w:pPr>
        </w:p>
        <w:p>
          <w:pPr>
            <w:ind w:firstLine="709"/>
            <w:jc w:val="both"/>
            <w:rPr>
              <w:color w:val="000000"/>
              <w:sz w:val="20"/>
              <w:lang w:eastAsia="lt-LT"/>
            </w:rPr>
          </w:pPr>
          <w:r>
            <w:rPr>
              <w:color w:val="000000"/>
              <w:sz w:val="20"/>
              <w:lang w:eastAsia="lt-LT"/>
            </w:rPr>
            <w:t>Ataskaitą užpildė </w:t>
          </w:r>
        </w:p>
        <w:p>
          <w:pPr>
            <w:ind w:firstLine="709"/>
            <w:jc w:val="both"/>
            <w:rPr>
              <w:sz w:val="20"/>
              <w:lang w:eastAsia="lt-LT"/>
            </w:rPr>
          </w:pPr>
        </w:p>
        <w:p>
          <w:pPr>
            <w:ind w:firstLine="720"/>
            <w:jc w:val="both"/>
            <w:rPr>
              <w:sz w:val="20"/>
              <w:lang w:eastAsia="lt-LT"/>
            </w:rPr>
          </w:pPr>
          <w:r>
            <w:rPr>
              <w:sz w:val="20"/>
              <w:lang w:eastAsia="lt-LT"/>
            </w:rPr>
            <w:t>Aplinkos ministerijos</w:t>
          </w:r>
        </w:p>
        <w:p>
          <w:pPr>
            <w:ind w:firstLine="424"/>
            <w:jc w:val="both"/>
            <w:rPr>
              <w:sz w:val="20"/>
              <w:lang w:eastAsia="lt-LT"/>
            </w:rPr>
          </w:pPr>
          <w:r>
            <w:rPr>
              <w:sz w:val="20"/>
              <w:lang w:eastAsia="lt-LT"/>
            </w:rPr>
            <w:t>Taršos prevencijos politikos grupės</w:t>
          </w:r>
        </w:p>
        <w:p>
          <w:pPr>
            <w:ind w:firstLine="11749"/>
            <w:jc w:val="both"/>
            <w:rPr>
              <w:sz w:val="20"/>
              <w:lang w:eastAsia="lt-LT"/>
            </w:rPr>
          </w:pPr>
          <w:r>
            <w:rPr>
              <w:sz w:val="20"/>
              <w:lang w:eastAsia="lt-LT"/>
            </w:rPr>
            <w:t>Judita Vaišnorienė</w:t>
          </w:r>
        </w:p>
        <w:sdt>
          <w:sdtPr>
            <w:alias w:val="signatura"/>
            <w:tag w:val="part_ec6ba33d6bee4c07b37953e5c1ff5fbc"/>
            <w:lock w:val="sdtLocked"/>
            <w:richText/>
          </w:sdtPr>
          <w:sdtContent>
            <w:p>
              <w:pPr>
                <w:ind w:firstLine="720"/>
                <w:jc w:val="both"/>
                <w:rPr>
                  <w:sz w:val="20"/>
                  <w:lang w:eastAsia="lt-LT"/>
                </w:rPr>
              </w:pPr>
              <w:r>
                <w:rPr>
                  <w:sz w:val="20"/>
                  <w:u w:val="single"/>
                  <w:lang w:eastAsia="lt-LT"/>
                </w:rPr>
                <w:t>vyriausioji specialistė</w:t>
              </w:r>
              <w:r>
                <w:rPr>
                  <w:sz w:val="20"/>
                  <w:lang w:eastAsia="lt-LT"/>
                </w:rPr>
                <w:t xml:space="preserve">                                            </w:t>
                <w:tab/>
                <w:tab/>
                <w:t xml:space="preserve">                    _______________________                                                                     </w:t>
              </w:r>
            </w:p>
            <w:p>
              <w:pPr>
                <w:ind w:firstLine="1007"/>
                <w:jc w:val="both"/>
                <w:rPr>
                  <w:sz w:val="20"/>
                  <w:lang w:eastAsia="lt-LT"/>
                </w:rPr>
              </w:pPr>
              <w:r>
                <w:rPr>
                  <w:sz w:val="20"/>
                  <w:lang w:eastAsia="lt-LT"/>
                </w:rPr>
                <w:t xml:space="preserve">(pareigų pavadinimas)                                                                                              (parašas)                                                                 (vardas ir pavardė)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902" w:right="567" w:bottom="1021" w:left="85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ind w:right="360"/>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2"/>
        <w:lang w:eastAsia="lt-LT"/>
      </w:rPr>
    </w:pPr>
    <w:r>
      <w:rPr>
        <w:sz w:val="22"/>
        <w:lang w:eastAsia="lt-LT"/>
      </w:rPr>
      <w:fldChar w:fldCharType="begin"/>
    </w:r>
    <w:r>
      <w:rPr>
        <w:sz w:val="22"/>
        <w:lang w:eastAsia="lt-LT"/>
      </w:rPr>
      <w:instrText xml:space="preserve">PAGE  </w:instrText>
    </w:r>
    <w:r>
      <w:rPr>
        <w:sz w:val="22"/>
        <w:lang w:eastAsia="lt-LT"/>
      </w:rPr>
      <w:fldChar w:fldCharType="separate"/>
    </w:r>
    <w:r>
      <w:rPr>
        <w:sz w:val="22"/>
        <w:lang w:eastAsia="lt-LT"/>
      </w:rPr>
      <w:t>3</w:t>
    </w:r>
    <w:r>
      <w:rPr>
        <w:sz w:val="22"/>
        <w:lang w:eastAsia="lt-LT"/>
      </w:rPr>
      <w:fldChar w:fldCharType="end"/>
    </w:r>
  </w:p>
  <w:p>
    <w:pPr>
      <w:tabs>
        <w:tab w:val="center" w:pos="4153"/>
        <w:tab w:val="right" w:pos="8306"/>
      </w:tabs>
      <w:ind w:right="360"/>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oNotHyphenateCaps/>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5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55B3876-13A8-4916-9766-03D594ED22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248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2be16f1e4e4132bb56a24f080b7a70" PartId="8f18a62d105e4efc9c96f7abf1d6ad8c">
    <Part Type="signatura" DocPartId="ef81465b87a74d0fb990ec6a27547399" PartId="ec6ba33d6bee4c07b37953e5c1ff5fbc"/>
  </Part>
</Parts>
</file>

<file path=customXml/itemProps1.xml><?xml version="1.0" encoding="utf-8"?>
<ds:datastoreItem xmlns:ds="http://schemas.openxmlformats.org/officeDocument/2006/customXml" ds:itemID="{5805A7D2-FFC2-4D89-942F-34E506C23D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784</Words>
  <Characters>5131</Characters>
  <Application>Microsoft Office Word</Application>
  <DocSecurity>4</DocSecurity>
  <Lines>427</Lines>
  <Paragraphs>197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Administracinės naštos ūkio subjektams</vt:lpstr>
      <vt:lpstr>Administracinės naštos ūkio subjektams</vt:lpstr>
    </vt:vector>
  </TitlesOfParts>
  <Company>SAM</Company>
  <LinksUpToDate>false</LinksUpToDate>
  <CharactersWithSpaces>5718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rmarkuviene</dc:creator>
  <lastModifiedBy>adlibuser</lastModifiedBy>
  <lastPrinted>2018-03-06T12:02:00Z</lastPrinted>
  <dcterms:modified xsi:type="dcterms:W3CDTF">2022-03-24T16:20:00Z</dcterms:modified>
  <revision>2</revision>
  <dc:title>Administracinės naštos ūkio subjektams</dc:title>
</coreProperties>
</file>