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r."/>
        <w:tag w:val="part_2de459e39c14481daf81500bf633374c"/>
        <w:lock w:val="sdtLocked"/>
        <w:richText/>
      </w:sdtPr>
      <w:sdtContent>
        <w:p>
          <w:pPr>
            <w:suppressAutoHyphens/>
            <w:spacing w:line="276" w:lineRule="auto"/>
            <w:ind w:left="9072"/>
            <w:textAlignment w:val="baseline"/>
          </w:pPr>
          <w:r>
            <w:rPr>
              <w:szCs w:val="24"/>
              <w:lang w:eastAsia="lt-LT"/>
            </w:rPr>
            <w:t>Teisės aktų projektų antikorupcinio vertinimo taisyklių</w:t>
          </w:r>
        </w:p>
        <w:p>
          <w:pPr>
            <w:suppressAutoHyphens/>
            <w:spacing w:line="276" w:lineRule="auto"/>
            <w:ind w:left="9072"/>
            <w:textAlignment w:val="baseline"/>
            <w:rPr>
              <w:color w:val="000000"/>
              <w:szCs w:val="24"/>
              <w:lang w:eastAsia="ar-SA"/>
            </w:rPr>
          </w:pPr>
          <w:r>
            <w:rPr>
              <w:color w:val="000000"/>
              <w:szCs w:val="24"/>
              <w:lang w:eastAsia="ar-SA"/>
            </w:rPr>
            <w:t>priedas</w:t>
          </w:r>
        </w:p>
        <w:p>
          <w:pPr>
            <w:suppressAutoHyphens/>
            <w:spacing w:line="276" w:lineRule="auto"/>
            <w:textAlignment w:val="baseline"/>
            <w:rPr>
              <w:b/>
              <w:szCs w:val="24"/>
              <w:lang w:eastAsia="lt-LT"/>
            </w:rPr>
          </w:pPr>
        </w:p>
        <w:p>
          <w:pPr>
            <w:suppressAutoHyphens/>
            <w:spacing w:line="276" w:lineRule="auto"/>
            <w:jc w:val="center"/>
            <w:textAlignment w:val="baseline"/>
            <w:rPr>
              <w:b/>
              <w:szCs w:val="24"/>
              <w:lang w:eastAsia="lt-LT"/>
            </w:rPr>
          </w:pPr>
          <w:sdt>
            <w:sdtPr>
              <w:alias w:val="Pavadinimas"/>
              <w:tag w:val="title_2de459e39c14481daf81500bf633374c"/>
              <w:lock w:val="sdtLocked"/>
              <w:richText/>
            </w:sdtPr>
            <w:sdtContent>
              <w:r>
                <w:rPr>
                  <w:b/>
                  <w:szCs w:val="24"/>
                  <w:lang w:eastAsia="lt-LT"/>
                </w:rPr>
                <w:t>TEISĖS AKTŲ PROJEKTŲ ANTIKORUPCINIO VERTINIMO PAŽYMA</w:t>
              </w:r>
            </w:sdtContent>
          </w:sdt>
        </w:p>
        <w:p>
          <w:pPr>
            <w:suppressAutoHyphens/>
            <w:jc w:val="center"/>
            <w:textAlignment w:val="baseline"/>
            <w:rPr>
              <w:b/>
              <w:szCs w:val="24"/>
              <w:lang w:eastAsia="lt-LT"/>
            </w:rPr>
          </w:pPr>
        </w:p>
        <w:p>
          <w:pPr>
            <w:suppressAutoHyphens/>
            <w:jc w:val="both"/>
            <w:textAlignment w:val="baseline"/>
            <w:rPr>
              <w:szCs w:val="24"/>
              <w:lang w:eastAsia="lt-LT"/>
            </w:rPr>
          </w:pPr>
          <w:r>
            <w:rPr>
              <w:szCs w:val="24"/>
              <w:lang w:eastAsia="lt-LT"/>
            </w:rPr>
            <w:t>Teisės akto projekto pavadinimas: Lietuvos Respublikos geriamojo vandens tiekimo ir nuotekų tvarkymo įstatymo Nr. X-764 pakeitimo įstatymo projektas (toliau – teisės akto projektas).</w:t>
          </w:r>
        </w:p>
        <w:p>
          <w:pPr>
            <w:suppressAutoHyphens/>
            <w:jc w:val="both"/>
            <w:textAlignment w:val="baseline"/>
            <w:rPr>
              <w:szCs w:val="24"/>
              <w:lang w:eastAsia="lt-LT"/>
            </w:rPr>
          </w:pPr>
          <w:r>
            <w:rPr>
              <w:szCs w:val="24"/>
              <w:lang w:eastAsia="lt-LT"/>
            </w:rPr>
            <w:t xml:space="preserve">Teisės akto projekto tiesioginis rengėjas: Lietuvos Respublikos aplinkos ministerijos Taršos prevencijos politikos grupės vyriausioji specialistė Judita Vaišnorienė, tel. 8 695 54 136, el. p. </w:t>
          </w:r>
          <w:r>
            <w:rPr>
              <w:color w:val="0000FF"/>
              <w:szCs w:val="24"/>
              <w:lang w:eastAsia="lt-LT"/>
            </w:rPr>
            <w:t>judita.vaisnoriene@am.lt</w:t>
          </w:r>
          <w:r>
            <w:rPr>
              <w:szCs w:val="24"/>
              <w:lang w:eastAsia="lt-LT"/>
            </w:rPr>
            <w:t>.</w:t>
          </w:r>
        </w:p>
        <w:p>
          <w:pPr>
            <w:suppressAutoHyphens/>
            <w:jc w:val="both"/>
            <w:textAlignment w:val="baseline"/>
            <w:rPr>
              <w:szCs w:val="24"/>
              <w:lang w:eastAsia="lt-LT"/>
            </w:rPr>
          </w:pPr>
          <w:r>
            <w:rPr>
              <w:color w:val="000000"/>
            </w:rPr>
            <w:t>Teisės akto projekto antikorupcinis vertinimas atliktas (</w:t>
          </w:r>
          <w:r>
            <w:rPr>
              <w:i/>
              <w:color w:val="000000"/>
            </w:rPr>
            <w:t>pažymėti reikiamą atsakymą</w:t>
          </w:r>
          <w:r>
            <w:rPr>
              <w:color w:val="000000"/>
            </w:rPr>
            <w:t xml:space="preserve">): </w:t>
          </w:r>
        </w:p>
        <w:p>
          <w:pPr>
            <w:suppressAutoHyphens/>
            <w:ind w:left="1560" w:hanging="284"/>
            <w:jc w:val="both"/>
            <w:textAlignment w:val="baseline"/>
            <w:rPr>
              <w:szCs w:val="24"/>
              <w:lang w:eastAsia="lt-LT"/>
            </w:rPr>
          </w:pPr>
          <w:r>
            <w:rPr>
              <w:rFonts w:ascii="Wingdings" w:hAnsi="Wingdings"/>
              <w:szCs w:val="24"/>
              <w:lang w:eastAsia="lt-LT"/>
            </w:rPr>
            <w:t></w:t>
            <w:tab/>
          </w:r>
          <w:r>
            <w:rPr>
              <w:szCs w:val="24"/>
              <w:lang w:eastAsia="lt-LT"/>
            </w:rPr>
            <w:t xml:space="preserve">suderinus teisės akto projektą viešojo administravimo subjekte ir su </w:t>
          </w:r>
          <w:r>
            <w:rPr>
              <w:szCs w:val="24"/>
            </w:rPr>
            <w:t>pavaldžiomis įstaigomis (įstaigomis prie ministerijos ir kitomis ministrui pavestose valdymo srityse veikiančiomis įstaigomis ir įmonėmis)</w:t>
          </w:r>
          <w:r>
            <w:rPr>
              <w:szCs w:val="24"/>
              <w:lang w:eastAsia="lt-LT"/>
            </w:rPr>
            <w:t>;</w:t>
          </w:r>
        </w:p>
        <w:p>
          <w:pPr>
            <w:suppressAutoHyphens/>
            <w:ind w:firstLine="1296"/>
            <w:jc w:val="both"/>
            <w:textAlignment w:val="baseline"/>
            <w:rPr>
              <w:szCs w:val="24"/>
              <w:lang w:eastAsia="lt-LT"/>
            </w:rPr>
          </w:pPr>
          <w:r>
            <w:rPr>
              <w:szCs w:val="24"/>
              <w:lang w:eastAsia="lt-LT"/>
            </w:rPr>
            <w:t xml:space="preserve">□  </w:t>
          </w:r>
          <w:r>
            <w:rPr>
              <w:color w:val="000000"/>
            </w:rPr>
            <w:t>suderinus teisės akto projektą su suinteresuotomis institucijomis, kai jis buvo papildytas arba pakeistas.</w:t>
          </w:r>
        </w:p>
        <w:p>
          <w:pPr>
            <w:suppressAutoHyphens/>
            <w:jc w:val="both"/>
            <w:textAlignment w:val="baseline"/>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 nėra</w:t>
          </w:r>
        </w:p>
        <w:p>
          <w:pPr>
            <w:suppressAutoHyphens/>
            <w:spacing w:line="276" w:lineRule="auto"/>
            <w:jc w:val="both"/>
            <w:textAlignment w:val="baseline"/>
            <w:rPr>
              <w:szCs w:val="24"/>
              <w:lang w:eastAsia="lt-LT"/>
            </w:rPr>
          </w:pPr>
        </w:p>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1852"/>
            <w:gridCol w:w="1542"/>
            <w:gridCol w:w="3231"/>
            <w:gridCol w:w="728"/>
            <w:gridCol w:w="1706"/>
            <w:gridCol w:w="2112"/>
            <w:gridCol w:w="2697"/>
            <w:gridCol w:w="870"/>
          </w:tblGrid>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szCs w:val="24"/>
                    <w:lang w:eastAsia="lt-LT"/>
                  </w:rPr>
                </w:pPr>
                <w:r>
                  <w:rPr>
                    <w:szCs w:val="24"/>
                    <w:lang w:eastAsia="lt-LT"/>
                  </w:rPr>
                  <w:t>Eil. Nr.</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szCs w:val="24"/>
                    <w:lang w:eastAsia="lt-LT"/>
                  </w:rPr>
                </w:pPr>
                <w:r>
                  <w:rPr>
                    <w:szCs w:val="24"/>
                    <w:lang w:eastAsia="lt-LT"/>
                  </w:rPr>
                  <w:t>Kriterijus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pPr>
                  <w:suppressAutoHyphens/>
                  <w:jc w:val="center"/>
                  <w:textAlignment w:val="baseline"/>
                </w:pPr>
                <w:r>
                  <w:rPr>
                    <w:szCs w:val="24"/>
                    <w:lang w:eastAsia="lt-LT"/>
                  </w:rPr>
                  <w:t>(</w:t>
                </w:r>
                <w:r>
                  <w:rPr>
                    <w:i/>
                    <w:szCs w:val="24"/>
                    <w:lang w:eastAsia="lt-LT"/>
                  </w:rPr>
                  <w:t>pildo teisės akto projekto antikorupcinį vertinimą atliekantis asmuo)</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uppressAutoHyphens/>
                  <w:jc w:val="center"/>
                  <w:textAlignment w:val="baseline"/>
                  <w:rPr>
                    <w:szCs w:val="24"/>
                    <w:lang w:eastAsia="lt-LT"/>
                  </w:rPr>
                </w:pPr>
              </w:p>
              <w:p>
                <w:pPr>
                  <w:suppressAutoHyphens/>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pPr>
                  <w:suppressAutoHyphens/>
                  <w:jc w:val="center"/>
                  <w:textAlignment w:val="baseline"/>
                  <w:rPr>
                    <w:szCs w:val="24"/>
                    <w:lang w:eastAsia="lt-LT"/>
                  </w:rPr>
                </w:pPr>
                <w:r>
                  <w:rPr>
                    <w:szCs w:val="24"/>
                    <w:lang w:eastAsia="lt-LT"/>
                  </w:rPr>
                  <w:t>(</w:t>
                </w:r>
                <w:r>
                  <w:rPr>
                    <w:i/>
                    <w:szCs w:val="24"/>
                    <w:lang w:eastAsia="lt-LT"/>
                  </w:rPr>
                  <w:t>pildo teisės akto projekto tiesioginis rengėjas)</w:t>
                </w: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szCs w:val="24"/>
                    <w:lang w:eastAsia="lt-LT"/>
                  </w:rPr>
                </w:pPr>
                <w:r>
                  <w:rPr>
                    <w:szCs w:val="24"/>
                    <w:lang w:eastAsia="lt-LT"/>
                  </w:rPr>
                  <w:t>Išvada dėl teisės akto projekto pakeitimų arba argumentų, kodėl neatsižvelgta į pastabą</w:t>
                </w:r>
              </w:p>
              <w:p>
                <w:pPr>
                  <w:suppressAutoHyphens/>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szCs w:val="24"/>
                    <w:lang w:eastAsia="lt-LT"/>
                  </w:rPr>
                </w:pPr>
                <w:r>
                  <w:rPr>
                    <w:szCs w:val="24"/>
                    <w:lang w:eastAsia="lt-LT"/>
                  </w:rPr>
                  <w:t>Teisės akto projektas sudaro nevienodas sąlygas subjektams, su kuriais susijęs teisės akto įgyvendinimas.</w:t>
                </w:r>
              </w:p>
              <w:p>
                <w:pPr>
                  <w:suppressAutoHyphens/>
                  <w:jc w:val="both"/>
                  <w:textAlignment w:val="baseline"/>
                  <w:rPr>
                    <w:szCs w:val="24"/>
                    <w:lang w:eastAsia="lt-LT"/>
                  </w:rPr>
                </w:pPr>
              </w:p>
              <w:p>
                <w:pPr>
                  <w:suppressAutoHyphens/>
                  <w:jc w:val="both"/>
                  <w:textAlignment w:val="baseline"/>
                  <w:rPr>
                    <w:szCs w:val="24"/>
                    <w:lang w:eastAsia="lt-LT"/>
                  </w:rPr>
                </w:pPr>
                <w:r>
                  <w:rPr>
                    <w:szCs w:val="24"/>
                    <w:lang w:eastAsia="lt-LT"/>
                  </w:rPr>
                  <w:t>Teisės akto projekto parengimą paskatinusios priežastys:</w:t>
                </w:r>
              </w:p>
              <w:p>
                <w:pPr>
                  <w:suppressAutoHyphens/>
                  <w:jc w:val="both"/>
                  <w:textAlignment w:val="baseline"/>
                  <w:rPr>
                    <w:color w:val="000000"/>
                  </w:rPr>
                </w:pPr>
                <w:r>
                  <w:rPr>
                    <w:szCs w:val="24"/>
                    <w:lang w:eastAsia="lt-LT"/>
                  </w:rPr>
                  <w:t>1)</w:t>
                </w:r>
                <w:r>
                  <w:t xml:space="preserve"> įgyvendinant LR Vyriausybės 2020 gruodžio 11 d. nutarimu Nr.  XIV-72 patvirtintą Aštuonioliktosios Lietuvos Respublikos Vyriausybės programos </w:t>
                </w:r>
                <w:r>
                  <w:rPr>
                    <w:color w:val="000000"/>
                  </w:rPr>
                  <w:t xml:space="preserve">162.4 nuostatą – „Užtikrinsime, kad visiems miestų ir miestelių (daugiau kaip 2 000 gyventojų) gyventojams būtų sudarytos galimybės naudotis geriamojo vandens tiekimo ir nuotekų tvarkymo paslaugomis. Skatinsime gyventojus, turinčius individualius vandens tiekimo ir nuotekų tvarkymo įrenginius, jungtis prie centralizuotų sistemų, o vandens įmones – didinti veiklos efektyvumą“. </w:t>
                </w:r>
              </w:p>
              <w:p>
                <w:pPr>
                  <w:suppressAutoHyphens/>
                  <w:jc w:val="both"/>
                  <w:textAlignment w:val="baseline"/>
                </w:pPr>
                <w:r>
                  <w:rPr>
                    <w:color w:val="000000"/>
                  </w:rPr>
                  <w:t xml:space="preserve">2) įgyvendinti LR </w:t>
                </w:r>
                <w:r>
                  <w:t xml:space="preserve">Vyriausybės </w:t>
                </w:r>
                <w:r>
                  <w:rPr>
                    <w:color w:val="000000"/>
                    <w:lang w:eastAsia="en-GB"/>
                  </w:rPr>
                  <w:t xml:space="preserve">2021 m. kovo 10 d. nutarimo Nr. 155 „Dėl </w:t>
                </w:r>
                <w:r>
                  <w:rPr>
                    <w:color w:val="000000"/>
                  </w:rPr>
                  <w:t xml:space="preserve">Aštuonioliktosios Lietuvos Respublikos Vyriausybės programos nuostatų įgyvendinimo plano patvirtinimo“ </w:t>
                </w:r>
                <w:r>
                  <w:t>6.4.15 priemonę „Parengti ir priimti Geriamojo vandens tiekimo ir nuotekų tvarkymo įstatymo pakeitimo įstatymo projektą ir pradėti įgyvendinti finansavimo mechanizmą, skatinantį vandentvarkos įmonių stambinimą, kad būtų užtikrintos kokybiškos ir prieinamos viešosios geriamojo vandens tiekimo ir nuotekų tvarkymo paslaugos“.</w:t>
                </w:r>
              </w:p>
              <w:p>
                <w:pPr>
                  <w:suppressAutoHyphens/>
                  <w:jc w:val="both"/>
                  <w:textAlignment w:val="baseline"/>
                  <w:rPr>
                    <w:color w:val="000000"/>
                  </w:rPr>
                </w:pPr>
                <w:r>
                  <w:t>3)</w:t>
                </w:r>
                <w:r>
                  <w:rPr>
                    <w:color w:val="000000"/>
                  </w:rPr>
                  <w:t xml:space="preserve"> į nacionalinę teisę perkelti </w:t>
                </w:r>
                <w:r>
                  <w:rPr>
                    <w:color w:val="000000"/>
                    <w:bdr w:val="none" w:sz="0" w:space="0" w:color="auto" w:frame="1"/>
                    <w:shd w:val="clear" w:color="auto" w:fill="FFFFFF"/>
                  </w:rPr>
                  <w:t>2020 m. gruodžio 16 d. Europos Parlamento ir Tarybos direktyvos (ES) </w:t>
                </w:r>
                <w:r>
                  <w:rPr>
                    <w:bdr w:val="none" w:sz="0" w:space="0" w:color="auto" w:frame="1"/>
                    <w:shd w:val="clear" w:color="auto" w:fill="FFFFFF"/>
                  </w:rPr>
                  <w:t>2020/2184</w:t>
                </w:r>
                <w:r>
                  <w:rPr>
                    <w:color w:val="000000"/>
                    <w:bdr w:val="none" w:sz="0" w:space="0" w:color="auto" w:frame="1"/>
                    <w:shd w:val="clear" w:color="auto" w:fill="FFFFFF"/>
                  </w:rPr>
                  <w:t xml:space="preserve"> dėl žmonėms vartoti skirto vandens kokybės  nuostatas.</w:t>
                </w:r>
              </w:p>
              <w:p>
                <w:pPr>
                  <w:suppressAutoHyphens/>
                  <w:jc w:val="both"/>
                  <w:textAlignment w:val="baseline"/>
                  <w:rPr>
                    <w:color w:val="000000"/>
                  </w:rPr>
                </w:pPr>
              </w:p>
              <w:p>
                <w:pPr>
                  <w:suppressAutoHyphens/>
                  <w:jc w:val="both"/>
                  <w:textAlignment w:val="baseline"/>
                  <w:rPr>
                    <w:color w:val="000000"/>
                  </w:rPr>
                </w:pPr>
                <w:r>
                  <w:t>Teisės akto projekto uždaviniais siekiama:</w:t>
                </w:r>
              </w:p>
              <w:p>
                <w:pPr>
                  <w:suppressAutoHyphens/>
                  <w:jc w:val="both"/>
                  <w:textAlignment w:val="baseline"/>
                </w:pPr>
                <w:r>
                  <w:rPr>
                    <w:color w:val="000000"/>
                  </w:rPr>
                  <w:t xml:space="preserve">1) </w:t>
                </w:r>
                <w:r>
                  <w:t>įtvirtinti naujus licencijuojamos veiklos kriterijus, paslaugų kokybės rodiklius;</w:t>
                </w:r>
              </w:p>
              <w:p>
                <w:pPr>
                  <w:suppressAutoHyphens/>
                  <w:jc w:val="both"/>
                  <w:textAlignment w:val="baseline"/>
                </w:pPr>
                <w:r>
                  <w:t>2) nustatyti veikiantį mechanizmą, kaip užtikrinamas paslaugų teikimas ir reikalavimų vykdymas, jei vandentvarkos įmonei panaikinama licencija (garantinis paslaugų tiekimas);</w:t>
                </w:r>
              </w:p>
              <w:p>
                <w:pPr>
                  <w:suppressAutoHyphens/>
                  <w:jc w:val="both"/>
                  <w:textAlignment w:val="baseline"/>
                  <w:rPr>
                    <w:iCs/>
                  </w:rPr>
                </w:pPr>
                <w:r>
                  <w:t xml:space="preserve">3) </w:t>
                </w:r>
                <w:r>
                  <w:rPr>
                    <w:iCs/>
                  </w:rPr>
                  <w:t>nustatyti naują paslaugų kainų nustatymo metodiką ir pritaikyti ją taip, kad sektorius galėtų investuoti į reikiamą infrastruktūros plėtrą ir rekonstrukciją iš veiklos pajamų ir nebūtų priklausomas nuo subsidijų;</w:t>
                </w:r>
              </w:p>
              <w:p>
                <w:pPr>
                  <w:suppressAutoHyphens/>
                  <w:jc w:val="both"/>
                  <w:textAlignment w:val="baseline"/>
                  <w:rPr>
                    <w:iCs/>
                  </w:rPr>
                </w:pPr>
                <w:r>
                  <w:rPr>
                    <w:iCs/>
                  </w:rPr>
                  <w:t>4) skatinti savanorišką</w:t>
                </w:r>
                <w:r>
                  <w:t xml:space="preserve"> </w:t>
                </w:r>
                <w:r>
                  <w:rPr>
                    <w:iCs/>
                  </w:rPr>
                  <w:t>geriamojo vandens tiekimo ir nuotekų tvarkymo regioninių įmonių plėtrą, numatant pereinamojo laikotarpio kainodarą, didesnę investicijų grąžą besijungiančioms įmonėms, mažinant administracinę naštą regioninei įmonei dėl kainų ir veiklos planų derinimo savivaldybėse;</w:t>
                </w:r>
              </w:p>
              <w:p>
                <w:pPr>
                  <w:suppressAutoHyphens/>
                  <w:jc w:val="both"/>
                  <w:textAlignment w:val="baseline"/>
                  <w:rPr>
                    <w:color w:val="000000"/>
                  </w:rPr>
                </w:pPr>
                <w:r>
                  <w:rPr>
                    <w:iCs/>
                  </w:rPr>
                  <w:t xml:space="preserve">5) </w:t>
                </w:r>
                <w:r>
                  <w:t>nustatyti rizika grindžiama požiūrį į vandens stebėseną, numatyti išsamesnės vartotojams teikiamos informacijos apie vandens kokybę ir kainos aspektus, pagerinti prieigą prie vandens;</w:t>
                </w:r>
              </w:p>
              <w:p>
                <w:pPr>
                  <w:suppressAutoHyphens/>
                  <w:jc w:val="both"/>
                  <w:textAlignment w:val="baseline"/>
                  <w:rPr>
                    <w:szCs w:val="24"/>
                    <w:lang w:eastAsia="lt-LT"/>
                  </w:rPr>
                </w:pPr>
                <w:r>
                  <w:t>sukurti individualiojo nuotekų tvarkymo įrenginių registravimo informacinę sistemą.</w:t>
                </w:r>
              </w:p>
              <w:p>
                <w:pPr>
                  <w:suppressAutoHyphens/>
                  <w:jc w:val="both"/>
                  <w:textAlignment w:val="baseline"/>
                  <w:rPr>
                    <w:color w:val="000000"/>
                    <w:szCs w:val="24"/>
                    <w:bdr w:val="none" w:sz="0" w:space="0" w:color="auto" w:frame="1"/>
                    <w:lang w:eastAsia="en-GB"/>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X tenkina</w:t>
                </w:r>
              </w:p>
              <w:p>
                <w:pPr>
                  <w:suppressAutoHyphens/>
                  <w:textAlignment w:val="baseline"/>
                  <w:rPr>
                    <w:szCs w:val="24"/>
                    <w:lang w:eastAsia="lt-LT"/>
                  </w:rPr>
                </w:pPr>
                <w:r>
                  <w:rPr>
                    <w:color w:val="000000"/>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jc w:val="center"/>
                  <w:textAlignment w:val="baseline"/>
                  <w:rPr>
                    <w:color w:val="000000"/>
                    <w:szCs w:val="24"/>
                    <w:lang w:eastAsia="lt-LT"/>
                  </w:rPr>
                </w:pPr>
                <w:r>
                  <w:rPr>
                    <w:color w:val="000000"/>
                    <w:szCs w:val="24"/>
                    <w:lang w:eastAsia="lt-LT"/>
                  </w:rPr>
                  <w:t>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textAlignment w:val="baseline"/>
                  <w:rPr>
                    <w:color w:val="000000"/>
                    <w:szCs w:val="24"/>
                    <w:lang w:eastAsia="lt-LT"/>
                  </w:rPr>
                </w:pPr>
                <w:r>
                  <w:rPr>
                    <w:color w:val="000000"/>
                    <w:szCs w:val="24"/>
                    <w:lang w:eastAsia="lt-LT"/>
                  </w:rPr>
                  <w:t>Teisės akto projekte nėra spragų ar nuostatų, leisiančių dviprasmiškai aiškinti ir taikyti teisės aktą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keepNext/>
                  <w:suppressAutoHyphens/>
                  <w:jc w:val="both"/>
                  <w:textAlignment w:val="baseline"/>
                  <w:rPr>
                    <w:color w:val="000000"/>
                    <w:szCs w:val="24"/>
                    <w:lang w:eastAsia="lt-LT"/>
                  </w:rPr>
                </w:pPr>
                <w:r>
                  <w:rPr>
                    <w:color w:val="000000"/>
                    <w:szCs w:val="24"/>
                    <w:lang w:eastAsia="lt-LT"/>
                  </w:rPr>
                  <w:t>Teisės akto projekte nėra nuostatų, leisiančių dviprasmiškai aiškinti ir taikyti teisės aktą.</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keepNext/>
                  <w:suppressAutoHyphens/>
                  <w:textAlignment w:val="baseline"/>
                  <w:rPr>
                    <w:color w:val="000000"/>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ind w:left="28"/>
                  <w:textAlignment w:val="baseline"/>
                  <w:rPr>
                    <w:color w:val="000000"/>
                    <w:szCs w:val="24"/>
                    <w:lang w:eastAsia="lt-LT"/>
                  </w:rPr>
                </w:pPr>
                <w:r>
                  <w:rPr>
                    <w:color w:val="000000"/>
                    <w:szCs w:val="24"/>
                    <w:lang w:eastAsia="lt-LT"/>
                  </w:rPr>
                  <w:t>X tenkina</w:t>
                </w:r>
              </w:p>
              <w:p>
                <w:pPr>
                  <w:keepNext/>
                  <w:suppressAutoHyphens/>
                  <w:textAlignment w:val="baseline"/>
                  <w:rPr>
                    <w:color w:val="000000"/>
                    <w:szCs w:val="24"/>
                    <w:lang w:eastAsia="lt-LT"/>
                  </w:rPr>
                </w:pPr>
                <w:r>
                  <w:rPr>
                    <w:color w:val="000000"/>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szCs w:val="24"/>
                    <w:lang w:eastAsia="lt-LT"/>
                  </w:rPr>
                </w:pPr>
                <w:r>
                  <w:rPr>
                    <w:szCs w:val="24"/>
                    <w:lang w:eastAsia="lt-LT"/>
                  </w:rPr>
                  <w:t xml:space="preserve">Teisės akto projekto 9 str. 1 d. nurodyta, kad </w:t>
                </w:r>
                <w:r>
                  <w:rPr>
                    <w:szCs w:val="24"/>
                  </w:rPr>
                  <w:t>Valstybinė energetikos reguliavimo taryba (toliau – VERT)</w:t>
                </w:r>
                <w:r>
                  <w:rPr>
                    <w:szCs w:val="24"/>
                    <w:lang w:eastAsia="lt-LT"/>
                  </w:rPr>
                  <w:t xml:space="preserve"> </w:t>
                </w:r>
                <w:r>
                  <w:rPr>
                    <w:szCs w:val="24"/>
                  </w:rPr>
                  <w:t xml:space="preserve">išduoda geriamojo vandens tiekimo ir nuotekų tvarkymo licencijas, jas registruoja, įspėja apie galimą licencijos panaikinimą, panaikina licencijų galiojimą, prižiūri, kaip laikomasi licencijuojamos veiklos sąlygų,  paskiria garantinį geriamojo vandens tiekėją ir nuotekų tvarkytoją;</w:t>
                </w:r>
                <w:r>
                  <w:rPr>
                    <w:szCs w:val="24"/>
                    <w:lang w:eastAsia="lt-LT"/>
                  </w:rPr>
                  <w:t xml:space="preserve"> </w:t>
                </w:r>
                <w:r>
                  <w:rPr>
                    <w:szCs w:val="24"/>
                  </w:rPr>
                  <w:t>nustato sankcijų skyrimo taisykles, skiria sankcijas už šio įstatymo nuostatų pažeidimus.</w:t>
                </w:r>
              </w:p>
              <w:p>
                <w:pPr>
                  <w:suppressAutoHyphens/>
                  <w:textAlignment w:val="baseline"/>
                  <w:rPr>
                    <w:szCs w:val="24"/>
                    <w:u w:val="single"/>
                    <w:lang w:eastAsia="lt-LT"/>
                  </w:rPr>
                </w:pPr>
              </w:p>
              <w:p>
                <w:pPr>
                  <w:suppressAutoHyphens/>
                  <w:jc w:val="both"/>
                  <w:textAlignment w:val="baseline"/>
                  <w:rPr>
                    <w:szCs w:val="24"/>
                    <w:lang w:eastAsia="lt-LT"/>
                  </w:rPr>
                </w:pPr>
                <w:r>
                  <w:rPr>
                    <w:szCs w:val="24"/>
                    <w:lang w:eastAsia="lt-LT"/>
                  </w:rPr>
                  <w:t xml:space="preserve">Atsižvelgiant į tai, kad </w:t>
                </w:r>
                <w:r>
                  <w:rPr>
                    <w:szCs w:val="24"/>
                  </w:rPr>
                  <w:t xml:space="preserve">geriamojo vandens tiekimo ir nuotekų tvarkymo licencijų išdavimo, linencijuojamos veiklos kontrolė ir sankcijų skyrimo už pažeidimus išskirstyti atkiroms instutucijosms nėra galimybės (tokių įstaigų, kurios pagal kompetenciją galėtų tai perimti nėra), manytina, kad tokių visų fukcijų priskyrimas VERT yra tinkamas. Siekiant skaidrumo,  VERT turi organizuoti  savo veiklą taip, kad licencijas išduodantys darbuotojai / padaliniai nevykdytų licencijuojamos veiklos kontrolės ir sakcijų taikymo už pažeidimus.    </w:t>
                </w:r>
              </w:p>
              <w:p>
                <w:pPr>
                  <w:suppressAutoHyphens/>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ind w:firstLine="62"/>
                  <w:textAlignment w:val="baseline"/>
                  <w:rPr>
                    <w:szCs w:val="24"/>
                    <w:lang w:eastAsia="lt-LT"/>
                  </w:rPr>
                </w:pPr>
                <w:r>
                  <w:rPr>
                    <w:szCs w:val="24"/>
                    <w:lang w:eastAsia="lt-LT"/>
                  </w:rPr>
                  <w:t xml:space="preserve">X  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Teisės akto projekte nustatyti subjekto įgaliojimai (teisės) atitinka subjekto atliekamas funkcijas (pareigas)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szCs w:val="24"/>
                    <w:lang w:eastAsia="lt-LT"/>
                  </w:rPr>
                </w:pPr>
                <w:r>
                  <w:rPr>
                    <w:bCs/>
                  </w:rPr>
                  <w:t>Kriterijus nėra teisės akto projekto reglamentavimo dalykas</w:t>
                </w:r>
              </w:p>
              <w:p>
                <w:pPr>
                  <w:suppressAutoHyphens/>
                  <w:jc w:val="both"/>
                  <w:textAlignment w:val="baseline"/>
                  <w:rPr>
                    <w:szCs w:val="24"/>
                    <w:lang w:eastAsia="lt-LT"/>
                  </w:rPr>
                </w:pPr>
              </w:p>
              <w:p>
                <w:pPr>
                  <w:suppressAutoHyphens/>
                  <w:jc w:val="both"/>
                  <w:textAlignment w:val="baseline"/>
                  <w:rPr>
                    <w:szCs w:val="24"/>
                    <w:lang w:eastAsia="lt-LT"/>
                  </w:rPr>
                </w:pPr>
                <w:r>
                  <w:rPr>
                    <w:szCs w:val="24"/>
                    <w:lang w:eastAsia="lt-LT"/>
                  </w:rPr>
                  <w:t>Įstaigoms priskiriamos fukcijos įstatymu, bet ne žemesniuoju teisės aktu.</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xml:space="preserve">X  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Teisės akto projekte nustatytas baigtinis sprendimų priėmimo kriterijų (atvejų)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szCs w:val="24"/>
                    <w:lang w:eastAsia="lt-LT"/>
                  </w:rPr>
                </w:pPr>
                <w:r>
                  <w:rPr>
                    <w:szCs w:val="24"/>
                    <w:lang w:eastAsia="lt-LT"/>
                  </w:rPr>
                  <w:t>Teisės akto projekte nustatytas baigtinis sprendimų priėmimo kriterijų (atvejų) sąrašas.</w:t>
                </w:r>
              </w:p>
              <w:p>
                <w:pPr>
                  <w:suppressAutoHyphens/>
                  <w:jc w:val="both"/>
                  <w:textAlignment w:val="baseline"/>
                  <w:rPr>
                    <w:szCs w:val="24"/>
                    <w:lang w:eastAsia="lt-LT"/>
                  </w:rPr>
                </w:pPr>
              </w:p>
              <w:p>
                <w:pPr>
                  <w:suppressAutoHyphens/>
                  <w:jc w:val="both"/>
                  <w:textAlignment w:val="baseline"/>
                  <w:rPr>
                    <w:szCs w:val="24"/>
                    <w:lang w:eastAsia="lt-LT"/>
                  </w:rPr>
                </w:pPr>
                <w:r>
                  <w:rPr>
                    <w:szCs w:val="24"/>
                    <w:lang w:eastAsia="lt-LT"/>
                  </w:rPr>
                  <w:t xml:space="preserve">Teisės akto projekto šeštasis skirsnyje reglamentuota geriamojo vandens tiekimo ir nuotekų tvarkymo licencijavimo sąlygos. </w:t>
                </w:r>
              </w:p>
              <w:p>
                <w:pPr>
                  <w:suppressAutoHyphens/>
                  <w:jc w:val="both"/>
                  <w:textAlignment w:val="baseline"/>
                  <w:rPr>
                    <w:szCs w:val="24"/>
                    <w:lang w:bidi="en-US"/>
                  </w:rPr>
                </w:pPr>
                <w:r>
                  <w:rPr>
                    <w:szCs w:val="24"/>
                    <w:lang w:eastAsia="lt-LT"/>
                  </w:rPr>
                  <w:t xml:space="preserve">Teisės akto projekto 27 str. 3 d. nurodyta, kad </w:t>
                </w:r>
                <w:r>
                  <w:rPr>
                    <w:szCs w:val="24"/>
                    <w:lang w:bidi="en-US"/>
                  </w:rPr>
                  <w:t>licencijos geriamojo vandens tiekimo ir nuotekų tvarkymo paslaugų teikimo veiklai išduodamos juridiniams asmenims, kurie:</w:t>
                </w:r>
              </w:p>
              <w:p>
                <w:pPr>
                  <w:suppressAutoHyphens/>
                  <w:jc w:val="both"/>
                  <w:textAlignment w:val="baseline"/>
                  <w:rPr>
                    <w:szCs w:val="24"/>
                    <w:lang w:bidi="en-US"/>
                  </w:rPr>
                </w:pPr>
                <w:r>
                  <w:rPr>
                    <w:szCs w:val="24"/>
                    <w:lang w:bidi="en-US"/>
                  </w:rPr>
                  <w:t>1) neturi mokestinės nepriemokos Lietuvos Respublikos biudžetui, savivaldybės biudžetui ar fondams, į kuriuos mokamus mokesčius administruoja Valstybinė mokesčių inspekcija (išskyrus atvejus, kai juridiniam asmeniui mokesčių, delspinigių, baudų mokėjimas atidėtas Lietuvos Respublikos teisės aktų nustatyta tvarka arba dėl šių mokesčių, delspinigių, baudų vyksta mokestinis ginčas), ir nėra skolingi Valstybinio socialinio draudimo fondo biudžetui;</w:t>
                </w:r>
              </w:p>
              <w:p>
                <w:pPr>
                  <w:suppressAutoHyphens/>
                  <w:jc w:val="both"/>
                  <w:textAlignment w:val="baseline"/>
                  <w:rPr>
                    <w:szCs w:val="24"/>
                    <w:lang w:bidi="en-US"/>
                  </w:rPr>
                </w:pPr>
                <w:r>
                  <w:rPr>
                    <w:szCs w:val="24"/>
                    <w:lang w:bidi="en-US"/>
                  </w:rPr>
                  <w:t xml:space="preserve">2) turi licencijuojamos veiklos sąlygas atitinkančius technologinius, finansinius ir vadybinius pajėgumus tiekti </w:t>
                </w:r>
                <w:r>
                  <w:rPr>
                    <w:rFonts w:eastAsia="Lucida Sans Unicode"/>
                    <w:szCs w:val="24"/>
                    <w:lang w:bidi="en-US"/>
                  </w:rPr>
                  <w:t xml:space="preserve">geriamąjį </w:t>
                </w:r>
                <w:r>
                  <w:rPr>
                    <w:szCs w:val="24"/>
                    <w:lang w:bidi="en-US"/>
                  </w:rPr>
                  <w:t xml:space="preserve">vandenį ir (arba) teikti nuotekų tvarkymo paslaugas tam tikroje savivaldybės teritorijoje pagal teisės aktų reikalavimus. Technologiniai, finansiniai ir vadybiniai pajėgumai vertinami pagal Geriamojo vandens tiekėjų </w:t>
                </w:r>
                <w:r>
                  <w:rPr>
                    <w:rFonts w:eastAsia="Lucida Sans Unicode"/>
                    <w:szCs w:val="24"/>
                    <w:lang w:eastAsia="ar-SA" w:bidi="en-US"/>
                  </w:rPr>
                  <w:t>ir nuotekų tvarkytojų</w:t>
                </w:r>
                <w:r>
                  <w:rPr>
                    <w:szCs w:val="24"/>
                    <w:lang w:bidi="en-US"/>
                  </w:rPr>
                  <w:t xml:space="preserve"> technologinio, finansinio ir vadybinio pajėgumų vertinimo tvarkos aprašą, vadovaujantis 27 straipsnio 4 dalyje nurodytais kriterijais.</w:t>
                </w:r>
              </w:p>
              <w:p>
                <w:pPr>
                  <w:suppressAutoHyphens/>
                  <w:jc w:val="both"/>
                  <w:textAlignment w:val="baseline"/>
                  <w:rPr>
                    <w:szCs w:val="24"/>
                    <w:lang w:bidi="en-US"/>
                  </w:rPr>
                </w:pPr>
                <w:r>
                  <w:rPr>
                    <w:szCs w:val="24"/>
                    <w:lang w:eastAsia="lt-LT"/>
                  </w:rPr>
                  <w:t xml:space="preserve">Teisės akto projekto 27 str. 12 d. nurodyta, kad </w:t>
                </w:r>
                <w:r>
                  <w:rPr>
                    <w:szCs w:val="24"/>
                    <w:lang w:bidi="en-US"/>
                  </w:rPr>
                  <w:t>geriamojo vandens tiekimo ir nuotekų tvarkymo licencija neišduodama, jeigu:</w:t>
                </w:r>
              </w:p>
              <w:p>
                <w:pPr>
                  <w:suppressAutoHyphens/>
                  <w:jc w:val="both"/>
                  <w:textAlignment w:val="baseline"/>
                  <w:rPr>
                    <w:szCs w:val="24"/>
                    <w:lang w:bidi="en-US"/>
                  </w:rPr>
                </w:pPr>
                <w:r>
                  <w:rPr>
                    <w:rFonts w:eastAsia="Lucida Sans Unicode"/>
                    <w:szCs w:val="24"/>
                    <w:lang w:bidi="en-US"/>
                  </w:rPr>
                  <w:t>1) juridinis asmuo neatitinka 27 straipsnio 3 dalyje nustatytų reikalavimų;</w:t>
                </w:r>
              </w:p>
              <w:p>
                <w:pPr>
                  <w:suppressAutoHyphens/>
                  <w:jc w:val="both"/>
                  <w:textAlignment w:val="baseline"/>
                  <w:rPr>
                    <w:szCs w:val="24"/>
                    <w:lang w:bidi="en-US"/>
                  </w:rPr>
                </w:pPr>
                <w:r>
                  <w:rPr>
                    <w:rFonts w:eastAsia="Lucida Sans Unicode"/>
                    <w:szCs w:val="24"/>
                    <w:lang w:bidi="en-US"/>
                  </w:rPr>
                  <w:t>2) pateikiami ne visi 27 straipsnio 5 dalyje nurodyti dokumentai</w:t>
                </w:r>
                <w:r>
                  <w:rPr>
                    <w:rFonts w:eastAsia="Lucida Sans Unicode"/>
                    <w:bCs/>
                    <w:szCs w:val="24"/>
                    <w:lang w:bidi="en-US"/>
                  </w:rPr>
                  <w:t xml:space="preserve"> ir per nustatytą terminą trūkumai nepašalinami</w:t>
                </w:r>
                <w:r>
                  <w:rPr>
                    <w:rFonts w:eastAsia="Lucida Sans Unicode"/>
                    <w:szCs w:val="24"/>
                    <w:lang w:bidi="en-US"/>
                  </w:rPr>
                  <w:t>;</w:t>
                </w:r>
              </w:p>
              <w:p>
                <w:pPr>
                  <w:suppressAutoHyphens/>
                  <w:jc w:val="both"/>
                  <w:textAlignment w:val="baseline"/>
                  <w:rPr>
                    <w:szCs w:val="24"/>
                    <w:lang w:bidi="en-US"/>
                  </w:rPr>
                </w:pPr>
                <w:r>
                  <w:rPr>
                    <w:rFonts w:eastAsia="Lucida Sans Unicode"/>
                    <w:szCs w:val="24"/>
                    <w:lang w:bidi="en-US"/>
                  </w:rPr>
                  <w:t>3) neištaisyti nustatyti prašymo išduoti licenciją pateikimo trūkumai ir nepateikta trūkstama informacija ar dokumentai 27 straipsnio 10 dalyje nustatyta tvarka;</w:t>
                </w:r>
              </w:p>
              <w:p>
                <w:pPr>
                  <w:suppressAutoHyphens/>
                  <w:jc w:val="both"/>
                  <w:textAlignment w:val="baseline"/>
                  <w:rPr>
                    <w:szCs w:val="24"/>
                    <w:lang w:bidi="en-US"/>
                  </w:rPr>
                </w:pPr>
                <w:r>
                  <w:rPr>
                    <w:rFonts w:eastAsia="Lucida Sans Unicode"/>
                    <w:szCs w:val="24"/>
                    <w:lang w:bidi="en-US"/>
                  </w:rPr>
                  <w:t>4) pateikti dokumentai netinkamai įforminti ir (ar) neatitinka nustatytų reikalavimų</w:t>
                </w:r>
                <w:r>
                  <w:rPr>
                    <w:rFonts w:eastAsia="Lucida Sans Unicode"/>
                    <w:bCs/>
                    <w:szCs w:val="24"/>
                    <w:lang w:bidi="en-US"/>
                  </w:rPr>
                  <w:t xml:space="preserve"> ir per nustatytą terminą trūkumai nepašalinami</w:t>
                </w:r>
                <w:r>
                  <w:rPr>
                    <w:rFonts w:eastAsia="Lucida Sans Unicode"/>
                    <w:szCs w:val="24"/>
                    <w:lang w:bidi="en-US"/>
                  </w:rPr>
                  <w:t>.</w:t>
                </w:r>
              </w:p>
              <w:p>
                <w:pPr>
                  <w:suppressAutoHyphens/>
                  <w:jc w:val="both"/>
                  <w:textAlignment w:val="baseline"/>
                  <w:rPr>
                    <w:szCs w:val="24"/>
                    <w:lang w:bidi="en-US"/>
                  </w:rPr>
                </w:pPr>
              </w:p>
              <w:p>
                <w:pPr>
                  <w:suppressAutoHyphens/>
                  <w:jc w:val="both"/>
                  <w:textAlignment w:val="baseline"/>
                  <w:rPr>
                    <w:szCs w:val="24"/>
                    <w:lang w:eastAsia="lt-LT"/>
                  </w:rPr>
                </w:pPr>
                <w:r>
                  <w:rPr>
                    <w:szCs w:val="24"/>
                    <w:lang w:eastAsia="lt-LT"/>
                  </w:rPr>
                  <w:t xml:space="preserve">Teisės akto projekto 30 str. 1 d. nurodyta, kad VERT </w:t>
                </w:r>
                <w:r>
                  <w:rPr>
                    <w:rFonts w:eastAsia="Lucida Sans Unicode"/>
                    <w:szCs w:val="24"/>
                    <w:lang w:bidi="en-US"/>
                  </w:rPr>
                  <w:t>priima sprendimą panaikinti geriamojo vandens tiekimo ir nuotekų tvarkymo licencijos galiojimą:</w:t>
                </w:r>
              </w:p>
              <w:p>
                <w:pPr>
                  <w:suppressAutoHyphens/>
                  <w:jc w:val="both"/>
                  <w:textAlignment w:val="baseline"/>
                  <w:rPr>
                    <w:szCs w:val="24"/>
                    <w:lang w:eastAsia="lt-LT"/>
                  </w:rPr>
                </w:pPr>
                <w:r>
                  <w:rPr>
                    <w:rFonts w:eastAsia="Lucida Sans Unicode"/>
                    <w:szCs w:val="24"/>
                    <w:lang w:bidi="en-US"/>
                  </w:rPr>
                  <w:t>1) geriamojo vandens tiekėjo</w:t>
                </w:r>
                <w:r>
                  <w:rPr>
                    <w:rFonts w:eastAsia="Lucida Sans Unicode"/>
                    <w:szCs w:val="24"/>
                    <w:lang w:eastAsia="ar-SA" w:bidi="en-US"/>
                  </w:rPr>
                  <w:t xml:space="preserve"> ir nuotekų tvarkytojo</w:t>
                </w:r>
                <w:r>
                  <w:rPr>
                    <w:rFonts w:eastAsia="Lucida Sans Unicode"/>
                    <w:szCs w:val="24"/>
                    <w:lang w:bidi="en-US"/>
                  </w:rPr>
                  <w:t xml:space="preserve"> prašymu;</w:t>
                </w:r>
              </w:p>
              <w:p>
                <w:pPr>
                  <w:suppressAutoHyphens/>
                  <w:jc w:val="both"/>
                  <w:textAlignment w:val="baseline"/>
                  <w:rPr>
                    <w:szCs w:val="24"/>
                    <w:lang w:eastAsia="lt-LT"/>
                  </w:rPr>
                </w:pPr>
                <w:r>
                  <w:rPr>
                    <w:rFonts w:eastAsia="Lucida Sans Unicode"/>
                    <w:szCs w:val="24"/>
                    <w:lang w:bidi="en-US"/>
                  </w:rPr>
                  <w:t>2) kai geriamojo vandens tiekėjas</w:t>
                </w:r>
                <w:r>
                  <w:rPr>
                    <w:rFonts w:eastAsia="Lucida Sans Unicode"/>
                    <w:szCs w:val="24"/>
                    <w:lang w:eastAsia="ar-SA" w:bidi="en-US"/>
                  </w:rPr>
                  <w:t xml:space="preserve"> ir nuotekų tvarkytojas</w:t>
                </w:r>
                <w:r>
                  <w:rPr>
                    <w:rFonts w:eastAsia="Lucida Sans Unicode"/>
                    <w:szCs w:val="24"/>
                    <w:lang w:bidi="en-US"/>
                  </w:rPr>
                  <w:t xml:space="preserve">, gavęs įspėjimą apie licencijos galiojimo panaikinimą, nepašalina pažeidimų per </w:t>
                </w:r>
                <w:r>
                  <w:rPr>
                    <w:szCs w:val="24"/>
                    <w:lang w:eastAsia="lt-LT"/>
                  </w:rPr>
                  <w:t>VERT</w:t>
                </w:r>
                <w:r>
                  <w:rPr>
                    <w:rFonts w:eastAsia="Lucida Sans Unicode"/>
                    <w:szCs w:val="24"/>
                    <w:lang w:bidi="en-US"/>
                  </w:rPr>
                  <w:t xml:space="preserve"> nustatytą įspėjimo terminą;</w:t>
                </w:r>
              </w:p>
              <w:p>
                <w:pPr>
                  <w:suppressAutoHyphens/>
                  <w:jc w:val="both"/>
                  <w:textAlignment w:val="baseline"/>
                  <w:rPr>
                    <w:szCs w:val="24"/>
                    <w:lang w:eastAsia="lt-LT"/>
                  </w:rPr>
                </w:pPr>
                <w:r>
                  <w:rPr>
                    <w:rFonts w:eastAsia="Lucida Sans Unicode"/>
                    <w:szCs w:val="24"/>
                    <w:lang w:bidi="en-US"/>
                  </w:rPr>
                  <w:t>3) kai geriamojo vandens tiekėjas</w:t>
                </w:r>
                <w:r>
                  <w:rPr>
                    <w:rFonts w:eastAsia="Lucida Sans Unicode"/>
                    <w:szCs w:val="24"/>
                    <w:lang w:eastAsia="ar-SA" w:bidi="en-US"/>
                  </w:rPr>
                  <w:t xml:space="preserve"> ir nuotekų tvarkytojas</w:t>
                </w:r>
                <w:r>
                  <w:rPr>
                    <w:rFonts w:eastAsia="Lucida Sans Unicode"/>
                    <w:szCs w:val="24"/>
                    <w:lang w:bidi="en-US"/>
                  </w:rPr>
                  <w:t xml:space="preserve"> įgyja likviduojamo juridinio asmens statusą.</w:t>
                </w:r>
              </w:p>
              <w:p>
                <w:pPr>
                  <w:suppressAutoHyphens/>
                  <w:jc w:val="both"/>
                  <w:textAlignment w:val="baseline"/>
                  <w:rPr>
                    <w:szCs w:val="24"/>
                    <w:lang w:bidi="en-US"/>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xml:space="preserve">X  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Teisės akto projekte nustatytas baigtinis motyvuotų atvejų, kai priimant sprendimus taikomos išimtys,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r>
                  <w:rPr>
                    <w:szCs w:val="24"/>
                    <w:lang w:eastAsia="lt-LT"/>
                  </w:rPr>
                  <w:t>Kriterijus nėra teisės akto projekto reglamentavimo dalykas.</w:t>
                </w:r>
              </w:p>
              <w:p>
                <w:pPr>
                  <w:suppressAutoHyphens/>
                  <w:textAlignment w:val="baseline"/>
                  <w:rPr>
                    <w:szCs w:val="24"/>
                    <w:lang w:eastAsia="lt-LT"/>
                  </w:rPr>
                </w:pPr>
              </w:p>
              <w:p>
                <w:pPr>
                  <w:suppressAutoHyphens/>
                  <w:textAlignment w:val="baseline"/>
                  <w:rPr>
                    <w:szCs w:val="24"/>
                    <w:lang w:eastAsia="lt-LT"/>
                  </w:rPr>
                </w:pPr>
                <w:r>
                  <w:rPr>
                    <w:szCs w:val="24"/>
                    <w:lang w:eastAsia="lt-LT"/>
                  </w:rPr>
                  <w:t>Projekte nėra nuostatų dėl išimčių taikymo priimant sprendimus.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xml:space="preserve">X  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xml:space="preserve">Teisės akto projekte nustatyta sprendimų priėmimo, įforminimo ir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szCs w:val="24"/>
                    <w:lang w:eastAsia="lt-LT"/>
                  </w:rPr>
                </w:pPr>
                <w:r>
                  <w:rPr>
                    <w:szCs w:val="24"/>
                    <w:lang w:eastAsia="lt-LT"/>
                  </w:rPr>
                  <w:t xml:space="preserve">Teisės akto projekto šeštame skirsnyje reglamentuota geriamono vandens tiekimo ir nuotekų tvarkymo licencijavimo tvarka. </w:t>
                </w:r>
              </w:p>
              <w:p>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xml:space="preserve">X  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pPr>
                <w:r>
                  <w:t>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pPr>
                <w:r>
                  <w:t xml:space="preserve">Teisės akto projekte nustatyti sprendimų dėl mažareikšmiškumo kriterijai ir priėmimo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lang w:eastAsia="lt-LT"/>
                  </w:rPr>
                  <w:t xml:space="preserve">Teisės akto projekto </w:t>
                </w:r>
                <w:r>
                  <w:rPr>
                    <w:szCs w:val="24"/>
                  </w:rPr>
                  <w:t xml:space="preserve">40 str. 5 d. nustatyta, kad jeigu pažeidimas yra mažareikšmis, tai yra geriamojo vandens tiekimo ir nuotekų tvarkymo bei paviršinių nuotekų tvarkymo įmonė nepadarė esminės žalos kitų asmenų interesams, nutraukė pažeidimą, pašalino pažeidimo padarinius, o teisės aktų reikalavimų laikymasis atsižvelgiant į faktines aplinkybes gali būti užtikrintas kitais būdais ir (arba) kitomis priemonėmis, VERT, vadovaudamasi teisingumo ir protingumo kriterijais, gali taikyti įspėjimą, neskirdama baudos.  </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xml:space="preserve">X  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pPr>
                  <w:suppressAutoHyphens/>
                  <w:ind w:left="33"/>
                  <w:textAlignment w:val="baseline"/>
                  <w:rPr>
                    <w:szCs w:val="24"/>
                  </w:rPr>
                </w:pPr>
                <w:r>
                  <w:rPr>
                    <w:szCs w:val="24"/>
                  </w:rPr>
                  <w:t>9.1. konkretus narių skaičius, užtikrinantis kolegialaus sprendimus priimančio subjekto veiklos objektyvumą</w:t>
                </w:r>
              </w:p>
              <w:p>
                <w:pPr>
                  <w:suppressAutoHyphens/>
                  <w:ind w:left="33"/>
                  <w:textAlignment w:val="baseline"/>
                  <w:rPr>
                    <w:szCs w:val="24"/>
                  </w:rPr>
                </w:pPr>
                <w:r>
                  <w:rPr>
                    <w:szCs w:val="24"/>
                  </w:rPr>
                  <w:t>9.2. jeigu narius skiria keli subjektai, proporcinga kiekvieno subjekto skiriamų narių dalis, užtikrinanti tinkamą atstovavimą valstybės interesams ir kolegialaus sprendimus priimančio subjekto veiklos objektyvumą ir skaidrumą</w:t>
                </w:r>
              </w:p>
              <w:p>
                <w:pPr>
                  <w:suppressAutoHyphens/>
                  <w:textAlignment w:val="baseline"/>
                </w:pPr>
                <w:r>
                  <w:rPr>
                    <w:szCs w:val="24"/>
                    <w:lang w:eastAsia="lt-LT"/>
                  </w:rPr>
                  <w:t>9.3</w:t>
                </w:r>
                <w:r>
                  <w:rPr>
                    <w:spacing w:val="-4"/>
                    <w:szCs w:val="24"/>
                    <w:lang w:eastAsia="lt-LT"/>
                  </w:rPr>
                  <w:t>. narių skyrimo mechanizmas</w:t>
                </w:r>
              </w:p>
              <w:p>
                <w:pPr>
                  <w:suppressAutoHyphens/>
                  <w:textAlignment w:val="baseline"/>
                  <w:rPr>
                    <w:szCs w:val="24"/>
                    <w:lang w:eastAsia="lt-LT"/>
                  </w:rPr>
                </w:pPr>
                <w:r>
                  <w:rPr>
                    <w:szCs w:val="24"/>
                    <w:lang w:eastAsia="lt-LT"/>
                  </w:rPr>
                  <w:t>9.4. narių rotacija ir kadencijų skaičius ir trukmė</w:t>
                </w:r>
              </w:p>
              <w:p>
                <w:pPr>
                  <w:suppressAutoHyphens/>
                  <w:textAlignment w:val="baseline"/>
                  <w:rPr>
                    <w:szCs w:val="24"/>
                  </w:rPr>
                </w:pPr>
                <w:r>
                  <w:rPr>
                    <w:szCs w:val="24"/>
                  </w:rPr>
                  <w:t>9.5. veiklos pobūdis laiko atžvilgiu</w:t>
                </w:r>
              </w:p>
              <w:p>
                <w:pPr>
                  <w:suppressAutoHyphens/>
                  <w:textAlignment w:val="baseline"/>
                  <w:rPr>
                    <w:szCs w:val="24"/>
                    <w:lang w:eastAsia="lt-LT"/>
                  </w:rPr>
                </w:pPr>
                <w:r>
                  <w:rPr>
                    <w:szCs w:val="24"/>
                    <w:lang w:eastAsia="lt-LT"/>
                  </w:rPr>
                  <w:t>9.6. asmeninė narių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r>
                  <w:rPr>
                    <w:szCs w:val="24"/>
                    <w:lang w:eastAsia="lt-LT"/>
                  </w:rPr>
                  <w:t>Kriterijus nėra teisės akto projekto reglamentavimo dalykas.</w:t>
                </w:r>
              </w:p>
              <w:p>
                <w:pPr>
                  <w:suppressAutoHyphens/>
                  <w:textAlignment w:val="baseline"/>
                  <w:rPr>
                    <w:szCs w:val="24"/>
                    <w:lang w:eastAsia="lt-LT"/>
                  </w:rPr>
                </w:pPr>
              </w:p>
              <w:p>
                <w:pPr>
                  <w:suppressAutoHyphens/>
                  <w:jc w:val="both"/>
                  <w:textAlignment w:val="baseline"/>
                  <w:rPr>
                    <w:szCs w:val="24"/>
                    <w:lang w:eastAsia="lt-LT"/>
                  </w:rPr>
                </w:pPr>
                <w:r>
                  <w:rPr>
                    <w:rFonts w:eastAsia="Lucida Sans Unicode"/>
                    <w:szCs w:val="24"/>
                    <w:lang w:bidi="en-US"/>
                  </w:rPr>
                  <w:t>Teisės akto projekte nurodyta, kad su geriamojo vandens tiekimo ir nuotekų tvarkymo licencijos išdavimu / panaikinimu susijusias procedūras atlieka VERT.</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xml:space="preserve">□  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10.</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szCs w:val="24"/>
                    <w:lang w:eastAsia="lt-LT"/>
                  </w:rPr>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ir viešinimo tvarka.</w:t>
                </w:r>
              </w:p>
              <w:p>
                <w:pPr>
                  <w:suppressAutoHyphens/>
                  <w:jc w:val="both"/>
                  <w:textAlignment w:val="baseline"/>
                  <w:rPr>
                    <w:szCs w:val="24"/>
                    <w:lang w:eastAsia="lt-LT"/>
                  </w:rPr>
                </w:pPr>
              </w:p>
              <w:p>
                <w:pPr>
                  <w:suppressAutoHyphens/>
                  <w:jc w:val="both"/>
                  <w:textAlignment w:val="baseline"/>
                  <w:rPr>
                    <w:szCs w:val="24"/>
                    <w:lang w:eastAsia="lt-LT"/>
                  </w:rPr>
                </w:pPr>
                <w:r>
                  <w:rPr>
                    <w:szCs w:val="24"/>
                    <w:lang w:eastAsia="lt-LT"/>
                  </w:rPr>
                  <w:t>Teisės akto projekto šeštame skirsnyje reglamentuota geriamono vandens tiekimo ir nuotekų tvarkymo licencijavimo procedūros. Kitos teisės akto projekto nuostatoos numato išsamias vandens tiekėjo ir nuotekų tvarkytojo (įskainat garantinio) paskyrimą, regioninio vandens vandens tiekėjo ir nuotekų tvarkytojo įsteigimą, jų kontrolę, sankcijų už pažeidimus taikymą ir kt.</w:t>
                </w:r>
              </w:p>
              <w:p>
                <w:pPr>
                  <w:suppressAutoHyphens/>
                  <w:jc w:val="both"/>
                  <w:textAlignment w:val="baseline"/>
                  <w:rPr>
                    <w:szCs w:val="24"/>
                    <w:lang w:eastAsia="lt-LT"/>
                  </w:rPr>
                </w:pPr>
              </w:p>
              <w:p>
                <w:pPr>
                  <w:suppressAutoHyphens/>
                  <w:jc w:val="both"/>
                  <w:textAlignment w:val="baseline"/>
                  <w:rPr>
                    <w:szCs w:val="24"/>
                    <w:lang w:eastAsia="lt-LT"/>
                  </w:rPr>
                </w:pPr>
                <w:r>
                  <w:rPr>
                    <w:szCs w:val="24"/>
                    <w:lang w:eastAsia="lt-LT"/>
                  </w:rPr>
                  <w:t xml:space="preserve">Teisės akto projektas papildomas naujomis nuostatomis, kad informacija apie geriamojo vandens tiekėją ir nuotekų tvarkytoją, paviršinių nuotekų tvarkytoją, tiekiamo geriamojo vandens ir teikiamų nuotekų tvarkymo paslaugų kokybę (įskaitant indikatorinius parametrus), taikomus geriamojo vandens valymo ir dezinfekavimo būdus, paviršinių nuotekų tvarkymą, paslaugų teikimo sąlygas ir numatomus sutarčių sąlygų pakeitimus, sistemų eksploatavimą, modernizavimą, plėtrą, renovaciją, investicijas į sistemos plėtrą ir renovaciją, paslaugų kainas ir tarifus, jų struktūrą ir Geriamojo vandens tiekimo ir nuotekų tvarkymo paslaugų kokybės reikalavimuose nustatyta informacija būtų vieša, skelbiama savivaldybių, geriamojo vandens tiekėjų ir nuotekų tvarkytojų, paviršinių nuotekų tvarkytojų interneto svetainėse  (teisės akto projekto 38 str. 1 d.).</w:t>
                </w:r>
              </w:p>
              <w:p>
                <w:pPr>
                  <w:suppressAutoHyphens/>
                  <w:jc w:val="both"/>
                  <w:textAlignment w:val="baseline"/>
                  <w:rPr>
                    <w:szCs w:val="24"/>
                    <w:lang w:eastAsia="lt-LT"/>
                  </w:rPr>
                </w:pPr>
              </w:p>
              <w:p>
                <w:pPr>
                  <w:suppressAutoHyphens/>
                  <w:jc w:val="both"/>
                  <w:textAlignment w:val="baseline"/>
                  <w:rPr>
                    <w:szCs w:val="24"/>
                    <w:lang w:eastAsia="lt-LT"/>
                  </w:rPr>
                </w:pPr>
                <w:r>
                  <w:rPr>
                    <w:bCs/>
                    <w:szCs w:val="24"/>
                  </w:rPr>
                  <w:t xml:space="preserve">Geriamojo vandens tiekėjai ir nuotekų tvarkytojai, paviršinių nuotekų tvarkytojai, kurie pagal Lietuvos Respublikos finansinės atskaitomybės įstatymo reikalavimus privalo atlikti finansinių ataskaitų auditą, </w:t>
                </w:r>
                <w:r>
                  <w:rPr>
                    <w:bCs/>
                    <w:color w:val="000000"/>
                    <w:szCs w:val="24"/>
                  </w:rPr>
                  <w:t xml:space="preserve">užtikrina, kad pasibaigus </w:t>
                </w:r>
                <w:r>
                  <w:rPr>
                    <w:bCs/>
                    <w:szCs w:val="24"/>
                  </w:rPr>
                  <w:t xml:space="preserve">kiekvieniems finansiniams metams per 4 mėnesius </w:t>
                </w:r>
                <w:r>
                  <w:rPr>
                    <w:bCs/>
                    <w:color w:val="000000"/>
                    <w:szCs w:val="24"/>
                  </w:rPr>
                  <w:t>būtų atliktas metinių finansinių ataskaitų auditas ir</w:t>
                </w:r>
                <w:r>
                  <w:rPr>
                    <w:bCs/>
                    <w:szCs w:val="24"/>
                  </w:rPr>
                  <w:t xml:space="preserve"> auditoriaus išvada kartu su finansinėmis ataskaitomis </w:t>
                </w:r>
                <w:r>
                  <w:rPr>
                    <w:bCs/>
                    <w:color w:val="000000"/>
                    <w:szCs w:val="24"/>
                  </w:rPr>
                  <w:t>pateikta</w:t>
                </w:r>
                <w:r>
                  <w:rPr>
                    <w:bCs/>
                    <w:szCs w:val="24"/>
                  </w:rPr>
                  <w:t xml:space="preserve"> VERT ir </w:t>
                </w:r>
                <w:r>
                  <w:rPr>
                    <w:bCs/>
                    <w:color w:val="000000"/>
                    <w:szCs w:val="24"/>
                  </w:rPr>
                  <w:t xml:space="preserve">paskelbta </w:t>
                </w:r>
                <w:r>
                  <w:rPr>
                    <w:bCs/>
                    <w:szCs w:val="24"/>
                  </w:rPr>
                  <w:t>geriamojo vandens tiekėjų ir nuotekų tvarkytojų, paviršinių nuotekų tvarkytojų interneto svetainėse (38 str. 5 d.).</w:t>
                </w:r>
                <w:r>
                  <w:t xml:space="preserve"> </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xml:space="preserve">X  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jc w:val="center"/>
                  <w:textAlignment w:val="baseline"/>
                  <w:rPr>
                    <w:szCs w:val="24"/>
                    <w:lang w:eastAsia="lt-LT"/>
                  </w:rPr>
                </w:pPr>
                <w:r>
                  <w:rPr>
                    <w:szCs w:val="24"/>
                    <w:lang w:eastAsia="lt-LT"/>
                  </w:rPr>
                  <w:t>11.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textAlignment w:val="baseline"/>
                </w:pPr>
                <w:r>
                  <w:rPr>
                    <w:szCs w:val="24"/>
                    <w:lang w:eastAsia="lt-LT"/>
                  </w:rPr>
                  <w:t>Teisės akto projekte nustatytas baigtinis motyvuotų atvejų, kai nustatoma procedūra netaikoma,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keepNext/>
                  <w:suppressAutoHyphens/>
                  <w:textAlignment w:val="baseline"/>
                  <w:rPr>
                    <w:szCs w:val="24"/>
                    <w:lang w:eastAsia="lt-LT"/>
                  </w:rPr>
                </w:pPr>
                <w:r>
                  <w:rPr>
                    <w:szCs w:val="24"/>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keepNext/>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xml:space="preserve">□   tenkina</w:t>
                </w:r>
              </w:p>
              <w:p>
                <w:pPr>
                  <w:keepNext/>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pPr>
                <w:r>
                  <w:rPr>
                    <w:szCs w:val="24"/>
                    <w:lang w:eastAsia="lt-LT"/>
                  </w:rPr>
                  <w:t>Teisės akto projektas nustato jo nuostatoms įgyvendinti numatytų procedūrų ir sprendimų priėmimo konkrečius terminus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szCs w:val="24"/>
                    <w:lang w:eastAsia="lt-LT"/>
                  </w:rPr>
                </w:pPr>
                <w:r>
                  <w:rPr>
                    <w:szCs w:val="24"/>
                    <w:lang w:eastAsia="lt-LT"/>
                  </w:rPr>
                  <w:t xml:space="preserve">Teisės akto projekto šeštame skirsnyje reglamentuota geriamono vandens tiekimo ir nuotekų tvarkymo licencijavimo tvarka ir procedūrų terminai. </w:t>
                </w:r>
              </w:p>
              <w:p>
                <w:pPr>
                  <w:suppressAutoHyphens/>
                  <w:jc w:val="both"/>
                  <w:textAlignment w:val="baseline"/>
                  <w:rPr>
                    <w:szCs w:val="24"/>
                    <w:lang w:eastAsia="lt-LT"/>
                  </w:rPr>
                </w:pPr>
              </w:p>
              <w:p>
                <w:pPr>
                  <w:suppressAutoHyphens/>
                  <w:jc w:val="both"/>
                  <w:textAlignment w:val="baseline"/>
                  <w:rPr>
                    <w:szCs w:val="24"/>
                    <w:lang w:eastAsia="lt-LT"/>
                  </w:rPr>
                </w:pPr>
                <w:r>
                  <w:rPr>
                    <w:szCs w:val="24"/>
                    <w:lang w:eastAsia="lt-LT"/>
                  </w:rPr>
                  <w:t>VERT per 30 kalendorinių dienų nuo reikiamų dokumentų gavimo dienos privalo išduoti licenciją arba juridiniam asmeniui, pateikusiam prašymą išduoti licenciją, motyvuotai atsisakyti išduoti licenciją (27 str. 7 d.).</w:t>
                </w:r>
              </w:p>
              <w:p>
                <w:pPr>
                  <w:widowControl w:val="0"/>
                  <w:suppressAutoHyphens/>
                  <w:jc w:val="both"/>
                  <w:rPr>
                    <w:bCs/>
                    <w:szCs w:val="24"/>
                    <w:lang w:bidi="en-US"/>
                  </w:rPr>
                </w:pPr>
              </w:p>
              <w:p>
                <w:pPr>
                  <w:widowControl w:val="0"/>
                  <w:suppressAutoHyphens/>
                  <w:jc w:val="both"/>
                  <w:rPr>
                    <w:bCs/>
                    <w:szCs w:val="24"/>
                    <w:lang w:bidi="en-US"/>
                  </w:rPr>
                </w:pPr>
                <w:r>
                  <w:rPr>
                    <w:bCs/>
                    <w:szCs w:val="24"/>
                    <w:lang w:bidi="en-US"/>
                  </w:rPr>
                  <w:t xml:space="preserve">VERT </w:t>
                </w:r>
                <w:r>
                  <w:rPr>
                    <w:szCs w:val="24"/>
                  </w:rPr>
                  <w:t>sprendimas dėl sankcijos skyrimo turi būti priimtas per 6 mėnesius nuo pažeidimo nustatymo dienos. Tęstinio pažeidimo atveju sankcija gali būti paskirta ne vėliau kaip per 6 mėnesius nuo pažeidimo paaiškėjimo dienos. Už pažeidimus, nuo kurių padarymo dienos praėjo daugiau kaip 5 metai, sankcijos negali būti skiriamos. (40 str. 13 d.)</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xml:space="preserve">X  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Teisės akto projektas nustato motyvuotas terminų sustabdymo ir pratęsimo galimybes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szCs w:val="24"/>
                    <w:lang w:eastAsia="lt-LT"/>
                  </w:rPr>
                </w:pPr>
                <w:r>
                  <w:rPr>
                    <w:szCs w:val="24"/>
                    <w:lang w:eastAsia="lt-LT"/>
                  </w:rPr>
                  <w:t>Teisės akto projektas nustato motyvuotas terminų pratęsimo galimybes.</w:t>
                </w:r>
              </w:p>
              <w:p>
                <w:pPr>
                  <w:suppressAutoHyphens/>
                  <w:jc w:val="both"/>
                  <w:textAlignment w:val="baseline"/>
                  <w:rPr>
                    <w:szCs w:val="24"/>
                    <w:lang w:eastAsia="lt-LT"/>
                  </w:rPr>
                </w:pPr>
              </w:p>
              <w:p>
                <w:pPr>
                  <w:suppressAutoHyphens/>
                  <w:jc w:val="both"/>
                  <w:textAlignment w:val="baseline"/>
                  <w:rPr>
                    <w:rFonts w:eastAsia="Lucida Sans Unicode"/>
                    <w:szCs w:val="24"/>
                    <w:lang w:bidi="en-US"/>
                  </w:rPr>
                </w:pPr>
                <w:r>
                  <w:rPr>
                    <w:szCs w:val="24"/>
                    <w:lang w:eastAsia="lt-LT"/>
                  </w:rPr>
                  <w:t xml:space="preserve">Teisės akto projekto 27 str. 9 d. numatyta, kad 27 str. 7 d. </w:t>
                </w:r>
                <w:r>
                  <w:rPr>
                    <w:rFonts w:eastAsia="Lucida Sans Unicode"/>
                    <w:szCs w:val="24"/>
                    <w:lang w:bidi="en-US"/>
                  </w:rPr>
                  <w:t>nurodytas terminas, per kurį turi būti išduota licencija arba motyvuotai atsisakyta išduoti licenciją, gali būti pratęstas. VERT, nusprendusi pratęsti šio straipsnio 7 dalyje nurodytą terminą, privalo iki termino, per kurį turi būti išduota licencija arba motyvuotai atsisakyta išduoti licenciją, pabaigos apie tai informuoti juridinį asmenį, pateikusį prašymą išduoti licenciją, nurodydama priežastis, dėl kurių licencijos išdavimo terminas yra pratęsiamas, ir terminą, kuris gali būti ne ilgesnis kaip 30 kalendorinių dienų. Šio straipsnio 7 dalyje nurodytas terminas gali būti patęstas dėl šių priežasčių:</w:t>
                </w:r>
              </w:p>
              <w:p>
                <w:pPr>
                  <w:suppressAutoHyphens/>
                  <w:jc w:val="both"/>
                  <w:textAlignment w:val="baseline"/>
                  <w:rPr>
                    <w:rFonts w:eastAsia="Lucida Sans Unicode"/>
                    <w:szCs w:val="24"/>
                    <w:lang w:bidi="en-US"/>
                  </w:rPr>
                </w:pPr>
                <w:r>
                  <w:rPr>
                    <w:rFonts w:eastAsia="Lucida Sans Unicode"/>
                    <w:szCs w:val="24"/>
                    <w:lang w:bidi="en-US"/>
                  </w:rPr>
                  <w:t>1) gaunama naujos informacijos ar paaiškėja naujų faktų, reikšmingų priimant sprendimą dėl licencijos išdavimo;</w:t>
                </w:r>
              </w:p>
              <w:p>
                <w:pPr>
                  <w:suppressAutoHyphens/>
                  <w:jc w:val="both"/>
                  <w:textAlignment w:val="baseline"/>
                  <w:rPr>
                    <w:rFonts w:eastAsia="Lucida Sans Unicode"/>
                    <w:szCs w:val="24"/>
                    <w:lang w:bidi="en-US"/>
                  </w:rPr>
                </w:pPr>
                <w:r>
                  <w:rPr>
                    <w:rFonts w:eastAsia="Lucida Sans Unicode"/>
                    <w:szCs w:val="24"/>
                    <w:lang w:bidi="en-US"/>
                  </w:rPr>
                  <w:t>2) dokumentų svarstymo metu pasikeičia teisinis geriamojo vandens tiekimo ir nuotekų tvarkymo reglamentavimas.</w:t>
                </w:r>
              </w:p>
              <w:p>
                <w:pPr>
                  <w:suppressAutoHyphens/>
                  <w:jc w:val="both"/>
                  <w:textAlignment w:val="baseline"/>
                  <w:rPr>
                    <w:rFonts w:eastAsia="Lucida Sans Unicode"/>
                    <w:szCs w:val="24"/>
                    <w:lang w:bidi="en-US"/>
                  </w:rPr>
                </w:pPr>
              </w:p>
              <w:p>
                <w:pPr>
                  <w:suppressAutoHyphens/>
                  <w:jc w:val="both"/>
                  <w:textAlignment w:val="baseline"/>
                  <w:rPr>
                    <w:rFonts w:eastAsia="Lucida Sans Unicode"/>
                    <w:szCs w:val="24"/>
                    <w:lang w:bidi="en-US"/>
                  </w:rPr>
                </w:pPr>
                <w:r>
                  <w:rPr>
                    <w:szCs w:val="24"/>
                    <w:lang w:eastAsia="lt-LT"/>
                  </w:rPr>
                  <w:t xml:space="preserve">Teisės akto projekto 27 str. 11 d. nurodyta, kad </w:t>
                </w:r>
                <w:r>
                  <w:rPr>
                    <w:rFonts w:eastAsia="Lucida Sans Unicode"/>
                    <w:szCs w:val="24"/>
                    <w:lang w:bidi="en-US"/>
                  </w:rPr>
                  <w:t>jeigu juridinio asmens prašymas pateiktas nesilaikant reikalavimų, šio straipsnio 10 dalyje nustatyta tvarka juridinis asmuo neištaiso nustatytų prašymo išduoti licenciją pateikimo trūkumų ar nepateikia trūkstamų dokumentų ir (arba) informacijos ir dėl to neišduodama licencija, VERT per 15 darbo dienų nuo prašymo gavimo dienos išsiunčia juridiniam asmeniui pranešimą, nurodydama priežastis, dėl kurių atsisakyta išduoti licenciją.</w:t>
                </w:r>
              </w:p>
              <w:p>
                <w:pPr>
                  <w:suppressAutoHyphens/>
                  <w:jc w:val="both"/>
                  <w:textAlignment w:val="baseline"/>
                  <w:rPr>
                    <w:rFonts w:eastAsia="Lucida Sans Unicode"/>
                    <w:szCs w:val="24"/>
                    <w:lang w:bidi="en-US"/>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xml:space="preserve">X  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szCs w:val="24"/>
                    <w:lang w:eastAsia="lt-LT"/>
                  </w:rPr>
                </w:pPr>
                <w:r>
                  <w:rPr>
                    <w:szCs w:val="24"/>
                    <w:lang w:eastAsia="lt-LT"/>
                  </w:rPr>
                  <w:t>Teisės akto projekto 35 str. nurodyta, kad VERT vadovaudamasi šiuo įstatymuir Lietuvos Respublikos viešojo administravimo įstatymo IV skyriaus nuostatomis, prižiūrėdama, kaip geriamojo vandens tiekėjas ir nuotekų tvarkytojas, paviršinių nuotekų tvarkytojas vykdo reguliuojamąją veiklą, turi teisę atlikti geriamojo vandens tiekėjo ir nuotekų tvarkytojo, paviršinių nuotekų tvarkytojo veiklos patikrinimus.</w:t>
                </w:r>
              </w:p>
              <w:p>
                <w:pPr>
                  <w:suppressAutoHyphens/>
                  <w:jc w:val="both"/>
                  <w:textAlignment w:val="baseline"/>
                  <w:rPr>
                    <w:szCs w:val="24"/>
                    <w:lang w:eastAsia="lt-LT"/>
                  </w:rPr>
                </w:pPr>
              </w:p>
              <w:p>
                <w:pPr>
                  <w:suppressAutoHyphens/>
                  <w:jc w:val="both"/>
                  <w:textAlignment w:val="baseline"/>
                  <w:rPr>
                    <w:szCs w:val="24"/>
                    <w:lang w:eastAsia="lt-LT"/>
                  </w:rPr>
                </w:pPr>
                <w:r>
                  <w:rPr>
                    <w:szCs w:val="24"/>
                    <w:lang w:eastAsia="lt-LT"/>
                  </w:rPr>
                  <w:t>Teisės akto projekto 35 str. reglamentuotos geriamojo vandens tiekimo ir nuotekų tvarkymo bei paviršinių nuotekų tvarkymo įmonių veiklos patikrinimų procedūros, tikrinančiojo ir tikrinamojo teisės, tikrinamojo pareigos. VERT įgalioti administracijos valstybės tarnautojai ir darbuotojai, dirbantys pagal darbo sutartis, įgyvendindami jiems suteiktas teises, surašo dokumentus (aktus, protokolus, reikalavimus). Jų formas patvirtina ir pildymo tvarką nustato VERT.</w:t>
                </w:r>
              </w:p>
              <w:p>
                <w:pPr>
                  <w:suppressAutoHyphens/>
                  <w:jc w:val="both"/>
                  <w:textAlignment w:val="baseline"/>
                  <w:rPr>
                    <w:szCs w:val="24"/>
                    <w:lang w:eastAsia="lt-LT"/>
                  </w:rPr>
                </w:pPr>
              </w:p>
              <w:p>
                <w:pPr>
                  <w:suppressAutoHyphens/>
                  <w:jc w:val="both"/>
                  <w:textAlignment w:val="baseline"/>
                  <w:rPr>
                    <w:szCs w:val="24"/>
                    <w:lang w:eastAsia="lt-LT"/>
                  </w:rPr>
                </w:pPr>
                <w:r>
                  <w:rPr>
                    <w:szCs w:val="24"/>
                    <w:lang w:eastAsia="lt-LT"/>
                  </w:rPr>
                  <w:t xml:space="preserve">Siekiant užtikrinti individualiųjų nuotekų tvarkymo priežiūrą numatomos papildomos savivaldybėms pareigos, t. y. teisės akto projekto projekto 10 straipsnio 2 d. 10 punkte numatyta, kad savivaldybės vykdomoji institucija </w:t>
                </w:r>
                <w:r>
                  <w:rPr>
                    <w:szCs w:val="24"/>
                  </w:rPr>
                  <w:t xml:space="preserve">atlieka patikrinimus, ar asmenys, individualiai tvarkantys nuotekas, turi nuotekas turi apmokėjimą už sukauptų nuotekų transportavimą patvirtinančius dokumentus arba sudarytą viešąją sutartį su geriamojo vandens tiekėju arba nuotekų transportavimo paslaugas teikiančiu asmeniu arba individualiųjų nuotekų valymo ir (arba) kaupimo įrenginių priežiūrą vykdančiam asmeniu, ar individualiųjų nuotekų valymo įrenginių priežiūra (eksploatacija) vykdoma Nuotekų tvarkymo reglamente, </w:t>
                </w:r>
                <w:r>
                  <w:rPr>
                    <w:rFonts w:eastAsia="Lucida Sans Unicode"/>
                    <w:szCs w:val="24"/>
                    <w:lang w:bidi="en-US"/>
                  </w:rPr>
                  <w:t>Nuotekų kaupimo rezervuarų ir septikų įrengimo, eksploatavimo ir kontrolės tvarkos apraše</w:t>
                </w:r>
                <w:r>
                  <w:rPr>
                    <w:rFonts w:eastAsia="Lucida Sans Unicode"/>
                    <w:szCs w:val="22"/>
                    <w:lang w:bidi="en-US"/>
                  </w:rPr>
                  <w:t xml:space="preserve"> ir Nuotekų valymo įrenginių taikymo reglamento </w:t>
                </w:r>
                <w:r>
                  <w:rPr>
                    <w:szCs w:val="24"/>
                  </w:rPr>
                  <w:t>nustatyta tvarka.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xml:space="preserve">X  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Teisės akto projekte nustatytos kontrolės (priežiūros) skaidrumo ir objektyvumo užtikrinimo priemonės (p</w:t>
                </w:r>
                <w:r>
                  <w:rPr>
                    <w:szCs w:val="24"/>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pPr>
                <w:r>
                  <w:rPr>
                    <w:szCs w:val="24"/>
                    <w:lang w:eastAsia="lt-LT"/>
                  </w:rPr>
                  <w:t>Kaip minėta aukščiau, teisės akto projekto 35 str. reglamentuotos geriamojo vandens tiekimo ir nuotekų tvarkymo bei paviršinių nuotekų tvarkymo įmonių veiklos patikrinimų procedūros, tikrinančiojo ir tikrinamojo teisės, tikrinamojo pareigos. Taip pat įtvirtintas reikalavimas fiksuoti procedūras</w:t>
                </w:r>
                <w:r>
                  <w:t xml:space="preserve"> VERT </w:t>
                </w:r>
                <w:r>
                  <w:rPr>
                    <w:szCs w:val="24"/>
                    <w:lang w:eastAsia="lt-LT"/>
                  </w:rPr>
                  <w:t>nustatyta formų pildymo tvarka.</w:t>
                </w:r>
              </w:p>
              <w:p>
                <w:pPr>
                  <w:suppressAutoHyphens/>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xml:space="preserve">X  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rPr>
                </w:pPr>
                <w:r>
                  <w:rPr>
                    <w:szCs w:val="24"/>
                    <w:lang w:eastAsia="lt-LT"/>
                  </w:rPr>
                  <w:t>Teisės akto projekte nustatyta subjektų, su kuriais susijęs teisės akto projekto nuostatų įgyvendinimas,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widowControl w:val="0"/>
                  <w:suppressAutoHyphens/>
                  <w:jc w:val="both"/>
                  <w:rPr>
                    <w:bCs/>
                    <w:szCs w:val="24"/>
                    <w:lang w:bidi="en-US"/>
                  </w:rPr>
                </w:pPr>
                <w:r>
                  <w:rPr>
                    <w:szCs w:val="24"/>
                    <w:lang w:eastAsia="lt-LT"/>
                  </w:rPr>
                  <w:t>Teisės akto projekte nustatyta subjektų, su kuriais susijęs teisės akto projekto nuostatų įgyvendinimas, atsakomybė</w:t>
                </w:r>
              </w:p>
              <w:p>
                <w:pPr>
                  <w:widowControl w:val="0"/>
                  <w:suppressAutoHyphens/>
                  <w:jc w:val="both"/>
                  <w:rPr>
                    <w:bCs/>
                    <w:szCs w:val="24"/>
                    <w:lang w:bidi="en-US"/>
                  </w:rPr>
                </w:pPr>
              </w:p>
              <w:p>
                <w:pPr>
                  <w:suppressAutoHyphens/>
                  <w:jc w:val="both"/>
                  <w:textAlignment w:val="baseline"/>
                  <w:rPr>
                    <w:szCs w:val="24"/>
                    <w:lang w:eastAsia="lt-LT"/>
                  </w:rPr>
                </w:pPr>
                <w:r>
                  <w:rPr>
                    <w:szCs w:val="24"/>
                    <w:lang w:eastAsia="lt-LT"/>
                  </w:rPr>
                  <w:t xml:space="preserve">Teisės akto projekto 30 str. 1 d. nurodyta, kad VERT </w:t>
                </w:r>
                <w:r>
                  <w:rPr>
                    <w:rFonts w:eastAsia="Lucida Sans Unicode"/>
                    <w:szCs w:val="24"/>
                    <w:lang w:bidi="en-US"/>
                  </w:rPr>
                  <w:t>priima sprendimą panaikinti geriamojo vandens tiekimo ir nuotekų tvarkymo licencijos galiojimą:</w:t>
                </w:r>
              </w:p>
              <w:p>
                <w:pPr>
                  <w:suppressAutoHyphens/>
                  <w:jc w:val="both"/>
                  <w:textAlignment w:val="baseline"/>
                  <w:rPr>
                    <w:szCs w:val="24"/>
                    <w:lang w:eastAsia="lt-LT"/>
                  </w:rPr>
                </w:pPr>
                <w:r>
                  <w:rPr>
                    <w:rFonts w:eastAsia="Lucida Sans Unicode"/>
                    <w:szCs w:val="24"/>
                    <w:lang w:bidi="en-US"/>
                  </w:rPr>
                  <w:t>1) geriamojo vandens tiekėjo</w:t>
                </w:r>
                <w:r>
                  <w:rPr>
                    <w:rFonts w:eastAsia="Lucida Sans Unicode"/>
                    <w:szCs w:val="24"/>
                    <w:lang w:eastAsia="ar-SA" w:bidi="en-US"/>
                  </w:rPr>
                  <w:t xml:space="preserve"> ir nuotekų tvarkytojo</w:t>
                </w:r>
                <w:r>
                  <w:rPr>
                    <w:rFonts w:eastAsia="Lucida Sans Unicode"/>
                    <w:szCs w:val="24"/>
                    <w:lang w:bidi="en-US"/>
                  </w:rPr>
                  <w:t xml:space="preserve"> prašymu;</w:t>
                </w:r>
              </w:p>
              <w:p>
                <w:pPr>
                  <w:suppressAutoHyphens/>
                  <w:jc w:val="both"/>
                  <w:textAlignment w:val="baseline"/>
                  <w:rPr>
                    <w:szCs w:val="24"/>
                    <w:lang w:eastAsia="lt-LT"/>
                  </w:rPr>
                </w:pPr>
                <w:r>
                  <w:rPr>
                    <w:rFonts w:eastAsia="Lucida Sans Unicode"/>
                    <w:szCs w:val="24"/>
                    <w:lang w:bidi="en-US"/>
                  </w:rPr>
                  <w:t>2) kai geriamojo vandens tiekėjas</w:t>
                </w:r>
                <w:r>
                  <w:rPr>
                    <w:rFonts w:eastAsia="Lucida Sans Unicode"/>
                    <w:szCs w:val="24"/>
                    <w:lang w:eastAsia="ar-SA" w:bidi="en-US"/>
                  </w:rPr>
                  <w:t xml:space="preserve"> ir nuotekų tvarkytojas</w:t>
                </w:r>
                <w:r>
                  <w:rPr>
                    <w:rFonts w:eastAsia="Lucida Sans Unicode"/>
                    <w:szCs w:val="24"/>
                    <w:lang w:bidi="en-US"/>
                  </w:rPr>
                  <w:t xml:space="preserve">, gavęs įspėjimą apie licencijos galiojimo panaikinimą, nepašalina pažeidimų per </w:t>
                </w:r>
                <w:r>
                  <w:rPr>
                    <w:szCs w:val="24"/>
                    <w:lang w:eastAsia="lt-LT"/>
                  </w:rPr>
                  <w:t>VERT</w:t>
                </w:r>
                <w:r>
                  <w:rPr>
                    <w:rFonts w:eastAsia="Lucida Sans Unicode"/>
                    <w:szCs w:val="24"/>
                    <w:lang w:bidi="en-US"/>
                  </w:rPr>
                  <w:t xml:space="preserve"> nustatytą įspėjimo terminą;</w:t>
                </w:r>
              </w:p>
              <w:p>
                <w:pPr>
                  <w:suppressAutoHyphens/>
                  <w:jc w:val="both"/>
                  <w:textAlignment w:val="baseline"/>
                  <w:rPr>
                    <w:szCs w:val="24"/>
                    <w:lang w:eastAsia="lt-LT"/>
                  </w:rPr>
                </w:pPr>
                <w:r>
                  <w:rPr>
                    <w:rFonts w:eastAsia="Lucida Sans Unicode"/>
                    <w:szCs w:val="24"/>
                    <w:lang w:bidi="en-US"/>
                  </w:rPr>
                  <w:t>3) kai geriamojo vandens tiekėjas</w:t>
                </w:r>
                <w:r>
                  <w:rPr>
                    <w:rFonts w:eastAsia="Lucida Sans Unicode"/>
                    <w:szCs w:val="24"/>
                    <w:lang w:eastAsia="ar-SA" w:bidi="en-US"/>
                  </w:rPr>
                  <w:t xml:space="preserve"> ir nuotekų tvarkytojas</w:t>
                </w:r>
                <w:r>
                  <w:rPr>
                    <w:rFonts w:eastAsia="Lucida Sans Unicode"/>
                    <w:szCs w:val="24"/>
                    <w:lang w:bidi="en-US"/>
                  </w:rPr>
                  <w:t xml:space="preserve"> įgyja likviduojamo juridinio asmens statusą.</w:t>
                </w:r>
              </w:p>
              <w:p>
                <w:pPr>
                  <w:widowControl w:val="0"/>
                  <w:suppressAutoHyphens/>
                  <w:jc w:val="both"/>
                  <w:rPr>
                    <w:bCs/>
                    <w:szCs w:val="24"/>
                    <w:lang w:bidi="en-US"/>
                  </w:rPr>
                </w:pPr>
              </w:p>
              <w:p>
                <w:pPr>
                  <w:widowControl w:val="0"/>
                  <w:suppressAutoHyphens/>
                  <w:jc w:val="both"/>
                  <w:rPr>
                    <w:szCs w:val="24"/>
                  </w:rPr>
                </w:pPr>
                <w:r>
                  <w:rPr>
                    <w:bCs/>
                    <w:szCs w:val="24"/>
                    <w:lang w:bidi="en-US"/>
                  </w:rPr>
                  <w:t xml:space="preserve">Teisės akto projekto 40 str. numatytos baudos ir sankcijos </w:t>
                </w:r>
                <w:r>
                  <w:rPr>
                    <w:szCs w:val="24"/>
                  </w:rPr>
                  <w:t xml:space="preserve">geriamojo vandens tiekėjui ir nuotekų tvarkytojui, paviršinių nuotekų tvarkytojui už pažeidimus vykdant reguliuojamąją veiklą užtikrinant atitiktį teisės aktų nustatytoms reguliuojamosios veiklos sąlygoms. Taip pat šiame straipsnyje numatytos baudos ir delspinigiai abonentui ir vartotojui </w:t>
                </w:r>
                <w:r>
                  <w:rPr>
                    <w:color w:val="000000"/>
                    <w:szCs w:val="24"/>
                  </w:rPr>
                  <w:t xml:space="preserve">už sutartinių sąlygų, numatytų viešojoje sutartyje nesilaikymą. </w:t>
                </w:r>
              </w:p>
              <w:p>
                <w:pPr>
                  <w:widowControl w:val="0"/>
                  <w:suppressAutoHyphens/>
                  <w:jc w:val="both"/>
                  <w:rPr>
                    <w:szCs w:val="24"/>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xml:space="preserve">X  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jc w:val="center"/>
                  <w:textAlignment w:val="baseline"/>
                  <w:rPr>
                    <w:szCs w:val="24"/>
                    <w:lang w:eastAsia="lt-LT"/>
                  </w:rPr>
                </w:pPr>
                <w:r>
                  <w:rPr>
                    <w:szCs w:val="24"/>
                    <w:lang w:eastAsia="lt-LT"/>
                  </w:rPr>
                  <w:t>17.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szCs w:val="24"/>
                    <w:lang w:eastAsia="lt-LT"/>
                  </w:rPr>
                </w:pPr>
                <w:r>
                  <w:rPr>
                    <w:szCs w:val="24"/>
                    <w:lang w:eastAsia="lt-LT"/>
                  </w:rPr>
                  <w:t xml:space="preserve">Teisės akto projekto 30 str. 1 d. nurodyta, kad VERT </w:t>
                </w:r>
                <w:r>
                  <w:rPr>
                    <w:rFonts w:eastAsia="Lucida Sans Unicode"/>
                    <w:szCs w:val="24"/>
                    <w:lang w:bidi="en-US"/>
                  </w:rPr>
                  <w:t>priima sprendimą panaikinti geriamojo vandens tiekimo ir nuotekų tvarkymo licencijos galiojimą:</w:t>
                </w:r>
              </w:p>
              <w:p>
                <w:pPr>
                  <w:suppressAutoHyphens/>
                  <w:jc w:val="both"/>
                  <w:textAlignment w:val="baseline"/>
                  <w:rPr>
                    <w:szCs w:val="24"/>
                    <w:lang w:eastAsia="lt-LT"/>
                  </w:rPr>
                </w:pPr>
                <w:r>
                  <w:rPr>
                    <w:rFonts w:eastAsia="Lucida Sans Unicode"/>
                    <w:szCs w:val="24"/>
                    <w:lang w:bidi="en-US"/>
                  </w:rPr>
                  <w:t>1) geriamojo vandens tiekėjo</w:t>
                </w:r>
                <w:r>
                  <w:rPr>
                    <w:rFonts w:eastAsia="Lucida Sans Unicode"/>
                    <w:szCs w:val="24"/>
                    <w:lang w:eastAsia="ar-SA" w:bidi="en-US"/>
                  </w:rPr>
                  <w:t xml:space="preserve"> ir nuotekų tvarkytojo</w:t>
                </w:r>
                <w:r>
                  <w:rPr>
                    <w:rFonts w:eastAsia="Lucida Sans Unicode"/>
                    <w:szCs w:val="24"/>
                    <w:lang w:bidi="en-US"/>
                  </w:rPr>
                  <w:t xml:space="preserve"> prašymu;</w:t>
                </w:r>
              </w:p>
              <w:p>
                <w:pPr>
                  <w:suppressAutoHyphens/>
                  <w:jc w:val="both"/>
                  <w:textAlignment w:val="baseline"/>
                  <w:rPr>
                    <w:szCs w:val="24"/>
                    <w:lang w:eastAsia="lt-LT"/>
                  </w:rPr>
                </w:pPr>
                <w:r>
                  <w:rPr>
                    <w:rFonts w:eastAsia="Lucida Sans Unicode"/>
                    <w:szCs w:val="24"/>
                    <w:lang w:bidi="en-US"/>
                  </w:rPr>
                  <w:t>2) kai geriamojo vandens tiekėjas</w:t>
                </w:r>
                <w:r>
                  <w:rPr>
                    <w:rFonts w:eastAsia="Lucida Sans Unicode"/>
                    <w:szCs w:val="24"/>
                    <w:lang w:eastAsia="ar-SA" w:bidi="en-US"/>
                  </w:rPr>
                  <w:t xml:space="preserve"> ir nuotekų tvarkytojas</w:t>
                </w:r>
                <w:r>
                  <w:rPr>
                    <w:rFonts w:eastAsia="Lucida Sans Unicode"/>
                    <w:szCs w:val="24"/>
                    <w:lang w:bidi="en-US"/>
                  </w:rPr>
                  <w:t xml:space="preserve">, gavęs įspėjimą apie licencijos galiojimo panaikinimą, nepašalina pažeidimų per </w:t>
                </w:r>
                <w:r>
                  <w:rPr>
                    <w:szCs w:val="24"/>
                    <w:lang w:eastAsia="lt-LT"/>
                  </w:rPr>
                  <w:t>VERT</w:t>
                </w:r>
                <w:r>
                  <w:rPr>
                    <w:rFonts w:eastAsia="Lucida Sans Unicode"/>
                    <w:szCs w:val="24"/>
                    <w:lang w:bidi="en-US"/>
                  </w:rPr>
                  <w:t xml:space="preserve"> nustatytą įspėjimo terminą;</w:t>
                </w:r>
              </w:p>
              <w:p>
                <w:pPr>
                  <w:suppressAutoHyphens/>
                  <w:jc w:val="both"/>
                  <w:textAlignment w:val="baseline"/>
                  <w:rPr>
                    <w:szCs w:val="24"/>
                    <w:lang w:eastAsia="lt-LT"/>
                  </w:rPr>
                </w:pPr>
                <w:r>
                  <w:rPr>
                    <w:rFonts w:eastAsia="Lucida Sans Unicode"/>
                    <w:szCs w:val="24"/>
                    <w:lang w:bidi="en-US"/>
                  </w:rPr>
                  <w:t>3) kai geriamojo vandens tiekėjas</w:t>
                </w:r>
                <w:r>
                  <w:rPr>
                    <w:rFonts w:eastAsia="Lucida Sans Unicode"/>
                    <w:szCs w:val="24"/>
                    <w:lang w:eastAsia="ar-SA" w:bidi="en-US"/>
                  </w:rPr>
                  <w:t xml:space="preserve"> ir nuotekų tvarkytojas</w:t>
                </w:r>
                <w:r>
                  <w:rPr>
                    <w:rFonts w:eastAsia="Lucida Sans Unicode"/>
                    <w:szCs w:val="24"/>
                    <w:lang w:bidi="en-US"/>
                  </w:rPr>
                  <w:t xml:space="preserve"> įgyja likviduojamo juridinio asmens statusą.</w:t>
                </w:r>
              </w:p>
              <w:p>
                <w:pPr>
                  <w:keepNext/>
                  <w:suppressAutoHyphens/>
                  <w:jc w:val="both"/>
                  <w:textAlignment w:val="baseline"/>
                  <w:rPr>
                    <w:bCs/>
                    <w:szCs w:val="24"/>
                    <w:lang w:bidi="en-US"/>
                  </w:rPr>
                </w:pPr>
              </w:p>
              <w:p>
                <w:pPr>
                  <w:keepNext/>
                  <w:suppressAutoHyphens/>
                  <w:jc w:val="both"/>
                  <w:textAlignment w:val="baseline"/>
                  <w:rPr>
                    <w:szCs w:val="24"/>
                    <w:lang w:eastAsia="lt-LT"/>
                  </w:rPr>
                </w:pPr>
                <w:r>
                  <w:rPr>
                    <w:bCs/>
                    <w:szCs w:val="24"/>
                    <w:lang w:bidi="en-US"/>
                  </w:rPr>
                  <w:t xml:space="preserve">Teisės akto projekto </w:t>
                </w:r>
                <w:r>
                  <w:rPr>
                    <w:szCs w:val="24"/>
                    <w:lang w:eastAsia="lt-LT"/>
                  </w:rPr>
                  <w:t xml:space="preserve">40 str. įtvirtinta baudos, sankcijos ir jų skyrimo tvarka. </w:t>
                </w:r>
                <w:r>
                  <w:rPr>
                    <w:szCs w:val="24"/>
                  </w:rPr>
                  <w:t xml:space="preserve">Sankcijų skyrimo klausimai svarstomi, pažeidimų tyrimo procedūros vykdomos Sankcijų skyrimo taisyklėse nustatyta tvarka. </w:t>
                </w:r>
              </w:p>
              <w:p>
                <w:pPr>
                  <w:keepNext/>
                  <w:suppressAutoHyphens/>
                  <w:jc w:val="center"/>
                  <w:textAlignment w:val="baseline"/>
                  <w:rPr>
                    <w:b/>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keepNext/>
                  <w:suppressAutoHyphens/>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xml:space="preserve">X  tenkina</w:t>
                </w:r>
              </w:p>
              <w:p>
                <w:pPr>
                  <w:keepNext/>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t xml:space="preserve">Kartu su teisės akto projektu pateikta pakankamai jį pagrindžiančių lydimųjų dokumentų ir informacijos,  siekiant antikorupciniu aspektu įvertinti teisės akto projektą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r>
                  <w:rPr>
                    <w:szCs w:val="24"/>
                    <w:lang w:eastAsia="lt-LT"/>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xml:space="preserve">X  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pPr>
                <w:r>
                  <w:rPr>
                    <w:szCs w:val="24"/>
                    <w:lang w:eastAsia="lt-LT"/>
                  </w:rPr>
                  <w:t>Kiti svarbūs kriterijai</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r>
                  <w:rPr>
                    <w:szCs w:val="24"/>
                    <w:lang w:eastAsia="lt-LT"/>
                  </w:rPr>
                  <w:t>Nėra.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p>
                <w:pPr>
                  <w:suppressAutoHyphens/>
                  <w:textAlignment w:val="baseline"/>
                  <w:rPr>
                    <w:szCs w:val="24"/>
                    <w:lang w:eastAsia="lt-LT"/>
                  </w:rPr>
                </w:pPr>
                <w:r>
                  <w:rPr>
                    <w:szCs w:val="24"/>
                    <w:lang w:eastAsia="lt-LT"/>
                  </w:rPr>
                  <w:t>Teisės akto projekto tiesioginis rengėjas:</w:t>
                </w:r>
              </w:p>
            </w:tc>
            <w:tc>
              <w:tcPr>
                <w:tcW w:w="4773"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p>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p>
                <w:pPr>
                  <w:suppressAutoHyphens/>
                  <w:textAlignment w:val="baseline"/>
                  <w:rPr>
                    <w:szCs w:val="24"/>
                    <w:lang w:eastAsia="lt-LT"/>
                  </w:rPr>
                </w:pPr>
                <w:r>
                  <w:rPr>
                    <w:szCs w:val="24"/>
                    <w:lang w:eastAsia="lt-LT"/>
                  </w:rPr>
                  <w:t>Teisės akto projekto vertintojas:</w:t>
                </w:r>
              </w:p>
            </w:tc>
            <w:tc>
              <w:tcPr>
                <w:tcW w:w="5679" w:type="dxa"/>
                <w:gridSpan w:val="3"/>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r>
          <w:tr>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hideMark/>
              </w:tcPr>
              <w:p>
                <w:pPr>
                  <w:suppressAutoHyphens/>
                  <w:ind w:left="-11" w:firstLine="11"/>
                  <w:textAlignment w:val="baseline"/>
                  <w:rPr>
                    <w:szCs w:val="24"/>
                    <w:lang w:eastAsia="lt-LT"/>
                  </w:rPr>
                </w:pPr>
                <w:r>
                  <w:rPr>
                    <w:szCs w:val="24"/>
                    <w:lang w:eastAsia="lt-LT"/>
                  </w:rPr>
                  <w:t xml:space="preserve">Aplinkos ministerijos Taršos prevencijos politikos grupės vyriausioji specialistė </w:t>
                </w:r>
              </w:p>
              <w:p>
                <w:pPr>
                  <w:suppressAutoHyphens/>
                  <w:ind w:left="-11" w:firstLine="11"/>
                  <w:textAlignment w:val="baseline"/>
                  <w:rPr>
                    <w:szCs w:val="24"/>
                    <w:lang w:eastAsia="lt-LT"/>
                  </w:rPr>
                </w:pPr>
                <w:r>
                  <w:rPr>
                    <w:szCs w:val="24"/>
                    <w:lang w:eastAsia="lt-LT"/>
                  </w:rPr>
                  <w:t>Judita Vaišnorienė</w:t>
                </w:r>
              </w:p>
            </w:tc>
            <w:tc>
              <w:tcPr>
                <w:tcW w:w="2434"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hideMark/>
              </w:tcPr>
              <w:p>
                <w:pPr>
                  <w:suppressAutoHyphens/>
                  <w:ind w:left="-11" w:firstLine="11"/>
                  <w:textAlignment w:val="baseline"/>
                  <w:rPr>
                    <w:szCs w:val="24"/>
                    <w:lang w:eastAsia="lt-LT"/>
                  </w:rPr>
                </w:pPr>
                <w:r>
                  <w:rPr>
                    <w:szCs w:val="24"/>
                    <w:lang w:eastAsia="lt-LT"/>
                  </w:rPr>
                  <w:t>Aplinkos ministerijos Korupcijos prevencijos ir vidaus tyrimų skyriaus vyriausiasis specialistas Remigijus Alavočius</w:t>
                </w:r>
              </w:p>
              <w:p>
                <w:pPr>
                  <w:suppressAutoHyphens/>
                  <w:ind w:left="-11" w:firstLine="11"/>
                  <w:textAlignment w:val="baseline"/>
                  <w:rPr>
                    <w:szCs w:val="24"/>
                    <w:lang w:eastAsia="lt-LT"/>
                  </w:rPr>
                </w:pPr>
              </w:p>
            </w:tc>
          </w:tr>
          <w:tr>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pPr>
                  <w:suppressAutoHyphens/>
                  <w:ind w:left="-11" w:firstLine="11"/>
                  <w:textAlignment w:val="baseline"/>
                  <w:rPr>
                    <w:szCs w:val="24"/>
                    <w:lang w:eastAsia="lt-LT"/>
                  </w:rPr>
                </w:pPr>
              </w:p>
            </w:tc>
          </w:tr>
          <w:tr>
            <w:trPr>
              <w:gridBefore w:val="1"/>
              <w:wBefore w:w="103" w:type="dxa"/>
              <w:trHeight w:val="555"/>
            </w:trPr>
            <w:tc>
              <w:tcPr>
                <w:tcW w:w="2457"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pPr>
                  <w:suppressAutoHyphens/>
                  <w:ind w:left="-11" w:firstLine="11"/>
                  <w:textAlignment w:val="baseline"/>
                  <w:rPr>
                    <w:szCs w:val="24"/>
                    <w:lang w:eastAsia="lt-LT"/>
                  </w:rPr>
                </w:pPr>
                <w:r>
                  <w:rPr>
                    <w:szCs w:val="24"/>
                    <w:lang w:eastAsia="lt-LT"/>
                  </w:rPr>
                  <w:t xml:space="preserve">(parašas)                                      (data)</w:t>
                </w:r>
              </w:p>
              <w:p>
                <w:pPr>
                  <w:suppressAutoHyphens/>
                  <w:ind w:left="-11" w:firstLine="11"/>
                  <w:textAlignment w:val="baseline"/>
                  <w:rPr>
                    <w:szCs w:val="24"/>
                    <w:lang w:eastAsia="lt-LT"/>
                  </w:rPr>
                </w:pPr>
              </w:p>
              <w:p>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pPr>
                  <w:suppressAutoHyphens/>
                  <w:ind w:left="-11" w:firstLine="64"/>
                  <w:textAlignment w:val="baseline"/>
                  <w:rPr>
                    <w:szCs w:val="24"/>
                    <w:lang w:eastAsia="lt-LT"/>
                  </w:rPr>
                </w:pPr>
                <w:r>
                  <w:rPr>
                    <w:szCs w:val="24"/>
                    <w:lang w:eastAsia="lt-LT"/>
                  </w:rPr>
                  <w:t xml:space="preserve">(parašas)                                                     (data)</w:t>
                </w:r>
              </w:p>
              <w:p>
                <w:pPr>
                  <w:suppressAutoHyphens/>
                  <w:ind w:left="-11" w:firstLine="64"/>
                  <w:textAlignment w:val="baseline"/>
                  <w:rPr>
                    <w:szCs w:val="24"/>
                    <w:lang w:eastAsia="lt-LT"/>
                  </w:rPr>
                </w:pPr>
              </w:p>
              <w:p>
                <w:pPr>
                  <w:suppressAutoHyphens/>
                  <w:ind w:left="-11" w:firstLine="64"/>
                  <w:textAlignment w:val="baseline"/>
                  <w:rPr>
                    <w:szCs w:val="24"/>
                    <w:lang w:eastAsia="lt-LT"/>
                  </w:rPr>
                </w:pPr>
              </w:p>
              <w:p>
                <w:pPr>
                  <w:suppressAutoHyphens/>
                  <w:ind w:left="-11" w:firstLine="64"/>
                  <w:textAlignment w:val="baseline"/>
                  <w:rPr>
                    <w:szCs w:val="24"/>
                    <w:lang w:eastAsia="lt-LT"/>
                  </w:rPr>
                </w:pPr>
              </w:p>
            </w:tc>
          </w:tr>
        </w:tbl>
        <w:p>
          <w:pPr>
            <w:tabs>
              <w:tab w:val="left" w:pos="6237"/>
            </w:tabs>
            <w:suppressAutoHyphens/>
            <w:spacing w:line="276" w:lineRule="auto"/>
            <w:jc w:val="center"/>
            <w:textAlignment w:val="baseline"/>
          </w:pPr>
          <w:r>
            <w:rPr>
              <w:color w:val="000000"/>
              <w:szCs w:val="24"/>
              <w:lang w:eastAsia="lt-LT"/>
            </w:rPr>
            <w:t>___________________________</w:t>
          </w:r>
        </w:p>
      </w:sdtContent>
    </w:sdt>
    <w:sectPr>
      <w:headerReference w:type="even" r:id="rId9"/>
      <w:headerReference w:type="default" r:id="rId10"/>
      <w:footerReference w:type="even" r:id="rId11"/>
      <w:footerReference w:type="default" r:id="rId12"/>
      <w:headerReference w:type="first" r:id="rId13"/>
      <w:footerReference w:type="first" r:id="rId14"/>
      <w:pgSz w:w="16838" w:h="11906" w:orient="landscape" w:code="9"/>
      <w:pgMar w:top="1701" w:right="1134" w:bottom="1134" w:left="1134"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18</w:t>
    </w:r>
    <w:r>
      <w:rPr>
        <w:sz w:val="22"/>
        <w:szCs w:val="22"/>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D81B1197-4E8C-4363-8175-0E4413AE2AC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0406841">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riedas" Abbr="pr." Title="TEISĖS AKTŲ PROJEKTŲ ANTIKORUPCINIO VERTINIMO PAŽYMA" DocPartId="52ec5663556d4e62825a8fb70223c3b3" PartId="2de459e39c14481daf81500bf633374c"/>
</Parts>
</file>

<file path=customXml/itemProps1.xml><?xml version="1.0" encoding="utf-8"?>
<ds:datastoreItem xmlns:ds="http://schemas.openxmlformats.org/officeDocument/2006/customXml" ds:itemID="{01F15B3D-EC4D-4C86-8082-B5E6CBEFD0C4}">
  <ds:schemaRefs>
    <ds:schemaRef ds:uri="http://schemas.openxmlformats.org/officeDocument/2006/bibliography"/>
  </ds:schemaRefs>
</ds:datastoreItem>
</file>

<file path=customXml/itemProps2.xml><?xml version="1.0" encoding="utf-8"?>
<ds:datastoreItem xmlns:ds="http://schemas.openxmlformats.org/officeDocument/2006/customXml" ds:itemID="{0ADC952A-BF17-439F-B68D-4F0F90BA6AA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2651</Words>
  <Characters>18879</Characters>
  <Application>Microsoft Office Word</Application>
  <DocSecurity>4</DocSecurity>
  <Lines>786</Lines>
  <Paragraphs>201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21329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2022-03-24T16:20:00Z</dcterms:created>
  <dc:creator>lrvk</dc:creator>
  <lastModifiedBy>adlibuser</lastModifiedBy>
  <lastPrinted>2017-06-01T05:28:00Z</lastPrinted>
  <dcterms:modified xsi:type="dcterms:W3CDTF">2022-03-24T16:20:00Z</dcterms:modified>
  <revision>2</revision>
</coreProperties>
</file>