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b519626ac04b6782838ebe22cf4a4a"/>
        <w:lock w:val="sdtLocked"/>
        <w:richText/>
      </w:sdtPr>
      <w:sdtContent>
        <w:p>
          <w:pPr>
            <w:widowControl w:val="0"/>
            <w:suppressLineNumbers/>
            <w:tabs>
              <w:tab w:val="center" w:pos="4800"/>
              <w:tab w:val="right" w:pos="9601"/>
            </w:tabs>
            <w:suppressAutoHyphens/>
            <w:jc w:val="center"/>
            <w:rPr>
              <w:szCs w:val="24"/>
            </w:rPr>
          </w:pPr>
        </w:p>
        <w:p>
          <w:pPr>
            <w:widowControl w:val="0"/>
            <w:suppressLineNumbers/>
            <w:tabs>
              <w:tab w:val="center" w:pos="4800"/>
              <w:tab w:val="right" w:pos="9601"/>
            </w:tabs>
            <w:suppressAutoHyphens/>
            <w:rPr>
              <w:szCs w:val="24"/>
            </w:rPr>
          </w:pPr>
        </w:p>
        <w:p>
          <w:pPr>
            <w:widowControl w:val="0"/>
            <w:suppressAutoHyphens/>
            <w:rPr>
              <w:szCs w:val="24"/>
              <w:lang w:val="en-US"/>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suppressAutoHyphens/>
                  <w:jc w:val="center"/>
                  <w:rPr>
                    <w:b/>
                    <w:bCs/>
                    <w:spacing w:val="20"/>
                    <w:sz w:val="28"/>
                    <w:szCs w:val="28"/>
                  </w:rPr>
                </w:pPr>
                <w:r>
                  <w:rPr>
                    <w:b/>
                    <w:bCs/>
                    <w:spacing w:val="20"/>
                    <w:sz w:val="26"/>
                    <w:szCs w:val="26"/>
                    <w:lang w:val="en-US"/>
                  </w:rPr>
                  <w:drawing>
                    <wp:inline distT="0" distB="0" distL="0" distR="0" wp14:anchorId="6EFCC9FF" wp14:editId="72DE3C49">
                      <wp:extent cx="526415" cy="621665"/>
                      <wp:effectExtent l="19050" t="0" r="6985"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26415"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b/>
                    <w:bCs/>
                    <w:spacing w:val="20"/>
                    <w:sz w:val="28"/>
                    <w:szCs w:val="28"/>
                  </w:rPr>
                </w:pPr>
                <w:r>
                  <w:rPr>
                    <w:b/>
                    <w:bCs/>
                    <w:spacing w:val="20"/>
                    <w:sz w:val="28"/>
                    <w:szCs w:val="28"/>
                  </w:rPr>
                  <w:t>LIETUVOS RESPUBLIKOS APLINKOS MINISTERIJA</w:t>
                </w:r>
              </w:p>
              <w:p>
                <w:pPr>
                  <w:rPr>
                    <w:sz w:val="10"/>
                    <w:szCs w:val="10"/>
                  </w:rPr>
                </w:pPr>
              </w:p>
              <w:p>
                <w:pPr>
                  <w:widowControl w:val="0"/>
                  <w:suppressLineNumbers/>
                  <w:suppressAutoHyphens/>
                  <w:jc w:val="center"/>
                  <w:rPr>
                    <w:rFonts w:ascii="Arial" w:hAnsi="Arial" w:cs="Arial"/>
                    <w:b/>
                    <w:bCs/>
                    <w:spacing w:val="12"/>
                    <w:sz w:val="14"/>
                    <w:szCs w:val="14"/>
                  </w:rPr>
                </w:pPr>
                <w:r>
                  <w:rPr>
                    <w:rFonts w:ascii="Arial" w:hAnsi="Arial" w:cs="Arial"/>
                    <w:b/>
                    <w:bCs/>
                    <w:spacing w:val="12"/>
                    <w:sz w:val="14"/>
                    <w:szCs w:val="14"/>
                  </w:rPr>
                  <w:t>Biudžetinė įstaiga, A. Jakšto g. 4/9, LT-01105 Vilnius,</w:t>
                </w:r>
              </w:p>
              <w:p>
                <w:pPr>
                  <w:widowControl w:val="0"/>
                  <w:suppressLineNumbers/>
                  <w:suppressAutoHyphens/>
                  <w:jc w:val="center"/>
                  <w:rPr>
                    <w:rFonts w:ascii="Arial" w:hAnsi="Arial" w:cs="Arial"/>
                    <w:b/>
                    <w:bCs/>
                    <w:spacing w:val="12"/>
                    <w:sz w:val="14"/>
                    <w:szCs w:val="14"/>
                  </w:rPr>
                </w:pPr>
                <w:r>
                  <w:rPr>
                    <w:rFonts w:ascii="Arial" w:hAnsi="Arial" w:cs="Arial"/>
                    <w:b/>
                    <w:bCs/>
                    <w:spacing w:val="12"/>
                    <w:sz w:val="14"/>
                    <w:szCs w:val="14"/>
                  </w:rPr>
                  <w:t>tel. (8~5) 266 3661, el. p. info@am.lt, http://www.am.lt.</w:t>
                </w:r>
              </w:p>
              <w:p>
                <w:pPr>
                  <w:widowControl w:val="0"/>
                  <w:suppressLineNumbers/>
                  <w:suppressAutoHyphens/>
                  <w:jc w:val="center"/>
                  <w:rPr>
                    <w:rFonts w:ascii="Arial" w:hAnsi="Arial" w:cs="Arial"/>
                    <w:b/>
                    <w:bCs/>
                    <w:spacing w:val="12"/>
                    <w:sz w:val="14"/>
                    <w:szCs w:val="14"/>
                  </w:rPr>
                </w:pPr>
                <w:r>
                  <w:rPr>
                    <w:rFonts w:ascii="Arial" w:hAnsi="Arial" w:cs="Arial"/>
                    <w:b/>
                    <w:bCs/>
                    <w:spacing w:val="12"/>
                    <w:sz w:val="14"/>
                    <w:szCs w:val="14"/>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szCs w:val="24"/>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spacing w:line="269" w:lineRule="auto"/>
                  <w:rPr>
                    <w:spacing w:val="10"/>
                    <w:szCs w:val="24"/>
                  </w:rPr>
                </w:pPr>
                <w:r>
                  <w:rPr>
                    <w:spacing w:val="10"/>
                    <w:szCs w:val="24"/>
                  </w:rPr>
                  <w:t>Adresatams pagal sąrašą</w:t>
                </w:r>
              </w:p>
              <w:p>
                <w:pPr>
                  <w:widowControl w:val="0"/>
                  <w:suppressLineNumbers/>
                  <w:suppressAutoHyphens/>
                  <w:spacing w:line="269" w:lineRule="auto"/>
                  <w:rPr>
                    <w:spacing w:val="10"/>
                    <w:szCs w:val="24"/>
                  </w:rPr>
                </w:pPr>
              </w:p>
            </w:tc>
            <w:tc>
              <w:tcPr>
                <w:tcW w:w="282" w:type="dxa"/>
                <w:tcMar>
                  <w:top w:w="0" w:type="dxa"/>
                  <w:left w:w="0" w:type="dxa"/>
                  <w:bottom w:w="0" w:type="dxa"/>
                  <w:right w:w="0" w:type="dxa"/>
                </w:tcMar>
              </w:tcPr>
              <w:p>
                <w:pPr>
                  <w:widowControl w:val="0"/>
                  <w:suppressAutoHyphens/>
                  <w:spacing w:line="269" w:lineRule="auto"/>
                  <w:ind w:right="67"/>
                  <w:jc w:val="right"/>
                  <w:rPr>
                    <w:spacing w:val="10"/>
                    <w:szCs w:val="24"/>
                  </w:rPr>
                </w:pPr>
              </w:p>
            </w:tc>
            <w:tc>
              <w:tcPr>
                <w:tcW w:w="1841" w:type="dxa"/>
                <w:tcMar>
                  <w:top w:w="0" w:type="dxa"/>
                  <w:left w:w="0" w:type="dxa"/>
                  <w:bottom w:w="0" w:type="dxa"/>
                  <w:right w:w="0" w:type="dxa"/>
                </w:tcMar>
              </w:tcPr>
              <w:p>
                <w:pPr>
                  <w:widowControl w:val="0"/>
                  <w:suppressLineNumbers/>
                  <w:suppressAutoHyphens/>
                  <w:spacing w:line="269" w:lineRule="auto"/>
                  <w:ind w:right="67"/>
                  <w:rPr>
                    <w:szCs w:val="24"/>
                  </w:rPr>
                </w:pPr>
              </w:p>
            </w:tc>
            <w:tc>
              <w:tcPr>
                <w:tcW w:w="565" w:type="dxa"/>
              </w:tcPr>
              <w:p>
                <w:pPr>
                  <w:widowControl w:val="0"/>
                  <w:suppressAutoHyphens/>
                  <w:spacing w:line="269" w:lineRule="auto"/>
                  <w:ind w:right="67"/>
                  <w:jc w:val="right"/>
                  <w:rPr>
                    <w:spacing w:val="10"/>
                    <w:szCs w:val="24"/>
                  </w:rPr>
                </w:pPr>
                <w:r>
                  <w:rPr>
                    <w:spacing w:val="10"/>
                    <w:szCs w:val="24"/>
                  </w:rPr>
                  <w:t>Nr.</w:t>
                </w:r>
              </w:p>
            </w:tc>
            <w:tc>
              <w:tcPr>
                <w:tcW w:w="2133" w:type="dxa"/>
              </w:tcPr>
              <w:p>
                <w:pPr>
                  <w:widowControl w:val="0"/>
                  <w:suppressLineNumbers/>
                  <w:suppressAutoHyphens/>
                  <w:spacing w:line="269" w:lineRule="auto"/>
                  <w:ind w:right="67"/>
                  <w:rPr>
                    <w:szCs w:val="24"/>
                  </w:rPr>
                </w:pPr>
              </w:p>
            </w:tc>
          </w:tr>
          <w:tr>
            <w:trPr>
              <w:cantSplit/>
              <w:trHeight w:val="340"/>
            </w:trPr>
            <w:tc>
              <w:tcPr>
                <w:tcW w:w="4817" w:type="dxa"/>
                <w:vMerge/>
                <w:tcMar>
                  <w:top w:w="0" w:type="dxa"/>
                  <w:left w:w="0" w:type="dxa"/>
                  <w:bottom w:w="0" w:type="dxa"/>
                  <w:right w:w="0" w:type="dxa"/>
                </w:tcMar>
              </w:tcPr>
              <w:p>
                <w:pPr>
                  <w:widowControl w:val="0"/>
                  <w:suppressAutoHyphens/>
                  <w:spacing w:line="269" w:lineRule="auto"/>
                  <w:rPr>
                    <w:szCs w:val="24"/>
                  </w:rPr>
                </w:pPr>
              </w:p>
            </w:tc>
            <w:tc>
              <w:tcPr>
                <w:tcW w:w="282" w:type="dxa"/>
                <w:tcMar>
                  <w:top w:w="0" w:type="dxa"/>
                  <w:left w:w="0" w:type="dxa"/>
                  <w:bottom w:w="0" w:type="dxa"/>
                  <w:right w:w="0" w:type="dxa"/>
                </w:tcMar>
              </w:tcPr>
              <w:p>
                <w:pPr>
                  <w:widowControl w:val="0"/>
                  <w:tabs>
                    <w:tab w:val="left" w:pos="2869"/>
                  </w:tabs>
                  <w:suppressAutoHyphens/>
                  <w:spacing w:line="269" w:lineRule="auto"/>
                  <w:ind w:right="67"/>
                  <w:jc w:val="right"/>
                  <w:rPr>
                    <w:spacing w:val="10"/>
                    <w:szCs w:val="24"/>
                  </w:rPr>
                </w:pPr>
                <w:r>
                  <w:rPr>
                    <w:spacing w:val="10"/>
                    <w:szCs w:val="24"/>
                  </w:rPr>
                  <w:t>Į</w:t>
                </w:r>
              </w:p>
            </w:tc>
            <w:tc>
              <w:tcPr>
                <w:tcW w:w="1841" w:type="dxa"/>
                <w:tcMar>
                  <w:top w:w="0" w:type="dxa"/>
                  <w:left w:w="0" w:type="dxa"/>
                  <w:bottom w:w="0" w:type="dxa"/>
                  <w:right w:w="0" w:type="dxa"/>
                </w:tcMar>
              </w:tcPr>
              <w:p>
                <w:pPr>
                  <w:widowControl w:val="0"/>
                  <w:suppressLineNumbers/>
                  <w:suppressAutoHyphens/>
                  <w:spacing w:line="269" w:lineRule="auto"/>
                  <w:ind w:right="67"/>
                  <w:rPr>
                    <w:szCs w:val="24"/>
                  </w:rPr>
                </w:pPr>
              </w:p>
            </w:tc>
            <w:tc>
              <w:tcPr>
                <w:tcW w:w="565" w:type="dxa"/>
              </w:tcPr>
              <w:p>
                <w:pPr>
                  <w:widowControl w:val="0"/>
                  <w:tabs>
                    <w:tab w:val="left" w:pos="2869"/>
                  </w:tabs>
                  <w:suppressAutoHyphens/>
                  <w:spacing w:line="269" w:lineRule="auto"/>
                  <w:ind w:right="67"/>
                  <w:jc w:val="right"/>
                  <w:rPr>
                    <w:spacing w:val="10"/>
                    <w:szCs w:val="24"/>
                  </w:rPr>
                </w:pPr>
                <w:r>
                  <w:rPr>
                    <w:spacing w:val="10"/>
                    <w:szCs w:val="24"/>
                  </w:rPr>
                  <w:t>Nr.</w:t>
                </w:r>
              </w:p>
            </w:tc>
            <w:tc>
              <w:tcPr>
                <w:tcW w:w="2133" w:type="dxa"/>
              </w:tcPr>
              <w:p>
                <w:pPr>
                  <w:widowControl w:val="0"/>
                  <w:suppressLineNumbers/>
                  <w:suppressAutoHyphens/>
                  <w:spacing w:line="269" w:lineRule="auto"/>
                  <w:ind w:right="67"/>
                  <w:rPr>
                    <w:szCs w:val="24"/>
                  </w:rPr>
                </w:pPr>
              </w:p>
            </w:tc>
          </w:tr>
          <w:tr>
            <w:trPr>
              <w:cantSplit/>
            </w:trPr>
            <w:tc>
              <w:tcPr>
                <w:tcW w:w="4817" w:type="dxa"/>
                <w:vMerge/>
                <w:tcMar>
                  <w:top w:w="0" w:type="dxa"/>
                  <w:left w:w="0" w:type="dxa"/>
                  <w:bottom w:w="0" w:type="dxa"/>
                  <w:right w:w="0" w:type="dxa"/>
                </w:tcMar>
              </w:tcPr>
              <w:p>
                <w:pPr>
                  <w:widowControl w:val="0"/>
                  <w:suppressAutoHyphens/>
                  <w:spacing w:line="269" w:lineRule="auto"/>
                  <w:rPr>
                    <w:szCs w:val="24"/>
                  </w:rPr>
                </w:pPr>
              </w:p>
            </w:tc>
            <w:tc>
              <w:tcPr>
                <w:tcW w:w="4821" w:type="dxa"/>
                <w:gridSpan w:val="4"/>
                <w:tcMar>
                  <w:top w:w="0" w:type="dxa"/>
                  <w:left w:w="0" w:type="dxa"/>
                  <w:bottom w:w="0" w:type="dxa"/>
                  <w:right w:w="0" w:type="dxa"/>
                </w:tcMar>
              </w:tcPr>
              <w:p>
                <w:pPr>
                  <w:widowControl w:val="0"/>
                  <w:tabs>
                    <w:tab w:val="left" w:pos="2869"/>
                  </w:tabs>
                  <w:suppressAutoHyphens/>
                  <w:spacing w:line="269" w:lineRule="auto"/>
                  <w:ind w:right="67"/>
                  <w:rPr>
                    <w:spacing w:val="10"/>
                    <w:szCs w:val="24"/>
                  </w:rPr>
                </w:pPr>
              </w:p>
            </w:tc>
          </w:tr>
          <w:tr>
            <w:trPr>
              <w:trHeight w:val="340"/>
            </w:trPr>
            <w:tc>
              <w:tcPr>
                <w:tcW w:w="9638" w:type="dxa"/>
                <w:gridSpan w:val="5"/>
                <w:tcMar>
                  <w:top w:w="0" w:type="dxa"/>
                  <w:left w:w="0" w:type="dxa"/>
                  <w:bottom w:w="0" w:type="dxa"/>
                  <w:right w:w="0" w:type="dxa"/>
                </w:tcMar>
              </w:tcPr>
              <w:p>
                <w:pPr>
                  <w:widowControl w:val="0"/>
                  <w:suppressAutoHyphens/>
                  <w:jc w:val="both"/>
                  <w:rPr>
                    <w:b/>
                    <w:bCs/>
                    <w:smallCaps/>
                    <w:szCs w:val="24"/>
                  </w:rPr>
                </w:pPr>
                <w:r>
                  <w:rPr>
                    <w:b/>
                    <w:szCs w:val="24"/>
                  </w:rPr>
                  <w:t>DĖL</w:t>
                </w:r>
                <w:r>
                  <w:rPr>
                    <w:b/>
                    <w:bCs/>
                    <w:szCs w:val="24"/>
                  </w:rPr>
                  <w:t xml:space="preserve"> </w:t>
                </w:r>
                <w:r>
                  <w:rPr>
                    <w:b/>
                    <w:szCs w:val="24"/>
                  </w:rPr>
                  <w:t xml:space="preserve">LIETUVOS RESPUBLIKOS GERIAMOJO VANDENS TIEKIMO IR NUOTEKŲ TVARKYMO ĮSTATYMO NR. X-764 </w:t>
                </w:r>
                <w:r>
                  <w:rPr>
                    <w:b/>
                    <w:caps/>
                    <w:szCs w:val="24"/>
                  </w:rPr>
                  <w:t>PAKEITIMO ĮSTATYMO</w:t>
                </w:r>
                <w:r>
                  <w:rPr>
                    <w:b/>
                    <w:szCs w:val="24"/>
                  </w:rPr>
                  <w:t xml:space="preserve"> </w:t>
                </w:r>
                <w:r>
                  <w:rPr>
                    <w:b/>
                    <w:szCs w:val="24"/>
                    <w:lang w:eastAsia="lt-LT"/>
                  </w:rPr>
                  <w:t>PROJEKTO</w:t>
                </w:r>
                <w:r>
                  <w:rPr>
                    <w:szCs w:val="24"/>
                  </w:rPr>
                  <w:t xml:space="preserve"> </w:t>
                </w:r>
                <w:r>
                  <w:rPr>
                    <w:b/>
                    <w:bCs/>
                    <w:szCs w:val="24"/>
                  </w:rPr>
                  <w:t>IR LIETUVOS RESPUBLIKOS VIETOS SAVIVALDOS ĮSTATYMO NR.</w:t>
                </w:r>
                <w:r>
                  <w:rPr>
                    <w:b/>
                    <w:color w:val="000000"/>
                    <w:szCs w:val="24"/>
                  </w:rPr>
                  <w:t xml:space="preserve"> I-533</w:t>
                </w:r>
                <w:r>
                  <w:rPr>
                    <w:b/>
                    <w:bCs/>
                    <w:szCs w:val="24"/>
                  </w:rPr>
                  <w:t xml:space="preserve"> 16 STRAIPSNIO PAKEITIMO ĮSTATYMO PROJEKTO </w:t>
                </w:r>
                <w:r>
                  <w:rPr>
                    <w:b/>
                    <w:szCs w:val="24"/>
                  </w:rPr>
                  <w:t>DERINIMO</w:t>
                </w:r>
              </w:p>
              <w:p>
                <w:pPr>
                  <w:widowControl w:val="0"/>
                  <w:suppressAutoHyphens/>
                  <w:ind w:firstLine="62"/>
                  <w:jc w:val="both"/>
                  <w:rPr>
                    <w:szCs w:val="24"/>
                  </w:rPr>
                </w:pPr>
              </w:p>
            </w:tc>
          </w:tr>
        </w:tbl>
        <w:p>
          <w:pPr>
            <w:widowControl w:val="0"/>
            <w:suppressAutoHyphens/>
            <w:ind w:firstLine="567"/>
            <w:jc w:val="both"/>
            <w:rPr>
              <w:szCs w:val="24"/>
            </w:rPr>
          </w:pPr>
        </w:p>
        <w:p>
          <w:pPr>
            <w:widowControl w:val="0"/>
            <w:suppressAutoHyphens/>
            <w:ind w:firstLine="567"/>
            <w:jc w:val="both"/>
            <w:rPr>
              <w:szCs w:val="24"/>
            </w:rPr>
          </w:pPr>
        </w:p>
        <w:p>
          <w:pPr>
            <w:widowControl w:val="0"/>
            <w:suppressAutoHyphens/>
            <w:ind w:firstLine="567"/>
            <w:jc w:val="both"/>
            <w:rPr>
              <w:szCs w:val="24"/>
            </w:rPr>
          </w:pPr>
          <w:r>
            <w:rPr>
              <w:szCs w:val="24"/>
            </w:rPr>
            <w:t xml:space="preserve">Aplinkos ministerija, pakoregavusi pagal suinteresuotų institucijų pateiktus siūlymus ir pastabas, pakartotinai teikia derinti Lietuvos Respublikos geriamojo vandens tiekimo ir nuotekų tvarkymo įstatymo Nr. X-764 pakeitimo įstatymo (toliau – Įstatymo projektas) ir Lietuvos Respublikos vietos savivaldos įstatymo </w:t>
          </w:r>
          <w:r>
            <w:rPr>
              <w:bCs/>
              <w:szCs w:val="24"/>
            </w:rPr>
            <w:t>Nr.</w:t>
          </w:r>
          <w:r>
            <w:rPr>
              <w:color w:val="000000"/>
              <w:szCs w:val="24"/>
            </w:rPr>
            <w:t xml:space="preserve"> I-533</w:t>
          </w:r>
          <w:r>
            <w:rPr>
              <w:b/>
              <w:bCs/>
              <w:szCs w:val="24"/>
            </w:rPr>
            <w:t xml:space="preserve"> </w:t>
          </w:r>
          <w:r>
            <w:rPr>
              <w:szCs w:val="24"/>
            </w:rPr>
            <w:t>16 straipsnio pakeitimo įstatymo (toliau – Vietos savivaldos įstatymo projektas) (toliau abu kartu – Įstatymo projektai) projektus.</w:t>
          </w:r>
        </w:p>
        <w:p>
          <w:pPr>
            <w:widowControl w:val="0"/>
            <w:suppressAutoHyphens/>
            <w:ind w:firstLine="567"/>
            <w:jc w:val="both"/>
            <w:rPr>
              <w:szCs w:val="24"/>
            </w:rPr>
          </w:pPr>
          <w:r>
            <w:rPr>
              <w:szCs w:val="24"/>
            </w:rPr>
            <w:t xml:space="preserve">Įstatymo projekto rengimą paskatino kelios priežastys: </w:t>
          </w:r>
        </w:p>
        <w:p>
          <w:pPr>
            <w:widowControl w:val="0"/>
            <w:suppressAutoHyphens/>
            <w:ind w:firstLine="567"/>
            <w:jc w:val="both"/>
            <w:rPr>
              <w:szCs w:val="24"/>
            </w:rPr>
          </w:pPr>
          <w:r>
            <w:rPr>
              <w:szCs w:val="24"/>
            </w:rPr>
            <w:t xml:space="preserve">Pirma, įgyvendinant Lietuvos Respublikos Vyriausybės 2020 gruodžio 11 d. nutarimu          Nr. XIV-72 patvirtintą Aštuonioliktosios Lietuvos Respublikos Vyriausybės programos 162.4 nuostatą – „Užtikrinsime, kad visiems miestų ir miestelių (daugiau kaip 2 000 gyventojų) gyventojams būtų sudarytos galimybės naudotis geriamojo vandens tiekimo ir nuotekų tvarkymo paslaugomis. Skatinsime gyventojus, turinčius individualius vandens tiekimo ir nuotekų tvarkymo įrenginius, jungtis prie centralizuotų sistemų, o vandens įmones – didinti veiklos efektyvumą“. </w:t>
          </w:r>
        </w:p>
        <w:p>
          <w:pPr>
            <w:widowControl w:val="0"/>
            <w:suppressAutoHyphens/>
            <w:ind w:firstLine="567"/>
            <w:jc w:val="both"/>
            <w:rPr>
              <w:szCs w:val="24"/>
            </w:rPr>
          </w:pPr>
          <w:r>
            <w:rPr>
              <w:szCs w:val="24"/>
            </w:rPr>
            <w:t xml:space="preserve">Antra, įgyvendinant Vyriausybės 2021 m. kovo 10 d. nutarimo Nr. 155 „Dėl Aštuonioliktosios Lietuvos Respublikos Vyriausybės programos nuostatų įgyvendinimo plano patvirtinimo“ 6.4.15 priemonę „Parengti ir priimti Geriamojo vandens tiekimo ir nuotekų tvarkymo įstatymo pakeitimo įstatymo projektą ir pradėti įgyvendinti finansavimo mechanizmą, skatinantį vandentvarkos įmonių stambinimą, kad būtų užtikrintos kokybiškos ir prieinamos viešosios geriamojo vandens tiekimo ir nuotekų tvarkymo paslaugos“. </w:t>
          </w:r>
        </w:p>
        <w:p>
          <w:pPr>
            <w:widowControl w:val="0"/>
            <w:suppressAutoHyphens/>
            <w:ind w:firstLine="567"/>
            <w:jc w:val="both"/>
            <w:rPr>
              <w:szCs w:val="24"/>
            </w:rPr>
          </w:pPr>
          <w:r>
            <w:rPr>
              <w:szCs w:val="24"/>
            </w:rPr>
            <w:t xml:space="preserve">Trečia,  į nacionalinę teisę perkeliamos 2020 m. gruodžio 16 d. Europos Parlamento ir Tarybos direktyvos (ES) 2020/2184 dėl žmonėms vartoti skirto vandens kokybės (toliau – Geriamojo vandens direktyva) nuostatos.</w:t>
          </w:r>
        </w:p>
        <w:p>
          <w:pPr>
            <w:widowControl w:val="0"/>
            <w:suppressAutoHyphens/>
            <w:ind w:firstLine="567"/>
            <w:jc w:val="both"/>
            <w:rPr>
              <w:szCs w:val="24"/>
            </w:rPr>
          </w:pPr>
          <w:r>
            <w:rPr>
              <w:szCs w:val="24"/>
            </w:rPr>
            <w:t>Įstatymo projekto tikslai:</w:t>
          </w:r>
        </w:p>
        <w:p>
          <w:pPr>
            <w:widowControl w:val="0"/>
            <w:suppressAutoHyphens/>
            <w:ind w:firstLine="567"/>
            <w:jc w:val="both"/>
            <w:rPr>
              <w:szCs w:val="24"/>
            </w:rPr>
          </w:pPr>
          <w:r>
            <w:rPr>
              <w:szCs w:val="24"/>
            </w:rPr>
            <w:t>- sumažinti geriamojo vandens tiekimo ir nuotekų tvarkymo paslaugų kainų netolygumą ir socialinę nelygybę Lietuvos gyventojams;</w:t>
          </w:r>
        </w:p>
        <w:p>
          <w:pPr>
            <w:widowControl w:val="0"/>
            <w:suppressAutoHyphens/>
            <w:ind w:firstLine="567"/>
            <w:jc w:val="both"/>
            <w:rPr>
              <w:szCs w:val="24"/>
            </w:rPr>
          </w:pPr>
          <w:r>
            <w:rPr>
              <w:szCs w:val="24"/>
            </w:rPr>
            <w:t>- užtikrinti nacionalinių ir Europos Sąjungos įsipareigojimų, teikti kokybiškas geriamojo vandens tiekimo ir nuotekų tvarkymo paslaugas gyventojams, įgyvendinimą;</w:t>
          </w:r>
        </w:p>
        <w:p>
          <w:pPr>
            <w:widowControl w:val="0"/>
            <w:suppressAutoHyphens/>
            <w:ind w:firstLine="567"/>
            <w:jc w:val="both"/>
            <w:rPr>
              <w:szCs w:val="24"/>
            </w:rPr>
          </w:pPr>
          <w:r>
            <w:rPr>
              <w:szCs w:val="24"/>
            </w:rPr>
            <w:t>- pasiekti, kad visos vandentvarkos įmonės vykdytų veiklą efektyviai ir išsilaikytų iš veiklos pajamų;</w:t>
          </w:r>
        </w:p>
        <w:p>
          <w:pPr>
            <w:widowControl w:val="0"/>
            <w:suppressAutoHyphens/>
            <w:ind w:firstLine="567"/>
            <w:jc w:val="both"/>
            <w:rPr>
              <w:szCs w:val="24"/>
            </w:rPr>
          </w:pPr>
          <w:r>
            <w:rPr>
              <w:szCs w:val="24"/>
            </w:rPr>
            <w:t>- apsaugoti aplinką nuo išleidžiamų nuotekų žalingo poveikio ir nustatyti išsamų individualių nuotekų tvarkymo sistemų naudojimo, priežiūros ir kontrolės reglamentavimą;</w:t>
          </w:r>
        </w:p>
        <w:p>
          <w:pPr>
            <w:widowControl w:val="0"/>
            <w:suppressAutoHyphens/>
            <w:ind w:firstLine="567"/>
            <w:jc w:val="both"/>
            <w:rPr>
              <w:szCs w:val="24"/>
            </w:rPr>
          </w:pPr>
          <w:r>
            <w:rPr>
              <w:szCs w:val="24"/>
            </w:rPr>
            <w:t>- perkelti Geriamojo vandens direktyvos nuostatas.</w:t>
          </w:r>
        </w:p>
        <w:p>
          <w:pPr>
            <w:ind w:firstLine="567"/>
            <w:jc w:val="both"/>
            <w:rPr>
              <w:szCs w:val="24"/>
            </w:rPr>
          </w:pPr>
          <w:r>
            <w:rPr>
              <w:szCs w:val="24"/>
            </w:rPr>
            <w:t>Vietos savivaldos įstatymo projekto tikslas – suvienodinti teisinį reglamentavimą su Įstatymo projekto nuostatomis.</w:t>
          </w:r>
        </w:p>
        <w:p>
          <w:pPr>
            <w:widowControl w:val="0"/>
            <w:suppressAutoHyphens/>
            <w:ind w:firstLine="567"/>
            <w:jc w:val="both"/>
            <w:rPr>
              <w:szCs w:val="24"/>
            </w:rPr>
          </w:pPr>
          <w:r>
            <w:rPr>
              <w:i/>
              <w:szCs w:val="24"/>
            </w:rPr>
            <w:t>Sprendžiama problema ir siūlomos jo sprendimo priemonės, sprendimo įgyvendinimo kaštai, nauda, kurios tikimasi: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512"/>
          </w:tblGrid>
          <w:tr>
            <w:tc>
              <w:tcPr>
                <w:tcW w:w="212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 xml:space="preserve">I. Sprendžiama problema </w:t>
                </w:r>
              </w:p>
            </w:tc>
            <w:tc>
              <w:tcPr>
                <w:tcW w:w="751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lang w:eastAsia="lt-LT"/>
                  </w:rPr>
                </w:pPr>
                <w:r>
                  <w:rPr>
                    <w:iCs/>
                    <w:szCs w:val="24"/>
                  </w:rPr>
                  <w:t xml:space="preserve">Šiuo metu neefektyvi vandentvarkos įmonių veikla neužtikrina geriamojo vandens tiekimo ir nuotekų tvarkymo paslaugų prieinamumo ir kokybės, sektoriaus tvarumo, </w:t>
                </w:r>
                <w:r>
                  <w:rPr>
                    <w:szCs w:val="24"/>
                  </w:rPr>
                  <w:t xml:space="preserve">Europos Sąjungos </w:t>
                </w:r>
                <w:r>
                  <w:rPr>
                    <w:iCs/>
                    <w:szCs w:val="24"/>
                  </w:rPr>
                  <w:t>ir nacionalinių teisės aktų reikalavimų įgyvendinimo.</w:t>
                </w:r>
              </w:p>
              <w:p>
                <w:pPr>
                  <w:widowControl w:val="0"/>
                  <w:suppressAutoHyphens/>
                  <w:jc w:val="both"/>
                  <w:rPr>
                    <w:rFonts w:eastAsia="Calibri"/>
                    <w:b/>
                    <w:i/>
                    <w:szCs w:val="24"/>
                  </w:rPr>
                </w:pPr>
                <w:r>
                  <w:rPr>
                    <w:rFonts w:eastAsia="Calibri"/>
                    <w:b/>
                    <w:i/>
                    <w:szCs w:val="24"/>
                  </w:rPr>
                  <w:t>Šalyje geriamojo vandens ir nuotekų tvarkymo paslaugų kaina gyventojams skiriasi 3 kartus</w:t>
                </w:r>
                <w:r>
                  <w:rPr>
                    <w:rFonts w:eastAsia="Calibri"/>
                    <w:b/>
                    <w:i/>
                    <w:szCs w:val="24"/>
                    <w:vertAlign w:val="superscript"/>
                  </w:rPr>
                  <w:footnoteReference w:id="1"/>
                </w:r>
                <w:r>
                  <w:rPr>
                    <w:rFonts w:eastAsia="Calibri"/>
                    <w:b/>
                    <w:i/>
                    <w:szCs w:val="24"/>
                  </w:rPr>
                  <w:t>:</w:t>
                </w:r>
              </w:p>
              <w:p>
                <w:pPr>
                  <w:widowControl w:val="0"/>
                  <w:suppressAutoHyphens/>
                  <w:jc w:val="both"/>
                  <w:rPr>
                    <w:rFonts w:eastAsia="Calibri"/>
                    <w:szCs w:val="24"/>
                  </w:rPr>
                </w:pPr>
                <w:r>
                  <w:rPr>
                    <w:rFonts w:eastAsia="Calibri"/>
                    <w:b/>
                    <w:i/>
                    <w:szCs w:val="24"/>
                  </w:rPr>
                  <w:t>-</w:t>
                </w:r>
                <w:r>
                  <w:rPr>
                    <w:rFonts w:eastAsia="Calibri"/>
                    <w:i/>
                    <w:szCs w:val="24"/>
                  </w:rPr>
                  <w:t xml:space="preserve">  Skirtumas tarp didžiausios ir mažiausios paslaugų kainos kai kuriuose regionuose skiriasi daugiau kaip 2 kartus, o Lietuvos mastu kainų skirtumas siekia 3 kartus.</w:t>
                </w:r>
                <w:r>
                  <w:rPr>
                    <w:rFonts w:eastAsia="Calibri"/>
                    <w:szCs w:val="24"/>
                  </w:rPr>
                  <w:t xml:space="preserve"> Vertinant paslaugų kainą pagal gyventojų skaičių regionuose, pastebėta, kad tuose regionuose, kuriuose gyvena daugiau gyventojų, kaina yra mažesnė </w:t>
                </w:r>
                <w:r>
                  <w:rPr>
                    <w:rFonts w:eastAsia="Calibri"/>
                    <w:i/>
                    <w:szCs w:val="24"/>
                  </w:rPr>
                  <w:t>(</w:t>
                </w:r>
                <w:r>
                  <w:rPr>
                    <w:rFonts w:eastAsia="Calibri"/>
                    <w:szCs w:val="24"/>
                  </w:rPr>
                  <w:t xml:space="preserve">1,25 Eur – 1,91 Eur), nei tuose regionuose, kuriuose gyvena mažiau gyventojų (2,36 Eur – 2,51 Eur). </w:t>
                </w:r>
              </w:p>
              <w:p>
                <w:pPr>
                  <w:widowControl w:val="0"/>
                  <w:suppressAutoHyphens/>
                  <w:jc w:val="both"/>
                  <w:rPr>
                    <w:rFonts w:eastAsia="Calibri"/>
                    <w:szCs w:val="24"/>
                  </w:rPr>
                </w:pPr>
                <w:r>
                  <w:rPr>
                    <w:rFonts w:eastAsia="Calibri"/>
                    <w:b/>
                    <w:i/>
                    <w:szCs w:val="24"/>
                  </w:rPr>
                  <w:t xml:space="preserve">- </w:t>
                </w:r>
                <w:r>
                  <w:rPr>
                    <w:rFonts w:eastAsia="Calibri"/>
                    <w:i/>
                    <w:szCs w:val="24"/>
                  </w:rPr>
                  <w:t>Didesnes pajamas gaunantys miestų gyventojai už paslaugas moka mažiau nei regionų ar savivaldybių gyventojai, kurių darbo užmokestis ženkliai mažesnis</w:t>
                </w:r>
                <w:r>
                  <w:rPr>
                    <w:rFonts w:eastAsia="Calibri"/>
                    <w:szCs w:val="24"/>
                  </w:rPr>
                  <w:t>.</w:t>
                </w:r>
                <w:r>
                  <w:rPr>
                    <w:rFonts w:eastAsia="Calibri"/>
                    <w:i/>
                    <w:szCs w:val="24"/>
                  </w:rPr>
                  <w:t xml:space="preserve"> </w:t>
                </w:r>
                <w:r>
                  <w:rPr>
                    <w:rFonts w:eastAsia="Calibri"/>
                    <w:szCs w:val="24"/>
                  </w:rPr>
                  <w:t xml:space="preserve">Vertinant paslaugų kainą ir vidutinio darbo užmokesčio (toliau – DU) regionuose ir savivaldybėse santykį, nustatyta, kad paslaugų kaina didžiausia Šiaulių regione </w:t>
                </w:r>
                <w:r>
                  <w:rPr>
                    <w:rFonts w:eastAsia="Calibri"/>
                    <w:i/>
                    <w:szCs w:val="24"/>
                  </w:rPr>
                  <w:t>(2,51 Eur)</w:t>
                </w:r>
                <w:r>
                  <w:rPr>
                    <w:rFonts w:eastAsia="Calibri"/>
                    <w:szCs w:val="24"/>
                  </w:rPr>
                  <w:t xml:space="preserve"> ir Tauragės regione </w:t>
                </w:r>
                <w:r>
                  <w:rPr>
                    <w:rFonts w:eastAsia="Calibri"/>
                    <w:i/>
                    <w:szCs w:val="24"/>
                  </w:rPr>
                  <w:t>(2,45 Eur)</w:t>
                </w:r>
                <w:r>
                  <w:rPr>
                    <w:rFonts w:eastAsia="Calibri"/>
                    <w:szCs w:val="24"/>
                  </w:rPr>
                  <w:t xml:space="preserve">, kai vidutinis DU (bruto) šiuose regionuose yra vienas mažiausių </w:t>
                </w:r>
                <w:r>
                  <w:rPr>
                    <w:rFonts w:eastAsia="Calibri"/>
                    <w:i/>
                    <w:szCs w:val="24"/>
                  </w:rPr>
                  <w:t>(Šiaulių regione 772,80 Eur, Tauragės regione 731 Eur)</w:t>
                </w:r>
                <w:r>
                  <w:rPr>
                    <w:rFonts w:eastAsia="Calibri"/>
                    <w:szCs w:val="24"/>
                  </w:rPr>
                  <w:t xml:space="preserve">. Mažiausia paslaugų kaina yra Vilniaus regione </w:t>
                </w:r>
                <w:r>
                  <w:rPr>
                    <w:rFonts w:eastAsia="Calibri"/>
                    <w:i/>
                    <w:szCs w:val="24"/>
                  </w:rPr>
                  <w:t>(1,25 Eur)</w:t>
                </w:r>
                <w:r>
                  <w:rPr>
                    <w:rFonts w:eastAsia="Calibri"/>
                    <w:szCs w:val="24"/>
                  </w:rPr>
                  <w:t xml:space="preserve">, o vidutinis DU (bruto) šiame regione yra vienas didžiausių </w:t>
                </w:r>
                <w:r>
                  <w:rPr>
                    <w:rFonts w:eastAsia="Calibri"/>
                    <w:i/>
                    <w:szCs w:val="24"/>
                  </w:rPr>
                  <w:t>(1034,60 Eur)</w:t>
                </w:r>
                <w:r>
                  <w:rPr>
                    <w:rFonts w:eastAsia="Calibri"/>
                    <w:szCs w:val="24"/>
                  </w:rPr>
                  <w:t xml:space="preserve">. </w:t>
                </w:r>
              </w:p>
              <w:p>
                <w:pPr>
                  <w:widowControl w:val="0"/>
                  <w:suppressAutoHyphens/>
                  <w:jc w:val="both"/>
                  <w:rPr>
                    <w:rFonts w:eastAsia="Calibri"/>
                    <w:i/>
                    <w:szCs w:val="24"/>
                  </w:rPr>
                </w:pPr>
                <w:r>
                  <w:rPr>
                    <w:rFonts w:eastAsia="Calibri"/>
                    <w:szCs w:val="24"/>
                  </w:rPr>
                  <w:t xml:space="preserve">- </w:t>
                </w:r>
                <w:r>
                  <w:rPr>
                    <w:rFonts w:eastAsia="Calibri"/>
                    <w:i/>
                    <w:szCs w:val="24"/>
                  </w:rPr>
                  <w:t xml:space="preserve">Prastėjantys demografiniai rodikliai Lietuvoje. </w:t>
                </w:r>
                <w:r>
                  <w:rPr>
                    <w:rFonts w:eastAsia="Calibri"/>
                    <w:szCs w:val="24"/>
                  </w:rPr>
                  <w:t>Vadovaujantis gyventojų skaičiaus prognoze, 2028 m. šalyje gyvens 11,5 proc. arba 332 tūkst. mažiau gyventojų; 2050 m. – 22,5 proc. arba 633 tūkst. mažiau gyventojų nei 2018 m. Prognozuojama, kad 2028 m., 2050 m. didžiausia gyventojų dalis gyvens trijuose Lietuvos regionuose – Vilniaus, Kauno ir Klaipėdos. 2050 m. pagal gyventojų skaičių augantis bus tik vienas regionas – Vilniaus, tam įtakos turės sostinė. Atliekant skaičiavimus nustatyta, kad esant nedidelei paslaugų kainai ir nekintančiam metiniam vandens suvartojimui, investicijų atsiperkamumo laikotarpis yra gana didelis (nuo 15 iki 26 metų), todėl prastėjantys demografiniai rodikliai Lietuvoje labiau pailgins šių investicijų atsiperkamumą ir didins paslaugų kainą ir kainų skirtumus.</w:t>
                </w:r>
              </w:p>
              <w:p>
                <w:pPr>
                  <w:widowControl w:val="0"/>
                  <w:suppressAutoHyphens/>
                  <w:jc w:val="both"/>
                  <w:rPr>
                    <w:b/>
                    <w:szCs w:val="24"/>
                  </w:rPr>
                </w:pPr>
                <w:r>
                  <w:rPr>
                    <w:b/>
                    <w:i/>
                    <w:szCs w:val="24"/>
                  </w:rPr>
                  <w:t>Žemas daugelio geriamojo vandens tiekimo ir nuotekų tvarkymo paslaugas teikiančių įmonių veiklos efektyvumas</w:t>
                </w:r>
                <w:r>
                  <w:rPr>
                    <w:b/>
                    <w:szCs w:val="24"/>
                  </w:rPr>
                  <w:t>:</w:t>
                </w:r>
              </w:p>
              <w:p>
                <w:pPr>
                  <w:widowControl w:val="0"/>
                  <w:suppressAutoHyphens/>
                  <w:jc w:val="both"/>
                  <w:rPr>
                    <w:szCs w:val="24"/>
                  </w:rPr>
                </w:pPr>
                <w:r>
                  <w:rPr>
                    <w:b/>
                    <w:szCs w:val="24"/>
                  </w:rPr>
                  <w:t xml:space="preserve">- </w:t>
                </w:r>
                <w:r>
                  <w:rPr>
                    <w:szCs w:val="24"/>
                  </w:rPr>
                  <w:t xml:space="preserve"> </w:t>
                </w:r>
                <w:r>
                  <w:rPr>
                    <w:iCs/>
                    <w:szCs w:val="24"/>
                  </w:rPr>
                  <w:t xml:space="preserve">Geriamojo vandens tiekimo ir nuotekų tvarkymo sektoriaus vertinimas atskleidė, kad savivaldybėse ir vandentvarkos  įmonėse situacija labai skiriasi. Šiuo metu  48 proc. minėtų įmonių veikia nuostolingai, neatitinka finansinių licencijuojamos veiklos kriterijų arba jų blogi finansiniai rodikliai, o teikiamų paslaugų kainos ženkliai didesnės nei sektoriaus vidurkis. Tokioms įmonėms kyla sunkumų investuojant į infrastruktūros atnaujinimą ir plėtrą, jos neišsilaiko iš veiklos pajamų. Tikėtina, kad trūkstant lėšų prastos būklės geriamojo vandens tiekimo ir nuotekų tvarkymo tinklų renovavimui ar keitimui, ateityje išaugs avarijų skaičius, infiltracijos lygis, dar labiau padidės įmonių veiklos sąnaudos, suprastės paslaugų užtikrinimas, nebus užtikrinamos kokybiškos paslaugos šalies gyventojams. Dėl šios situacijos </w:t>
                </w:r>
                <w:r>
                  <w:rPr>
                    <w:i/>
                    <w:iCs/>
                    <w:szCs w:val="24"/>
                  </w:rPr>
                  <w:t>daug vandentvarkos įmonių jau šiandien neįgyvendina</w:t>
                </w:r>
                <w:r>
                  <w:rPr>
                    <w:iCs/>
                    <w:szCs w:val="24"/>
                  </w:rPr>
                  <w:t xml:space="preserve"> </w:t>
                </w:r>
                <w:r>
                  <w:rPr>
                    <w:szCs w:val="24"/>
                  </w:rPr>
                  <w:t xml:space="preserve">1991 m. gegužės 21 d. Tarybos direktyvos </w:t>
                </w:r>
                <w:fldSimple w:instr="HYPERLINK http://eur-lex.europa.eu/legal-content/LIT/TXT/?uri=CELEX:31991L0271&amp;locale=lt \t _blank">
                  <w:r>
                    <w:rPr>
                      <w:szCs w:val="24"/>
                      <w:u w:val="single"/>
                      <w:color w:val="0000FF" w:themeColor="hyperlink"/>
                    </w:rPr>
                    <w:t>91/271/EEB</w:t>
                  </w:r>
                </w:fldSimple>
                <w:r>
                  <w:rPr>
                    <w:szCs w:val="24"/>
                  </w:rPr>
                  <w:t xml:space="preserve"> dėl miesto nuotėkų valymo </w:t>
                </w:r>
                <w:r>
                  <w:rPr>
                    <w:i/>
                    <w:iCs/>
                    <w:szCs w:val="24"/>
                  </w:rPr>
                  <w:t xml:space="preserve"> reikalavimų</w:t>
                </w:r>
                <w:r>
                  <w:rPr>
                    <w:iCs/>
                    <w:szCs w:val="24"/>
                  </w:rPr>
                  <w:t>. Išskirta 20 rizikingiausių įmonių, kurių sverto, likvidumo, pelningumo ir skolos rodikliai yra blogiausi, 20 įmonių, kurios aptarnauja aglomeracijas, neatitinkančias Nuotekų direktyvoje nustatytų tikslų ir 7 įmonės, kurių finansinis pajėgumas 2018 m. nebuvo pakankamas licencijuojamai veiklai vykdyti. Taip pat siekiant įgyvendinti naują Geriamojo vandens direktyvą reikalinga tolimesnė geriamojo vandens tiekimo plėtra, didesnė vandens tiekėjo atsakomybė, papildomi vandens kokybės rodikliai reikalavimai, kurių įgyvendinimui bus reikalingos investicijos.</w:t>
                </w:r>
              </w:p>
              <w:p>
                <w:pPr>
                  <w:widowControl w:val="0"/>
                  <w:suppressAutoHyphens/>
                  <w:jc w:val="both"/>
                  <w:rPr>
                    <w:rFonts w:eastAsia="Calibri"/>
                    <w:szCs w:val="24"/>
                  </w:rPr>
                </w:pPr>
                <w:r>
                  <w:rPr>
                    <w:rFonts w:eastAsia="Calibri"/>
                    <w:i/>
                    <w:szCs w:val="24"/>
                  </w:rPr>
                  <w:t>- Didžiausią vandentvarkos įmonių sąnaudų dalį sudaro personalo sąnaudos</w:t>
                </w:r>
                <w:r>
                  <w:rPr>
                    <w:rFonts w:eastAsia="Calibri"/>
                    <w:szCs w:val="24"/>
                  </w:rPr>
                  <w:t xml:space="preserve">. 2018 m. duomenimis šalies vandentvarkos įmonių personalo sąnaudų dydis siekė 68,62 mln. Eur,  t. y. daugiau kaip 40,9 proc. visų sąnaudų. Lietuvos Respublikos specialiųjų tyrimų tarnyba, atlikusi tyrimą „Nepotizmo paplitimo kaita Lietuvos savivaldybių administracijose ir savivaldybėms pavaldžiose įmonėse“, konstatavo, kad bendras nepotizmo rizikos intensyvumo indeksas  savivaldos srityje 2019 m. yra 16,92 %. Vandentvarkos įmonėse šis indeksas viršija vidurkį ir siekia 18,6 %. </w:t>
                </w:r>
              </w:p>
              <w:p>
                <w:pPr>
                  <w:widowControl w:val="0"/>
                  <w:suppressAutoHyphens/>
                  <w:jc w:val="both"/>
                  <w:rPr>
                    <w:i/>
                    <w:iCs/>
                    <w:szCs w:val="24"/>
                  </w:rPr>
                </w:pPr>
                <w:r>
                  <w:rPr>
                    <w:i/>
                    <w:iCs/>
                    <w:szCs w:val="24"/>
                  </w:rPr>
                  <w:t>- Neįgyvendinamas sąnaudų susigrąžinimo principas.</w:t>
                </w:r>
                <w:r>
                  <w:rPr>
                    <w:szCs w:val="24"/>
                  </w:rPr>
                  <w:t xml:space="preserve"> </w:t>
                </w:r>
                <w:r>
                  <w:rPr>
                    <w:i/>
                    <w:iCs/>
                    <w:szCs w:val="24"/>
                  </w:rPr>
                  <w:t xml:space="preserve">Neužtikrinamas geriamojo vandens tiekimo ir nuotekų tvarkymo sektoriaus tvarumas ateityje. Sektorius neprisitaikęs gyventi be </w:t>
                </w:r>
                <w:r>
                  <w:rPr>
                    <w:i/>
                    <w:szCs w:val="24"/>
                  </w:rPr>
                  <w:t>Europos Sąjungos</w:t>
                </w:r>
                <w:r>
                  <w:rPr>
                    <w:i/>
                    <w:iCs/>
                    <w:szCs w:val="24"/>
                  </w:rPr>
                  <w:t xml:space="preserve"> subsidijų. </w:t>
                </w:r>
                <w:r>
                  <w:rPr>
                    <w:rFonts w:eastAsia="Calibri"/>
                    <w:szCs w:val="24"/>
                  </w:rPr>
                  <w:t xml:space="preserve">Geriamojo vandens tiekimo ir nuotekų tvarkymo paslaugų srityje taikomas sąnaudų susigrąžinimo principas reiškia, kad geriamojo vandens tiekimo ir nuotekų tvarkymo paslaugų kainos turi padengti būtinąsias sąnaudas, reikalingas geriamojo vandens tiekimo ir (arba) nuotekų tvarkymo paslaugoms teikti, ilgalaikiam geriamojo vandens tiekimo ir nuotekų tvarkymo infrastruktūros eksploatavimui, renovacijai ir plėtrai užtikrinti, abonentams ir vartotojams priimtinomis sąlygomis naudotis geriamuoju vandeniu ir gauti tinkamos kokybės nuotekų tvarkymo paslaugas, taip pat aplinkos taršai mažinti ir vandens ištekliams racionaliai naudoti. Šiuo metu šis principas nėra pilnai įgyvendinamas. Į geriamojo vandens tiekimo ir nuotekų tvarkymo sektorių investuota daugiau kaip 1,3 milijardo eurų Europos Sąjungos fondų lėšų, už kurias sukurta didesnė dalis visos infrastruktūros, reikalingos geriamojo vandens tiekimo ir nuotekų tvarkymo paslaugoms teikti. Skaičiuojama, kad 44,9 proc. geriamojo vandens tiekimo ir nuotekų tvarkymo turto sukurta Europos Sąjungos už lėšas, dar 29,1 proc. turto sukurta už savivaldybės lėšas. Kadangi už Europos Sąjungos dotacijų ir subsidijų lėšas sukurta geriamojo vandens tiekimo ir nuotekų tvarkymo infrastruktūros nusidėvėjimo sąnaudos neįskaičiuojamos į paslaugų kainą – lėšos, skirtos nusidėvėjusio turto atstatymui ateityje, yra nekaupiamos. Be to, į paslaugų kainą įskaičiuojama minimali investicijų grąža, todėl įmonės negali sukaupti pakankamai nuosavų lėšų reikalingai infrastruktūros rekonstrukcijai ar plėtrai, todėl turi būti pajėgios skolintis, kad vėlesnės investicijos būtų įtrauktos į paslaugų kainą. </w:t>
                </w:r>
              </w:p>
              <w:p>
                <w:pPr>
                  <w:widowControl w:val="0"/>
                  <w:suppressAutoHyphens/>
                  <w:jc w:val="both"/>
                  <w:rPr>
                    <w:szCs w:val="24"/>
                  </w:rPr>
                </w:pPr>
                <w:r>
                  <w:rPr>
                    <w:rFonts w:eastAsia="Calibri"/>
                    <w:szCs w:val="24"/>
                  </w:rPr>
                  <w:t>Dėl reformos būtinybės Lietuvą informuoja ir Ekonominio bendradarbiavimo ir plėtros organizacija.</w:t>
                </w:r>
              </w:p>
            </w:tc>
          </w:tr>
          <w:tr>
            <w:tc>
              <w:tcPr>
                <w:tcW w:w="212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II. Siūlomos priemonės</w:t>
                </w:r>
              </w:p>
            </w:tc>
            <w:tc>
              <w:tcPr>
                <w:tcW w:w="751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b/>
                    <w:iCs/>
                    <w:szCs w:val="24"/>
                  </w:rPr>
                </w:pPr>
                <w:r>
                  <w:rPr>
                    <w:iCs/>
                    <w:szCs w:val="24"/>
                  </w:rPr>
                  <w:t xml:space="preserve">Siekiant išspręsti sektoriuje esančias problemas ir įgyvendinti Įstatymų projektų tikslus, </w:t>
                </w:r>
                <w:r>
                  <w:rPr>
                    <w:szCs w:val="24"/>
                  </w:rPr>
                  <w:t xml:space="preserve">Įstatymo </w:t>
                </w:r>
                <w:r>
                  <w:rPr>
                    <w:iCs/>
                    <w:szCs w:val="24"/>
                  </w:rPr>
                  <w:t>projekte siūloma:</w:t>
                </w:r>
              </w:p>
              <w:p>
                <w:pPr>
                  <w:widowControl w:val="0"/>
                  <w:suppressAutoHyphens/>
                  <w:ind w:firstLine="567"/>
                  <w:jc w:val="both"/>
                  <w:rPr>
                    <w:szCs w:val="24"/>
                  </w:rPr>
                </w:pPr>
                <w:r>
                  <w:rPr>
                    <w:szCs w:val="24"/>
                  </w:rPr>
                  <w:t xml:space="preserve">-  pakeisti  vandentvarkos įmonių licencijuojamos veiklos kriterijus;</w:t>
                </w:r>
              </w:p>
              <w:p>
                <w:pPr>
                  <w:widowControl w:val="0"/>
                  <w:tabs>
                    <w:tab w:val="left" w:pos="713"/>
                    <w:tab w:val="left" w:pos="855"/>
                  </w:tabs>
                  <w:suppressAutoHyphens/>
                  <w:ind w:firstLine="567"/>
                  <w:jc w:val="both"/>
                  <w:rPr>
                    <w:szCs w:val="24"/>
                  </w:rPr>
                </w:pPr>
                <w:r>
                  <w:rPr>
                    <w:szCs w:val="24"/>
                  </w:rPr>
                  <w:t xml:space="preserve">-   įtvirtinti veikiantį mechanizmą, kuris užtikrintų geriamojo vandens tiekimo ir nuotekų tvarkymo  paslaugų teikimą ir reikalavimų vykdymą, jei geriamojo vandens tiekėjui ir nuotekų tvarkytojui būtų sustabdyta ar panaikinta licencija (garantinis paslaugų tiekimas); </w:t>
                </w:r>
              </w:p>
              <w:p>
                <w:pPr>
                  <w:widowControl w:val="0"/>
                  <w:suppressAutoHyphens/>
                  <w:ind w:firstLine="567"/>
                  <w:jc w:val="both"/>
                  <w:rPr>
                    <w:szCs w:val="24"/>
                  </w:rPr>
                </w:pPr>
                <w:r>
                  <w:rPr>
                    <w:szCs w:val="24"/>
                  </w:rPr>
                  <w:t>- nustatyti paslaugų kainų nustatymo metodiką ir pritaikyti ją taip, kad sektorius galėtų investuoti į reikiamą infrastruktūros plėtrą ir rekonstrukciją iš veiklos pajamų ir nebūtų priklausomas nuo subsidijų;</w:t>
                </w:r>
              </w:p>
              <w:p>
                <w:pPr>
                  <w:widowControl w:val="0"/>
                  <w:suppressAutoHyphens/>
                  <w:ind w:firstLine="567"/>
                  <w:jc w:val="both"/>
                  <w:rPr>
                    <w:szCs w:val="24"/>
                  </w:rPr>
                </w:pPr>
                <w:r>
                  <w:rPr>
                    <w:szCs w:val="24"/>
                  </w:rPr>
                  <w:t xml:space="preserve">- skatinti savanorišką geriamojo vandens tiekimo ir nuotekų tvarkymo regioninių įmonių plėtrą, numatant pereinamojo laikotarpio kainodarą, didesnę investicijų grąžą besijungiančioms vandentvarkos  įmonėms, mažinant administracinę naštą regioninei įmonei dėl kainų ir veiklos planų derinimo savivaldybėse;</w:t>
                </w:r>
              </w:p>
              <w:p>
                <w:pPr>
                  <w:widowControl w:val="0"/>
                  <w:suppressAutoHyphens/>
                  <w:ind w:firstLine="567"/>
                  <w:jc w:val="both"/>
                  <w:rPr>
                    <w:szCs w:val="24"/>
                  </w:rPr>
                </w:pPr>
                <w:r>
                  <w:rPr>
                    <w:szCs w:val="24"/>
                  </w:rPr>
                  <w:t>- numatyti išsamesnės vartotojams teikiamos informacijos suteikimą apie geriamojo vandens kokybę ir kainos aspektus, pagerinti prieigą prie geriamojo vandens;</w:t>
                </w:r>
              </w:p>
              <w:p>
                <w:pPr>
                  <w:widowControl w:val="0"/>
                  <w:suppressAutoHyphens/>
                  <w:ind w:firstLine="567"/>
                  <w:jc w:val="both"/>
                  <w:rPr>
                    <w:szCs w:val="24"/>
                  </w:rPr>
                </w:pPr>
                <w:r>
                  <w:rPr>
                    <w:szCs w:val="24"/>
                  </w:rPr>
                  <w:t>- sukurti individualiojo nuotekų tvarkymo įrenginių registravimo informacinę sistemą.</w:t>
                </w:r>
              </w:p>
            </w:tc>
          </w:tr>
          <w:tr>
            <w:trPr>
              <w:trHeight w:val="257"/>
            </w:trPr>
            <w:tc>
              <w:tcPr>
                <w:tcW w:w="212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III. Priemonių kaštai</w:t>
                </w:r>
              </w:p>
            </w:tc>
            <w:tc>
              <w:tcPr>
                <w:tcW w:w="751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Įstatymų projektų nuostatoms įgyvendinti papildomų valstybės ir (ar) savivaldybių biudžetų lėšų nereikės.</w:t>
                </w:r>
              </w:p>
            </w:tc>
          </w:tr>
          <w:tr>
            <w:tc>
              <w:tcPr>
                <w:tcW w:w="212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IV. Nauda visuomenei</w:t>
                </w:r>
              </w:p>
            </w:tc>
            <w:tc>
              <w:tcPr>
                <w:tcW w:w="7512" w:type="dxa"/>
                <w:tcBorders>
                  <w:top w:val="single" w:sz="4" w:space="0" w:color="auto"/>
                  <w:left w:val="single" w:sz="4" w:space="0" w:color="auto"/>
                  <w:bottom w:val="single" w:sz="4" w:space="0" w:color="auto"/>
                  <w:right w:val="single" w:sz="4" w:space="0" w:color="auto"/>
                </w:tcBorders>
                <w:hideMark/>
              </w:tcPr>
              <w:p>
                <w:pPr>
                  <w:widowControl w:val="0"/>
                  <w:suppressAutoHyphens/>
                  <w:jc w:val="both"/>
                  <w:rPr>
                    <w:szCs w:val="24"/>
                  </w:rPr>
                </w:pPr>
                <w:r>
                  <w:rPr>
                    <w:szCs w:val="24"/>
                  </w:rPr>
                  <w:t>Priėmus Įstatymo projektą būtų:</w:t>
                </w:r>
              </w:p>
              <w:p>
                <w:pPr>
                  <w:widowControl w:val="0"/>
                  <w:tabs>
                    <w:tab w:val="left" w:pos="288"/>
                  </w:tabs>
                  <w:jc w:val="both"/>
                  <w:rPr>
                    <w:szCs w:val="24"/>
                  </w:rPr>
                </w:pPr>
                <w:r>
                  <w:rPr>
                    <w:szCs w:val="24"/>
                    <w:lang w:eastAsia="ar-SA"/>
                  </w:rPr>
                  <w:t>1)</w:t>
                  <w:tab/>
                </w:r>
                <w:r>
                  <w:rPr>
                    <w:szCs w:val="24"/>
                  </w:rPr>
                  <w:t xml:space="preserve">sumažintas geriamojo vandens tiekimo ir nuotekų tvarkymo paslaugų </w:t>
                </w:r>
                <w:r>
                  <w:rPr>
                    <w:bCs/>
                    <w:szCs w:val="24"/>
                  </w:rPr>
                  <w:t>kainų netolygumas ir socialinė nelygybė</w:t>
                </w:r>
                <w:r>
                  <w:rPr>
                    <w:szCs w:val="24"/>
                  </w:rPr>
                  <w:t xml:space="preserve"> Lietuvos gyventojams;</w:t>
                </w:r>
              </w:p>
              <w:p>
                <w:pPr>
                  <w:widowControl w:val="0"/>
                  <w:tabs>
                    <w:tab w:val="left" w:pos="288"/>
                  </w:tabs>
                  <w:jc w:val="both"/>
                  <w:rPr>
                    <w:szCs w:val="24"/>
                  </w:rPr>
                </w:pPr>
                <w:r>
                  <w:rPr>
                    <w:szCs w:val="24"/>
                    <w:lang w:eastAsia="ar-SA"/>
                  </w:rPr>
                  <w:t>2)</w:t>
                  <w:tab/>
                </w:r>
                <w:r>
                  <w:rPr>
                    <w:szCs w:val="24"/>
                  </w:rPr>
                  <w:t>užtikrintas nacionalinių ir ES įsipareigojimų, teikti kokybiškas geriamojo vandens tiekimo ir nuotekų tvarkymo paslaugas gyventojams, įgyvendinimas;</w:t>
                </w:r>
              </w:p>
              <w:p>
                <w:pPr>
                  <w:widowControl w:val="0"/>
                  <w:suppressAutoHyphens/>
                  <w:jc w:val="both"/>
                  <w:rPr>
                    <w:rFonts w:eastAsia="Andale Sans UI" w:cs="Tahoma"/>
                    <w:lang w:bidi="en-US"/>
                  </w:rPr>
                </w:pPr>
                <w:r>
                  <w:rPr>
                    <w:szCs w:val="24"/>
                  </w:rPr>
                  <w:t>3) pasiekta, kad visos vandentvarkos įmonės, teikiančios geriamojo vandens tiekimo ir nuotekų tvarkymo paslaugas, vykdytų veiklą efektyviai ir išsilaikytų iš veiklos pajamų (sąnaudų susigrąžinimo principo įgyvendinimas).</w:t>
                </w:r>
              </w:p>
            </w:tc>
          </w:tr>
        </w:tbl>
        <w:p>
          <w:pPr>
            <w:widowControl w:val="0"/>
            <w:suppressAutoHyphens/>
            <w:ind w:firstLine="567"/>
            <w:jc w:val="both"/>
            <w:rPr>
              <w:szCs w:val="24"/>
            </w:rPr>
          </w:pPr>
          <w:r>
            <w:rPr>
              <w:szCs w:val="24"/>
            </w:rPr>
            <w:t>Įvertinus suinteresuotų institucijų pateiktas pastabas ir siūlymus, Įstatymo projekte atlikti šie pakeitimai:</w:t>
          </w:r>
        </w:p>
        <w:p>
          <w:pPr>
            <w:shd w:val="clear" w:color="auto" w:fill="FFFFFF"/>
            <w:tabs>
              <w:tab w:val="left" w:pos="0"/>
              <w:tab w:val="left" w:pos="851"/>
            </w:tabs>
            <w:ind w:firstLine="567"/>
            <w:jc w:val="both"/>
            <w:rPr>
              <w:rFonts w:ascii="Calibri" w:hAnsi="Calibri" w:cs="Calibri"/>
              <w:color w:val="000000"/>
              <w:sz w:val="22"/>
              <w:szCs w:val="22"/>
              <w:lang w:eastAsia="en-GB"/>
            </w:rPr>
          </w:pPr>
          <w:r>
            <w:rPr>
              <w:rFonts w:ascii="Symbol" w:hAnsi="Symbol" w:cs="Calibri"/>
              <w:color w:val="000000"/>
              <w:sz w:val="20"/>
              <w:szCs w:val="22"/>
              <w:lang w:eastAsia="en-GB"/>
            </w:rPr>
            <w:t></w:t>
            <w:tab/>
          </w:r>
          <w:r>
            <w:rPr>
              <w:color w:val="000000"/>
              <w:szCs w:val="24"/>
              <w:bdr w:val="none" w:sz="0" w:space="0" w:color="auto" w:frame="1"/>
              <w:lang w:eastAsia="en-GB"/>
            </w:rPr>
            <w:t>garantinis geriamojo vandens tiekėjas ir nuotekų tvarkytojas bus parenkamas tik Valstybinės energetikos reguliavimo tarybos sprendimu pagal Įstatymo projekte įtvirtintus kriterijus (atsisakyta konkurso);</w:t>
          </w:r>
        </w:p>
        <w:p>
          <w:pPr>
            <w:shd w:val="clear" w:color="auto" w:fill="FFFFFF"/>
            <w:tabs>
              <w:tab w:val="left" w:pos="0"/>
              <w:tab w:val="left" w:pos="851"/>
            </w:tabs>
            <w:ind w:firstLine="567"/>
            <w:jc w:val="both"/>
            <w:rPr>
              <w:rFonts w:ascii="Calibri" w:hAnsi="Calibri" w:cs="Calibri"/>
              <w:color w:val="000000"/>
              <w:sz w:val="22"/>
              <w:szCs w:val="22"/>
              <w:lang w:eastAsia="en-GB"/>
            </w:rPr>
          </w:pPr>
          <w:r>
            <w:rPr>
              <w:rFonts w:ascii="Symbol" w:hAnsi="Symbol" w:cs="Calibri"/>
              <w:color w:val="000000"/>
              <w:sz w:val="20"/>
              <w:szCs w:val="22"/>
              <w:lang w:eastAsia="en-GB"/>
            </w:rPr>
            <w:t></w:t>
            <w:tab/>
          </w:r>
          <w:r>
            <w:rPr>
              <w:color w:val="000000"/>
              <w:szCs w:val="24"/>
              <w:bdr w:val="none" w:sz="0" w:space="0" w:color="auto" w:frame="1"/>
              <w:lang w:eastAsia="en-GB"/>
            </w:rPr>
            <w:t xml:space="preserve">įtvirtinti tinkamumo ir reikalingumo kriterijai, kurias vadovaujantis išperkama arba perimama geriamojo vandens tiekimo ir  nuotekų tvarkymo infrastruktūra, paviršinių nuotekų tvarkymo  infrastruktūra (pažymėtina, kad šie kriterijai šiuo metu nustatyti Geriamojo vandens tiekimo ir nuotekų tvarkymo infrastruktūros objekto išpirkimo tvarkos apraše patvirtintame Vyriausybės 2007 m. sausio 29 d. nutarimu Nr. 88 „Dėl Geriamojo vandens tiekimo ir nuotekų tvarkymo infrastruktūros objekto išpirkimo tvarkos aprašo patvirtinimo“);</w:t>
          </w:r>
        </w:p>
        <w:p>
          <w:pPr>
            <w:shd w:val="clear" w:color="auto" w:fill="FFFFFF"/>
            <w:tabs>
              <w:tab w:val="left" w:pos="0"/>
              <w:tab w:val="left" w:pos="851"/>
            </w:tabs>
            <w:ind w:firstLine="567"/>
            <w:jc w:val="both"/>
            <w:rPr>
              <w:rFonts w:ascii="Calibri" w:hAnsi="Calibri" w:cs="Calibri"/>
              <w:color w:val="000000"/>
              <w:sz w:val="22"/>
              <w:szCs w:val="22"/>
              <w:lang w:eastAsia="en-GB"/>
            </w:rPr>
          </w:pPr>
          <w:r>
            <w:rPr>
              <w:rFonts w:ascii="Symbol" w:hAnsi="Symbol" w:cs="Calibri"/>
              <w:color w:val="000000"/>
              <w:sz w:val="20"/>
              <w:szCs w:val="22"/>
              <w:lang w:eastAsia="en-GB"/>
            </w:rPr>
            <w:t></w:t>
            <w:tab/>
          </w:r>
          <w:r>
            <w:rPr>
              <w:color w:val="000000"/>
              <w:szCs w:val="24"/>
              <w:bdr w:val="none" w:sz="0" w:space="0" w:color="auto" w:frame="1"/>
              <w:lang w:eastAsia="en-GB"/>
            </w:rPr>
            <w:t xml:space="preserve">atsisakyta vienos aplinkybės dėl kurios galėtų būti panaikintas licencijos galiojimas,  t. y.  „geriamojo vandens tiekimo ir nuotekų tvarkymo paslaugų kaina daugiau kaip 30 proc. didesnė už regiono vidurkį“;</w:t>
          </w:r>
        </w:p>
        <w:p>
          <w:pPr>
            <w:shd w:val="clear" w:color="auto" w:fill="FFFFFF"/>
            <w:tabs>
              <w:tab w:val="left" w:pos="0"/>
              <w:tab w:val="left" w:pos="851"/>
            </w:tabs>
            <w:ind w:firstLine="567"/>
            <w:jc w:val="both"/>
            <w:rPr>
              <w:rFonts w:ascii="Calibri" w:hAnsi="Calibri" w:cs="Calibri"/>
              <w:color w:val="000000"/>
              <w:sz w:val="22"/>
              <w:szCs w:val="22"/>
              <w:lang w:eastAsia="en-GB"/>
            </w:rPr>
          </w:pPr>
          <w:r>
            <w:rPr>
              <w:rFonts w:ascii="Symbol" w:hAnsi="Symbol" w:cs="Calibri"/>
              <w:color w:val="000000"/>
              <w:sz w:val="20"/>
              <w:szCs w:val="22"/>
              <w:lang w:eastAsia="en-GB"/>
            </w:rPr>
            <w:t></w:t>
            <w:tab/>
          </w:r>
          <w:r>
            <w:rPr>
              <w:color w:val="000000"/>
              <w:szCs w:val="24"/>
              <w:shd w:val="clear" w:color="auto" w:fill="FFFFFF"/>
            </w:rPr>
            <w:t>numatyta, kad turėti darbuotojų licencijuojamai veiklai vykdyti ir ataskaitoms rengti, atskirai licencijuojamos veiklos apskaitai tvarkyti, vartotojams informuoti ir konsultuoti, skundams ir ginčams dėl licencijuojamos veiklos sąlygų nagrinėti yra licencijuojamos veiklos sąlyga, o ne licencijų išdavimo sąlyga;</w:t>
          </w:r>
        </w:p>
        <w:p>
          <w:pPr>
            <w:shd w:val="clear" w:color="auto" w:fill="FFFFFF"/>
            <w:tabs>
              <w:tab w:val="left" w:pos="0"/>
              <w:tab w:val="left" w:pos="851"/>
            </w:tabs>
            <w:ind w:firstLine="567"/>
            <w:jc w:val="both"/>
            <w:rPr>
              <w:rFonts w:ascii="Calibri" w:hAnsi="Calibri" w:cs="Calibri"/>
              <w:color w:val="000000"/>
              <w:sz w:val="22"/>
              <w:szCs w:val="22"/>
              <w:lang w:eastAsia="en-GB"/>
            </w:rPr>
          </w:pPr>
          <w:r>
            <w:rPr>
              <w:rFonts w:ascii="Symbol" w:hAnsi="Symbol" w:cs="Calibri"/>
              <w:color w:val="000000"/>
              <w:sz w:val="20"/>
              <w:szCs w:val="22"/>
              <w:lang w:eastAsia="en-GB"/>
            </w:rPr>
            <w:t></w:t>
            <w:tab/>
          </w:r>
          <w:r>
            <w:rPr>
              <w:color w:val="000000"/>
              <w:szCs w:val="24"/>
              <w:bdr w:val="none" w:sz="0" w:space="0" w:color="auto" w:frame="1"/>
              <w:lang w:eastAsia="en-GB"/>
            </w:rPr>
            <w:t xml:space="preserve">atsisakyta besidubliuojančių geriamojo vandens tiekėjų ir nuotekų tvarkytojų  ir savivaldybių funkcijų, tokiu atveju sumažinama administracinė našta savivaldybėms.</w:t>
          </w:r>
          <w:r>
            <w:rPr>
              <w:rFonts w:ascii="Calibri" w:hAnsi="Calibri" w:cs="Calibri"/>
              <w:color w:val="000000"/>
              <w:sz w:val="22"/>
              <w:szCs w:val="22"/>
              <w:lang w:eastAsia="en-GB"/>
            </w:rPr>
            <w:t xml:space="preserve"> </w:t>
          </w:r>
        </w:p>
        <w:p>
          <w:pPr>
            <w:shd w:val="clear" w:color="auto" w:fill="FFFFFF"/>
            <w:tabs>
              <w:tab w:val="left" w:pos="0"/>
              <w:tab w:val="left" w:pos="851"/>
            </w:tabs>
            <w:ind w:firstLine="488"/>
            <w:jc w:val="both"/>
            <w:rPr>
              <w:bCs/>
              <w:szCs w:val="24"/>
              <w:lang w:eastAsia="lt-LT"/>
            </w:rPr>
          </w:pPr>
          <w:r>
            <w:rPr>
              <w:color w:val="000000"/>
              <w:szCs w:val="24"/>
              <w:bdr w:val="none" w:sz="0" w:space="0" w:color="auto" w:frame="1"/>
              <w:lang w:eastAsia="en-GB"/>
            </w:rPr>
            <w:t>Atlikti ir kiti pakeitimai bei patikslinimai.</w:t>
          </w:r>
          <w:r>
            <w:rPr>
              <w:rFonts w:ascii="Calibri" w:hAnsi="Calibri" w:cs="Calibri"/>
              <w:color w:val="000000"/>
              <w:sz w:val="22"/>
              <w:szCs w:val="22"/>
              <w:lang w:eastAsia="en-GB"/>
            </w:rPr>
            <w:t xml:space="preserve"> </w:t>
          </w:r>
          <w:r>
            <w:rPr>
              <w:bCs/>
              <w:szCs w:val="24"/>
              <w:lang w:eastAsia="lt-LT"/>
            </w:rPr>
            <w:t>Išsamiau Įstatymų projektais siūlomos nuostatos aptariamos aiškinamajame rašte.</w:t>
          </w:r>
        </w:p>
        <w:p>
          <w:pPr>
            <w:shd w:val="clear" w:color="auto" w:fill="FFFFFF"/>
            <w:ind w:firstLine="426"/>
            <w:jc w:val="both"/>
            <w:rPr>
              <w:color w:val="000000"/>
              <w:szCs w:val="24"/>
              <w:lang w:eastAsia="en-GB"/>
            </w:rPr>
          </w:pPr>
          <w:r>
            <w:rPr>
              <w:rFonts w:eastAsia="Andale Sans UI" w:cs="Tahoma"/>
              <w:color w:val="000000"/>
              <w:szCs w:val="24"/>
              <w:lang w:eastAsia="en-GB" w:bidi="en-US"/>
            </w:rPr>
            <w:t>Įstatymų projektai pirmą kartą skelbti Lietuvos Respublikos Seimo kanceliarijos teisės aktų informacinėje sistemoje (TAIS, Nr.</w:t>
          </w:r>
          <w:r>
            <w:rPr>
              <w:szCs w:val="24"/>
              <w:lang w:eastAsia="en-GB"/>
            </w:rPr>
            <w:t xml:space="preserve"> </w:t>
          </w:r>
          <w:r>
            <w:rPr>
              <w:rFonts w:eastAsia="Andale Sans UI" w:cs="Tahoma"/>
              <w:color w:val="000000"/>
              <w:szCs w:val="24"/>
              <w:lang w:eastAsia="en-GB" w:bidi="en-US"/>
            </w:rPr>
            <w:t xml:space="preserve">22-395). Įstatymo projektai derinti su Lietuvos Respublikos ekonomikos ir inovacijų ministerija, Lietuvos Respublikos energetikos ministerija, Lietuvos Respublikos konkurencijos taryba, Lietuvos Respublikos socialinės apsaugos ir darbo ministerija, Lietuvos Respublikos specialiųjų tyrimų tarnyba, Lietuvos Respublikos sveikatos apsaugos ministerija, Lietuvos Respublikos vidaus reikalų ministerija, Lietuvos Respublikos teisingumo ministerija, Lietuvos antstolių rūmais, Lietuvos geologijos tarnyba prie Aplinkos ministerijos,  Lietuvos pramonininkų konfederacija, Lietuvos savivaldybių asociacija,  Lietuvos vandens tiekėjų asociacija, Nacionalinei regioninės plėtros taryba, Valstybine vartotojų teisių apsaugos tarnyba, Valstybine energetikos reguliavimo taryba, Vyriausybės atstovų įstaiga ir viešaisiais geriamojo vandens tiekėjais ir nuotekų tvarkytojais (60). Papildomai gautos pastabos iš</w:t>
          </w:r>
          <w:r>
            <w:rPr>
              <w:szCs w:val="24"/>
              <w:lang w:eastAsia="en-GB"/>
            </w:rPr>
            <w:t xml:space="preserve"> </w:t>
          </w:r>
          <w:r>
            <w:rPr>
              <w:rFonts w:eastAsia="Andale Sans UI" w:cs="Tahoma"/>
              <w:color w:val="000000"/>
              <w:szCs w:val="24"/>
              <w:lang w:eastAsia="en-GB" w:bidi="en-US"/>
            </w:rPr>
            <w:t xml:space="preserve">Valstybinės įmonės „Registrų centras“, </w:t>
          </w:r>
          <w:r>
            <w:rPr>
              <w:bCs/>
              <w:color w:val="000000"/>
              <w:szCs w:val="24"/>
              <w:bdr w:val="none" w:sz="0" w:space="0" w:color="auto" w:frame="1"/>
              <w:lang w:eastAsia="en-GB"/>
            </w:rPr>
            <w:t xml:space="preserve">Šiaulių miesto savivaldybės gyventojų asociacijos „Visuomeninės iniciatyvos“, Lietuvos šilumos tiekėjų asociacijos ir Valstybinės maisto ir veterinarijos tarybos. </w:t>
          </w:r>
          <w:r>
            <w:rPr>
              <w:rFonts w:eastAsia="Andale Sans UI" w:cs="Tahoma"/>
              <w:color w:val="000000"/>
              <w:szCs w:val="24"/>
              <w:lang w:eastAsia="en-GB" w:bidi="en-US"/>
            </w:rPr>
            <w:t>Pastabos ir pasiūlymai įvertinti, į kuriuos neatsižvelgta informacija pateikta derinimo pažymoje.</w:t>
          </w:r>
        </w:p>
        <w:p>
          <w:pPr>
            <w:widowControl w:val="0"/>
            <w:suppressAutoHyphens/>
            <w:ind w:firstLine="567"/>
            <w:jc w:val="both"/>
            <w:rPr>
              <w:szCs w:val="24"/>
            </w:rPr>
          </w:pPr>
          <w:r>
            <w:rPr>
              <w:szCs w:val="24"/>
            </w:rPr>
            <w:t xml:space="preserve">Įstatymų projektai parengti laikantis Lietuvos Respublikos valstybinės kalbos, Teisėkūros pagrindų įstatymų reikalavimų. </w:t>
          </w:r>
        </w:p>
        <w:p>
          <w:pPr>
            <w:widowControl w:val="0"/>
            <w:suppressAutoHyphens/>
            <w:ind w:firstLine="567"/>
            <w:jc w:val="both"/>
            <w:rPr>
              <w:szCs w:val="24"/>
            </w:rPr>
          </w:pPr>
          <w:r>
            <w:rPr>
              <w:szCs w:val="24"/>
            </w:rPr>
            <w:t>Įstatymų projektai atitinka Lietuvos Respublikos Vyriausybės programos nuostatas, neprieštarauja strateginiams planavimo dokumentams.</w:t>
          </w:r>
        </w:p>
        <w:p>
          <w:pPr>
            <w:widowControl w:val="0"/>
            <w:tabs>
              <w:tab w:val="left" w:pos="0"/>
            </w:tabs>
            <w:suppressAutoHyphens/>
            <w:ind w:firstLine="720"/>
            <w:jc w:val="both"/>
            <w:rPr>
              <w:szCs w:val="24"/>
              <w:lang w:eastAsia="lt-LT"/>
            </w:rPr>
          </w:pPr>
          <w:r>
            <w:rPr>
              <w:szCs w:val="24"/>
              <w:lang w:eastAsia="lt-LT"/>
            </w:rPr>
            <w:t>Įstatymų projektai nenotifikuotini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p>
        <w:p>
          <w:pPr>
            <w:widowControl w:val="0"/>
            <w:suppressAutoHyphens/>
            <w:ind w:firstLine="567"/>
            <w:jc w:val="both"/>
            <w:rPr>
              <w:szCs w:val="24"/>
              <w:lang w:eastAsia="lt-LT"/>
            </w:rPr>
          </w:pPr>
          <w:r>
            <w:rPr>
              <w:szCs w:val="24"/>
              <w:lang w:eastAsia="lt-LT"/>
            </w:rPr>
            <w:t xml:space="preserve">Vadovaujantis Numatomo teisinio reguliavimo poveikio metodikos, patvirtintos Lietuvos Respublikos Vyriausybės 2003 m. vasario 26 d. nutarimu Nr. 276 „Dėl Numatomo teisinio reguliavimo poveikio metodikos patvirtinimo“, 4 punktu, atliktas Įstatymų projektų numatomo teisinio reguliavimo poveikio vertinimas. </w:t>
          </w:r>
        </w:p>
        <w:p>
          <w:pPr>
            <w:widowControl w:val="0"/>
            <w:suppressAutoHyphens/>
            <w:ind w:firstLine="567"/>
            <w:jc w:val="both"/>
            <w:rPr>
              <w:szCs w:val="24"/>
              <w:lang w:eastAsia="lt-LT"/>
            </w:rPr>
          </w:pPr>
          <w:r>
            <w:rPr>
              <w:szCs w:val="24"/>
              <w:lang w:eastAsia="lt-LT"/>
            </w:rPr>
            <w:t>Konsultacijos su visuomene dėl šių įstatymų projektų nevyko ir ateityje neplanuojama jų rengti, tačiau savo pasiūlymus ir pastabas dėl jų visuomenė gali teikti.</w:t>
          </w:r>
        </w:p>
        <w:p>
          <w:pPr>
            <w:widowControl w:val="0"/>
            <w:suppressAutoHyphens/>
            <w:ind w:firstLine="602"/>
            <w:jc w:val="both"/>
            <w:rPr>
              <w:szCs w:val="24"/>
              <w:lang w:eastAsia="lt-LT"/>
            </w:rPr>
          </w:pPr>
          <w:r>
            <w:rPr>
              <w:szCs w:val="24"/>
              <w:lang w:eastAsia="lt-LT"/>
            </w:rPr>
            <w:t>Įstatymo projektui atliktas didesnio poveikio vertinamas, kuris buvo paskelbtas e.pilietis.lt internetinėje platformoje: https://epilietis.lrv.lt/lt/konsultacijos/viesoji-konsultacija-del-geriamojo-vandens-tiekimo-ir-nuoteku-tvarkymo-istatymo-pakeitimo-istatymo-projekto.</w:t>
          </w:r>
        </w:p>
        <w:p>
          <w:pPr>
            <w:ind w:firstLine="540"/>
            <w:jc w:val="both"/>
            <w:rPr>
              <w:szCs w:val="24"/>
            </w:rPr>
          </w:pPr>
          <w:r>
            <w:rPr>
              <w:szCs w:val="24"/>
            </w:rPr>
            <w:t xml:space="preserve">Įstatymų projektus parengė Aplinkos ministerijos Taršos prevencijos politikos grupės (grupės vadovas Vitalijus Auglys, tel. 8 686 46 087, el. p. </w:t>
          </w:r>
          <w:r>
            <w:rPr>
              <w:color w:val="000000"/>
              <w:szCs w:val="24"/>
            </w:rPr>
            <w:t>vitalijus.auglys@am.lt</w:t>
          </w:r>
          <w:r>
            <w:rPr>
              <w:color w:val="000000"/>
              <w:szCs w:val="24"/>
            </w:rPr>
            <w:t xml:space="preserve">, </w:t>
          </w:r>
          <w:r>
            <w:rPr>
              <w:szCs w:val="24"/>
            </w:rPr>
            <w:t xml:space="preserve">vyresnysis patarėjas Irmantas Valūnas tel. 8 684 04 000, el. p. irmantas.valunas@am.lt)) vyriausioji specialistė Judita Vaišnorienė, tel. 8 </w:t>
          </w:r>
          <w:r>
            <w:rPr>
              <w:rFonts w:ascii="Calibri" w:hAnsi="Calibri" w:cs="Calibri"/>
              <w:color w:val="000000"/>
              <w:sz w:val="20"/>
              <w:bdr w:val="none" w:sz="0" w:space="0" w:color="auto" w:frame="1"/>
              <w:shd w:val="clear" w:color="auto" w:fill="FFFFFF"/>
            </w:rPr>
            <w:t xml:space="preserve">  </w:t>
          </w:r>
          <w:r>
            <w:rPr>
              <w:color w:val="000000"/>
              <w:szCs w:val="24"/>
              <w:bdr w:val="none" w:sz="0" w:space="0" w:color="auto" w:frame="1"/>
              <w:shd w:val="clear" w:color="auto" w:fill="FFFFFF"/>
            </w:rPr>
            <w:t>695 54 136 </w:t>
          </w:r>
          <w:r>
            <w:rPr>
              <w:szCs w:val="24"/>
            </w:rPr>
            <w:t xml:space="preserve">, el. p. </w:t>
          </w:r>
          <w:r>
            <w:rPr>
              <w:color w:val="000080"/>
              <w:szCs w:val="24"/>
              <w:u w:val="single"/>
            </w:rPr>
            <w:t>judita.vaisnoriene@am.lt</w:t>
          </w:r>
          <w:r>
            <w:rPr>
              <w:szCs w:val="24"/>
            </w:rPr>
            <w:t>.</w:t>
          </w:r>
        </w:p>
        <w:p>
          <w:pPr>
            <w:widowControl w:val="0"/>
            <w:suppressAutoHyphens/>
            <w:ind w:firstLine="567"/>
            <w:jc w:val="both"/>
            <w:rPr>
              <w:szCs w:val="24"/>
            </w:rPr>
          </w:pPr>
          <w:r>
            <w:rPr>
              <w:szCs w:val="24"/>
            </w:rPr>
            <w:t xml:space="preserve">Įstatymo projektas perkelia Geriamojo vandens direktyvos ir 1991 m. gegužės 21 d. Tarybos direktyvos </w:t>
          </w:r>
          <w:fldSimple w:instr="HYPERLINK http://eur-lex.europa.eu/legal-content/LIT/TXT/?uri=CELEX:31991L0271&amp;locale=lt \t _blank">
            <w:r>
              <w:rPr>
                <w:szCs w:val="24"/>
                <w:u w:val="single"/>
                <w:color w:val="0000FF" w:themeColor="hyperlink"/>
              </w:rPr>
              <w:t>91/271/EEB</w:t>
            </w:r>
          </w:fldSimple>
          <w:r>
            <w:rPr>
              <w:szCs w:val="24"/>
            </w:rPr>
            <w:t xml:space="preserve"> dėl miesto nuotekų valymo konkrečias nuostatas.</w:t>
          </w:r>
        </w:p>
        <w:p>
          <w:pPr>
            <w:widowControl w:val="0"/>
            <w:tabs>
              <w:tab w:val="left" w:pos="0"/>
            </w:tabs>
            <w:suppressAutoHyphens/>
            <w:ind w:firstLine="720"/>
            <w:jc w:val="both"/>
            <w:rPr>
              <w:szCs w:val="24"/>
              <w:lang w:eastAsia="lt-LT"/>
            </w:rPr>
          </w:pPr>
          <w:r>
            <w:rPr>
              <w:color w:val="000000"/>
              <w:szCs w:val="24"/>
            </w:rPr>
            <w:t>Įstatymų projektai skelbiami Lietuvos Respublikos Seimo kanceliarijos teisės aktų informacinėje sistemoje (TAIS).</w:t>
          </w:r>
          <w:r>
            <w:rPr>
              <w:szCs w:val="24"/>
              <w:lang w:eastAsia="lt-LT"/>
            </w:rPr>
            <w:t xml:space="preserve"> Prašome argumentuotas pastabas ir pasiūlymus dėl </w:t>
          </w:r>
          <w:r>
            <w:rPr>
              <w:bCs/>
              <w:szCs w:val="24"/>
              <w:lang w:eastAsia="lt-LT"/>
            </w:rPr>
            <w:t xml:space="preserve">Įstatymų projektų </w:t>
          </w:r>
          <w:r>
            <w:rPr>
              <w:szCs w:val="24"/>
              <w:lang w:eastAsia="lt-LT"/>
            </w:rPr>
            <w:t>pateikti per 1</w:t>
          </w:r>
          <w:r>
            <w:rPr>
              <w:szCs w:val="24"/>
              <w:lang w:val="en-US" w:eastAsia="lt-LT"/>
            </w:rPr>
            <w:t>2</w:t>
          </w:r>
          <w:r>
            <w:rPr>
              <w:szCs w:val="24"/>
              <w:lang w:eastAsia="lt-LT"/>
            </w:rPr>
            <w:t xml:space="preserve"> darbo dienų nuo paskelbimo TAIS. Per nurodytą terminą negavę pastabų ir pasiūlymų, laikysime, kad pastabų ir pasiūlymų neturite.</w:t>
          </w:r>
        </w:p>
        <w:p>
          <w:pPr>
            <w:widowControl w:val="0"/>
            <w:suppressAutoHyphens/>
            <w:ind w:firstLine="567"/>
            <w:jc w:val="both"/>
            <w:rPr>
              <w:szCs w:val="24"/>
            </w:rPr>
          </w:pPr>
          <w:r>
            <w:rPr>
              <w:szCs w:val="24"/>
            </w:rPr>
            <w:t>PRIDEDAMA:</w:t>
          </w:r>
        </w:p>
        <w:sdt>
          <w:sdtPr>
            <w:alias w:val="1 p."/>
            <w:tag w:val="part_0d7b05e460264de4944994cd7693eca8"/>
            <w:lock w:val="sdtLocked"/>
            <w:richText/>
          </w:sdtPr>
          <w:sdtContent>
            <w:p>
              <w:pPr>
                <w:widowControl w:val="0"/>
                <w:suppressAutoHyphens/>
                <w:ind w:firstLine="567"/>
                <w:jc w:val="both"/>
                <w:rPr>
                  <w:szCs w:val="24"/>
                </w:rPr>
              </w:pPr>
              <w:sdt>
                <w:sdtPr>
                  <w:alias w:val="Numeris"/>
                  <w:tag w:val="nr_0d7b05e460264de4944994cd7693eca8"/>
                  <w:lock w:val="sdtLocked"/>
                  <w:richText/>
                </w:sdtPr>
                <w:sdtContent>
                  <w:r>
                    <w:rPr>
                      <w:szCs w:val="24"/>
                    </w:rPr>
                    <w:t>1</w:t>
                  </w:r>
                </w:sdtContent>
              </w:sdt>
              <w:r>
                <w:rPr>
                  <w:szCs w:val="24"/>
                </w:rPr>
                <w:t>. Įstatymo projektas, 4</w:t>
              </w:r>
              <w:r>
                <w:rPr>
                  <w:szCs w:val="24"/>
                  <w:lang w:val="en-US"/>
                </w:rPr>
                <w:t>7</w:t>
              </w:r>
              <w:r>
                <w:rPr>
                  <w:szCs w:val="24"/>
                </w:rPr>
                <w:t xml:space="preserve"> lapai.</w:t>
              </w:r>
            </w:p>
          </w:sdtContent>
        </w:sdt>
        <w:sdt>
          <w:sdtPr>
            <w:alias w:val="2 p."/>
            <w:tag w:val="part_b15d7c151e5e41e9a5953512c4d2a12b"/>
            <w:lock w:val="sdtLocked"/>
            <w:richText/>
          </w:sdtPr>
          <w:sdtContent>
            <w:p>
              <w:pPr>
                <w:widowControl w:val="0"/>
                <w:suppressAutoHyphens/>
                <w:ind w:firstLine="567"/>
                <w:jc w:val="both"/>
                <w:rPr>
                  <w:szCs w:val="24"/>
                </w:rPr>
              </w:pPr>
              <w:sdt>
                <w:sdtPr>
                  <w:alias w:val="Numeris"/>
                  <w:tag w:val="nr_b15d7c151e5e41e9a5953512c4d2a12b"/>
                  <w:lock w:val="sdtLocked"/>
                  <w:richText/>
                </w:sdtPr>
                <w:sdtContent>
                  <w:r>
                    <w:rPr>
                      <w:szCs w:val="24"/>
                    </w:rPr>
                    <w:t>2</w:t>
                  </w:r>
                </w:sdtContent>
              </w:sdt>
              <w:r>
                <w:rPr>
                  <w:szCs w:val="24"/>
                </w:rPr>
                <w:t>. Aiškinamasis raštas, 1</w:t>
              </w:r>
              <w:r>
                <w:rPr>
                  <w:szCs w:val="24"/>
                  <w:lang w:val="en-US"/>
                </w:rPr>
                <w:t>8</w:t>
              </w:r>
              <w:r>
                <w:rPr>
                  <w:szCs w:val="24"/>
                </w:rPr>
                <w:t xml:space="preserve"> lapų.</w:t>
              </w:r>
            </w:p>
          </w:sdtContent>
        </w:sdt>
        <w:sdt>
          <w:sdtPr>
            <w:alias w:val="3 p."/>
            <w:tag w:val="part_1f2e1fe447744c09873c0b38359aa307"/>
            <w:lock w:val="sdtLocked"/>
            <w:richText/>
          </w:sdtPr>
          <w:sdtContent>
            <w:p>
              <w:pPr>
                <w:widowControl w:val="0"/>
                <w:suppressAutoHyphens/>
                <w:ind w:firstLine="567"/>
                <w:jc w:val="both"/>
                <w:rPr>
                  <w:szCs w:val="24"/>
                </w:rPr>
              </w:pPr>
              <w:sdt>
                <w:sdtPr>
                  <w:alias w:val="Numeris"/>
                  <w:tag w:val="nr_1f2e1fe447744c09873c0b38359aa307"/>
                  <w:lock w:val="sdtLocked"/>
                  <w:richText/>
                </w:sdtPr>
                <w:sdtContent>
                  <w:r>
                    <w:rPr>
                      <w:szCs w:val="24"/>
                    </w:rPr>
                    <w:t>3</w:t>
                  </w:r>
                </w:sdtContent>
              </w:sdt>
              <w:r>
                <w:rPr>
                  <w:szCs w:val="24"/>
                </w:rPr>
                <w:t>. Atitikties lentelė (Geriamojo vandens direktyva), 1</w:t>
              </w:r>
              <w:r>
                <w:rPr>
                  <w:szCs w:val="24"/>
                  <w:lang w:val="en-US"/>
                </w:rPr>
                <w:t>1</w:t>
              </w:r>
              <w:r>
                <w:rPr>
                  <w:szCs w:val="24"/>
                </w:rPr>
                <w:t xml:space="preserve"> lapų. </w:t>
              </w:r>
            </w:p>
          </w:sdtContent>
        </w:sdt>
        <w:sdt>
          <w:sdtPr>
            <w:alias w:val="4 p."/>
            <w:tag w:val="part_f7fe32f843ab4f29817625e0dc9f4ed1"/>
            <w:lock w:val="sdtLocked"/>
            <w:richText/>
          </w:sdtPr>
          <w:sdtContent>
            <w:p>
              <w:pPr>
                <w:widowControl w:val="0"/>
                <w:suppressAutoHyphens/>
                <w:ind w:firstLine="567"/>
                <w:jc w:val="both"/>
                <w:rPr>
                  <w:szCs w:val="24"/>
                </w:rPr>
              </w:pPr>
              <w:sdt>
                <w:sdtPr>
                  <w:alias w:val="Numeris"/>
                  <w:tag w:val="nr_f7fe32f843ab4f29817625e0dc9f4ed1"/>
                  <w:lock w:val="sdtLocked"/>
                  <w:richText/>
                </w:sdtPr>
                <w:sdtContent>
                  <w:r>
                    <w:rPr>
                      <w:szCs w:val="24"/>
                    </w:rPr>
                    <w:t>4</w:t>
                  </w:r>
                </w:sdtContent>
              </w:sdt>
              <w:r>
                <w:rPr>
                  <w:szCs w:val="24"/>
                </w:rPr>
                <w:t>. Atitikties lentelė (Miesto nuotekų direktyva), 3 lapai.</w:t>
              </w:r>
            </w:p>
          </w:sdtContent>
        </w:sdt>
        <w:sdt>
          <w:sdtPr>
            <w:alias w:val="5 p."/>
            <w:tag w:val="part_b53aef7a6a114d0388ba18ff92266ee2"/>
            <w:lock w:val="sdtLocked"/>
            <w:richText/>
          </w:sdtPr>
          <w:sdtContent>
            <w:p>
              <w:pPr>
                <w:widowControl w:val="0"/>
                <w:suppressAutoHyphens/>
                <w:ind w:firstLine="720"/>
                <w:jc w:val="both"/>
                <w:rPr>
                  <w:szCs w:val="24"/>
                </w:rPr>
              </w:pPr>
              <w:sdt>
                <w:sdtPr>
                  <w:alias w:val="Numeris"/>
                  <w:tag w:val="nr_b53aef7a6a114d0388ba18ff92266ee2"/>
                  <w:lock w:val="sdtLocked"/>
                  <w:richText/>
                </w:sdtPr>
                <w:sdtContent>
                  <w:r>
                    <w:rPr>
                      <w:szCs w:val="24"/>
                    </w:rPr>
                    <w:t>5</w:t>
                  </w:r>
                </w:sdtContent>
              </w:sdt>
              <w:r>
                <w:rPr>
                  <w:szCs w:val="24"/>
                </w:rPr>
                <w:t>. Numatomo poveikio vertinimo pažyma, 3 lapai.</w:t>
              </w:r>
            </w:p>
          </w:sdtContent>
        </w:sdt>
        <w:sdt>
          <w:sdtPr>
            <w:alias w:val="6 p."/>
            <w:tag w:val="part_63b7d37d2a9c4637b4ab7e02d752a258"/>
            <w:lock w:val="sdtLocked"/>
            <w:richText/>
          </w:sdtPr>
          <w:sdtContent>
            <w:p>
              <w:pPr>
                <w:widowControl w:val="0"/>
                <w:suppressAutoHyphens/>
                <w:ind w:firstLine="720"/>
                <w:jc w:val="both"/>
                <w:rPr>
                  <w:szCs w:val="24"/>
                </w:rPr>
              </w:pPr>
              <w:sdt>
                <w:sdtPr>
                  <w:alias w:val="Numeris"/>
                  <w:tag w:val="nr_63b7d37d2a9c4637b4ab7e02d752a258"/>
                  <w:lock w:val="sdtLocked"/>
                  <w:richText/>
                </w:sdtPr>
                <w:sdtContent>
                  <w:r>
                    <w:rPr>
                      <w:szCs w:val="24"/>
                    </w:rPr>
                    <w:t>6</w:t>
                  </w:r>
                </w:sdtContent>
              </w:sdt>
              <w:r>
                <w:rPr>
                  <w:szCs w:val="24"/>
                </w:rPr>
                <w:t>. Lietuvos Respublikos Vyriausybės nutarimo „Dėl Lietuvos Respublikos geriamojo vandens tiekimo ir nuotekų tvarkymo įstatymo Nr. X-764 pakeitimo įstatymo ir Lietuvos Respublikos vietos savivaldos įstatymo Nr. I-533 16 straipsnio pakeitimo įstatymo projektų pateikimo Lietuvos Respublikos Seimui“ projektas, 1 lapas.</w:t>
              </w:r>
            </w:p>
          </w:sdtContent>
        </w:sdt>
        <w:sdt>
          <w:sdtPr>
            <w:alias w:val="7 p."/>
            <w:tag w:val="part_eb237a3618be49c0bbddf032fb79270b"/>
            <w:lock w:val="sdtLocked"/>
            <w:richText/>
          </w:sdtPr>
          <w:sdtContent>
            <w:p>
              <w:pPr>
                <w:widowControl w:val="0"/>
                <w:suppressAutoHyphens/>
                <w:ind w:firstLine="720"/>
                <w:rPr>
                  <w:bCs/>
                  <w:szCs w:val="24"/>
                </w:rPr>
              </w:pPr>
              <w:sdt>
                <w:sdtPr>
                  <w:alias w:val="Numeris"/>
                  <w:tag w:val="nr_eb237a3618be49c0bbddf032fb79270b"/>
                  <w:lock w:val="sdtLocked"/>
                  <w:richText/>
                </w:sdtPr>
                <w:sdtContent>
                  <w:r>
                    <w:rPr>
                      <w:szCs w:val="24"/>
                    </w:rPr>
                    <w:t>7</w:t>
                  </w:r>
                </w:sdtContent>
              </w:sdt>
              <w:r>
                <w:rPr>
                  <w:szCs w:val="24"/>
                </w:rPr>
                <w:t xml:space="preserve">. Vietos savivaldos įstatymo </w:t>
              </w:r>
              <w:r>
                <w:rPr>
                  <w:bCs/>
                  <w:szCs w:val="24"/>
                </w:rPr>
                <w:t>projektas, 1 lapas.</w:t>
              </w:r>
            </w:p>
          </w:sdtContent>
        </w:sdt>
        <w:sdt>
          <w:sdtPr>
            <w:alias w:val="8 p."/>
            <w:tag w:val="part_5e4eca63a70e426784928c87abddaf5a"/>
            <w:lock w:val="sdtLocked"/>
            <w:richText/>
          </w:sdtPr>
          <w:sdtContent>
            <w:p>
              <w:pPr>
                <w:widowControl w:val="0"/>
                <w:suppressAutoHyphens/>
                <w:ind w:firstLine="567"/>
                <w:rPr>
                  <w:bCs/>
                  <w:szCs w:val="24"/>
                </w:rPr>
              </w:pPr>
              <w:sdt>
                <w:sdtPr>
                  <w:alias w:val="Numeris"/>
                  <w:tag w:val="nr_5e4eca63a70e426784928c87abddaf5a"/>
                  <w:lock w:val="sdtLocked"/>
                  <w:richText/>
                </w:sdtPr>
                <w:sdtContent>
                  <w:r>
                    <w:rPr>
                      <w:bCs/>
                      <w:szCs w:val="24"/>
                    </w:rPr>
                    <w:t>8</w:t>
                  </w:r>
                </w:sdtContent>
              </w:sdt>
              <w:r>
                <w:rPr>
                  <w:bCs/>
                  <w:szCs w:val="24"/>
                </w:rPr>
                <w:t xml:space="preserve">. </w:t>
              </w:r>
              <w:r>
                <w:rPr>
                  <w:szCs w:val="24"/>
                </w:rPr>
                <w:t xml:space="preserve">Vietos savivaldos įstatymo </w:t>
              </w:r>
              <w:r>
                <w:rPr>
                  <w:bCs/>
                  <w:szCs w:val="24"/>
                </w:rPr>
                <w:t>projekto lyginamasis variantas, 1 lapas.</w:t>
              </w:r>
            </w:p>
          </w:sdtContent>
        </w:sdt>
        <w:sdt>
          <w:sdtPr>
            <w:alias w:val="9 p."/>
            <w:tag w:val="part_88cc48b9e5814e3abc784808ca023676"/>
            <w:lock w:val="sdtLocked"/>
            <w:richText/>
          </w:sdtPr>
          <w:sdtContent>
            <w:p>
              <w:pPr>
                <w:widowControl w:val="0"/>
                <w:tabs>
                  <w:tab w:val="left" w:pos="567"/>
                  <w:tab w:val="left" w:pos="851"/>
                </w:tabs>
                <w:suppressAutoHyphens/>
                <w:ind w:firstLine="567"/>
                <w:jc w:val="both"/>
                <w:rPr>
                  <w:bCs/>
                  <w:szCs w:val="24"/>
                </w:rPr>
              </w:pPr>
              <w:sdt>
                <w:sdtPr>
                  <w:alias w:val="Numeris"/>
                  <w:tag w:val="nr_88cc48b9e5814e3abc784808ca023676"/>
                  <w:lock w:val="sdtLocked"/>
                  <w:richText/>
                </w:sdtPr>
                <w:sdtContent>
                  <w:r>
                    <w:rPr>
                      <w:bCs/>
                      <w:szCs w:val="24"/>
                    </w:rPr>
                    <w:t>9</w:t>
                  </w:r>
                </w:sdtContent>
              </w:sdt>
              <w:r>
                <w:rPr>
                  <w:bCs/>
                  <w:szCs w:val="24"/>
                </w:rPr>
                <w:t>. Antikorupcinio vertinimo pažyma, 18 lapų.</w:t>
              </w:r>
            </w:p>
          </w:sdtContent>
        </w:sdt>
        <w:sdt>
          <w:sdtPr>
            <w:alias w:val="10 p."/>
            <w:tag w:val="part_e7918048abde47ed9093a062e492e4bf"/>
            <w:lock w:val="sdtLocked"/>
            <w:richText/>
          </w:sdtPr>
          <w:sdtContent>
            <w:p>
              <w:pPr>
                <w:widowControl w:val="0"/>
                <w:tabs>
                  <w:tab w:val="left" w:pos="567"/>
                  <w:tab w:val="left" w:pos="851"/>
                </w:tabs>
                <w:suppressAutoHyphens/>
                <w:ind w:firstLine="558"/>
                <w:jc w:val="both"/>
                <w:rPr>
                  <w:bCs/>
                  <w:szCs w:val="24"/>
                </w:rPr>
              </w:pPr>
              <w:sdt>
                <w:sdtPr>
                  <w:alias w:val="Numeris"/>
                  <w:tag w:val="nr_e7918048abde47ed9093a062e492e4bf"/>
                  <w:lock w:val="sdtLocked"/>
                  <w:richText/>
                </w:sdtPr>
                <w:sdtContent>
                  <w:r>
                    <w:rPr>
                      <w:bCs/>
                      <w:szCs w:val="24"/>
                    </w:rPr>
                    <w:t>10</w:t>
                  </w:r>
                </w:sdtContent>
              </w:sdt>
              <w:r>
                <w:rPr>
                  <w:bCs/>
                  <w:szCs w:val="24"/>
                </w:rPr>
                <w:t>. Derinimo pažyma, 34 lapai.</w:t>
              </w:r>
            </w:p>
          </w:sdtContent>
        </w:sdt>
        <w:sdt>
          <w:sdtPr>
            <w:alias w:val="11 p."/>
            <w:tag w:val="part_28d4e903a8fa454e94a82cfad4540402"/>
            <w:lock w:val="sdtLocked"/>
            <w:richText/>
          </w:sdtPr>
          <w:sdtContent>
            <w:p>
              <w:pPr>
                <w:widowControl w:val="0"/>
                <w:tabs>
                  <w:tab w:val="left" w:pos="567"/>
                  <w:tab w:val="left" w:pos="851"/>
                </w:tabs>
                <w:suppressAutoHyphens/>
                <w:ind w:firstLine="558"/>
                <w:jc w:val="both"/>
                <w:rPr>
                  <w:bCs/>
                  <w:szCs w:val="24"/>
                </w:rPr>
              </w:pPr>
              <w:sdt>
                <w:sdtPr>
                  <w:alias w:val="Numeris"/>
                  <w:tag w:val="nr_28d4e903a8fa454e94a82cfad4540402"/>
                  <w:lock w:val="sdtLocked"/>
                  <w:richText/>
                </w:sdtPr>
                <w:sdtContent>
                  <w:r>
                    <w:rPr>
                      <w:bCs/>
                      <w:szCs w:val="24"/>
                    </w:rPr>
                    <w:t>11</w:t>
                  </w:r>
                </w:sdtContent>
              </w:sdt>
              <w:r>
                <w:rPr>
                  <w:bCs/>
                  <w:szCs w:val="24"/>
                </w:rPr>
                <w:t>. Administracinės naštos ūkio subjektams apskaičiavimo ataskaita, 4 lapai.</w:t>
              </w:r>
            </w:p>
            <w:p>
              <w:pPr>
                <w:widowControl w:val="0"/>
                <w:suppressAutoHyphens/>
                <w:ind w:firstLine="62"/>
                <w:jc w:val="both"/>
                <w:rPr>
                  <w:szCs w:val="24"/>
                </w:rPr>
              </w:pPr>
            </w:p>
            <w:p>
              <w:pPr>
                <w:widowControl w:val="0"/>
                <w:suppressAutoHyphens/>
                <w:jc w:val="both"/>
                <w:rPr>
                  <w:szCs w:val="24"/>
                </w:rPr>
              </w:pPr>
            </w:p>
            <w:p>
              <w:pPr>
                <w:widowControl w:val="0"/>
                <w:suppressAutoHyphens/>
                <w:jc w:val="both"/>
                <w:rPr>
                  <w:szCs w:val="24"/>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spacing w:line="312" w:lineRule="auto"/>
                      <w:rPr>
                        <w:szCs w:val="24"/>
                      </w:rPr>
                    </w:pPr>
                    <w:r>
                      <w:rPr>
                        <w:szCs w:val="24"/>
                      </w:rPr>
                      <w:t xml:space="preserve">Aplinkos viceministrė                                                                                          Raminta Radavičienė</w:t>
                    </w:r>
                  </w:p>
                </w:tc>
              </w:tr>
              <w:tr>
                <w:trPr>
                  <w:trHeight w:val="340"/>
                </w:trPr>
                <w:tc>
                  <w:tcPr>
                    <w:tcW w:w="9643" w:type="dxa"/>
                  </w:tcPr>
                  <w:p>
                    <w:pPr>
                      <w:widowControl w:val="0"/>
                      <w:suppressLineNumbers/>
                      <w:suppressAutoHyphens/>
                      <w:spacing w:line="312" w:lineRule="auto"/>
                      <w:rPr>
                        <w:szCs w:val="24"/>
                      </w:rPr>
                    </w:pPr>
                  </w:p>
                </w:tc>
              </w:tr>
              <w:tr>
                <w:trPr>
                  <w:trHeight w:val="340"/>
                </w:trPr>
                <w:tc>
                  <w:tcPr>
                    <w:tcW w:w="9643" w:type="dxa"/>
                  </w:tcPr>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p>
                    <w:pPr>
                      <w:widowControl w:val="0"/>
                      <w:suppressLineNumbers/>
                      <w:suppressAutoHyphens/>
                      <w:spacing w:line="312" w:lineRule="auto"/>
                      <w:rPr>
                        <w:szCs w:val="24"/>
                      </w:rPr>
                    </w:pPr>
                  </w:p>
                </w:tc>
              </w:tr>
            </w:tbl>
            <w:p>
              <w:pPr>
                <w:widowControl w:val="0"/>
                <w:tabs>
                  <w:tab w:val="left" w:pos="3802"/>
                </w:tabs>
                <w:suppressAutoHyphens/>
                <w:rPr>
                  <w:szCs w:val="24"/>
                </w:rPr>
              </w:pPr>
              <w:r>
                <w:rPr>
                  <w:szCs w:val="24"/>
                </w:rPr>
                <w:t xml:space="preserve">Judita Vaišnorienė, tel. 8 </w:t>
              </w:r>
              <w:r>
                <w:rPr>
                  <w:rFonts w:ascii="Calibri" w:hAnsi="Calibri" w:cs="Calibri"/>
                  <w:color w:val="000000"/>
                  <w:sz w:val="20"/>
                  <w:bdr w:val="none" w:sz="0" w:space="0" w:color="auto" w:frame="1"/>
                  <w:shd w:val="clear" w:color="auto" w:fill="FFFFFF"/>
                </w:rPr>
                <w:t> </w:t>
              </w:r>
              <w:r>
                <w:rPr>
                  <w:color w:val="000000"/>
                  <w:szCs w:val="24"/>
                  <w:bdr w:val="none" w:sz="0" w:space="0" w:color="auto" w:frame="1"/>
                  <w:shd w:val="clear" w:color="auto" w:fill="FFFFFF"/>
                </w:rPr>
                <w:t>695 54 136 </w:t>
              </w:r>
              <w:r>
                <w:rPr>
                  <w:szCs w:val="24"/>
                </w:rPr>
                <w:t xml:space="preserve">, el. p. </w:t>
              </w:r>
              <w:r>
                <w:rPr>
                  <w:color w:val="000080"/>
                  <w:szCs w:val="24"/>
                  <w:u w:val="single"/>
                </w:rPr>
                <w:t>judita.vaisnoriene@am.lt</w:t>
              </w:r>
              <w:r>
                <w:rPr>
                  <w:szCs w:val="24"/>
                </w:rPr>
                <w:t>.</w:t>
              </w:r>
            </w:p>
          </w:sdtContent>
        </w:sdt>
        <w:sdt>
          <w:sdtPr>
            <w:alias w:val="skirsnis"/>
            <w:tag w:val="part_aeb311646434412ca978ad3f675d7db7"/>
            <w:lock w:val="sdtLocked"/>
            <w:richText/>
          </w:sdtPr>
          <w:sdtContent>
            <w:p>
              <w:pPr>
                <w:widowControl w:val="0"/>
                <w:tabs>
                  <w:tab w:val="left" w:pos="3802"/>
                </w:tabs>
                <w:suppressAutoHyphens/>
                <w:jc w:val="center"/>
                <w:rPr>
                  <w:szCs w:val="24"/>
                </w:rPr>
              </w:pPr>
              <w:sdt>
                <w:sdtPr>
                  <w:alias w:val="Pavadinimas"/>
                  <w:tag w:val="title_aeb311646434412ca978ad3f675d7db7"/>
                  <w:lock w:val="sdtLocked"/>
                  <w:richText/>
                </w:sdtPr>
                <w:sdtContent>
                  <w:r>
                    <w:rPr>
                      <w:szCs w:val="24"/>
                    </w:rPr>
                    <w:t>ADRESATŲ SĄRAŠAS</w:t>
                  </w:r>
                </w:sdtContent>
              </w:sdt>
            </w:p>
            <w:p>
              <w:pPr>
                <w:widowControl w:val="0"/>
                <w:tabs>
                  <w:tab w:val="left" w:pos="3802"/>
                </w:tabs>
                <w:suppressAutoHyphens/>
                <w:jc w:val="center"/>
                <w:rPr>
                  <w:szCs w:val="24"/>
                </w:rPr>
              </w:pPr>
            </w:p>
            <w:p>
              <w:pPr>
                <w:widowControl w:val="0"/>
                <w:tabs>
                  <w:tab w:val="left" w:pos="3802"/>
                </w:tabs>
                <w:suppressAutoHyphens/>
                <w:rPr>
                  <w:szCs w:val="24"/>
                </w:rPr>
              </w:pPr>
              <w:r>
                <w:rPr>
                  <w:szCs w:val="24"/>
                </w:rPr>
                <w:t>Aplinkos apsaugos agentūrai</w:t>
              </w:r>
            </w:p>
            <w:p>
              <w:pPr>
                <w:widowControl w:val="0"/>
                <w:tabs>
                  <w:tab w:val="left" w:pos="3802"/>
                </w:tabs>
                <w:suppressAutoHyphens/>
                <w:rPr>
                  <w:szCs w:val="24"/>
                </w:rPr>
              </w:pPr>
            </w:p>
            <w:p>
              <w:pPr>
                <w:widowControl w:val="0"/>
                <w:suppressLineNumbers/>
                <w:suppressAutoHyphens/>
                <w:rPr>
                  <w:szCs w:val="24"/>
                </w:rPr>
              </w:pPr>
              <w:r>
                <w:rPr>
                  <w:szCs w:val="24"/>
                </w:rPr>
                <w:t>Lietuvos Respublikos ekonomikos ir inovacijų ministerijai</w:t>
              </w:r>
            </w:p>
            <w:p>
              <w:pPr>
                <w:widowControl w:val="0"/>
                <w:suppressLineNumbers/>
                <w:suppressAutoHyphens/>
                <w:rPr>
                  <w:szCs w:val="24"/>
                </w:rPr>
              </w:pPr>
            </w:p>
            <w:p>
              <w:pPr>
                <w:widowControl w:val="0"/>
                <w:suppressLineNumbers/>
                <w:suppressAutoHyphens/>
                <w:rPr>
                  <w:szCs w:val="24"/>
                </w:rPr>
              </w:pPr>
              <w:r>
                <w:rPr>
                  <w:szCs w:val="24"/>
                </w:rPr>
                <w:t>Lietuvos Respublikos energetikos ministerijai</w:t>
              </w:r>
            </w:p>
            <w:p>
              <w:pPr>
                <w:widowControl w:val="0"/>
                <w:suppressLineNumbers/>
                <w:suppressAutoHyphens/>
                <w:rPr>
                  <w:szCs w:val="24"/>
                </w:rPr>
              </w:pPr>
            </w:p>
            <w:p>
              <w:pPr>
                <w:widowControl w:val="0"/>
                <w:suppressLineNumbers/>
                <w:suppressAutoHyphens/>
                <w:rPr>
                  <w:szCs w:val="24"/>
                </w:rPr>
              </w:pPr>
              <w:r>
                <w:rPr>
                  <w:szCs w:val="24"/>
                </w:rPr>
                <w:t>Lietuvos Respublikos konkurencijos tarybai</w:t>
              </w:r>
            </w:p>
            <w:p>
              <w:pPr>
                <w:widowControl w:val="0"/>
                <w:suppressLineNumbers/>
                <w:suppressAutoHyphens/>
                <w:rPr>
                  <w:szCs w:val="24"/>
                </w:rPr>
              </w:pPr>
            </w:p>
            <w:p>
              <w:pPr>
                <w:widowControl w:val="0"/>
                <w:suppressLineNumbers/>
                <w:suppressAutoHyphens/>
                <w:rPr>
                  <w:szCs w:val="24"/>
                </w:rPr>
              </w:pPr>
              <w:r>
                <w:rPr>
                  <w:szCs w:val="24"/>
                </w:rPr>
                <w:t>Lietuvos Respublikos socialinės apsaugos ir darbo ministerijai</w:t>
              </w:r>
            </w:p>
            <w:p>
              <w:pPr>
                <w:widowControl w:val="0"/>
                <w:suppressLineNumbers/>
                <w:suppressAutoHyphens/>
                <w:rPr>
                  <w:szCs w:val="24"/>
                </w:rPr>
              </w:pPr>
            </w:p>
            <w:p>
              <w:pPr>
                <w:widowControl w:val="0"/>
                <w:suppressLineNumbers/>
                <w:suppressAutoHyphens/>
                <w:rPr>
                  <w:szCs w:val="24"/>
                </w:rPr>
              </w:pPr>
              <w:r>
                <w:rPr>
                  <w:szCs w:val="24"/>
                </w:rPr>
                <w:t>Lietuvos Respublikos specialiųjų tyrimų tarnybai</w:t>
              </w:r>
            </w:p>
            <w:p>
              <w:pPr>
                <w:widowControl w:val="0"/>
                <w:suppressLineNumbers/>
                <w:suppressAutoHyphens/>
                <w:rPr>
                  <w:szCs w:val="24"/>
                </w:rPr>
              </w:pPr>
            </w:p>
            <w:p>
              <w:pPr>
                <w:widowControl w:val="0"/>
                <w:suppressLineNumbers/>
                <w:suppressAutoHyphens/>
                <w:rPr>
                  <w:szCs w:val="24"/>
                </w:rPr>
              </w:pPr>
              <w:r>
                <w:rPr>
                  <w:szCs w:val="24"/>
                </w:rPr>
                <w:t>Lietuvos Respublikos sveikatos apsaugos ministerijai</w:t>
              </w:r>
            </w:p>
            <w:p>
              <w:pPr>
                <w:widowControl w:val="0"/>
                <w:suppressLineNumbers/>
                <w:suppressAutoHyphens/>
                <w:rPr>
                  <w:szCs w:val="24"/>
                </w:rPr>
              </w:pPr>
            </w:p>
            <w:p>
              <w:pPr>
                <w:widowControl w:val="0"/>
                <w:suppressLineNumbers/>
                <w:suppressAutoHyphens/>
                <w:rPr>
                  <w:szCs w:val="24"/>
                </w:rPr>
              </w:pPr>
              <w:r>
                <w:rPr>
                  <w:szCs w:val="24"/>
                </w:rPr>
                <w:t>Lietuvos Respublikos vidaus reikalų ministerijai</w:t>
              </w:r>
            </w:p>
            <w:p>
              <w:pPr>
                <w:widowControl w:val="0"/>
                <w:suppressLineNumbers/>
                <w:suppressAutoHyphens/>
                <w:rPr>
                  <w:szCs w:val="24"/>
                </w:rPr>
              </w:pPr>
            </w:p>
            <w:p>
              <w:pPr>
                <w:widowControl w:val="0"/>
                <w:suppressLineNumbers/>
                <w:suppressAutoHyphens/>
                <w:rPr>
                  <w:szCs w:val="24"/>
                </w:rPr>
              </w:pPr>
              <w:r>
                <w:rPr>
                  <w:szCs w:val="24"/>
                </w:rPr>
                <w:t>Lietuvos Respublikos teisingumo ministerijai</w:t>
              </w:r>
            </w:p>
            <w:p>
              <w:pPr>
                <w:widowControl w:val="0"/>
                <w:suppressLineNumbers/>
                <w:suppressAutoHyphens/>
                <w:rPr>
                  <w:szCs w:val="24"/>
                </w:rPr>
              </w:pPr>
            </w:p>
            <w:p>
              <w:pPr>
                <w:widowControl w:val="0"/>
                <w:tabs>
                  <w:tab w:val="left" w:pos="3802"/>
                </w:tabs>
                <w:suppressAutoHyphens/>
                <w:rPr>
                  <w:szCs w:val="24"/>
                </w:rPr>
              </w:pPr>
              <w:r>
                <w:rPr>
                  <w:szCs w:val="24"/>
                </w:rPr>
                <w:t>Lietuvos antstolių rūmams</w:t>
              </w:r>
            </w:p>
            <w:p>
              <w:pPr>
                <w:widowControl w:val="0"/>
                <w:tabs>
                  <w:tab w:val="left" w:pos="3802"/>
                </w:tabs>
                <w:suppressAutoHyphens/>
                <w:rPr>
                  <w:szCs w:val="24"/>
                </w:rPr>
              </w:pPr>
            </w:p>
            <w:p>
              <w:pPr>
                <w:widowControl w:val="0"/>
                <w:suppressLineNumbers/>
                <w:suppressAutoHyphens/>
                <w:rPr>
                  <w:szCs w:val="24"/>
                </w:rPr>
              </w:pPr>
              <w:r>
                <w:rPr>
                  <w:szCs w:val="24"/>
                </w:rPr>
                <w:t>Lietuvos geologijos tarnybai prie Aplinkos ministerijos</w:t>
              </w:r>
            </w:p>
            <w:p>
              <w:pPr>
                <w:widowControl w:val="0"/>
                <w:suppressLineNumbers/>
                <w:suppressAutoHyphens/>
                <w:rPr>
                  <w:szCs w:val="24"/>
                </w:rPr>
              </w:pPr>
            </w:p>
            <w:p>
              <w:pPr>
                <w:widowControl w:val="0"/>
                <w:suppressLineNumbers/>
                <w:suppressAutoHyphens/>
                <w:rPr>
                  <w:szCs w:val="24"/>
                </w:rPr>
              </w:pPr>
              <w:r>
                <w:rPr>
                  <w:szCs w:val="24"/>
                </w:rPr>
                <w:t>Lietuvos pramonininkų konfederacijai</w:t>
              </w:r>
            </w:p>
            <w:p>
              <w:pPr>
                <w:widowControl w:val="0"/>
                <w:suppressLineNumbers/>
                <w:suppressAutoHyphens/>
                <w:rPr>
                  <w:szCs w:val="24"/>
                </w:rPr>
              </w:pPr>
            </w:p>
            <w:p>
              <w:pPr>
                <w:widowControl w:val="0"/>
                <w:suppressLineNumbers/>
                <w:suppressAutoHyphens/>
                <w:rPr>
                  <w:szCs w:val="24"/>
                </w:rPr>
              </w:pPr>
              <w:r>
                <w:rPr>
                  <w:szCs w:val="24"/>
                </w:rPr>
                <w:t>Lietuvos savivaldybių asociacijai</w:t>
              </w:r>
            </w:p>
            <w:p>
              <w:pPr>
                <w:widowControl w:val="0"/>
                <w:suppressLineNumbers/>
                <w:suppressAutoHyphens/>
                <w:rPr>
                  <w:szCs w:val="24"/>
                </w:rPr>
              </w:pPr>
            </w:p>
            <w:p>
              <w:pPr>
                <w:widowControl w:val="0"/>
                <w:suppressLineNumbers/>
                <w:suppressAutoHyphens/>
                <w:rPr>
                  <w:szCs w:val="24"/>
                </w:rPr>
              </w:pPr>
              <w:r>
                <w:rPr>
                  <w:szCs w:val="24"/>
                </w:rPr>
                <w:t>Lietuvos šilumos tiekėjų asociacijai</w:t>
              </w:r>
            </w:p>
            <w:p>
              <w:pPr>
                <w:widowControl w:val="0"/>
                <w:suppressLineNumbers/>
                <w:suppressAutoHyphens/>
                <w:rPr>
                  <w:szCs w:val="24"/>
                </w:rPr>
              </w:pPr>
            </w:p>
            <w:p>
              <w:pPr>
                <w:widowControl w:val="0"/>
                <w:suppressLineNumbers/>
                <w:suppressAutoHyphens/>
                <w:rPr>
                  <w:szCs w:val="24"/>
                </w:rPr>
              </w:pPr>
              <w:r>
                <w:rPr>
                  <w:szCs w:val="24"/>
                </w:rPr>
                <w:t>Lietuvos vandens tiekėjų asociacijai</w:t>
              </w:r>
            </w:p>
            <w:p>
              <w:pPr>
                <w:widowControl w:val="0"/>
                <w:suppressLineNumbers/>
                <w:suppressAutoHyphens/>
                <w:rPr>
                  <w:szCs w:val="24"/>
                </w:rPr>
              </w:pPr>
            </w:p>
            <w:p>
              <w:pPr>
                <w:widowControl w:val="0"/>
                <w:suppressLineNumbers/>
                <w:suppressAutoHyphens/>
                <w:rPr>
                  <w:color w:val="000000"/>
                  <w:szCs w:val="24"/>
                  <w:shd w:val="clear" w:color="auto" w:fill="FFFFFF"/>
                </w:rPr>
              </w:pPr>
              <w:r>
                <w:rPr>
                  <w:color w:val="000000"/>
                  <w:szCs w:val="24"/>
                  <w:shd w:val="clear" w:color="auto" w:fill="FFFFFF"/>
                </w:rPr>
                <w:t>Nacionalinei regioninės plėtros tarybai</w:t>
              </w:r>
            </w:p>
            <w:p>
              <w:pPr>
                <w:widowControl w:val="0"/>
                <w:suppressLineNumbers/>
                <w:suppressAutoHyphens/>
                <w:rPr>
                  <w:color w:val="000000"/>
                  <w:szCs w:val="24"/>
                  <w:shd w:val="clear" w:color="auto" w:fill="FFFFFF"/>
                </w:rPr>
              </w:pPr>
            </w:p>
            <w:p>
              <w:pPr>
                <w:widowControl w:val="0"/>
                <w:suppressLineNumbers/>
                <w:suppressAutoHyphens/>
                <w:rPr>
                  <w:szCs w:val="24"/>
                </w:rPr>
              </w:pPr>
              <w:r>
                <w:rPr>
                  <w:szCs w:val="24"/>
                </w:rPr>
                <w:t>Šiaulių miesto savivaldybės gyventojų asociacijai „Visuomeninės iniciatyvos“</w:t>
              </w:r>
            </w:p>
            <w:p>
              <w:pPr>
                <w:widowControl w:val="0"/>
                <w:suppressLineNumbers/>
                <w:suppressAutoHyphens/>
                <w:rPr>
                  <w:szCs w:val="24"/>
                </w:rPr>
              </w:pPr>
            </w:p>
            <w:p>
              <w:pPr>
                <w:widowControl w:val="0"/>
                <w:suppressLineNumbers/>
                <w:suppressAutoHyphens/>
                <w:rPr>
                  <w:szCs w:val="24"/>
                </w:rPr>
              </w:pPr>
              <w:r>
                <w:rPr>
                  <w:szCs w:val="24"/>
                </w:rPr>
                <w:t>Valstybinei energetikos reguliavimo tarybai</w:t>
              </w:r>
            </w:p>
            <w:p>
              <w:pPr>
                <w:widowControl w:val="0"/>
                <w:suppressLineNumbers/>
                <w:suppressAutoHyphens/>
                <w:rPr>
                  <w:szCs w:val="24"/>
                </w:rPr>
              </w:pPr>
            </w:p>
            <w:p>
              <w:pPr>
                <w:widowControl w:val="0"/>
                <w:suppressLineNumbers/>
                <w:suppressAutoHyphens/>
                <w:rPr>
                  <w:szCs w:val="24"/>
                </w:rPr>
              </w:pPr>
              <w:r>
                <w:rPr>
                  <w:szCs w:val="24"/>
                </w:rPr>
                <w:t>Valstybinei duomenų apsaugos inspekcijai</w:t>
              </w:r>
            </w:p>
            <w:p>
              <w:pPr>
                <w:widowControl w:val="0"/>
                <w:suppressLineNumbers/>
                <w:suppressAutoHyphens/>
                <w:rPr>
                  <w:szCs w:val="24"/>
                </w:rPr>
              </w:pPr>
            </w:p>
            <w:p>
              <w:pPr>
                <w:widowControl w:val="0"/>
                <w:suppressLineNumbers/>
                <w:suppressAutoHyphens/>
                <w:rPr>
                  <w:szCs w:val="24"/>
                </w:rPr>
              </w:pPr>
              <w:r>
                <w:rPr>
                  <w:szCs w:val="24"/>
                </w:rPr>
                <w:t>Valstybinei įmonei Distancinių tyrimų ir geoinformatikos centrui „GIS-Centras“</w:t>
              </w:r>
            </w:p>
            <w:p>
              <w:pPr>
                <w:widowControl w:val="0"/>
                <w:suppressLineNumbers/>
                <w:suppressAutoHyphens/>
                <w:rPr>
                  <w:szCs w:val="24"/>
                </w:rPr>
              </w:pPr>
            </w:p>
          </w:sdtContent>
        </w:sdt>
        <w:sdt>
          <w:sdtPr>
            <w:alias w:val="signatura"/>
            <w:tag w:val="part_5a72cbbabe5b40cc9fd6ca5153e41324"/>
            <w:lock w:val="sdtLocked"/>
            <w:richText/>
          </w:sdtPr>
          <w:sdtContent>
            <w:p>
              <w:pPr>
                <w:widowControl w:val="0"/>
                <w:suppressLineNumbers/>
                <w:suppressAutoHyphens/>
                <w:rPr>
                  <w:szCs w:val="24"/>
                </w:rPr>
              </w:pPr>
              <w:r>
                <w:rPr>
                  <w:szCs w:val="24"/>
                </w:rPr>
                <w:t>Valstybinei įmonei „Registrų centras“</w:t>
              </w:r>
            </w:p>
            <w:p>
              <w:pPr>
                <w:widowControl w:val="0"/>
                <w:suppressLineNumbers/>
                <w:suppressAutoHyphens/>
                <w:rPr>
                  <w:szCs w:val="24"/>
                </w:rPr>
              </w:pPr>
            </w:p>
            <w:p>
              <w:pPr>
                <w:widowControl w:val="0"/>
                <w:suppressLineNumbers/>
                <w:suppressAutoHyphens/>
                <w:rPr>
                  <w:szCs w:val="24"/>
                </w:rPr>
              </w:pPr>
              <w:r>
                <w:rPr>
                  <w:szCs w:val="24"/>
                </w:rPr>
                <w:t>Valstybinei maisto ir veterinarijos tarnybai</w:t>
              </w:r>
            </w:p>
            <w:p>
              <w:pPr>
                <w:widowControl w:val="0"/>
                <w:suppressLineNumbers/>
                <w:suppressAutoHyphens/>
                <w:rPr>
                  <w:szCs w:val="24"/>
                </w:rPr>
              </w:pPr>
            </w:p>
            <w:p>
              <w:pPr>
                <w:widowControl w:val="0"/>
                <w:suppressLineNumbers/>
                <w:suppressAutoHyphens/>
                <w:rPr>
                  <w:szCs w:val="24"/>
                </w:rPr>
              </w:pPr>
              <w:r>
                <w:rPr>
                  <w:szCs w:val="24"/>
                </w:rPr>
                <w:t>Valstybinei vartotojų teisių apsaugos tarnybai</w:t>
              </w:r>
            </w:p>
            <w:p>
              <w:pPr>
                <w:widowControl w:val="0"/>
                <w:suppressLineNumbers/>
                <w:suppressAutoHyphens/>
                <w:rPr>
                  <w:szCs w:val="24"/>
                </w:rPr>
              </w:pPr>
            </w:p>
            <w:p>
              <w:pPr>
                <w:widowControl w:val="0"/>
                <w:suppressLineNumbers/>
                <w:suppressAutoHyphens/>
                <w:rPr>
                  <w:szCs w:val="24"/>
                </w:rPr>
              </w:pPr>
              <w:r>
                <w:rPr>
                  <w:szCs w:val="24"/>
                </w:rPr>
                <w:t>Vyriausybės atstovų įstaigai</w:t>
              </w:r>
            </w:p>
            <w:p>
              <w:pPr>
                <w:widowControl w:val="0"/>
                <w:suppressLineNumbers/>
                <w:suppressAutoHyphens/>
                <w:rPr>
                  <w:szCs w:val="24"/>
                </w:rPr>
              </w:pPr>
            </w:p>
            <w:p>
              <w:pPr>
                <w:widowControl w:val="0"/>
                <w:suppressLineNumbers/>
                <w:suppressAutoHyphens/>
                <w:rPr>
                  <w:szCs w:val="24"/>
                </w:rPr>
              </w:pPr>
            </w:p>
          </w:sdtContent>
        </w:sdt>
      </w:sdtContent>
    </w:sdt>
    <w:sectPr>
      <w:headerReference w:type="even" r:id="rId14"/>
      <w:headerReference w:type="default" r:id="rId15"/>
      <w:footerReference w:type="even" r:id="rId16"/>
      <w:footerReference w:type="default" r:id="rId17"/>
      <w:headerReference w:type="first" r:id="rId18"/>
      <w:footerReference w:type="first" r:id="rId19"/>
      <w:footnotePr>
        <w:pos w:val="beneathText"/>
        <w:numRestart w:val="eachPage"/>
      </w:footnotePr>
      <w:endnotePr>
        <w:numFmt w:val="decimal"/>
      </w:endnotePr>
      <w:pgSz w:w="11905" w:h="16837"/>
      <w:pgMar w:top="671" w:right="567" w:bottom="1089" w:left="1701" w:header="567" w:footer="230" w:gutter="0"/>
      <w:cols w:space="1296"/>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6D9E8" w16cex:dateUtc="2022-03-24T09:5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300BCD" w16cid:durableId="25E6D9E8"/>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szCs w:val="24"/>
        </w:rPr>
      </w:pPr>
      <w:r>
        <w:rPr>
          <w:szCs w:val="24"/>
        </w:rPr>
        <w:separator/>
      </w:r>
    </w:p>
  </w:endnote>
  <w:endnote w:type="continuationSeparator" w:id="0">
    <w:p>
      <w:pPr>
        <w:widowControl w:val="0"/>
        <w:suppressAutoHyphens/>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hAnsi="Arial" w:cs="Arial"/>
        <w:sz w:val="10"/>
        <w:szCs w:val="10"/>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szCs w:val="24"/>
        </w:rPr>
      </w:pPr>
      <w:r>
        <w:rPr>
          <w:szCs w:val="24"/>
        </w:rPr>
        <w:separator/>
      </w:r>
    </w:p>
  </w:footnote>
  <w:footnote w:type="continuationSeparator" w:id="0">
    <w:p>
      <w:pPr>
        <w:widowControl w:val="0"/>
        <w:suppressAutoHyphens/>
        <w:rPr>
          <w:szCs w:val="24"/>
        </w:rPr>
      </w:pPr>
      <w:r>
        <w:rPr>
          <w:szCs w:val="24"/>
        </w:rPr>
        <w:continuationSeparator/>
      </w:r>
    </w:p>
  </w:footnote>
  <w:footnote w:id="1">
    <w:p>
      <w:pPr>
        <w:widowControl w:val="0"/>
        <w:suppressAutoHyphens/>
        <w:rPr>
          <w:sz w:val="20"/>
        </w:rPr>
      </w:pPr>
      <w:r>
        <w:rPr>
          <w:sz w:val="20"/>
          <w:vertAlign w:val="superscript"/>
        </w:rPr>
        <w:footnoteRef/>
      </w:r>
      <w:r>
        <w:rPr>
          <w:sz w:val="20"/>
        </w:rPr>
        <w:t xml:space="preserve"> Duomenys iš projekto „Geriamojo vandens tiekimo ir nuotekų tvarkymo įmonių valdymo tobulinimo plano rengimas“</w:t>
      </w:r>
    </w:p>
    <w:p>
      <w:pPr>
        <w:widowControl w:val="0"/>
        <w:suppressAutoHyphens/>
        <w:rPr>
          <w:sz w:val="20"/>
        </w:rPr>
      </w:pPr>
      <w:r>
        <w:rPr>
          <w:color w:val="000080"/>
          <w:sz w:val="20"/>
          <w:u w:val="single"/>
        </w:rPr>
        <w:t>https://am.lrv.lt/uploads/am/documents/files/2020%2001%2020%20galutin%C4%97%20ataskaita%20(suformatuota)_final(1).pdf</w:t>
      </w:r>
    </w:p>
    <w:p>
      <w:pPr>
        <w:widowControl w:val="0"/>
        <w:suppressAutoHyphens/>
        <w:rPr>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widowControl w:val="0"/>
      <w:suppressLineNumbers/>
      <w:tabs>
        <w:tab w:val="center" w:pos="4800"/>
        <w:tab w:val="right" w:pos="9601"/>
      </w:tabs>
      <w:suppressAutoHyphen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widowControl w:val="0"/>
      <w:suppressLineNumbers/>
      <w:tabs>
        <w:tab w:val="center" w:pos="4800"/>
        <w:tab w:val="right" w:pos="9601"/>
      </w:tabs>
      <w:suppressAutoHyphen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120"/>
  <w:drawingGridVerticalSpacing w:val="0"/>
  <w:displayHorizontalDrawingGridEvery w:val="0"/>
  <w:displayVerticalDrawingGridEvery w:val="0"/>
  <w:characterSpacingControl w:val="doNotCompress"/>
  <w:strictFirstAndLastChars/>
  <w:doNotValidateAgainstSchema/>
  <w:doNotDemarcateInvalidXml/>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9638581">
      <w:bodyDiv w:val="1"/>
      <w:marLeft w:val="0"/>
      <w:marRight w:val="0"/>
      <w:marTop w:val="0"/>
      <w:marBottom w:val="0"/>
      <w:divBdr>
        <w:top w:val="none" w:sz="0" w:space="0" w:color="auto"/>
        <w:left w:val="none" w:sz="0" w:space="0" w:color="auto"/>
        <w:bottom w:val="none" w:sz="0" w:space="0" w:color="auto"/>
        <w:right w:val="none" w:sz="0" w:space="0" w:color="auto"/>
      </w:divBdr>
    </w:div>
    <w:div w:id="614017999">
      <w:bodyDiv w:val="1"/>
      <w:marLeft w:val="0"/>
      <w:marRight w:val="0"/>
      <w:marTop w:val="0"/>
      <w:marBottom w:val="0"/>
      <w:divBdr>
        <w:top w:val="none" w:sz="0" w:space="0" w:color="auto"/>
        <w:left w:val="none" w:sz="0" w:space="0" w:color="auto"/>
        <w:bottom w:val="none" w:sz="0" w:space="0" w:color="auto"/>
        <w:right w:val="none" w:sz="0" w:space="0" w:color="auto"/>
      </w:divBdr>
    </w:div>
    <w:div w:id="640694502">
      <w:bodyDiv w:val="1"/>
      <w:marLeft w:val="0"/>
      <w:marRight w:val="0"/>
      <w:marTop w:val="0"/>
      <w:marBottom w:val="0"/>
      <w:divBdr>
        <w:top w:val="none" w:sz="0" w:space="0" w:color="auto"/>
        <w:left w:val="none" w:sz="0" w:space="0" w:color="auto"/>
        <w:bottom w:val="none" w:sz="0" w:space="0" w:color="auto"/>
        <w:right w:val="none" w:sz="0" w:space="0" w:color="auto"/>
      </w:divBdr>
    </w:div>
    <w:div w:id="837767632">
      <w:bodyDiv w:val="1"/>
      <w:marLeft w:val="0"/>
      <w:marRight w:val="0"/>
      <w:marTop w:val="0"/>
      <w:marBottom w:val="0"/>
      <w:divBdr>
        <w:top w:val="none" w:sz="0" w:space="0" w:color="auto"/>
        <w:left w:val="none" w:sz="0" w:space="0" w:color="auto"/>
        <w:bottom w:val="none" w:sz="0" w:space="0" w:color="auto"/>
        <w:right w:val="none" w:sz="0" w:space="0" w:color="auto"/>
      </w:divBdr>
    </w:div>
    <w:div w:id="1026098094">
      <w:bodyDiv w:val="1"/>
      <w:marLeft w:val="0"/>
      <w:marRight w:val="0"/>
      <w:marTop w:val="0"/>
      <w:marBottom w:val="0"/>
      <w:divBdr>
        <w:top w:val="none" w:sz="0" w:space="0" w:color="auto"/>
        <w:left w:val="none" w:sz="0" w:space="0" w:color="auto"/>
        <w:bottom w:val="none" w:sz="0" w:space="0" w:color="auto"/>
        <w:right w:val="none" w:sz="0" w:space="0" w:color="auto"/>
      </w:divBdr>
    </w:div>
    <w:div w:id="1476951660">
      <w:marLeft w:val="0"/>
      <w:marRight w:val="0"/>
      <w:marTop w:val="0"/>
      <w:marBottom w:val="0"/>
      <w:divBdr>
        <w:top w:val="none" w:sz="0" w:space="0" w:color="auto"/>
        <w:left w:val="none" w:sz="0" w:space="0" w:color="auto"/>
        <w:bottom w:val="none" w:sz="0" w:space="0" w:color="auto"/>
        <w:right w:val="none" w:sz="0" w:space="0" w:color="auto"/>
      </w:divBdr>
      <w:divsChild>
        <w:div w:id="1476951576">
          <w:marLeft w:val="0"/>
          <w:marRight w:val="0"/>
          <w:marTop w:val="0"/>
          <w:marBottom w:val="0"/>
          <w:divBdr>
            <w:top w:val="none" w:sz="0" w:space="0" w:color="auto"/>
            <w:left w:val="none" w:sz="0" w:space="0" w:color="auto"/>
            <w:bottom w:val="none" w:sz="0" w:space="0" w:color="auto"/>
            <w:right w:val="none" w:sz="0" w:space="0" w:color="auto"/>
          </w:divBdr>
        </w:div>
        <w:div w:id="1476951577">
          <w:marLeft w:val="0"/>
          <w:marRight w:val="0"/>
          <w:marTop w:val="0"/>
          <w:marBottom w:val="0"/>
          <w:divBdr>
            <w:top w:val="none" w:sz="0" w:space="0" w:color="auto"/>
            <w:left w:val="none" w:sz="0" w:space="0" w:color="auto"/>
            <w:bottom w:val="none" w:sz="0" w:space="0" w:color="auto"/>
            <w:right w:val="none" w:sz="0" w:space="0" w:color="auto"/>
          </w:divBdr>
        </w:div>
        <w:div w:id="1476951579">
          <w:marLeft w:val="0"/>
          <w:marRight w:val="0"/>
          <w:marTop w:val="0"/>
          <w:marBottom w:val="0"/>
          <w:divBdr>
            <w:top w:val="none" w:sz="0" w:space="0" w:color="auto"/>
            <w:left w:val="none" w:sz="0" w:space="0" w:color="auto"/>
            <w:bottom w:val="none" w:sz="0" w:space="0" w:color="auto"/>
            <w:right w:val="none" w:sz="0" w:space="0" w:color="auto"/>
          </w:divBdr>
        </w:div>
        <w:div w:id="1476951580">
          <w:marLeft w:val="0"/>
          <w:marRight w:val="0"/>
          <w:marTop w:val="0"/>
          <w:marBottom w:val="0"/>
          <w:divBdr>
            <w:top w:val="none" w:sz="0" w:space="0" w:color="auto"/>
            <w:left w:val="none" w:sz="0" w:space="0" w:color="auto"/>
            <w:bottom w:val="none" w:sz="0" w:space="0" w:color="auto"/>
            <w:right w:val="none" w:sz="0" w:space="0" w:color="auto"/>
          </w:divBdr>
        </w:div>
        <w:div w:id="1476951581">
          <w:marLeft w:val="0"/>
          <w:marRight w:val="0"/>
          <w:marTop w:val="0"/>
          <w:marBottom w:val="0"/>
          <w:divBdr>
            <w:top w:val="none" w:sz="0" w:space="0" w:color="auto"/>
            <w:left w:val="none" w:sz="0" w:space="0" w:color="auto"/>
            <w:bottom w:val="none" w:sz="0" w:space="0" w:color="auto"/>
            <w:right w:val="none" w:sz="0" w:space="0" w:color="auto"/>
          </w:divBdr>
        </w:div>
        <w:div w:id="1476951585">
          <w:marLeft w:val="0"/>
          <w:marRight w:val="0"/>
          <w:marTop w:val="0"/>
          <w:marBottom w:val="0"/>
          <w:divBdr>
            <w:top w:val="none" w:sz="0" w:space="0" w:color="auto"/>
            <w:left w:val="none" w:sz="0" w:space="0" w:color="auto"/>
            <w:bottom w:val="none" w:sz="0" w:space="0" w:color="auto"/>
            <w:right w:val="none" w:sz="0" w:space="0" w:color="auto"/>
          </w:divBdr>
        </w:div>
        <w:div w:id="1476951588">
          <w:marLeft w:val="0"/>
          <w:marRight w:val="0"/>
          <w:marTop w:val="0"/>
          <w:marBottom w:val="0"/>
          <w:divBdr>
            <w:top w:val="none" w:sz="0" w:space="0" w:color="auto"/>
            <w:left w:val="none" w:sz="0" w:space="0" w:color="auto"/>
            <w:bottom w:val="none" w:sz="0" w:space="0" w:color="auto"/>
            <w:right w:val="none" w:sz="0" w:space="0" w:color="auto"/>
          </w:divBdr>
        </w:div>
        <w:div w:id="1476951590">
          <w:marLeft w:val="0"/>
          <w:marRight w:val="0"/>
          <w:marTop w:val="0"/>
          <w:marBottom w:val="0"/>
          <w:divBdr>
            <w:top w:val="none" w:sz="0" w:space="0" w:color="auto"/>
            <w:left w:val="none" w:sz="0" w:space="0" w:color="auto"/>
            <w:bottom w:val="none" w:sz="0" w:space="0" w:color="auto"/>
            <w:right w:val="none" w:sz="0" w:space="0" w:color="auto"/>
          </w:divBdr>
        </w:div>
        <w:div w:id="1476951595">
          <w:marLeft w:val="0"/>
          <w:marRight w:val="0"/>
          <w:marTop w:val="0"/>
          <w:marBottom w:val="0"/>
          <w:divBdr>
            <w:top w:val="none" w:sz="0" w:space="0" w:color="auto"/>
            <w:left w:val="none" w:sz="0" w:space="0" w:color="auto"/>
            <w:bottom w:val="none" w:sz="0" w:space="0" w:color="auto"/>
            <w:right w:val="none" w:sz="0" w:space="0" w:color="auto"/>
          </w:divBdr>
        </w:div>
        <w:div w:id="1476951598">
          <w:marLeft w:val="0"/>
          <w:marRight w:val="0"/>
          <w:marTop w:val="0"/>
          <w:marBottom w:val="0"/>
          <w:divBdr>
            <w:top w:val="none" w:sz="0" w:space="0" w:color="auto"/>
            <w:left w:val="none" w:sz="0" w:space="0" w:color="auto"/>
            <w:bottom w:val="none" w:sz="0" w:space="0" w:color="auto"/>
            <w:right w:val="none" w:sz="0" w:space="0" w:color="auto"/>
          </w:divBdr>
        </w:div>
        <w:div w:id="1476951599">
          <w:marLeft w:val="0"/>
          <w:marRight w:val="0"/>
          <w:marTop w:val="0"/>
          <w:marBottom w:val="0"/>
          <w:divBdr>
            <w:top w:val="none" w:sz="0" w:space="0" w:color="auto"/>
            <w:left w:val="none" w:sz="0" w:space="0" w:color="auto"/>
            <w:bottom w:val="none" w:sz="0" w:space="0" w:color="auto"/>
            <w:right w:val="none" w:sz="0" w:space="0" w:color="auto"/>
          </w:divBdr>
        </w:div>
        <w:div w:id="1476951600">
          <w:marLeft w:val="0"/>
          <w:marRight w:val="0"/>
          <w:marTop w:val="0"/>
          <w:marBottom w:val="0"/>
          <w:divBdr>
            <w:top w:val="none" w:sz="0" w:space="0" w:color="auto"/>
            <w:left w:val="none" w:sz="0" w:space="0" w:color="auto"/>
            <w:bottom w:val="none" w:sz="0" w:space="0" w:color="auto"/>
            <w:right w:val="none" w:sz="0" w:space="0" w:color="auto"/>
          </w:divBdr>
        </w:div>
        <w:div w:id="1476951604">
          <w:marLeft w:val="0"/>
          <w:marRight w:val="0"/>
          <w:marTop w:val="0"/>
          <w:marBottom w:val="0"/>
          <w:divBdr>
            <w:top w:val="none" w:sz="0" w:space="0" w:color="auto"/>
            <w:left w:val="none" w:sz="0" w:space="0" w:color="auto"/>
            <w:bottom w:val="none" w:sz="0" w:space="0" w:color="auto"/>
            <w:right w:val="none" w:sz="0" w:space="0" w:color="auto"/>
          </w:divBdr>
        </w:div>
        <w:div w:id="1476951605">
          <w:marLeft w:val="0"/>
          <w:marRight w:val="0"/>
          <w:marTop w:val="0"/>
          <w:marBottom w:val="0"/>
          <w:divBdr>
            <w:top w:val="none" w:sz="0" w:space="0" w:color="auto"/>
            <w:left w:val="none" w:sz="0" w:space="0" w:color="auto"/>
            <w:bottom w:val="none" w:sz="0" w:space="0" w:color="auto"/>
            <w:right w:val="none" w:sz="0" w:space="0" w:color="auto"/>
          </w:divBdr>
        </w:div>
        <w:div w:id="1476951606">
          <w:marLeft w:val="0"/>
          <w:marRight w:val="0"/>
          <w:marTop w:val="0"/>
          <w:marBottom w:val="0"/>
          <w:divBdr>
            <w:top w:val="none" w:sz="0" w:space="0" w:color="auto"/>
            <w:left w:val="none" w:sz="0" w:space="0" w:color="auto"/>
            <w:bottom w:val="none" w:sz="0" w:space="0" w:color="auto"/>
            <w:right w:val="none" w:sz="0" w:space="0" w:color="auto"/>
          </w:divBdr>
        </w:div>
        <w:div w:id="1476951608">
          <w:marLeft w:val="0"/>
          <w:marRight w:val="0"/>
          <w:marTop w:val="0"/>
          <w:marBottom w:val="0"/>
          <w:divBdr>
            <w:top w:val="none" w:sz="0" w:space="0" w:color="auto"/>
            <w:left w:val="none" w:sz="0" w:space="0" w:color="auto"/>
            <w:bottom w:val="none" w:sz="0" w:space="0" w:color="auto"/>
            <w:right w:val="none" w:sz="0" w:space="0" w:color="auto"/>
          </w:divBdr>
        </w:div>
        <w:div w:id="1476951611">
          <w:marLeft w:val="0"/>
          <w:marRight w:val="0"/>
          <w:marTop w:val="0"/>
          <w:marBottom w:val="0"/>
          <w:divBdr>
            <w:top w:val="none" w:sz="0" w:space="0" w:color="auto"/>
            <w:left w:val="none" w:sz="0" w:space="0" w:color="auto"/>
            <w:bottom w:val="none" w:sz="0" w:space="0" w:color="auto"/>
            <w:right w:val="none" w:sz="0" w:space="0" w:color="auto"/>
          </w:divBdr>
        </w:div>
        <w:div w:id="1476951612">
          <w:marLeft w:val="0"/>
          <w:marRight w:val="0"/>
          <w:marTop w:val="0"/>
          <w:marBottom w:val="0"/>
          <w:divBdr>
            <w:top w:val="none" w:sz="0" w:space="0" w:color="auto"/>
            <w:left w:val="none" w:sz="0" w:space="0" w:color="auto"/>
            <w:bottom w:val="none" w:sz="0" w:space="0" w:color="auto"/>
            <w:right w:val="none" w:sz="0" w:space="0" w:color="auto"/>
          </w:divBdr>
        </w:div>
        <w:div w:id="1476951613">
          <w:marLeft w:val="0"/>
          <w:marRight w:val="0"/>
          <w:marTop w:val="0"/>
          <w:marBottom w:val="0"/>
          <w:divBdr>
            <w:top w:val="none" w:sz="0" w:space="0" w:color="auto"/>
            <w:left w:val="none" w:sz="0" w:space="0" w:color="auto"/>
            <w:bottom w:val="none" w:sz="0" w:space="0" w:color="auto"/>
            <w:right w:val="none" w:sz="0" w:space="0" w:color="auto"/>
          </w:divBdr>
        </w:div>
        <w:div w:id="1476951614">
          <w:marLeft w:val="0"/>
          <w:marRight w:val="0"/>
          <w:marTop w:val="0"/>
          <w:marBottom w:val="0"/>
          <w:divBdr>
            <w:top w:val="none" w:sz="0" w:space="0" w:color="auto"/>
            <w:left w:val="none" w:sz="0" w:space="0" w:color="auto"/>
            <w:bottom w:val="none" w:sz="0" w:space="0" w:color="auto"/>
            <w:right w:val="none" w:sz="0" w:space="0" w:color="auto"/>
          </w:divBdr>
        </w:div>
        <w:div w:id="1476951615">
          <w:marLeft w:val="0"/>
          <w:marRight w:val="0"/>
          <w:marTop w:val="0"/>
          <w:marBottom w:val="0"/>
          <w:divBdr>
            <w:top w:val="none" w:sz="0" w:space="0" w:color="auto"/>
            <w:left w:val="none" w:sz="0" w:space="0" w:color="auto"/>
            <w:bottom w:val="none" w:sz="0" w:space="0" w:color="auto"/>
            <w:right w:val="none" w:sz="0" w:space="0" w:color="auto"/>
          </w:divBdr>
        </w:div>
        <w:div w:id="1476951616">
          <w:marLeft w:val="0"/>
          <w:marRight w:val="0"/>
          <w:marTop w:val="0"/>
          <w:marBottom w:val="0"/>
          <w:divBdr>
            <w:top w:val="none" w:sz="0" w:space="0" w:color="auto"/>
            <w:left w:val="none" w:sz="0" w:space="0" w:color="auto"/>
            <w:bottom w:val="none" w:sz="0" w:space="0" w:color="auto"/>
            <w:right w:val="none" w:sz="0" w:space="0" w:color="auto"/>
          </w:divBdr>
        </w:div>
        <w:div w:id="1476951617">
          <w:marLeft w:val="0"/>
          <w:marRight w:val="0"/>
          <w:marTop w:val="0"/>
          <w:marBottom w:val="0"/>
          <w:divBdr>
            <w:top w:val="none" w:sz="0" w:space="0" w:color="auto"/>
            <w:left w:val="none" w:sz="0" w:space="0" w:color="auto"/>
            <w:bottom w:val="none" w:sz="0" w:space="0" w:color="auto"/>
            <w:right w:val="none" w:sz="0" w:space="0" w:color="auto"/>
          </w:divBdr>
        </w:div>
        <w:div w:id="1476951618">
          <w:marLeft w:val="0"/>
          <w:marRight w:val="0"/>
          <w:marTop w:val="0"/>
          <w:marBottom w:val="0"/>
          <w:divBdr>
            <w:top w:val="none" w:sz="0" w:space="0" w:color="auto"/>
            <w:left w:val="none" w:sz="0" w:space="0" w:color="auto"/>
            <w:bottom w:val="none" w:sz="0" w:space="0" w:color="auto"/>
            <w:right w:val="none" w:sz="0" w:space="0" w:color="auto"/>
          </w:divBdr>
        </w:div>
        <w:div w:id="1476951622">
          <w:marLeft w:val="0"/>
          <w:marRight w:val="0"/>
          <w:marTop w:val="0"/>
          <w:marBottom w:val="0"/>
          <w:divBdr>
            <w:top w:val="none" w:sz="0" w:space="0" w:color="auto"/>
            <w:left w:val="none" w:sz="0" w:space="0" w:color="auto"/>
            <w:bottom w:val="none" w:sz="0" w:space="0" w:color="auto"/>
            <w:right w:val="none" w:sz="0" w:space="0" w:color="auto"/>
          </w:divBdr>
        </w:div>
        <w:div w:id="1476951623">
          <w:marLeft w:val="0"/>
          <w:marRight w:val="0"/>
          <w:marTop w:val="0"/>
          <w:marBottom w:val="0"/>
          <w:divBdr>
            <w:top w:val="none" w:sz="0" w:space="0" w:color="auto"/>
            <w:left w:val="none" w:sz="0" w:space="0" w:color="auto"/>
            <w:bottom w:val="none" w:sz="0" w:space="0" w:color="auto"/>
            <w:right w:val="none" w:sz="0" w:space="0" w:color="auto"/>
          </w:divBdr>
        </w:div>
        <w:div w:id="1476951624">
          <w:marLeft w:val="0"/>
          <w:marRight w:val="0"/>
          <w:marTop w:val="0"/>
          <w:marBottom w:val="0"/>
          <w:divBdr>
            <w:top w:val="none" w:sz="0" w:space="0" w:color="auto"/>
            <w:left w:val="none" w:sz="0" w:space="0" w:color="auto"/>
            <w:bottom w:val="none" w:sz="0" w:space="0" w:color="auto"/>
            <w:right w:val="none" w:sz="0" w:space="0" w:color="auto"/>
          </w:divBdr>
        </w:div>
        <w:div w:id="1476951629">
          <w:marLeft w:val="0"/>
          <w:marRight w:val="0"/>
          <w:marTop w:val="0"/>
          <w:marBottom w:val="0"/>
          <w:divBdr>
            <w:top w:val="none" w:sz="0" w:space="0" w:color="auto"/>
            <w:left w:val="none" w:sz="0" w:space="0" w:color="auto"/>
            <w:bottom w:val="none" w:sz="0" w:space="0" w:color="auto"/>
            <w:right w:val="none" w:sz="0" w:space="0" w:color="auto"/>
          </w:divBdr>
        </w:div>
        <w:div w:id="1476951631">
          <w:marLeft w:val="0"/>
          <w:marRight w:val="0"/>
          <w:marTop w:val="0"/>
          <w:marBottom w:val="0"/>
          <w:divBdr>
            <w:top w:val="none" w:sz="0" w:space="0" w:color="auto"/>
            <w:left w:val="none" w:sz="0" w:space="0" w:color="auto"/>
            <w:bottom w:val="none" w:sz="0" w:space="0" w:color="auto"/>
            <w:right w:val="none" w:sz="0" w:space="0" w:color="auto"/>
          </w:divBdr>
        </w:div>
        <w:div w:id="1476951632">
          <w:marLeft w:val="0"/>
          <w:marRight w:val="0"/>
          <w:marTop w:val="0"/>
          <w:marBottom w:val="0"/>
          <w:divBdr>
            <w:top w:val="none" w:sz="0" w:space="0" w:color="auto"/>
            <w:left w:val="none" w:sz="0" w:space="0" w:color="auto"/>
            <w:bottom w:val="none" w:sz="0" w:space="0" w:color="auto"/>
            <w:right w:val="none" w:sz="0" w:space="0" w:color="auto"/>
          </w:divBdr>
        </w:div>
        <w:div w:id="1476951633">
          <w:marLeft w:val="0"/>
          <w:marRight w:val="0"/>
          <w:marTop w:val="0"/>
          <w:marBottom w:val="0"/>
          <w:divBdr>
            <w:top w:val="none" w:sz="0" w:space="0" w:color="auto"/>
            <w:left w:val="none" w:sz="0" w:space="0" w:color="auto"/>
            <w:bottom w:val="none" w:sz="0" w:space="0" w:color="auto"/>
            <w:right w:val="none" w:sz="0" w:space="0" w:color="auto"/>
          </w:divBdr>
        </w:div>
        <w:div w:id="1476951638">
          <w:marLeft w:val="0"/>
          <w:marRight w:val="0"/>
          <w:marTop w:val="0"/>
          <w:marBottom w:val="0"/>
          <w:divBdr>
            <w:top w:val="none" w:sz="0" w:space="0" w:color="auto"/>
            <w:left w:val="none" w:sz="0" w:space="0" w:color="auto"/>
            <w:bottom w:val="none" w:sz="0" w:space="0" w:color="auto"/>
            <w:right w:val="none" w:sz="0" w:space="0" w:color="auto"/>
          </w:divBdr>
        </w:div>
        <w:div w:id="1476951639">
          <w:marLeft w:val="0"/>
          <w:marRight w:val="0"/>
          <w:marTop w:val="0"/>
          <w:marBottom w:val="0"/>
          <w:divBdr>
            <w:top w:val="none" w:sz="0" w:space="0" w:color="auto"/>
            <w:left w:val="none" w:sz="0" w:space="0" w:color="auto"/>
            <w:bottom w:val="none" w:sz="0" w:space="0" w:color="auto"/>
            <w:right w:val="none" w:sz="0" w:space="0" w:color="auto"/>
          </w:divBdr>
        </w:div>
        <w:div w:id="1476951640">
          <w:marLeft w:val="0"/>
          <w:marRight w:val="0"/>
          <w:marTop w:val="0"/>
          <w:marBottom w:val="0"/>
          <w:divBdr>
            <w:top w:val="none" w:sz="0" w:space="0" w:color="auto"/>
            <w:left w:val="none" w:sz="0" w:space="0" w:color="auto"/>
            <w:bottom w:val="none" w:sz="0" w:space="0" w:color="auto"/>
            <w:right w:val="none" w:sz="0" w:space="0" w:color="auto"/>
          </w:divBdr>
        </w:div>
        <w:div w:id="1476951641">
          <w:marLeft w:val="0"/>
          <w:marRight w:val="0"/>
          <w:marTop w:val="0"/>
          <w:marBottom w:val="0"/>
          <w:divBdr>
            <w:top w:val="none" w:sz="0" w:space="0" w:color="auto"/>
            <w:left w:val="none" w:sz="0" w:space="0" w:color="auto"/>
            <w:bottom w:val="none" w:sz="0" w:space="0" w:color="auto"/>
            <w:right w:val="none" w:sz="0" w:space="0" w:color="auto"/>
          </w:divBdr>
        </w:div>
        <w:div w:id="1476951642">
          <w:marLeft w:val="0"/>
          <w:marRight w:val="0"/>
          <w:marTop w:val="0"/>
          <w:marBottom w:val="0"/>
          <w:divBdr>
            <w:top w:val="none" w:sz="0" w:space="0" w:color="auto"/>
            <w:left w:val="none" w:sz="0" w:space="0" w:color="auto"/>
            <w:bottom w:val="none" w:sz="0" w:space="0" w:color="auto"/>
            <w:right w:val="none" w:sz="0" w:space="0" w:color="auto"/>
          </w:divBdr>
        </w:div>
        <w:div w:id="1476951651">
          <w:marLeft w:val="0"/>
          <w:marRight w:val="0"/>
          <w:marTop w:val="0"/>
          <w:marBottom w:val="0"/>
          <w:divBdr>
            <w:top w:val="none" w:sz="0" w:space="0" w:color="auto"/>
            <w:left w:val="none" w:sz="0" w:space="0" w:color="auto"/>
            <w:bottom w:val="none" w:sz="0" w:space="0" w:color="auto"/>
            <w:right w:val="none" w:sz="0" w:space="0" w:color="auto"/>
          </w:divBdr>
        </w:div>
        <w:div w:id="1476951653">
          <w:marLeft w:val="0"/>
          <w:marRight w:val="0"/>
          <w:marTop w:val="0"/>
          <w:marBottom w:val="0"/>
          <w:divBdr>
            <w:top w:val="none" w:sz="0" w:space="0" w:color="auto"/>
            <w:left w:val="none" w:sz="0" w:space="0" w:color="auto"/>
            <w:bottom w:val="none" w:sz="0" w:space="0" w:color="auto"/>
            <w:right w:val="none" w:sz="0" w:space="0" w:color="auto"/>
          </w:divBdr>
        </w:div>
        <w:div w:id="1476951655">
          <w:marLeft w:val="0"/>
          <w:marRight w:val="0"/>
          <w:marTop w:val="0"/>
          <w:marBottom w:val="0"/>
          <w:divBdr>
            <w:top w:val="none" w:sz="0" w:space="0" w:color="auto"/>
            <w:left w:val="none" w:sz="0" w:space="0" w:color="auto"/>
            <w:bottom w:val="none" w:sz="0" w:space="0" w:color="auto"/>
            <w:right w:val="none" w:sz="0" w:space="0" w:color="auto"/>
          </w:divBdr>
        </w:div>
        <w:div w:id="1476951657">
          <w:marLeft w:val="0"/>
          <w:marRight w:val="0"/>
          <w:marTop w:val="0"/>
          <w:marBottom w:val="0"/>
          <w:divBdr>
            <w:top w:val="none" w:sz="0" w:space="0" w:color="auto"/>
            <w:left w:val="none" w:sz="0" w:space="0" w:color="auto"/>
            <w:bottom w:val="none" w:sz="0" w:space="0" w:color="auto"/>
            <w:right w:val="none" w:sz="0" w:space="0" w:color="auto"/>
          </w:divBdr>
        </w:div>
        <w:div w:id="1476951659">
          <w:marLeft w:val="0"/>
          <w:marRight w:val="0"/>
          <w:marTop w:val="0"/>
          <w:marBottom w:val="0"/>
          <w:divBdr>
            <w:top w:val="none" w:sz="0" w:space="0" w:color="auto"/>
            <w:left w:val="none" w:sz="0" w:space="0" w:color="auto"/>
            <w:bottom w:val="none" w:sz="0" w:space="0" w:color="auto"/>
            <w:right w:val="none" w:sz="0" w:space="0" w:color="auto"/>
          </w:divBdr>
        </w:div>
        <w:div w:id="1476951662">
          <w:marLeft w:val="0"/>
          <w:marRight w:val="0"/>
          <w:marTop w:val="0"/>
          <w:marBottom w:val="0"/>
          <w:divBdr>
            <w:top w:val="none" w:sz="0" w:space="0" w:color="auto"/>
            <w:left w:val="none" w:sz="0" w:space="0" w:color="auto"/>
            <w:bottom w:val="none" w:sz="0" w:space="0" w:color="auto"/>
            <w:right w:val="none" w:sz="0" w:space="0" w:color="auto"/>
          </w:divBdr>
        </w:div>
        <w:div w:id="1476951664">
          <w:marLeft w:val="0"/>
          <w:marRight w:val="0"/>
          <w:marTop w:val="0"/>
          <w:marBottom w:val="0"/>
          <w:divBdr>
            <w:top w:val="none" w:sz="0" w:space="0" w:color="auto"/>
            <w:left w:val="none" w:sz="0" w:space="0" w:color="auto"/>
            <w:bottom w:val="none" w:sz="0" w:space="0" w:color="auto"/>
            <w:right w:val="none" w:sz="0" w:space="0" w:color="auto"/>
          </w:divBdr>
        </w:div>
        <w:div w:id="1476951668">
          <w:marLeft w:val="0"/>
          <w:marRight w:val="0"/>
          <w:marTop w:val="0"/>
          <w:marBottom w:val="0"/>
          <w:divBdr>
            <w:top w:val="none" w:sz="0" w:space="0" w:color="auto"/>
            <w:left w:val="none" w:sz="0" w:space="0" w:color="auto"/>
            <w:bottom w:val="none" w:sz="0" w:space="0" w:color="auto"/>
            <w:right w:val="none" w:sz="0" w:space="0" w:color="auto"/>
          </w:divBdr>
        </w:div>
        <w:div w:id="1476951670">
          <w:marLeft w:val="0"/>
          <w:marRight w:val="0"/>
          <w:marTop w:val="0"/>
          <w:marBottom w:val="0"/>
          <w:divBdr>
            <w:top w:val="none" w:sz="0" w:space="0" w:color="auto"/>
            <w:left w:val="none" w:sz="0" w:space="0" w:color="auto"/>
            <w:bottom w:val="none" w:sz="0" w:space="0" w:color="auto"/>
            <w:right w:val="none" w:sz="0" w:space="0" w:color="auto"/>
          </w:divBdr>
        </w:div>
        <w:div w:id="1476951671">
          <w:marLeft w:val="0"/>
          <w:marRight w:val="0"/>
          <w:marTop w:val="0"/>
          <w:marBottom w:val="0"/>
          <w:divBdr>
            <w:top w:val="none" w:sz="0" w:space="0" w:color="auto"/>
            <w:left w:val="none" w:sz="0" w:space="0" w:color="auto"/>
            <w:bottom w:val="none" w:sz="0" w:space="0" w:color="auto"/>
            <w:right w:val="none" w:sz="0" w:space="0" w:color="auto"/>
          </w:divBdr>
        </w:div>
        <w:div w:id="1476951672">
          <w:marLeft w:val="0"/>
          <w:marRight w:val="0"/>
          <w:marTop w:val="0"/>
          <w:marBottom w:val="0"/>
          <w:divBdr>
            <w:top w:val="none" w:sz="0" w:space="0" w:color="auto"/>
            <w:left w:val="none" w:sz="0" w:space="0" w:color="auto"/>
            <w:bottom w:val="none" w:sz="0" w:space="0" w:color="auto"/>
            <w:right w:val="none" w:sz="0" w:space="0" w:color="auto"/>
          </w:divBdr>
        </w:div>
        <w:div w:id="1476951673">
          <w:marLeft w:val="0"/>
          <w:marRight w:val="0"/>
          <w:marTop w:val="0"/>
          <w:marBottom w:val="0"/>
          <w:divBdr>
            <w:top w:val="none" w:sz="0" w:space="0" w:color="auto"/>
            <w:left w:val="none" w:sz="0" w:space="0" w:color="auto"/>
            <w:bottom w:val="none" w:sz="0" w:space="0" w:color="auto"/>
            <w:right w:val="none" w:sz="0" w:space="0" w:color="auto"/>
          </w:divBdr>
        </w:div>
        <w:div w:id="1476951674">
          <w:marLeft w:val="0"/>
          <w:marRight w:val="0"/>
          <w:marTop w:val="0"/>
          <w:marBottom w:val="0"/>
          <w:divBdr>
            <w:top w:val="none" w:sz="0" w:space="0" w:color="auto"/>
            <w:left w:val="none" w:sz="0" w:space="0" w:color="auto"/>
            <w:bottom w:val="none" w:sz="0" w:space="0" w:color="auto"/>
            <w:right w:val="none" w:sz="0" w:space="0" w:color="auto"/>
          </w:divBdr>
        </w:div>
        <w:div w:id="1476951677">
          <w:marLeft w:val="0"/>
          <w:marRight w:val="0"/>
          <w:marTop w:val="0"/>
          <w:marBottom w:val="0"/>
          <w:divBdr>
            <w:top w:val="none" w:sz="0" w:space="0" w:color="auto"/>
            <w:left w:val="none" w:sz="0" w:space="0" w:color="auto"/>
            <w:bottom w:val="none" w:sz="0" w:space="0" w:color="auto"/>
            <w:right w:val="none" w:sz="0" w:space="0" w:color="auto"/>
          </w:divBdr>
        </w:div>
        <w:div w:id="1476951680">
          <w:marLeft w:val="0"/>
          <w:marRight w:val="0"/>
          <w:marTop w:val="0"/>
          <w:marBottom w:val="0"/>
          <w:divBdr>
            <w:top w:val="none" w:sz="0" w:space="0" w:color="auto"/>
            <w:left w:val="none" w:sz="0" w:space="0" w:color="auto"/>
            <w:bottom w:val="none" w:sz="0" w:space="0" w:color="auto"/>
            <w:right w:val="none" w:sz="0" w:space="0" w:color="auto"/>
          </w:divBdr>
        </w:div>
        <w:div w:id="1476951681">
          <w:marLeft w:val="0"/>
          <w:marRight w:val="0"/>
          <w:marTop w:val="0"/>
          <w:marBottom w:val="0"/>
          <w:divBdr>
            <w:top w:val="none" w:sz="0" w:space="0" w:color="auto"/>
            <w:left w:val="none" w:sz="0" w:space="0" w:color="auto"/>
            <w:bottom w:val="none" w:sz="0" w:space="0" w:color="auto"/>
            <w:right w:val="none" w:sz="0" w:space="0" w:color="auto"/>
          </w:divBdr>
        </w:div>
        <w:div w:id="1476951683">
          <w:marLeft w:val="0"/>
          <w:marRight w:val="0"/>
          <w:marTop w:val="0"/>
          <w:marBottom w:val="0"/>
          <w:divBdr>
            <w:top w:val="none" w:sz="0" w:space="0" w:color="auto"/>
            <w:left w:val="none" w:sz="0" w:space="0" w:color="auto"/>
            <w:bottom w:val="none" w:sz="0" w:space="0" w:color="auto"/>
            <w:right w:val="none" w:sz="0" w:space="0" w:color="auto"/>
          </w:divBdr>
        </w:div>
        <w:div w:id="1476951684">
          <w:marLeft w:val="0"/>
          <w:marRight w:val="0"/>
          <w:marTop w:val="0"/>
          <w:marBottom w:val="0"/>
          <w:divBdr>
            <w:top w:val="none" w:sz="0" w:space="0" w:color="auto"/>
            <w:left w:val="none" w:sz="0" w:space="0" w:color="auto"/>
            <w:bottom w:val="none" w:sz="0" w:space="0" w:color="auto"/>
            <w:right w:val="none" w:sz="0" w:space="0" w:color="auto"/>
          </w:divBdr>
        </w:div>
        <w:div w:id="1476951685">
          <w:marLeft w:val="0"/>
          <w:marRight w:val="0"/>
          <w:marTop w:val="0"/>
          <w:marBottom w:val="0"/>
          <w:divBdr>
            <w:top w:val="none" w:sz="0" w:space="0" w:color="auto"/>
            <w:left w:val="none" w:sz="0" w:space="0" w:color="auto"/>
            <w:bottom w:val="none" w:sz="0" w:space="0" w:color="auto"/>
            <w:right w:val="none" w:sz="0" w:space="0" w:color="auto"/>
          </w:divBdr>
        </w:div>
        <w:div w:id="1476951692">
          <w:marLeft w:val="0"/>
          <w:marRight w:val="0"/>
          <w:marTop w:val="0"/>
          <w:marBottom w:val="0"/>
          <w:divBdr>
            <w:top w:val="none" w:sz="0" w:space="0" w:color="auto"/>
            <w:left w:val="none" w:sz="0" w:space="0" w:color="auto"/>
            <w:bottom w:val="none" w:sz="0" w:space="0" w:color="auto"/>
            <w:right w:val="none" w:sz="0" w:space="0" w:color="auto"/>
          </w:divBdr>
        </w:div>
        <w:div w:id="1476951693">
          <w:marLeft w:val="0"/>
          <w:marRight w:val="0"/>
          <w:marTop w:val="0"/>
          <w:marBottom w:val="0"/>
          <w:divBdr>
            <w:top w:val="none" w:sz="0" w:space="0" w:color="auto"/>
            <w:left w:val="none" w:sz="0" w:space="0" w:color="auto"/>
            <w:bottom w:val="none" w:sz="0" w:space="0" w:color="auto"/>
            <w:right w:val="none" w:sz="0" w:space="0" w:color="auto"/>
          </w:divBdr>
        </w:div>
        <w:div w:id="1476951695">
          <w:marLeft w:val="0"/>
          <w:marRight w:val="0"/>
          <w:marTop w:val="0"/>
          <w:marBottom w:val="0"/>
          <w:divBdr>
            <w:top w:val="none" w:sz="0" w:space="0" w:color="auto"/>
            <w:left w:val="none" w:sz="0" w:space="0" w:color="auto"/>
            <w:bottom w:val="none" w:sz="0" w:space="0" w:color="auto"/>
            <w:right w:val="none" w:sz="0" w:space="0" w:color="auto"/>
          </w:divBdr>
        </w:div>
        <w:div w:id="1476951699">
          <w:marLeft w:val="0"/>
          <w:marRight w:val="0"/>
          <w:marTop w:val="0"/>
          <w:marBottom w:val="0"/>
          <w:divBdr>
            <w:top w:val="none" w:sz="0" w:space="0" w:color="auto"/>
            <w:left w:val="none" w:sz="0" w:space="0" w:color="auto"/>
            <w:bottom w:val="none" w:sz="0" w:space="0" w:color="auto"/>
            <w:right w:val="none" w:sz="0" w:space="0" w:color="auto"/>
          </w:divBdr>
        </w:div>
        <w:div w:id="1476951700">
          <w:marLeft w:val="0"/>
          <w:marRight w:val="0"/>
          <w:marTop w:val="0"/>
          <w:marBottom w:val="0"/>
          <w:divBdr>
            <w:top w:val="none" w:sz="0" w:space="0" w:color="auto"/>
            <w:left w:val="none" w:sz="0" w:space="0" w:color="auto"/>
            <w:bottom w:val="none" w:sz="0" w:space="0" w:color="auto"/>
            <w:right w:val="none" w:sz="0" w:space="0" w:color="auto"/>
          </w:divBdr>
        </w:div>
        <w:div w:id="1476951702">
          <w:marLeft w:val="0"/>
          <w:marRight w:val="0"/>
          <w:marTop w:val="0"/>
          <w:marBottom w:val="0"/>
          <w:divBdr>
            <w:top w:val="none" w:sz="0" w:space="0" w:color="auto"/>
            <w:left w:val="none" w:sz="0" w:space="0" w:color="auto"/>
            <w:bottom w:val="none" w:sz="0" w:space="0" w:color="auto"/>
            <w:right w:val="none" w:sz="0" w:space="0" w:color="auto"/>
          </w:divBdr>
        </w:div>
        <w:div w:id="1476951703">
          <w:marLeft w:val="0"/>
          <w:marRight w:val="0"/>
          <w:marTop w:val="0"/>
          <w:marBottom w:val="0"/>
          <w:divBdr>
            <w:top w:val="none" w:sz="0" w:space="0" w:color="auto"/>
            <w:left w:val="none" w:sz="0" w:space="0" w:color="auto"/>
            <w:bottom w:val="none" w:sz="0" w:space="0" w:color="auto"/>
            <w:right w:val="none" w:sz="0" w:space="0" w:color="auto"/>
          </w:divBdr>
        </w:div>
        <w:div w:id="1476951704">
          <w:marLeft w:val="0"/>
          <w:marRight w:val="0"/>
          <w:marTop w:val="0"/>
          <w:marBottom w:val="0"/>
          <w:divBdr>
            <w:top w:val="none" w:sz="0" w:space="0" w:color="auto"/>
            <w:left w:val="none" w:sz="0" w:space="0" w:color="auto"/>
            <w:bottom w:val="none" w:sz="0" w:space="0" w:color="auto"/>
            <w:right w:val="none" w:sz="0" w:space="0" w:color="auto"/>
          </w:divBdr>
        </w:div>
        <w:div w:id="1476951705">
          <w:marLeft w:val="0"/>
          <w:marRight w:val="0"/>
          <w:marTop w:val="0"/>
          <w:marBottom w:val="0"/>
          <w:divBdr>
            <w:top w:val="none" w:sz="0" w:space="0" w:color="auto"/>
            <w:left w:val="none" w:sz="0" w:space="0" w:color="auto"/>
            <w:bottom w:val="none" w:sz="0" w:space="0" w:color="auto"/>
            <w:right w:val="none" w:sz="0" w:space="0" w:color="auto"/>
          </w:divBdr>
        </w:div>
        <w:div w:id="1476951706">
          <w:marLeft w:val="0"/>
          <w:marRight w:val="0"/>
          <w:marTop w:val="0"/>
          <w:marBottom w:val="0"/>
          <w:divBdr>
            <w:top w:val="none" w:sz="0" w:space="0" w:color="auto"/>
            <w:left w:val="none" w:sz="0" w:space="0" w:color="auto"/>
            <w:bottom w:val="none" w:sz="0" w:space="0" w:color="auto"/>
            <w:right w:val="none" w:sz="0" w:space="0" w:color="auto"/>
          </w:divBdr>
        </w:div>
        <w:div w:id="1476951707">
          <w:marLeft w:val="0"/>
          <w:marRight w:val="0"/>
          <w:marTop w:val="0"/>
          <w:marBottom w:val="0"/>
          <w:divBdr>
            <w:top w:val="none" w:sz="0" w:space="0" w:color="auto"/>
            <w:left w:val="none" w:sz="0" w:space="0" w:color="auto"/>
            <w:bottom w:val="none" w:sz="0" w:space="0" w:color="auto"/>
            <w:right w:val="none" w:sz="0" w:space="0" w:color="auto"/>
          </w:divBdr>
        </w:div>
        <w:div w:id="1476951708">
          <w:marLeft w:val="0"/>
          <w:marRight w:val="0"/>
          <w:marTop w:val="0"/>
          <w:marBottom w:val="0"/>
          <w:divBdr>
            <w:top w:val="none" w:sz="0" w:space="0" w:color="auto"/>
            <w:left w:val="none" w:sz="0" w:space="0" w:color="auto"/>
            <w:bottom w:val="none" w:sz="0" w:space="0" w:color="auto"/>
            <w:right w:val="none" w:sz="0" w:space="0" w:color="auto"/>
          </w:divBdr>
        </w:div>
        <w:div w:id="1476951712">
          <w:marLeft w:val="0"/>
          <w:marRight w:val="0"/>
          <w:marTop w:val="0"/>
          <w:marBottom w:val="0"/>
          <w:divBdr>
            <w:top w:val="none" w:sz="0" w:space="0" w:color="auto"/>
            <w:left w:val="none" w:sz="0" w:space="0" w:color="auto"/>
            <w:bottom w:val="none" w:sz="0" w:space="0" w:color="auto"/>
            <w:right w:val="none" w:sz="0" w:space="0" w:color="auto"/>
          </w:divBdr>
        </w:div>
        <w:div w:id="1476951713">
          <w:marLeft w:val="0"/>
          <w:marRight w:val="0"/>
          <w:marTop w:val="0"/>
          <w:marBottom w:val="0"/>
          <w:divBdr>
            <w:top w:val="none" w:sz="0" w:space="0" w:color="auto"/>
            <w:left w:val="none" w:sz="0" w:space="0" w:color="auto"/>
            <w:bottom w:val="none" w:sz="0" w:space="0" w:color="auto"/>
            <w:right w:val="none" w:sz="0" w:space="0" w:color="auto"/>
          </w:divBdr>
        </w:div>
        <w:div w:id="1476951715">
          <w:marLeft w:val="0"/>
          <w:marRight w:val="0"/>
          <w:marTop w:val="0"/>
          <w:marBottom w:val="0"/>
          <w:divBdr>
            <w:top w:val="none" w:sz="0" w:space="0" w:color="auto"/>
            <w:left w:val="none" w:sz="0" w:space="0" w:color="auto"/>
            <w:bottom w:val="none" w:sz="0" w:space="0" w:color="auto"/>
            <w:right w:val="none" w:sz="0" w:space="0" w:color="auto"/>
          </w:divBdr>
        </w:div>
        <w:div w:id="1476951717">
          <w:marLeft w:val="0"/>
          <w:marRight w:val="0"/>
          <w:marTop w:val="0"/>
          <w:marBottom w:val="0"/>
          <w:divBdr>
            <w:top w:val="none" w:sz="0" w:space="0" w:color="auto"/>
            <w:left w:val="none" w:sz="0" w:space="0" w:color="auto"/>
            <w:bottom w:val="none" w:sz="0" w:space="0" w:color="auto"/>
            <w:right w:val="none" w:sz="0" w:space="0" w:color="auto"/>
          </w:divBdr>
        </w:div>
        <w:div w:id="1476951719">
          <w:marLeft w:val="0"/>
          <w:marRight w:val="0"/>
          <w:marTop w:val="0"/>
          <w:marBottom w:val="0"/>
          <w:divBdr>
            <w:top w:val="none" w:sz="0" w:space="0" w:color="auto"/>
            <w:left w:val="none" w:sz="0" w:space="0" w:color="auto"/>
            <w:bottom w:val="none" w:sz="0" w:space="0" w:color="auto"/>
            <w:right w:val="none" w:sz="0" w:space="0" w:color="auto"/>
          </w:divBdr>
        </w:div>
        <w:div w:id="1476951721">
          <w:marLeft w:val="0"/>
          <w:marRight w:val="0"/>
          <w:marTop w:val="0"/>
          <w:marBottom w:val="0"/>
          <w:divBdr>
            <w:top w:val="none" w:sz="0" w:space="0" w:color="auto"/>
            <w:left w:val="none" w:sz="0" w:space="0" w:color="auto"/>
            <w:bottom w:val="none" w:sz="0" w:space="0" w:color="auto"/>
            <w:right w:val="none" w:sz="0" w:space="0" w:color="auto"/>
          </w:divBdr>
        </w:div>
        <w:div w:id="1476951722">
          <w:marLeft w:val="0"/>
          <w:marRight w:val="0"/>
          <w:marTop w:val="0"/>
          <w:marBottom w:val="0"/>
          <w:divBdr>
            <w:top w:val="none" w:sz="0" w:space="0" w:color="auto"/>
            <w:left w:val="none" w:sz="0" w:space="0" w:color="auto"/>
            <w:bottom w:val="none" w:sz="0" w:space="0" w:color="auto"/>
            <w:right w:val="none" w:sz="0" w:space="0" w:color="auto"/>
          </w:divBdr>
        </w:div>
        <w:div w:id="1476951723">
          <w:marLeft w:val="0"/>
          <w:marRight w:val="0"/>
          <w:marTop w:val="0"/>
          <w:marBottom w:val="0"/>
          <w:divBdr>
            <w:top w:val="none" w:sz="0" w:space="0" w:color="auto"/>
            <w:left w:val="none" w:sz="0" w:space="0" w:color="auto"/>
            <w:bottom w:val="none" w:sz="0" w:space="0" w:color="auto"/>
            <w:right w:val="none" w:sz="0" w:space="0" w:color="auto"/>
          </w:divBdr>
        </w:div>
        <w:div w:id="1476951725">
          <w:marLeft w:val="0"/>
          <w:marRight w:val="0"/>
          <w:marTop w:val="0"/>
          <w:marBottom w:val="0"/>
          <w:divBdr>
            <w:top w:val="none" w:sz="0" w:space="0" w:color="auto"/>
            <w:left w:val="none" w:sz="0" w:space="0" w:color="auto"/>
            <w:bottom w:val="none" w:sz="0" w:space="0" w:color="auto"/>
            <w:right w:val="none" w:sz="0" w:space="0" w:color="auto"/>
          </w:divBdr>
        </w:div>
        <w:div w:id="1476951727">
          <w:marLeft w:val="0"/>
          <w:marRight w:val="0"/>
          <w:marTop w:val="0"/>
          <w:marBottom w:val="0"/>
          <w:divBdr>
            <w:top w:val="none" w:sz="0" w:space="0" w:color="auto"/>
            <w:left w:val="none" w:sz="0" w:space="0" w:color="auto"/>
            <w:bottom w:val="none" w:sz="0" w:space="0" w:color="auto"/>
            <w:right w:val="none" w:sz="0" w:space="0" w:color="auto"/>
          </w:divBdr>
        </w:div>
        <w:div w:id="1476951728">
          <w:marLeft w:val="0"/>
          <w:marRight w:val="0"/>
          <w:marTop w:val="0"/>
          <w:marBottom w:val="0"/>
          <w:divBdr>
            <w:top w:val="none" w:sz="0" w:space="0" w:color="auto"/>
            <w:left w:val="none" w:sz="0" w:space="0" w:color="auto"/>
            <w:bottom w:val="none" w:sz="0" w:space="0" w:color="auto"/>
            <w:right w:val="none" w:sz="0" w:space="0" w:color="auto"/>
          </w:divBdr>
        </w:div>
        <w:div w:id="1476951729">
          <w:marLeft w:val="0"/>
          <w:marRight w:val="0"/>
          <w:marTop w:val="0"/>
          <w:marBottom w:val="0"/>
          <w:divBdr>
            <w:top w:val="none" w:sz="0" w:space="0" w:color="auto"/>
            <w:left w:val="none" w:sz="0" w:space="0" w:color="auto"/>
            <w:bottom w:val="none" w:sz="0" w:space="0" w:color="auto"/>
            <w:right w:val="none" w:sz="0" w:space="0" w:color="auto"/>
          </w:divBdr>
        </w:div>
        <w:div w:id="1476951733">
          <w:marLeft w:val="0"/>
          <w:marRight w:val="0"/>
          <w:marTop w:val="0"/>
          <w:marBottom w:val="0"/>
          <w:divBdr>
            <w:top w:val="none" w:sz="0" w:space="0" w:color="auto"/>
            <w:left w:val="none" w:sz="0" w:space="0" w:color="auto"/>
            <w:bottom w:val="none" w:sz="0" w:space="0" w:color="auto"/>
            <w:right w:val="none" w:sz="0" w:space="0" w:color="auto"/>
          </w:divBdr>
        </w:div>
      </w:divsChild>
    </w:div>
    <w:div w:id="1476951716">
      <w:marLeft w:val="0"/>
      <w:marRight w:val="0"/>
      <w:marTop w:val="0"/>
      <w:marBottom w:val="0"/>
      <w:divBdr>
        <w:top w:val="none" w:sz="0" w:space="0" w:color="auto"/>
        <w:left w:val="none" w:sz="0" w:space="0" w:color="auto"/>
        <w:bottom w:val="none" w:sz="0" w:space="0" w:color="auto"/>
        <w:right w:val="none" w:sz="0" w:space="0" w:color="auto"/>
      </w:divBdr>
      <w:divsChild>
        <w:div w:id="1476951574">
          <w:marLeft w:val="0"/>
          <w:marRight w:val="0"/>
          <w:marTop w:val="0"/>
          <w:marBottom w:val="0"/>
          <w:divBdr>
            <w:top w:val="none" w:sz="0" w:space="0" w:color="auto"/>
            <w:left w:val="none" w:sz="0" w:space="0" w:color="auto"/>
            <w:bottom w:val="none" w:sz="0" w:space="0" w:color="auto"/>
            <w:right w:val="none" w:sz="0" w:space="0" w:color="auto"/>
          </w:divBdr>
        </w:div>
        <w:div w:id="1476951575">
          <w:marLeft w:val="0"/>
          <w:marRight w:val="0"/>
          <w:marTop w:val="0"/>
          <w:marBottom w:val="0"/>
          <w:divBdr>
            <w:top w:val="none" w:sz="0" w:space="0" w:color="auto"/>
            <w:left w:val="none" w:sz="0" w:space="0" w:color="auto"/>
            <w:bottom w:val="none" w:sz="0" w:space="0" w:color="auto"/>
            <w:right w:val="none" w:sz="0" w:space="0" w:color="auto"/>
          </w:divBdr>
        </w:div>
        <w:div w:id="1476951578">
          <w:marLeft w:val="0"/>
          <w:marRight w:val="0"/>
          <w:marTop w:val="0"/>
          <w:marBottom w:val="0"/>
          <w:divBdr>
            <w:top w:val="none" w:sz="0" w:space="0" w:color="auto"/>
            <w:left w:val="none" w:sz="0" w:space="0" w:color="auto"/>
            <w:bottom w:val="none" w:sz="0" w:space="0" w:color="auto"/>
            <w:right w:val="none" w:sz="0" w:space="0" w:color="auto"/>
          </w:divBdr>
        </w:div>
        <w:div w:id="1476951582">
          <w:marLeft w:val="0"/>
          <w:marRight w:val="0"/>
          <w:marTop w:val="0"/>
          <w:marBottom w:val="0"/>
          <w:divBdr>
            <w:top w:val="none" w:sz="0" w:space="0" w:color="auto"/>
            <w:left w:val="none" w:sz="0" w:space="0" w:color="auto"/>
            <w:bottom w:val="none" w:sz="0" w:space="0" w:color="auto"/>
            <w:right w:val="none" w:sz="0" w:space="0" w:color="auto"/>
          </w:divBdr>
        </w:div>
        <w:div w:id="1476951583">
          <w:marLeft w:val="0"/>
          <w:marRight w:val="0"/>
          <w:marTop w:val="0"/>
          <w:marBottom w:val="0"/>
          <w:divBdr>
            <w:top w:val="none" w:sz="0" w:space="0" w:color="auto"/>
            <w:left w:val="none" w:sz="0" w:space="0" w:color="auto"/>
            <w:bottom w:val="none" w:sz="0" w:space="0" w:color="auto"/>
            <w:right w:val="none" w:sz="0" w:space="0" w:color="auto"/>
          </w:divBdr>
        </w:div>
        <w:div w:id="1476951584">
          <w:marLeft w:val="0"/>
          <w:marRight w:val="0"/>
          <w:marTop w:val="0"/>
          <w:marBottom w:val="0"/>
          <w:divBdr>
            <w:top w:val="none" w:sz="0" w:space="0" w:color="auto"/>
            <w:left w:val="none" w:sz="0" w:space="0" w:color="auto"/>
            <w:bottom w:val="none" w:sz="0" w:space="0" w:color="auto"/>
            <w:right w:val="none" w:sz="0" w:space="0" w:color="auto"/>
          </w:divBdr>
        </w:div>
        <w:div w:id="1476951586">
          <w:marLeft w:val="0"/>
          <w:marRight w:val="0"/>
          <w:marTop w:val="0"/>
          <w:marBottom w:val="0"/>
          <w:divBdr>
            <w:top w:val="none" w:sz="0" w:space="0" w:color="auto"/>
            <w:left w:val="none" w:sz="0" w:space="0" w:color="auto"/>
            <w:bottom w:val="none" w:sz="0" w:space="0" w:color="auto"/>
            <w:right w:val="none" w:sz="0" w:space="0" w:color="auto"/>
          </w:divBdr>
        </w:div>
        <w:div w:id="1476951587">
          <w:marLeft w:val="0"/>
          <w:marRight w:val="0"/>
          <w:marTop w:val="0"/>
          <w:marBottom w:val="0"/>
          <w:divBdr>
            <w:top w:val="none" w:sz="0" w:space="0" w:color="auto"/>
            <w:left w:val="none" w:sz="0" w:space="0" w:color="auto"/>
            <w:bottom w:val="none" w:sz="0" w:space="0" w:color="auto"/>
            <w:right w:val="none" w:sz="0" w:space="0" w:color="auto"/>
          </w:divBdr>
        </w:div>
        <w:div w:id="1476951589">
          <w:marLeft w:val="0"/>
          <w:marRight w:val="0"/>
          <w:marTop w:val="0"/>
          <w:marBottom w:val="0"/>
          <w:divBdr>
            <w:top w:val="none" w:sz="0" w:space="0" w:color="auto"/>
            <w:left w:val="none" w:sz="0" w:space="0" w:color="auto"/>
            <w:bottom w:val="none" w:sz="0" w:space="0" w:color="auto"/>
            <w:right w:val="none" w:sz="0" w:space="0" w:color="auto"/>
          </w:divBdr>
        </w:div>
        <w:div w:id="1476951591">
          <w:marLeft w:val="0"/>
          <w:marRight w:val="0"/>
          <w:marTop w:val="0"/>
          <w:marBottom w:val="0"/>
          <w:divBdr>
            <w:top w:val="none" w:sz="0" w:space="0" w:color="auto"/>
            <w:left w:val="none" w:sz="0" w:space="0" w:color="auto"/>
            <w:bottom w:val="none" w:sz="0" w:space="0" w:color="auto"/>
            <w:right w:val="none" w:sz="0" w:space="0" w:color="auto"/>
          </w:divBdr>
        </w:div>
        <w:div w:id="1476951592">
          <w:marLeft w:val="0"/>
          <w:marRight w:val="0"/>
          <w:marTop w:val="0"/>
          <w:marBottom w:val="0"/>
          <w:divBdr>
            <w:top w:val="none" w:sz="0" w:space="0" w:color="auto"/>
            <w:left w:val="none" w:sz="0" w:space="0" w:color="auto"/>
            <w:bottom w:val="none" w:sz="0" w:space="0" w:color="auto"/>
            <w:right w:val="none" w:sz="0" w:space="0" w:color="auto"/>
          </w:divBdr>
        </w:div>
        <w:div w:id="1476951593">
          <w:marLeft w:val="0"/>
          <w:marRight w:val="0"/>
          <w:marTop w:val="0"/>
          <w:marBottom w:val="0"/>
          <w:divBdr>
            <w:top w:val="none" w:sz="0" w:space="0" w:color="auto"/>
            <w:left w:val="none" w:sz="0" w:space="0" w:color="auto"/>
            <w:bottom w:val="none" w:sz="0" w:space="0" w:color="auto"/>
            <w:right w:val="none" w:sz="0" w:space="0" w:color="auto"/>
          </w:divBdr>
        </w:div>
        <w:div w:id="1476951594">
          <w:marLeft w:val="0"/>
          <w:marRight w:val="0"/>
          <w:marTop w:val="0"/>
          <w:marBottom w:val="0"/>
          <w:divBdr>
            <w:top w:val="none" w:sz="0" w:space="0" w:color="auto"/>
            <w:left w:val="none" w:sz="0" w:space="0" w:color="auto"/>
            <w:bottom w:val="none" w:sz="0" w:space="0" w:color="auto"/>
            <w:right w:val="none" w:sz="0" w:space="0" w:color="auto"/>
          </w:divBdr>
        </w:div>
        <w:div w:id="1476951596">
          <w:marLeft w:val="0"/>
          <w:marRight w:val="0"/>
          <w:marTop w:val="0"/>
          <w:marBottom w:val="0"/>
          <w:divBdr>
            <w:top w:val="none" w:sz="0" w:space="0" w:color="auto"/>
            <w:left w:val="none" w:sz="0" w:space="0" w:color="auto"/>
            <w:bottom w:val="none" w:sz="0" w:space="0" w:color="auto"/>
            <w:right w:val="none" w:sz="0" w:space="0" w:color="auto"/>
          </w:divBdr>
        </w:div>
        <w:div w:id="1476951597">
          <w:marLeft w:val="0"/>
          <w:marRight w:val="0"/>
          <w:marTop w:val="0"/>
          <w:marBottom w:val="0"/>
          <w:divBdr>
            <w:top w:val="none" w:sz="0" w:space="0" w:color="auto"/>
            <w:left w:val="none" w:sz="0" w:space="0" w:color="auto"/>
            <w:bottom w:val="none" w:sz="0" w:space="0" w:color="auto"/>
            <w:right w:val="none" w:sz="0" w:space="0" w:color="auto"/>
          </w:divBdr>
        </w:div>
        <w:div w:id="1476951601">
          <w:marLeft w:val="0"/>
          <w:marRight w:val="0"/>
          <w:marTop w:val="0"/>
          <w:marBottom w:val="0"/>
          <w:divBdr>
            <w:top w:val="none" w:sz="0" w:space="0" w:color="auto"/>
            <w:left w:val="none" w:sz="0" w:space="0" w:color="auto"/>
            <w:bottom w:val="none" w:sz="0" w:space="0" w:color="auto"/>
            <w:right w:val="none" w:sz="0" w:space="0" w:color="auto"/>
          </w:divBdr>
        </w:div>
        <w:div w:id="1476951602">
          <w:marLeft w:val="0"/>
          <w:marRight w:val="0"/>
          <w:marTop w:val="0"/>
          <w:marBottom w:val="0"/>
          <w:divBdr>
            <w:top w:val="none" w:sz="0" w:space="0" w:color="auto"/>
            <w:left w:val="none" w:sz="0" w:space="0" w:color="auto"/>
            <w:bottom w:val="none" w:sz="0" w:space="0" w:color="auto"/>
            <w:right w:val="none" w:sz="0" w:space="0" w:color="auto"/>
          </w:divBdr>
        </w:div>
        <w:div w:id="1476951603">
          <w:marLeft w:val="0"/>
          <w:marRight w:val="0"/>
          <w:marTop w:val="0"/>
          <w:marBottom w:val="0"/>
          <w:divBdr>
            <w:top w:val="none" w:sz="0" w:space="0" w:color="auto"/>
            <w:left w:val="none" w:sz="0" w:space="0" w:color="auto"/>
            <w:bottom w:val="none" w:sz="0" w:space="0" w:color="auto"/>
            <w:right w:val="none" w:sz="0" w:space="0" w:color="auto"/>
          </w:divBdr>
        </w:div>
        <w:div w:id="1476951607">
          <w:marLeft w:val="0"/>
          <w:marRight w:val="0"/>
          <w:marTop w:val="0"/>
          <w:marBottom w:val="0"/>
          <w:divBdr>
            <w:top w:val="none" w:sz="0" w:space="0" w:color="auto"/>
            <w:left w:val="none" w:sz="0" w:space="0" w:color="auto"/>
            <w:bottom w:val="none" w:sz="0" w:space="0" w:color="auto"/>
            <w:right w:val="none" w:sz="0" w:space="0" w:color="auto"/>
          </w:divBdr>
        </w:div>
        <w:div w:id="1476951609">
          <w:marLeft w:val="0"/>
          <w:marRight w:val="0"/>
          <w:marTop w:val="0"/>
          <w:marBottom w:val="0"/>
          <w:divBdr>
            <w:top w:val="none" w:sz="0" w:space="0" w:color="auto"/>
            <w:left w:val="none" w:sz="0" w:space="0" w:color="auto"/>
            <w:bottom w:val="none" w:sz="0" w:space="0" w:color="auto"/>
            <w:right w:val="none" w:sz="0" w:space="0" w:color="auto"/>
          </w:divBdr>
        </w:div>
        <w:div w:id="1476951610">
          <w:marLeft w:val="0"/>
          <w:marRight w:val="0"/>
          <w:marTop w:val="0"/>
          <w:marBottom w:val="0"/>
          <w:divBdr>
            <w:top w:val="none" w:sz="0" w:space="0" w:color="auto"/>
            <w:left w:val="none" w:sz="0" w:space="0" w:color="auto"/>
            <w:bottom w:val="none" w:sz="0" w:space="0" w:color="auto"/>
            <w:right w:val="none" w:sz="0" w:space="0" w:color="auto"/>
          </w:divBdr>
        </w:div>
        <w:div w:id="1476951619">
          <w:marLeft w:val="0"/>
          <w:marRight w:val="0"/>
          <w:marTop w:val="0"/>
          <w:marBottom w:val="0"/>
          <w:divBdr>
            <w:top w:val="none" w:sz="0" w:space="0" w:color="auto"/>
            <w:left w:val="none" w:sz="0" w:space="0" w:color="auto"/>
            <w:bottom w:val="none" w:sz="0" w:space="0" w:color="auto"/>
            <w:right w:val="none" w:sz="0" w:space="0" w:color="auto"/>
          </w:divBdr>
        </w:div>
        <w:div w:id="1476951620">
          <w:marLeft w:val="0"/>
          <w:marRight w:val="0"/>
          <w:marTop w:val="0"/>
          <w:marBottom w:val="0"/>
          <w:divBdr>
            <w:top w:val="none" w:sz="0" w:space="0" w:color="auto"/>
            <w:left w:val="none" w:sz="0" w:space="0" w:color="auto"/>
            <w:bottom w:val="none" w:sz="0" w:space="0" w:color="auto"/>
            <w:right w:val="none" w:sz="0" w:space="0" w:color="auto"/>
          </w:divBdr>
        </w:div>
        <w:div w:id="1476951621">
          <w:marLeft w:val="0"/>
          <w:marRight w:val="0"/>
          <w:marTop w:val="0"/>
          <w:marBottom w:val="0"/>
          <w:divBdr>
            <w:top w:val="none" w:sz="0" w:space="0" w:color="auto"/>
            <w:left w:val="none" w:sz="0" w:space="0" w:color="auto"/>
            <w:bottom w:val="none" w:sz="0" w:space="0" w:color="auto"/>
            <w:right w:val="none" w:sz="0" w:space="0" w:color="auto"/>
          </w:divBdr>
        </w:div>
        <w:div w:id="1476951625">
          <w:marLeft w:val="0"/>
          <w:marRight w:val="0"/>
          <w:marTop w:val="0"/>
          <w:marBottom w:val="0"/>
          <w:divBdr>
            <w:top w:val="none" w:sz="0" w:space="0" w:color="auto"/>
            <w:left w:val="none" w:sz="0" w:space="0" w:color="auto"/>
            <w:bottom w:val="none" w:sz="0" w:space="0" w:color="auto"/>
            <w:right w:val="none" w:sz="0" w:space="0" w:color="auto"/>
          </w:divBdr>
        </w:div>
        <w:div w:id="1476951626">
          <w:marLeft w:val="0"/>
          <w:marRight w:val="0"/>
          <w:marTop w:val="0"/>
          <w:marBottom w:val="0"/>
          <w:divBdr>
            <w:top w:val="none" w:sz="0" w:space="0" w:color="auto"/>
            <w:left w:val="none" w:sz="0" w:space="0" w:color="auto"/>
            <w:bottom w:val="none" w:sz="0" w:space="0" w:color="auto"/>
            <w:right w:val="none" w:sz="0" w:space="0" w:color="auto"/>
          </w:divBdr>
        </w:div>
        <w:div w:id="1476951627">
          <w:marLeft w:val="0"/>
          <w:marRight w:val="0"/>
          <w:marTop w:val="0"/>
          <w:marBottom w:val="0"/>
          <w:divBdr>
            <w:top w:val="none" w:sz="0" w:space="0" w:color="auto"/>
            <w:left w:val="none" w:sz="0" w:space="0" w:color="auto"/>
            <w:bottom w:val="none" w:sz="0" w:space="0" w:color="auto"/>
            <w:right w:val="none" w:sz="0" w:space="0" w:color="auto"/>
          </w:divBdr>
        </w:div>
        <w:div w:id="1476951628">
          <w:marLeft w:val="0"/>
          <w:marRight w:val="0"/>
          <w:marTop w:val="0"/>
          <w:marBottom w:val="0"/>
          <w:divBdr>
            <w:top w:val="none" w:sz="0" w:space="0" w:color="auto"/>
            <w:left w:val="none" w:sz="0" w:space="0" w:color="auto"/>
            <w:bottom w:val="none" w:sz="0" w:space="0" w:color="auto"/>
            <w:right w:val="none" w:sz="0" w:space="0" w:color="auto"/>
          </w:divBdr>
        </w:div>
        <w:div w:id="1476951630">
          <w:marLeft w:val="0"/>
          <w:marRight w:val="0"/>
          <w:marTop w:val="0"/>
          <w:marBottom w:val="0"/>
          <w:divBdr>
            <w:top w:val="none" w:sz="0" w:space="0" w:color="auto"/>
            <w:left w:val="none" w:sz="0" w:space="0" w:color="auto"/>
            <w:bottom w:val="none" w:sz="0" w:space="0" w:color="auto"/>
            <w:right w:val="none" w:sz="0" w:space="0" w:color="auto"/>
          </w:divBdr>
        </w:div>
        <w:div w:id="1476951634">
          <w:marLeft w:val="0"/>
          <w:marRight w:val="0"/>
          <w:marTop w:val="0"/>
          <w:marBottom w:val="0"/>
          <w:divBdr>
            <w:top w:val="none" w:sz="0" w:space="0" w:color="auto"/>
            <w:left w:val="none" w:sz="0" w:space="0" w:color="auto"/>
            <w:bottom w:val="none" w:sz="0" w:space="0" w:color="auto"/>
            <w:right w:val="none" w:sz="0" w:space="0" w:color="auto"/>
          </w:divBdr>
        </w:div>
        <w:div w:id="1476951635">
          <w:marLeft w:val="0"/>
          <w:marRight w:val="0"/>
          <w:marTop w:val="0"/>
          <w:marBottom w:val="0"/>
          <w:divBdr>
            <w:top w:val="none" w:sz="0" w:space="0" w:color="auto"/>
            <w:left w:val="none" w:sz="0" w:space="0" w:color="auto"/>
            <w:bottom w:val="none" w:sz="0" w:space="0" w:color="auto"/>
            <w:right w:val="none" w:sz="0" w:space="0" w:color="auto"/>
          </w:divBdr>
        </w:div>
        <w:div w:id="1476951636">
          <w:marLeft w:val="0"/>
          <w:marRight w:val="0"/>
          <w:marTop w:val="0"/>
          <w:marBottom w:val="0"/>
          <w:divBdr>
            <w:top w:val="none" w:sz="0" w:space="0" w:color="auto"/>
            <w:left w:val="none" w:sz="0" w:space="0" w:color="auto"/>
            <w:bottom w:val="none" w:sz="0" w:space="0" w:color="auto"/>
            <w:right w:val="none" w:sz="0" w:space="0" w:color="auto"/>
          </w:divBdr>
        </w:div>
        <w:div w:id="1476951637">
          <w:marLeft w:val="0"/>
          <w:marRight w:val="0"/>
          <w:marTop w:val="0"/>
          <w:marBottom w:val="0"/>
          <w:divBdr>
            <w:top w:val="none" w:sz="0" w:space="0" w:color="auto"/>
            <w:left w:val="none" w:sz="0" w:space="0" w:color="auto"/>
            <w:bottom w:val="none" w:sz="0" w:space="0" w:color="auto"/>
            <w:right w:val="none" w:sz="0" w:space="0" w:color="auto"/>
          </w:divBdr>
        </w:div>
        <w:div w:id="1476951643">
          <w:marLeft w:val="0"/>
          <w:marRight w:val="0"/>
          <w:marTop w:val="0"/>
          <w:marBottom w:val="0"/>
          <w:divBdr>
            <w:top w:val="none" w:sz="0" w:space="0" w:color="auto"/>
            <w:left w:val="none" w:sz="0" w:space="0" w:color="auto"/>
            <w:bottom w:val="none" w:sz="0" w:space="0" w:color="auto"/>
            <w:right w:val="none" w:sz="0" w:space="0" w:color="auto"/>
          </w:divBdr>
        </w:div>
        <w:div w:id="1476951644">
          <w:marLeft w:val="0"/>
          <w:marRight w:val="0"/>
          <w:marTop w:val="0"/>
          <w:marBottom w:val="0"/>
          <w:divBdr>
            <w:top w:val="none" w:sz="0" w:space="0" w:color="auto"/>
            <w:left w:val="none" w:sz="0" w:space="0" w:color="auto"/>
            <w:bottom w:val="none" w:sz="0" w:space="0" w:color="auto"/>
            <w:right w:val="none" w:sz="0" w:space="0" w:color="auto"/>
          </w:divBdr>
        </w:div>
        <w:div w:id="1476951645">
          <w:marLeft w:val="0"/>
          <w:marRight w:val="0"/>
          <w:marTop w:val="0"/>
          <w:marBottom w:val="0"/>
          <w:divBdr>
            <w:top w:val="none" w:sz="0" w:space="0" w:color="auto"/>
            <w:left w:val="none" w:sz="0" w:space="0" w:color="auto"/>
            <w:bottom w:val="none" w:sz="0" w:space="0" w:color="auto"/>
            <w:right w:val="none" w:sz="0" w:space="0" w:color="auto"/>
          </w:divBdr>
        </w:div>
        <w:div w:id="1476951646">
          <w:marLeft w:val="0"/>
          <w:marRight w:val="0"/>
          <w:marTop w:val="0"/>
          <w:marBottom w:val="0"/>
          <w:divBdr>
            <w:top w:val="none" w:sz="0" w:space="0" w:color="auto"/>
            <w:left w:val="none" w:sz="0" w:space="0" w:color="auto"/>
            <w:bottom w:val="none" w:sz="0" w:space="0" w:color="auto"/>
            <w:right w:val="none" w:sz="0" w:space="0" w:color="auto"/>
          </w:divBdr>
        </w:div>
        <w:div w:id="1476951647">
          <w:marLeft w:val="0"/>
          <w:marRight w:val="0"/>
          <w:marTop w:val="0"/>
          <w:marBottom w:val="0"/>
          <w:divBdr>
            <w:top w:val="none" w:sz="0" w:space="0" w:color="auto"/>
            <w:left w:val="none" w:sz="0" w:space="0" w:color="auto"/>
            <w:bottom w:val="none" w:sz="0" w:space="0" w:color="auto"/>
            <w:right w:val="none" w:sz="0" w:space="0" w:color="auto"/>
          </w:divBdr>
        </w:div>
        <w:div w:id="1476951648">
          <w:marLeft w:val="0"/>
          <w:marRight w:val="0"/>
          <w:marTop w:val="0"/>
          <w:marBottom w:val="0"/>
          <w:divBdr>
            <w:top w:val="none" w:sz="0" w:space="0" w:color="auto"/>
            <w:left w:val="none" w:sz="0" w:space="0" w:color="auto"/>
            <w:bottom w:val="none" w:sz="0" w:space="0" w:color="auto"/>
            <w:right w:val="none" w:sz="0" w:space="0" w:color="auto"/>
          </w:divBdr>
        </w:div>
        <w:div w:id="1476951649">
          <w:marLeft w:val="0"/>
          <w:marRight w:val="0"/>
          <w:marTop w:val="0"/>
          <w:marBottom w:val="0"/>
          <w:divBdr>
            <w:top w:val="none" w:sz="0" w:space="0" w:color="auto"/>
            <w:left w:val="none" w:sz="0" w:space="0" w:color="auto"/>
            <w:bottom w:val="none" w:sz="0" w:space="0" w:color="auto"/>
            <w:right w:val="none" w:sz="0" w:space="0" w:color="auto"/>
          </w:divBdr>
        </w:div>
        <w:div w:id="1476951650">
          <w:marLeft w:val="0"/>
          <w:marRight w:val="0"/>
          <w:marTop w:val="0"/>
          <w:marBottom w:val="0"/>
          <w:divBdr>
            <w:top w:val="none" w:sz="0" w:space="0" w:color="auto"/>
            <w:left w:val="none" w:sz="0" w:space="0" w:color="auto"/>
            <w:bottom w:val="none" w:sz="0" w:space="0" w:color="auto"/>
            <w:right w:val="none" w:sz="0" w:space="0" w:color="auto"/>
          </w:divBdr>
        </w:div>
        <w:div w:id="1476951652">
          <w:marLeft w:val="0"/>
          <w:marRight w:val="0"/>
          <w:marTop w:val="0"/>
          <w:marBottom w:val="0"/>
          <w:divBdr>
            <w:top w:val="none" w:sz="0" w:space="0" w:color="auto"/>
            <w:left w:val="none" w:sz="0" w:space="0" w:color="auto"/>
            <w:bottom w:val="none" w:sz="0" w:space="0" w:color="auto"/>
            <w:right w:val="none" w:sz="0" w:space="0" w:color="auto"/>
          </w:divBdr>
        </w:div>
        <w:div w:id="1476951654">
          <w:marLeft w:val="0"/>
          <w:marRight w:val="0"/>
          <w:marTop w:val="0"/>
          <w:marBottom w:val="0"/>
          <w:divBdr>
            <w:top w:val="none" w:sz="0" w:space="0" w:color="auto"/>
            <w:left w:val="none" w:sz="0" w:space="0" w:color="auto"/>
            <w:bottom w:val="none" w:sz="0" w:space="0" w:color="auto"/>
            <w:right w:val="none" w:sz="0" w:space="0" w:color="auto"/>
          </w:divBdr>
        </w:div>
        <w:div w:id="1476951656">
          <w:marLeft w:val="0"/>
          <w:marRight w:val="0"/>
          <w:marTop w:val="0"/>
          <w:marBottom w:val="0"/>
          <w:divBdr>
            <w:top w:val="none" w:sz="0" w:space="0" w:color="auto"/>
            <w:left w:val="none" w:sz="0" w:space="0" w:color="auto"/>
            <w:bottom w:val="none" w:sz="0" w:space="0" w:color="auto"/>
            <w:right w:val="none" w:sz="0" w:space="0" w:color="auto"/>
          </w:divBdr>
        </w:div>
        <w:div w:id="1476951658">
          <w:marLeft w:val="0"/>
          <w:marRight w:val="0"/>
          <w:marTop w:val="0"/>
          <w:marBottom w:val="0"/>
          <w:divBdr>
            <w:top w:val="none" w:sz="0" w:space="0" w:color="auto"/>
            <w:left w:val="none" w:sz="0" w:space="0" w:color="auto"/>
            <w:bottom w:val="none" w:sz="0" w:space="0" w:color="auto"/>
            <w:right w:val="none" w:sz="0" w:space="0" w:color="auto"/>
          </w:divBdr>
        </w:div>
        <w:div w:id="1476951661">
          <w:marLeft w:val="0"/>
          <w:marRight w:val="0"/>
          <w:marTop w:val="0"/>
          <w:marBottom w:val="0"/>
          <w:divBdr>
            <w:top w:val="none" w:sz="0" w:space="0" w:color="auto"/>
            <w:left w:val="none" w:sz="0" w:space="0" w:color="auto"/>
            <w:bottom w:val="none" w:sz="0" w:space="0" w:color="auto"/>
            <w:right w:val="none" w:sz="0" w:space="0" w:color="auto"/>
          </w:divBdr>
        </w:div>
        <w:div w:id="1476951663">
          <w:marLeft w:val="0"/>
          <w:marRight w:val="0"/>
          <w:marTop w:val="0"/>
          <w:marBottom w:val="0"/>
          <w:divBdr>
            <w:top w:val="none" w:sz="0" w:space="0" w:color="auto"/>
            <w:left w:val="none" w:sz="0" w:space="0" w:color="auto"/>
            <w:bottom w:val="none" w:sz="0" w:space="0" w:color="auto"/>
            <w:right w:val="none" w:sz="0" w:space="0" w:color="auto"/>
          </w:divBdr>
        </w:div>
        <w:div w:id="1476951665">
          <w:marLeft w:val="0"/>
          <w:marRight w:val="0"/>
          <w:marTop w:val="0"/>
          <w:marBottom w:val="0"/>
          <w:divBdr>
            <w:top w:val="none" w:sz="0" w:space="0" w:color="auto"/>
            <w:left w:val="none" w:sz="0" w:space="0" w:color="auto"/>
            <w:bottom w:val="none" w:sz="0" w:space="0" w:color="auto"/>
            <w:right w:val="none" w:sz="0" w:space="0" w:color="auto"/>
          </w:divBdr>
        </w:div>
        <w:div w:id="1476951666">
          <w:marLeft w:val="0"/>
          <w:marRight w:val="0"/>
          <w:marTop w:val="0"/>
          <w:marBottom w:val="0"/>
          <w:divBdr>
            <w:top w:val="none" w:sz="0" w:space="0" w:color="auto"/>
            <w:left w:val="none" w:sz="0" w:space="0" w:color="auto"/>
            <w:bottom w:val="none" w:sz="0" w:space="0" w:color="auto"/>
            <w:right w:val="none" w:sz="0" w:space="0" w:color="auto"/>
          </w:divBdr>
        </w:div>
        <w:div w:id="1476951667">
          <w:marLeft w:val="0"/>
          <w:marRight w:val="0"/>
          <w:marTop w:val="0"/>
          <w:marBottom w:val="0"/>
          <w:divBdr>
            <w:top w:val="none" w:sz="0" w:space="0" w:color="auto"/>
            <w:left w:val="none" w:sz="0" w:space="0" w:color="auto"/>
            <w:bottom w:val="none" w:sz="0" w:space="0" w:color="auto"/>
            <w:right w:val="none" w:sz="0" w:space="0" w:color="auto"/>
          </w:divBdr>
        </w:div>
        <w:div w:id="1476951669">
          <w:marLeft w:val="0"/>
          <w:marRight w:val="0"/>
          <w:marTop w:val="0"/>
          <w:marBottom w:val="0"/>
          <w:divBdr>
            <w:top w:val="none" w:sz="0" w:space="0" w:color="auto"/>
            <w:left w:val="none" w:sz="0" w:space="0" w:color="auto"/>
            <w:bottom w:val="none" w:sz="0" w:space="0" w:color="auto"/>
            <w:right w:val="none" w:sz="0" w:space="0" w:color="auto"/>
          </w:divBdr>
        </w:div>
        <w:div w:id="1476951675">
          <w:marLeft w:val="0"/>
          <w:marRight w:val="0"/>
          <w:marTop w:val="0"/>
          <w:marBottom w:val="0"/>
          <w:divBdr>
            <w:top w:val="none" w:sz="0" w:space="0" w:color="auto"/>
            <w:left w:val="none" w:sz="0" w:space="0" w:color="auto"/>
            <w:bottom w:val="none" w:sz="0" w:space="0" w:color="auto"/>
            <w:right w:val="none" w:sz="0" w:space="0" w:color="auto"/>
          </w:divBdr>
        </w:div>
        <w:div w:id="1476951676">
          <w:marLeft w:val="0"/>
          <w:marRight w:val="0"/>
          <w:marTop w:val="0"/>
          <w:marBottom w:val="0"/>
          <w:divBdr>
            <w:top w:val="none" w:sz="0" w:space="0" w:color="auto"/>
            <w:left w:val="none" w:sz="0" w:space="0" w:color="auto"/>
            <w:bottom w:val="none" w:sz="0" w:space="0" w:color="auto"/>
            <w:right w:val="none" w:sz="0" w:space="0" w:color="auto"/>
          </w:divBdr>
        </w:div>
        <w:div w:id="1476951678">
          <w:marLeft w:val="0"/>
          <w:marRight w:val="0"/>
          <w:marTop w:val="0"/>
          <w:marBottom w:val="0"/>
          <w:divBdr>
            <w:top w:val="none" w:sz="0" w:space="0" w:color="auto"/>
            <w:left w:val="none" w:sz="0" w:space="0" w:color="auto"/>
            <w:bottom w:val="none" w:sz="0" w:space="0" w:color="auto"/>
            <w:right w:val="none" w:sz="0" w:space="0" w:color="auto"/>
          </w:divBdr>
        </w:div>
        <w:div w:id="1476951679">
          <w:marLeft w:val="0"/>
          <w:marRight w:val="0"/>
          <w:marTop w:val="0"/>
          <w:marBottom w:val="0"/>
          <w:divBdr>
            <w:top w:val="none" w:sz="0" w:space="0" w:color="auto"/>
            <w:left w:val="none" w:sz="0" w:space="0" w:color="auto"/>
            <w:bottom w:val="none" w:sz="0" w:space="0" w:color="auto"/>
            <w:right w:val="none" w:sz="0" w:space="0" w:color="auto"/>
          </w:divBdr>
        </w:div>
        <w:div w:id="1476951682">
          <w:marLeft w:val="0"/>
          <w:marRight w:val="0"/>
          <w:marTop w:val="0"/>
          <w:marBottom w:val="0"/>
          <w:divBdr>
            <w:top w:val="none" w:sz="0" w:space="0" w:color="auto"/>
            <w:left w:val="none" w:sz="0" w:space="0" w:color="auto"/>
            <w:bottom w:val="none" w:sz="0" w:space="0" w:color="auto"/>
            <w:right w:val="none" w:sz="0" w:space="0" w:color="auto"/>
          </w:divBdr>
        </w:div>
        <w:div w:id="1476951686">
          <w:marLeft w:val="0"/>
          <w:marRight w:val="0"/>
          <w:marTop w:val="0"/>
          <w:marBottom w:val="0"/>
          <w:divBdr>
            <w:top w:val="none" w:sz="0" w:space="0" w:color="auto"/>
            <w:left w:val="none" w:sz="0" w:space="0" w:color="auto"/>
            <w:bottom w:val="none" w:sz="0" w:space="0" w:color="auto"/>
            <w:right w:val="none" w:sz="0" w:space="0" w:color="auto"/>
          </w:divBdr>
        </w:div>
        <w:div w:id="1476951687">
          <w:marLeft w:val="0"/>
          <w:marRight w:val="0"/>
          <w:marTop w:val="0"/>
          <w:marBottom w:val="0"/>
          <w:divBdr>
            <w:top w:val="none" w:sz="0" w:space="0" w:color="auto"/>
            <w:left w:val="none" w:sz="0" w:space="0" w:color="auto"/>
            <w:bottom w:val="none" w:sz="0" w:space="0" w:color="auto"/>
            <w:right w:val="none" w:sz="0" w:space="0" w:color="auto"/>
          </w:divBdr>
        </w:div>
        <w:div w:id="1476951688">
          <w:marLeft w:val="0"/>
          <w:marRight w:val="0"/>
          <w:marTop w:val="0"/>
          <w:marBottom w:val="0"/>
          <w:divBdr>
            <w:top w:val="none" w:sz="0" w:space="0" w:color="auto"/>
            <w:left w:val="none" w:sz="0" w:space="0" w:color="auto"/>
            <w:bottom w:val="none" w:sz="0" w:space="0" w:color="auto"/>
            <w:right w:val="none" w:sz="0" w:space="0" w:color="auto"/>
          </w:divBdr>
        </w:div>
        <w:div w:id="1476951689">
          <w:marLeft w:val="0"/>
          <w:marRight w:val="0"/>
          <w:marTop w:val="0"/>
          <w:marBottom w:val="0"/>
          <w:divBdr>
            <w:top w:val="none" w:sz="0" w:space="0" w:color="auto"/>
            <w:left w:val="none" w:sz="0" w:space="0" w:color="auto"/>
            <w:bottom w:val="none" w:sz="0" w:space="0" w:color="auto"/>
            <w:right w:val="none" w:sz="0" w:space="0" w:color="auto"/>
          </w:divBdr>
        </w:div>
        <w:div w:id="1476951690">
          <w:marLeft w:val="0"/>
          <w:marRight w:val="0"/>
          <w:marTop w:val="0"/>
          <w:marBottom w:val="0"/>
          <w:divBdr>
            <w:top w:val="none" w:sz="0" w:space="0" w:color="auto"/>
            <w:left w:val="none" w:sz="0" w:space="0" w:color="auto"/>
            <w:bottom w:val="none" w:sz="0" w:space="0" w:color="auto"/>
            <w:right w:val="none" w:sz="0" w:space="0" w:color="auto"/>
          </w:divBdr>
        </w:div>
        <w:div w:id="1476951691">
          <w:marLeft w:val="0"/>
          <w:marRight w:val="0"/>
          <w:marTop w:val="0"/>
          <w:marBottom w:val="0"/>
          <w:divBdr>
            <w:top w:val="none" w:sz="0" w:space="0" w:color="auto"/>
            <w:left w:val="none" w:sz="0" w:space="0" w:color="auto"/>
            <w:bottom w:val="none" w:sz="0" w:space="0" w:color="auto"/>
            <w:right w:val="none" w:sz="0" w:space="0" w:color="auto"/>
          </w:divBdr>
        </w:div>
        <w:div w:id="1476951694">
          <w:marLeft w:val="0"/>
          <w:marRight w:val="0"/>
          <w:marTop w:val="0"/>
          <w:marBottom w:val="0"/>
          <w:divBdr>
            <w:top w:val="none" w:sz="0" w:space="0" w:color="auto"/>
            <w:left w:val="none" w:sz="0" w:space="0" w:color="auto"/>
            <w:bottom w:val="none" w:sz="0" w:space="0" w:color="auto"/>
            <w:right w:val="none" w:sz="0" w:space="0" w:color="auto"/>
          </w:divBdr>
        </w:div>
        <w:div w:id="1476951696">
          <w:marLeft w:val="0"/>
          <w:marRight w:val="0"/>
          <w:marTop w:val="0"/>
          <w:marBottom w:val="0"/>
          <w:divBdr>
            <w:top w:val="none" w:sz="0" w:space="0" w:color="auto"/>
            <w:left w:val="none" w:sz="0" w:space="0" w:color="auto"/>
            <w:bottom w:val="none" w:sz="0" w:space="0" w:color="auto"/>
            <w:right w:val="none" w:sz="0" w:space="0" w:color="auto"/>
          </w:divBdr>
        </w:div>
        <w:div w:id="1476951697">
          <w:marLeft w:val="0"/>
          <w:marRight w:val="0"/>
          <w:marTop w:val="0"/>
          <w:marBottom w:val="0"/>
          <w:divBdr>
            <w:top w:val="none" w:sz="0" w:space="0" w:color="auto"/>
            <w:left w:val="none" w:sz="0" w:space="0" w:color="auto"/>
            <w:bottom w:val="none" w:sz="0" w:space="0" w:color="auto"/>
            <w:right w:val="none" w:sz="0" w:space="0" w:color="auto"/>
          </w:divBdr>
        </w:div>
        <w:div w:id="1476951698">
          <w:marLeft w:val="0"/>
          <w:marRight w:val="0"/>
          <w:marTop w:val="0"/>
          <w:marBottom w:val="0"/>
          <w:divBdr>
            <w:top w:val="none" w:sz="0" w:space="0" w:color="auto"/>
            <w:left w:val="none" w:sz="0" w:space="0" w:color="auto"/>
            <w:bottom w:val="none" w:sz="0" w:space="0" w:color="auto"/>
            <w:right w:val="none" w:sz="0" w:space="0" w:color="auto"/>
          </w:divBdr>
        </w:div>
        <w:div w:id="1476951701">
          <w:marLeft w:val="0"/>
          <w:marRight w:val="0"/>
          <w:marTop w:val="0"/>
          <w:marBottom w:val="0"/>
          <w:divBdr>
            <w:top w:val="none" w:sz="0" w:space="0" w:color="auto"/>
            <w:left w:val="none" w:sz="0" w:space="0" w:color="auto"/>
            <w:bottom w:val="none" w:sz="0" w:space="0" w:color="auto"/>
            <w:right w:val="none" w:sz="0" w:space="0" w:color="auto"/>
          </w:divBdr>
        </w:div>
        <w:div w:id="1476951709">
          <w:marLeft w:val="0"/>
          <w:marRight w:val="0"/>
          <w:marTop w:val="0"/>
          <w:marBottom w:val="0"/>
          <w:divBdr>
            <w:top w:val="none" w:sz="0" w:space="0" w:color="auto"/>
            <w:left w:val="none" w:sz="0" w:space="0" w:color="auto"/>
            <w:bottom w:val="none" w:sz="0" w:space="0" w:color="auto"/>
            <w:right w:val="none" w:sz="0" w:space="0" w:color="auto"/>
          </w:divBdr>
        </w:div>
        <w:div w:id="1476951710">
          <w:marLeft w:val="0"/>
          <w:marRight w:val="0"/>
          <w:marTop w:val="0"/>
          <w:marBottom w:val="0"/>
          <w:divBdr>
            <w:top w:val="none" w:sz="0" w:space="0" w:color="auto"/>
            <w:left w:val="none" w:sz="0" w:space="0" w:color="auto"/>
            <w:bottom w:val="none" w:sz="0" w:space="0" w:color="auto"/>
            <w:right w:val="none" w:sz="0" w:space="0" w:color="auto"/>
          </w:divBdr>
        </w:div>
        <w:div w:id="1476951711">
          <w:marLeft w:val="0"/>
          <w:marRight w:val="0"/>
          <w:marTop w:val="0"/>
          <w:marBottom w:val="0"/>
          <w:divBdr>
            <w:top w:val="none" w:sz="0" w:space="0" w:color="auto"/>
            <w:left w:val="none" w:sz="0" w:space="0" w:color="auto"/>
            <w:bottom w:val="none" w:sz="0" w:space="0" w:color="auto"/>
            <w:right w:val="none" w:sz="0" w:space="0" w:color="auto"/>
          </w:divBdr>
        </w:div>
        <w:div w:id="1476951714">
          <w:marLeft w:val="0"/>
          <w:marRight w:val="0"/>
          <w:marTop w:val="0"/>
          <w:marBottom w:val="0"/>
          <w:divBdr>
            <w:top w:val="none" w:sz="0" w:space="0" w:color="auto"/>
            <w:left w:val="none" w:sz="0" w:space="0" w:color="auto"/>
            <w:bottom w:val="none" w:sz="0" w:space="0" w:color="auto"/>
            <w:right w:val="none" w:sz="0" w:space="0" w:color="auto"/>
          </w:divBdr>
        </w:div>
        <w:div w:id="1476951718">
          <w:marLeft w:val="0"/>
          <w:marRight w:val="0"/>
          <w:marTop w:val="0"/>
          <w:marBottom w:val="0"/>
          <w:divBdr>
            <w:top w:val="none" w:sz="0" w:space="0" w:color="auto"/>
            <w:left w:val="none" w:sz="0" w:space="0" w:color="auto"/>
            <w:bottom w:val="none" w:sz="0" w:space="0" w:color="auto"/>
            <w:right w:val="none" w:sz="0" w:space="0" w:color="auto"/>
          </w:divBdr>
        </w:div>
        <w:div w:id="1476951720">
          <w:marLeft w:val="0"/>
          <w:marRight w:val="0"/>
          <w:marTop w:val="0"/>
          <w:marBottom w:val="0"/>
          <w:divBdr>
            <w:top w:val="none" w:sz="0" w:space="0" w:color="auto"/>
            <w:left w:val="none" w:sz="0" w:space="0" w:color="auto"/>
            <w:bottom w:val="none" w:sz="0" w:space="0" w:color="auto"/>
            <w:right w:val="none" w:sz="0" w:space="0" w:color="auto"/>
          </w:divBdr>
        </w:div>
        <w:div w:id="1476951724">
          <w:marLeft w:val="0"/>
          <w:marRight w:val="0"/>
          <w:marTop w:val="0"/>
          <w:marBottom w:val="0"/>
          <w:divBdr>
            <w:top w:val="none" w:sz="0" w:space="0" w:color="auto"/>
            <w:left w:val="none" w:sz="0" w:space="0" w:color="auto"/>
            <w:bottom w:val="none" w:sz="0" w:space="0" w:color="auto"/>
            <w:right w:val="none" w:sz="0" w:space="0" w:color="auto"/>
          </w:divBdr>
        </w:div>
        <w:div w:id="1476951726">
          <w:marLeft w:val="0"/>
          <w:marRight w:val="0"/>
          <w:marTop w:val="0"/>
          <w:marBottom w:val="0"/>
          <w:divBdr>
            <w:top w:val="none" w:sz="0" w:space="0" w:color="auto"/>
            <w:left w:val="none" w:sz="0" w:space="0" w:color="auto"/>
            <w:bottom w:val="none" w:sz="0" w:space="0" w:color="auto"/>
            <w:right w:val="none" w:sz="0" w:space="0" w:color="auto"/>
          </w:divBdr>
        </w:div>
        <w:div w:id="1476951730">
          <w:marLeft w:val="0"/>
          <w:marRight w:val="0"/>
          <w:marTop w:val="0"/>
          <w:marBottom w:val="0"/>
          <w:divBdr>
            <w:top w:val="none" w:sz="0" w:space="0" w:color="auto"/>
            <w:left w:val="none" w:sz="0" w:space="0" w:color="auto"/>
            <w:bottom w:val="none" w:sz="0" w:space="0" w:color="auto"/>
            <w:right w:val="none" w:sz="0" w:space="0" w:color="auto"/>
          </w:divBdr>
        </w:div>
        <w:div w:id="1476951731">
          <w:marLeft w:val="0"/>
          <w:marRight w:val="0"/>
          <w:marTop w:val="0"/>
          <w:marBottom w:val="0"/>
          <w:divBdr>
            <w:top w:val="none" w:sz="0" w:space="0" w:color="auto"/>
            <w:left w:val="none" w:sz="0" w:space="0" w:color="auto"/>
            <w:bottom w:val="none" w:sz="0" w:space="0" w:color="auto"/>
            <w:right w:val="none" w:sz="0" w:space="0" w:color="auto"/>
          </w:divBdr>
        </w:div>
        <w:div w:id="1476951732">
          <w:marLeft w:val="0"/>
          <w:marRight w:val="0"/>
          <w:marTop w:val="0"/>
          <w:marBottom w:val="0"/>
          <w:divBdr>
            <w:top w:val="none" w:sz="0" w:space="0" w:color="auto"/>
            <w:left w:val="none" w:sz="0" w:space="0" w:color="auto"/>
            <w:bottom w:val="none" w:sz="0" w:space="0" w:color="auto"/>
            <w:right w:val="none" w:sz="0" w:space="0" w:color="auto"/>
          </w:divBdr>
        </w:div>
        <w:div w:id="1476951734">
          <w:marLeft w:val="0"/>
          <w:marRight w:val="0"/>
          <w:marTop w:val="0"/>
          <w:marBottom w:val="0"/>
          <w:divBdr>
            <w:top w:val="none" w:sz="0" w:space="0" w:color="auto"/>
            <w:left w:val="none" w:sz="0" w:space="0" w:color="auto"/>
            <w:bottom w:val="none" w:sz="0" w:space="0" w:color="auto"/>
            <w:right w:val="none" w:sz="0" w:space="0" w:color="auto"/>
          </w:divBdr>
        </w:div>
        <w:div w:id="1476951735">
          <w:marLeft w:val="0"/>
          <w:marRight w:val="0"/>
          <w:marTop w:val="0"/>
          <w:marBottom w:val="0"/>
          <w:divBdr>
            <w:top w:val="none" w:sz="0" w:space="0" w:color="auto"/>
            <w:left w:val="none" w:sz="0" w:space="0" w:color="auto"/>
            <w:bottom w:val="none" w:sz="0" w:space="0" w:color="auto"/>
            <w:right w:val="none" w:sz="0" w:space="0" w:color="auto"/>
          </w:divBdr>
        </w:div>
      </w:divsChild>
    </w:div>
    <w:div w:id="1536700034">
      <w:bodyDiv w:val="1"/>
      <w:marLeft w:val="0"/>
      <w:marRight w:val="0"/>
      <w:marTop w:val="0"/>
      <w:marBottom w:val="0"/>
      <w:divBdr>
        <w:top w:val="none" w:sz="0" w:space="0" w:color="auto"/>
        <w:left w:val="none" w:sz="0" w:space="0" w:color="auto"/>
        <w:bottom w:val="none" w:sz="0" w:space="0" w:color="auto"/>
        <w:right w:val="none" w:sz="0" w:space="0" w:color="auto"/>
      </w:divBdr>
    </w:div>
    <w:div w:id="1672025729">
      <w:bodyDiv w:val="1"/>
      <w:marLeft w:val="0"/>
      <w:marRight w:val="0"/>
      <w:marTop w:val="0"/>
      <w:marBottom w:val="0"/>
      <w:divBdr>
        <w:top w:val="none" w:sz="0" w:space="0" w:color="auto"/>
        <w:left w:val="none" w:sz="0" w:space="0" w:color="auto"/>
        <w:bottom w:val="none" w:sz="0" w:space="0" w:color="auto"/>
        <w:right w:val="none" w:sz="0" w:space="0" w:color="auto"/>
      </w:divBdr>
    </w:div>
    <w:div w:id="1735199644">
      <w:bodyDiv w:val="1"/>
      <w:marLeft w:val="0"/>
      <w:marRight w:val="0"/>
      <w:marTop w:val="0"/>
      <w:marBottom w:val="0"/>
      <w:divBdr>
        <w:top w:val="none" w:sz="0" w:space="0" w:color="auto"/>
        <w:left w:val="none" w:sz="0" w:space="0" w:color="auto"/>
        <w:bottom w:val="none" w:sz="0" w:space="0" w:color="auto"/>
        <w:right w:val="none" w:sz="0" w:space="0" w:color="auto"/>
      </w:divBdr>
    </w:div>
    <w:div w:id="1866823523">
      <w:bodyDiv w:val="1"/>
      <w:marLeft w:val="0"/>
      <w:marRight w:val="0"/>
      <w:marTop w:val="0"/>
      <w:marBottom w:val="0"/>
      <w:divBdr>
        <w:top w:val="none" w:sz="0" w:space="0" w:color="auto"/>
        <w:left w:val="none" w:sz="0" w:space="0" w:color="auto"/>
        <w:bottom w:val="none" w:sz="0" w:space="0" w:color="auto"/>
        <w:right w:val="none" w:sz="0" w:space="0" w:color="auto"/>
      </w:divBdr>
    </w:div>
    <w:div w:id="1910338093">
      <w:bodyDiv w:val="1"/>
      <w:marLeft w:val="0"/>
      <w:marRight w:val="0"/>
      <w:marTop w:val="0"/>
      <w:marBottom w:val="0"/>
      <w:divBdr>
        <w:top w:val="none" w:sz="0" w:space="0" w:color="auto"/>
        <w:left w:val="none" w:sz="0" w:space="0" w:color="auto"/>
        <w:bottom w:val="none" w:sz="0" w:space="0" w:color="auto"/>
        <w:right w:val="none" w:sz="0" w:space="0" w:color="auto"/>
      </w:divBdr>
      <w:divsChild>
        <w:div w:id="1096706135">
          <w:marLeft w:val="0"/>
          <w:marRight w:val="0"/>
          <w:marTop w:val="0"/>
          <w:marBottom w:val="0"/>
          <w:divBdr>
            <w:top w:val="none" w:sz="0" w:space="0" w:color="auto"/>
            <w:left w:val="none" w:sz="0" w:space="0" w:color="auto"/>
            <w:bottom w:val="none" w:sz="0" w:space="0" w:color="auto"/>
            <w:right w:val="none" w:sz="0" w:space="0" w:color="auto"/>
          </w:divBdr>
          <w:divsChild>
            <w:div w:id="830561929">
              <w:marLeft w:val="0"/>
              <w:marRight w:val="0"/>
              <w:marTop w:val="525"/>
              <w:marBottom w:val="0"/>
              <w:divBdr>
                <w:top w:val="none" w:sz="0" w:space="0" w:color="auto"/>
                <w:left w:val="none" w:sz="0" w:space="0" w:color="auto"/>
                <w:bottom w:val="none" w:sz="0" w:space="0" w:color="auto"/>
                <w:right w:val="none" w:sz="0" w:space="0" w:color="auto"/>
              </w:divBdr>
              <w:divsChild>
                <w:div w:id="1708145292">
                  <w:marLeft w:val="-225"/>
                  <w:marRight w:val="-225"/>
                  <w:marTop w:val="0"/>
                  <w:marBottom w:val="0"/>
                  <w:divBdr>
                    <w:top w:val="none" w:sz="0" w:space="0" w:color="auto"/>
                    <w:left w:val="none" w:sz="0" w:space="0" w:color="auto"/>
                    <w:bottom w:val="none" w:sz="0" w:space="0" w:color="auto"/>
                    <w:right w:val="none" w:sz="0" w:space="0" w:color="auto"/>
                  </w:divBdr>
                  <w:divsChild>
                    <w:div w:id="1421946986">
                      <w:marLeft w:val="0"/>
                      <w:marRight w:val="0"/>
                      <w:marTop w:val="0"/>
                      <w:marBottom w:val="0"/>
                      <w:divBdr>
                        <w:top w:val="none" w:sz="0" w:space="0" w:color="auto"/>
                        <w:left w:val="none" w:sz="0" w:space="0" w:color="auto"/>
                        <w:bottom w:val="none" w:sz="0" w:space="0" w:color="auto"/>
                        <w:right w:val="none" w:sz="0" w:space="0" w:color="auto"/>
                      </w:divBdr>
                      <w:divsChild>
                        <w:div w:id="637877972">
                          <w:marLeft w:val="0"/>
                          <w:marRight w:val="0"/>
                          <w:marTop w:val="0"/>
                          <w:marBottom w:val="0"/>
                          <w:divBdr>
                            <w:top w:val="single" w:sz="2" w:space="8" w:color="auto"/>
                            <w:left w:val="single" w:sz="2" w:space="0" w:color="auto"/>
                            <w:bottom w:val="single" w:sz="2" w:space="8" w:color="auto"/>
                            <w:right w:val="single" w:sz="2" w:space="0" w:color="auto"/>
                          </w:divBdr>
                          <w:divsChild>
                            <w:div w:id="212022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24" Type="http://schemas.microsoft.com/office/2018/08/relationships/commentsExtensible" Target="commentsExtensible.xml"/>
  <Relationship Id="rId25"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agrindine" DocPartId="075b33cfe109474c83232ec9c544b992" PartId="d3b519626ac04b6782838ebe22cf4a4a">
    <Part Type="punktas" Nr="1" Abbr="1 p." DocPartId="97dac9a3fdde4ad6883aea365d5e6619" PartId="0d7b05e460264de4944994cd7693eca8"/>
    <Part Type="punktas" Nr="2" Abbr="2 p." DocPartId="67a41a4ea80a437f9573253a862fe191" PartId="b15d7c151e5e41e9a5953512c4d2a12b"/>
    <Part Type="punktas" Nr="3" Abbr="3 p." DocPartId="aa9bf0c981254145adf9024e2e7bb3bc" PartId="1f2e1fe447744c09873c0b38359aa307"/>
    <Part Type="punktas" Nr="4" Abbr="4 p." DocPartId="1129515621694646974e2ae07dd72a52" PartId="f7fe32f843ab4f29817625e0dc9f4ed1"/>
    <Part Type="punktas" Nr="5" Abbr="5 p." DocPartId="e1c4136fb8524087b0300904fae68941" PartId="b53aef7a6a114d0388ba18ff92266ee2"/>
    <Part Type="punktas" Nr="6" Abbr="6 p." DocPartId="7d8369fb807e4d44bc1862073a207b19" PartId="63b7d37d2a9c4637b4ab7e02d752a258"/>
    <Part Type="punktas" Nr="7" Abbr="7 p." DocPartId="07efc08f52d946d194d12ebbaa09ec37" PartId="eb237a3618be49c0bbddf032fb79270b"/>
    <Part Type="punktas" Nr="8" Abbr="8 p." DocPartId="281b6ef11a2147b69e200f0defb5ce76" PartId="5e4eca63a70e426784928c87abddaf5a"/>
    <Part Type="punktas" Nr="9" Abbr="9 p." DocPartId="b9dc57585dd54b4fac3b58449b0be33a" PartId="88cc48b9e5814e3abc784808ca023676"/>
    <Part Type="punktas" Nr="10" Abbr="10 p." DocPartId="9e3b99fd62b7452792efb652eb1263c6" PartId="e7918048abde47ed9093a062e492e4bf"/>
    <Part Type="punktas" Nr="11" Abbr="11 p." DocPartId="f82fb5580b2d43db91197cbb02b9880f" PartId="28d4e903a8fa454e94a82cfad4540402"/>
    <Part Type="skirsnis" Title="ADRESATŲ SĄRAŠAS" DocPartId="75bfcf4b7ceb44b08cfc1fc16f24cb52" PartId="aeb311646434412ca978ad3f675d7db7"/>
    <Part Type="signatura" DocPartId="4564a44596494452801d46daaa112711" PartId="5a72cbbabe5b40cc9fd6ca5153e41324"/>
  </Part>
</Parts>
</file>

<file path=customXml/itemProps1.xml><?xml version="1.0" encoding="utf-8"?>
<ds:datastoreItem xmlns:ds="http://schemas.openxmlformats.org/officeDocument/2006/customXml" ds:itemID="{8A0B5E9F-515C-4B45-BFF4-6240654F984C}">
  <ds:schemaRefs>
    <ds:schemaRef ds:uri="http://schemas.microsoft.com/sharepoint/v3/contenttype/forms"/>
  </ds:schemaRefs>
</ds:datastoreItem>
</file>

<file path=customXml/itemProps2.xml><?xml version="1.0" encoding="utf-8"?>
<ds:datastoreItem xmlns:ds="http://schemas.openxmlformats.org/officeDocument/2006/customXml" ds:itemID="{48801391-6A39-4E00-AD47-7D30F4BA54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03191F-41F5-4D43-8112-92B736E55E13}">
  <ds:schemaRefs>
    <ds:schemaRef ds:uri="http://schemas.microsoft.com/office/infopath/2007/PartnerControls"/>
    <ds:schemaRef ds:uri="http://schemas.microsoft.com/office/2006/metadata/properties"/>
    <ds:schemaRef ds:uri="http://schemas.microsoft.com/office/2006/documentManagement/types"/>
    <ds:schemaRef ds:uri="http://purl.org/dc/elements/1.1/"/>
    <ds:schemaRef ds:uri="19cf09c5-daa1-4028-a0ff-74a0be4ec5cc"/>
    <ds:schemaRef ds:uri="http://purl.org/dc/terms/"/>
    <ds:schemaRef ds:uri="http://schemas.openxmlformats.org/package/2006/metadata/core-properties"/>
    <ds:schemaRef ds:uri="http://purl.org/dc/dcmitype/"/>
    <ds:schemaRef ds:uri="f5aad5d0-9c26-490e-8743-a6c7ceabd501"/>
    <ds:schemaRef ds:uri="http://schemas.microsoft.com/sharepoint/v3"/>
    <ds:schemaRef ds:uri="http://www.w3.org/XML/1998/namespace"/>
  </ds:schemaRefs>
</ds:datastoreItem>
</file>

<file path=customXml/itemProps4.xml><?xml version="1.0" encoding="utf-8"?>
<ds:datastoreItem xmlns:ds="http://schemas.openxmlformats.org/officeDocument/2006/customXml" ds:itemID="{E9C68790-7BE8-4D1B-AFAE-12BBDBB845D2}">
  <ds:schemaRefs>
    <ds:schemaRef ds:uri="http://schemas.openxmlformats.org/officeDocument/2006/bibliography"/>
  </ds:schemaRefs>
</ds:datastoreItem>
</file>

<file path=customXml/itemProps5.xml><?xml version="1.0" encoding="utf-8"?>
<ds:datastoreItem xmlns:ds="http://schemas.openxmlformats.org/officeDocument/2006/customXml" ds:itemID="{EC9CCD02-D63E-4758-B76C-85544003A0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2249</Words>
  <Characters>16717</Characters>
  <Application>Microsoft Office Word</Application>
  <DocSecurity>4</DocSecurity>
  <Lines>371</Lines>
  <Paragraphs>120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18846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terms:modified xsi:type="dcterms:W3CDTF">2022-03-24T16:20:00Z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