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502" w:rsidRPr="004508DC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4508DC">
        <w:rPr>
          <w:rFonts w:ascii="Times New Roman" w:eastAsia="Times New Roman" w:hAnsi="Times New Roman"/>
          <w:b/>
          <w:iCs/>
          <w:sz w:val="24"/>
          <w:szCs w:val="24"/>
        </w:rPr>
        <w:t xml:space="preserve">RASEINIŲ RAJONO SAVIVALDYBĖS ADMINISTRACIJOS </w:t>
      </w:r>
    </w:p>
    <w:p w:rsidR="00E50502" w:rsidRPr="004508DC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4508DC">
        <w:rPr>
          <w:rFonts w:ascii="Times New Roman" w:eastAsia="Times New Roman" w:hAnsi="Times New Roman"/>
          <w:b/>
          <w:iCs/>
          <w:sz w:val="24"/>
          <w:szCs w:val="24"/>
        </w:rPr>
        <w:t>ŠVIETIMO</w:t>
      </w:r>
      <w:r w:rsidR="00940072" w:rsidRPr="004508DC">
        <w:rPr>
          <w:rFonts w:ascii="Times New Roman" w:eastAsia="Times New Roman" w:hAnsi="Times New Roman"/>
          <w:b/>
          <w:iCs/>
          <w:sz w:val="24"/>
          <w:szCs w:val="24"/>
        </w:rPr>
        <w:t xml:space="preserve"> IR SPORTO</w:t>
      </w:r>
      <w:r w:rsidRPr="004508DC">
        <w:rPr>
          <w:rFonts w:ascii="Times New Roman" w:eastAsia="Times New Roman" w:hAnsi="Times New Roman"/>
          <w:b/>
          <w:iCs/>
          <w:sz w:val="24"/>
          <w:szCs w:val="24"/>
        </w:rPr>
        <w:t xml:space="preserve"> SKYRIUS</w:t>
      </w:r>
    </w:p>
    <w:p w:rsidR="00E50502" w:rsidRPr="004508DC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B331EC" w:rsidRDefault="00A01BE7" w:rsidP="00B55331">
      <w:pPr>
        <w:pStyle w:val="Antrats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B331E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</w:t>
      </w:r>
      <w:r w:rsidR="00370F35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TARYBOS SPRENDIMO „DĖL </w:t>
      </w:r>
      <w:r w:rsidR="00C37705" w:rsidRPr="00C37705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RASEINIŲ R. </w:t>
      </w:r>
      <w:r w:rsidR="00325E6A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VIDUKLĖS SIMONO STANEVIČIAUS </w:t>
      </w:r>
      <w:r w:rsidR="00C37705" w:rsidRPr="00C37705">
        <w:rPr>
          <w:rFonts w:ascii="Times New Roman" w:eastAsia="Times New Roman" w:hAnsi="Times New Roman"/>
          <w:b/>
          <w:noProof/>
          <w:sz w:val="24"/>
          <w:szCs w:val="24"/>
        </w:rPr>
        <w:t>GIMNAZIJOS</w:t>
      </w:r>
      <w:r w:rsidR="00C37705" w:rsidRPr="00C37705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nuostatų patvirtinimo</w:t>
      </w:r>
      <w:r w:rsidR="00370F35">
        <w:rPr>
          <w:rFonts w:ascii="Times New Roman" w:eastAsia="Times New Roman" w:hAnsi="Times New Roman"/>
          <w:b/>
          <w:bCs/>
          <w:caps/>
          <w:sz w:val="24"/>
          <w:szCs w:val="24"/>
        </w:rPr>
        <w:t>“</w:t>
      </w:r>
      <w:r w:rsidR="00B55331" w:rsidRPr="00B331E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331E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B55331" w:rsidRPr="00CE5820" w:rsidRDefault="00B55331" w:rsidP="00B55331">
      <w:pPr>
        <w:pStyle w:val="Antrats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C3770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325E6A">
        <w:rPr>
          <w:rFonts w:ascii="Times New Roman" w:eastAsia="Times New Roman" w:hAnsi="Times New Roman"/>
          <w:sz w:val="24"/>
          <w:szCs w:val="24"/>
          <w:lang w:eastAsia="lt-LT"/>
        </w:rPr>
        <w:t>rugpjūčio</w:t>
      </w:r>
      <w:r w:rsidR="00654A6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25E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5050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FE05B4" w:rsidRPr="000518E5" w:rsidRDefault="00FE05B4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3F3D2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3F3D22">
        <w:tc>
          <w:tcPr>
            <w:tcW w:w="9740" w:type="dxa"/>
          </w:tcPr>
          <w:p w:rsidR="00FC0BB6" w:rsidRPr="00537337" w:rsidRDefault="00E70553" w:rsidP="005373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0BB6" w:rsidRPr="00537337">
              <w:rPr>
                <w:rFonts w:ascii="Times New Roman" w:hAnsi="Times New Roman"/>
                <w:sz w:val="24"/>
                <w:szCs w:val="24"/>
              </w:rPr>
              <w:t>Projekto tiksla</w:t>
            </w:r>
            <w:r w:rsidRPr="00537337">
              <w:rPr>
                <w:rFonts w:ascii="Times New Roman" w:hAnsi="Times New Roman"/>
                <w:sz w:val="24"/>
                <w:szCs w:val="24"/>
              </w:rPr>
              <w:t xml:space="preserve">s - patvirtinti </w:t>
            </w:r>
            <w:r w:rsidRPr="00537337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Raseinių r. </w:t>
            </w:r>
            <w:r w:rsidR="00325E6A">
              <w:rPr>
                <w:rFonts w:ascii="Times New Roman" w:eastAsia="Times New Roman" w:hAnsi="Times New Roman"/>
                <w:noProof/>
                <w:sz w:val="24"/>
                <w:szCs w:val="24"/>
              </w:rPr>
              <w:t>Viduklės Simono Stanevičiaus</w:t>
            </w:r>
            <w:r w:rsidRPr="00537337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gimnazijos</w:t>
            </w:r>
            <w:r w:rsidRPr="00537337">
              <w:rPr>
                <w:rFonts w:ascii="Times New Roman" w:eastAsia="Times New Roman" w:hAnsi="Times New Roman"/>
                <w:sz w:val="24"/>
                <w:szCs w:val="24"/>
              </w:rPr>
              <w:t xml:space="preserve"> nuostatus </w:t>
            </w:r>
            <w:r w:rsidRPr="00537337">
              <w:rPr>
                <w:rFonts w:ascii="Times New Roman" w:hAnsi="Times New Roman"/>
                <w:sz w:val="24"/>
                <w:szCs w:val="24"/>
              </w:rPr>
              <w:t>(pridedama).</w:t>
            </w:r>
          </w:p>
          <w:p w:rsidR="00DA064C" w:rsidRPr="00537337" w:rsidRDefault="00E70553" w:rsidP="00FE05B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5373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F74DD" w:rsidRPr="00537337">
              <w:rPr>
                <w:rFonts w:ascii="Times New Roman" w:eastAsia="Times New Roman" w:hAnsi="Times New Roman"/>
                <w:sz w:val="24"/>
                <w:szCs w:val="24"/>
              </w:rPr>
              <w:t>Atsižvelgiant į atnaujintų teisės aktų reikalavimus patikslinti, papildyti kai kurie punktai ir jų formuluotės:</w:t>
            </w:r>
            <w:r w:rsidR="009F74DD" w:rsidRPr="0053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37" w:rsidRPr="00537337">
              <w:rPr>
                <w:rFonts w:ascii="Times New Roman" w:hAnsi="Times New Roman"/>
                <w:sz w:val="24"/>
                <w:szCs w:val="24"/>
              </w:rPr>
              <w:t>įtraukiama galimybė pavienio mokymosi formai taikyti ugd</w:t>
            </w:r>
            <w:r w:rsidR="002A09EB">
              <w:rPr>
                <w:rFonts w:ascii="Times New Roman" w:hAnsi="Times New Roman"/>
                <w:sz w:val="24"/>
                <w:szCs w:val="24"/>
              </w:rPr>
              <w:t>ymosi šeimoje organizavimo būdą</w:t>
            </w:r>
            <w:r w:rsidR="00FE05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74CE">
              <w:rPr>
                <w:rFonts w:ascii="Times New Roman" w:hAnsi="Times New Roman"/>
                <w:sz w:val="24"/>
                <w:szCs w:val="24"/>
              </w:rPr>
              <w:t>g</w:t>
            </w:r>
            <w:r w:rsidR="001574CE" w:rsidRPr="001574CE">
              <w:rPr>
                <w:rFonts w:ascii="Times New Roman" w:hAnsi="Times New Roman"/>
                <w:sz w:val="24"/>
                <w:szCs w:val="24"/>
              </w:rPr>
              <w:t>rupinio mokymosi form</w:t>
            </w:r>
            <w:r w:rsidR="001574CE">
              <w:rPr>
                <w:rFonts w:ascii="Times New Roman" w:hAnsi="Times New Roman"/>
                <w:sz w:val="24"/>
                <w:szCs w:val="24"/>
              </w:rPr>
              <w:t xml:space="preserve">ą įgyvendinti </w:t>
            </w:r>
            <w:r w:rsidR="001574CE" w:rsidRPr="001574CE">
              <w:rPr>
                <w:rFonts w:ascii="Times New Roman" w:hAnsi="Times New Roman"/>
                <w:sz w:val="24"/>
                <w:szCs w:val="24"/>
              </w:rPr>
              <w:t>nuotoliniu</w:t>
            </w:r>
            <w:r w:rsidR="001574CE" w:rsidRPr="001574C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1574CE" w:rsidRPr="001574CE">
              <w:rPr>
                <w:rFonts w:ascii="Times New Roman" w:hAnsi="Times New Roman"/>
                <w:sz w:val="24"/>
                <w:szCs w:val="24"/>
              </w:rPr>
              <w:t>ugdymo proceso organizavimo būdu</w:t>
            </w:r>
            <w:r w:rsidR="001574CE">
              <w:rPr>
                <w:rFonts w:ascii="Times New Roman" w:hAnsi="Times New Roman"/>
                <w:sz w:val="24"/>
                <w:szCs w:val="24"/>
              </w:rPr>
              <w:t>,</w:t>
            </w:r>
            <w:r w:rsidR="001574CE" w:rsidRPr="00157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B4">
              <w:rPr>
                <w:rFonts w:ascii="Times New Roman" w:hAnsi="Times New Roman"/>
                <w:sz w:val="24"/>
                <w:szCs w:val="24"/>
              </w:rPr>
              <w:t xml:space="preserve">pakeitus </w:t>
            </w:r>
            <w:r w:rsidR="00370F35">
              <w:rPr>
                <w:rFonts w:ascii="Times New Roman" w:hAnsi="Times New Roman"/>
                <w:sz w:val="24"/>
                <w:szCs w:val="24"/>
              </w:rPr>
              <w:t>LR V</w:t>
            </w:r>
            <w:r w:rsidR="00AC6FC0">
              <w:rPr>
                <w:rFonts w:ascii="Times New Roman" w:hAnsi="Times New Roman"/>
                <w:sz w:val="24"/>
                <w:szCs w:val="24"/>
              </w:rPr>
              <w:t>ietos savivaldos</w:t>
            </w:r>
            <w:r w:rsidR="00370F35">
              <w:rPr>
                <w:rFonts w:ascii="Times New Roman" w:hAnsi="Times New Roman"/>
                <w:sz w:val="24"/>
                <w:szCs w:val="24"/>
              </w:rPr>
              <w:t xml:space="preserve"> bei LR švietimo</w:t>
            </w:r>
            <w:r w:rsidR="00AC6FC0">
              <w:rPr>
                <w:rFonts w:ascii="Times New Roman" w:hAnsi="Times New Roman"/>
                <w:sz w:val="24"/>
                <w:szCs w:val="24"/>
              </w:rPr>
              <w:t xml:space="preserve"> įstatym</w:t>
            </w:r>
            <w:r w:rsidR="00370F35">
              <w:rPr>
                <w:rFonts w:ascii="Times New Roman" w:hAnsi="Times New Roman"/>
                <w:sz w:val="24"/>
                <w:szCs w:val="24"/>
              </w:rPr>
              <w:t>us</w:t>
            </w:r>
            <w:r w:rsidR="00AC6FC0">
              <w:rPr>
                <w:rFonts w:ascii="Times New Roman" w:hAnsi="Times New Roman"/>
                <w:sz w:val="24"/>
                <w:szCs w:val="24"/>
              </w:rPr>
              <w:t>, keičiam</w:t>
            </w:r>
            <w:r w:rsidR="00370F35">
              <w:rPr>
                <w:rFonts w:ascii="Times New Roman" w:hAnsi="Times New Roman"/>
                <w:sz w:val="24"/>
                <w:szCs w:val="24"/>
              </w:rPr>
              <w:t>os</w:t>
            </w:r>
            <w:r w:rsidR="00AC6FC0">
              <w:rPr>
                <w:rFonts w:ascii="Times New Roman" w:hAnsi="Times New Roman"/>
                <w:sz w:val="24"/>
                <w:szCs w:val="24"/>
              </w:rPr>
              <w:t xml:space="preserve"> nuostat</w:t>
            </w:r>
            <w:r w:rsidR="00325E6A"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="00AC6FC0">
              <w:rPr>
                <w:rFonts w:ascii="Times New Roman" w:hAnsi="Times New Roman"/>
                <w:sz w:val="24"/>
                <w:szCs w:val="24"/>
              </w:rPr>
              <w:t>dėl direktoriaus skyrimo į pareigas ir jo atleidimo</w:t>
            </w:r>
            <w:r w:rsidR="002A09EB">
              <w:rPr>
                <w:rFonts w:ascii="Times New Roman" w:hAnsi="Times New Roman"/>
                <w:sz w:val="24"/>
                <w:szCs w:val="24"/>
              </w:rPr>
              <w:t xml:space="preserve"> ir kt.</w:t>
            </w:r>
          </w:p>
        </w:tc>
      </w:tr>
      <w:tr w:rsidR="00A01BE7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3F3D2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3A5D08" w:rsidRDefault="00FE05B4" w:rsidP="00FE0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</w:t>
            </w:r>
            <w:r w:rsidR="00537337" w:rsidRPr="005373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7337">
              <w:rPr>
                <w:rFonts w:ascii="Times New Roman" w:hAnsi="Times New Roman"/>
                <w:sz w:val="24"/>
                <w:szCs w:val="24"/>
              </w:rPr>
              <w:t>Patvirtinus šį tarybos sprendimo projektą</w:t>
            </w:r>
            <w:r w:rsidR="00325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bus laikomasi naujausių teisės aktų</w:t>
            </w:r>
            <w:r w:rsidR="00BB0009">
              <w:rPr>
                <w:rFonts w:ascii="Times New Roman" w:hAnsi="Times New Roman"/>
                <w:sz w:val="24"/>
                <w:szCs w:val="24"/>
              </w:rPr>
              <w:t xml:space="preserve"> reikalavimų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96638" w:rsidRPr="00461700" w:rsidTr="004508DC">
        <w:trPr>
          <w:trHeight w:val="287"/>
        </w:trPr>
        <w:tc>
          <w:tcPr>
            <w:tcW w:w="9740" w:type="dxa"/>
          </w:tcPr>
          <w:p w:rsidR="004508DC" w:rsidRPr="000518E5" w:rsidRDefault="004508DC" w:rsidP="004508DC">
            <w:pPr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</w:t>
            </w:r>
            <w:r w:rsidR="00A9663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Neigiamų pasekmių nėra.</w:t>
            </w:r>
            <w:r w:rsidR="00FE05B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A96638" w:rsidRDefault="00A96638" w:rsidP="00A96638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38">
              <w:rPr>
                <w:rFonts w:ascii="Times New Roman" w:hAnsi="Times New Roman"/>
                <w:sz w:val="24"/>
                <w:szCs w:val="24"/>
              </w:rPr>
              <w:t>Projektas antikorupcijos komisijos svarstymui neteiktinas.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AA18AC" w:rsidRDefault="00FE05B4" w:rsidP="002A09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A18AC" w:rsidRPr="00AA18AC">
              <w:rPr>
                <w:rFonts w:ascii="Times New Roman" w:hAnsi="Times New Roman"/>
                <w:sz w:val="24"/>
                <w:szCs w:val="24"/>
              </w:rPr>
              <w:t>Sprendimo projektas suderintas su rajono Savivaldybės administracijos direktori</w:t>
            </w:r>
            <w:r w:rsidR="00C41EAB">
              <w:rPr>
                <w:rFonts w:ascii="Times New Roman" w:hAnsi="Times New Roman"/>
                <w:sz w:val="24"/>
                <w:szCs w:val="24"/>
              </w:rPr>
              <w:t>aus pavaduotoja, pavaduojančia administracijos direktorių</w:t>
            </w:r>
            <w:r w:rsidR="00AA18AC" w:rsidRPr="00AA18AC">
              <w:rPr>
                <w:rFonts w:ascii="Times New Roman" w:hAnsi="Times New Roman"/>
                <w:sz w:val="24"/>
                <w:szCs w:val="24"/>
              </w:rPr>
              <w:t xml:space="preserve">, Teisės, personalo ir </w:t>
            </w:r>
            <w:r w:rsidR="00783FC6">
              <w:rPr>
                <w:rFonts w:ascii="Times New Roman" w:hAnsi="Times New Roman"/>
                <w:sz w:val="24"/>
                <w:szCs w:val="24"/>
              </w:rPr>
              <w:t xml:space="preserve">civilinės metrikacijos skyriaus </w:t>
            </w:r>
            <w:r w:rsidR="00783FC6">
              <w:rPr>
                <w:rFonts w:ascii="Times New Roman" w:hAnsi="Times New Roman"/>
                <w:color w:val="000000"/>
                <w:sz w:val="24"/>
                <w:szCs w:val="24"/>
              </w:rPr>
              <w:t>vyriausiuoju specialistu</w:t>
            </w:r>
            <w:r w:rsidR="00C4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A18AC" w:rsidRPr="00AA18AC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96638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A96638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96638" w:rsidRPr="008549A8" w:rsidRDefault="00CA7D94" w:rsidP="00A96638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Parengtas sprendimo projektas neprieštarauja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norminio pobūdžio teisės aktams.</w:t>
            </w:r>
          </w:p>
        </w:tc>
      </w:tr>
      <w:tr w:rsidR="00A96638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0518E5" w:rsidRDefault="00CA7D94" w:rsidP="00370F35">
            <w:pPr>
              <w:spacing w:after="24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44898">
              <w:rPr>
                <w:rFonts w:ascii="Times New Roman" w:hAnsi="Times New Roman"/>
                <w:sz w:val="24"/>
                <w:szCs w:val="24"/>
              </w:rPr>
              <w:t xml:space="preserve">Raseinių rajono </w:t>
            </w:r>
            <w:r w:rsidRPr="00432F0D">
              <w:rPr>
                <w:rFonts w:ascii="Times New Roman" w:hAnsi="Times New Roman"/>
                <w:sz w:val="24"/>
                <w:szCs w:val="24"/>
              </w:rPr>
              <w:t xml:space="preserve">savivaldybės administracijos Švietimo ir sporto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skyriaus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C41EAB">
              <w:rPr>
                <w:rFonts w:ascii="Times New Roman" w:hAnsi="Times New Roman"/>
                <w:sz w:val="24"/>
                <w:szCs w:val="24"/>
              </w:rPr>
              <w:t>edėja Modesta Lukoševičienė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C8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40072" w:rsidRPr="00C3770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Raseinių r. </w:t>
            </w:r>
            <w:r w:rsidR="00C41EAB">
              <w:rPr>
                <w:rFonts w:ascii="Times New Roman" w:eastAsia="Times New Roman" w:hAnsi="Times New Roman"/>
                <w:noProof/>
                <w:sz w:val="24"/>
                <w:szCs w:val="24"/>
              </w:rPr>
              <w:t>Viduklės Simono Stanevičiaus</w:t>
            </w:r>
            <w:r w:rsidR="00173A3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40072" w:rsidRPr="00C37705">
              <w:rPr>
                <w:rFonts w:ascii="Times New Roman" w:eastAsia="Times New Roman" w:hAnsi="Times New Roman"/>
                <w:noProof/>
                <w:sz w:val="24"/>
                <w:szCs w:val="24"/>
              </w:rPr>
              <w:t>gimnazijos</w:t>
            </w:r>
            <w:r w:rsidR="00940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8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direktor</w:t>
            </w:r>
            <w:r w:rsidR="00C41EA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 Danutė Janukienė</w:t>
            </w:r>
            <w:r w:rsidR="00DE40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2C3668" w:rsidRDefault="00940072" w:rsidP="00A01BE7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Skyriaus vedėja</w:t>
      </w:r>
      <w:r w:rsidR="00CF5E4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CF5E45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A01BE7" w:rsidRPr="00AA18AC">
        <w:rPr>
          <w:rFonts w:ascii="Times New Roman" w:eastAsia="Times New Roman" w:hAnsi="Times New Roman"/>
          <w:sz w:val="20"/>
          <w:szCs w:val="20"/>
        </w:rPr>
        <w:t>(parašas)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CF5E45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Modesta Lukoševičienė</w:t>
      </w:r>
    </w:p>
    <w:sectPr w:rsidR="002C3668" w:rsidSect="00AA18AC">
      <w:headerReference w:type="default" r:id="rId7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C6F" w:rsidRDefault="00785C6F" w:rsidP="00AA18AC">
      <w:pPr>
        <w:spacing w:after="0" w:line="240" w:lineRule="auto"/>
      </w:pPr>
      <w:r>
        <w:separator/>
      </w:r>
    </w:p>
  </w:endnote>
  <w:endnote w:type="continuationSeparator" w:id="0">
    <w:p w:rsidR="00785C6F" w:rsidRDefault="00785C6F" w:rsidP="00A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C6F" w:rsidRDefault="00785C6F" w:rsidP="00AA18AC">
      <w:pPr>
        <w:spacing w:after="0" w:line="240" w:lineRule="auto"/>
      </w:pPr>
      <w:r>
        <w:separator/>
      </w:r>
    </w:p>
  </w:footnote>
  <w:footnote w:type="continuationSeparator" w:id="0">
    <w:p w:rsidR="00785C6F" w:rsidRDefault="00785C6F" w:rsidP="00AA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310326"/>
      <w:docPartObj>
        <w:docPartGallery w:val="Page Numbers (Top of Page)"/>
        <w:docPartUnique/>
      </w:docPartObj>
    </w:sdtPr>
    <w:sdtEndPr/>
    <w:sdtContent>
      <w:p w:rsidR="00AA18AC" w:rsidRDefault="00FB396C">
        <w:pPr>
          <w:pStyle w:val="Antrats"/>
          <w:jc w:val="center"/>
        </w:pPr>
        <w:r>
          <w:fldChar w:fldCharType="begin"/>
        </w:r>
        <w:r w:rsidR="00AA18AC">
          <w:instrText>PAGE   \* MERGEFORMAT</w:instrText>
        </w:r>
        <w:r>
          <w:fldChar w:fldCharType="separate"/>
        </w:r>
        <w:r w:rsidR="00FE05B4">
          <w:rPr>
            <w:noProof/>
          </w:rPr>
          <w:t>2</w:t>
        </w:r>
        <w:r>
          <w:fldChar w:fldCharType="end"/>
        </w:r>
      </w:p>
    </w:sdtContent>
  </w:sdt>
  <w:p w:rsidR="00AA18AC" w:rsidRDefault="00AA18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52DA"/>
    <w:multiLevelType w:val="multilevel"/>
    <w:tmpl w:val="31F62BB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 w15:restartNumberingAfterBreak="0">
    <w:nsid w:val="78DE204E"/>
    <w:multiLevelType w:val="hybridMultilevel"/>
    <w:tmpl w:val="0EBC85AE"/>
    <w:lvl w:ilvl="0" w:tplc="0FD6D4F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521A5"/>
    <w:rsid w:val="00060ADE"/>
    <w:rsid w:val="000F4418"/>
    <w:rsid w:val="00105BFE"/>
    <w:rsid w:val="001574CE"/>
    <w:rsid w:val="00173A3D"/>
    <w:rsid w:val="00177072"/>
    <w:rsid w:val="001E5F93"/>
    <w:rsid w:val="001F0F8F"/>
    <w:rsid w:val="00202E5B"/>
    <w:rsid w:val="00207023"/>
    <w:rsid w:val="002A09EB"/>
    <w:rsid w:val="002C3668"/>
    <w:rsid w:val="002E5FF7"/>
    <w:rsid w:val="00305A92"/>
    <w:rsid w:val="00325E6A"/>
    <w:rsid w:val="00365440"/>
    <w:rsid w:val="00370F35"/>
    <w:rsid w:val="0039101C"/>
    <w:rsid w:val="003A5D08"/>
    <w:rsid w:val="003F3D22"/>
    <w:rsid w:val="00404946"/>
    <w:rsid w:val="00420D7F"/>
    <w:rsid w:val="00447902"/>
    <w:rsid w:val="004508DC"/>
    <w:rsid w:val="00473D5E"/>
    <w:rsid w:val="004F013F"/>
    <w:rsid w:val="0050222A"/>
    <w:rsid w:val="005154C8"/>
    <w:rsid w:val="00537337"/>
    <w:rsid w:val="0058059A"/>
    <w:rsid w:val="005A7375"/>
    <w:rsid w:val="005F6CF8"/>
    <w:rsid w:val="00654A6F"/>
    <w:rsid w:val="00666A7D"/>
    <w:rsid w:val="006734D9"/>
    <w:rsid w:val="006861DB"/>
    <w:rsid w:val="006E361B"/>
    <w:rsid w:val="0073499A"/>
    <w:rsid w:val="0075255A"/>
    <w:rsid w:val="00773513"/>
    <w:rsid w:val="007754B8"/>
    <w:rsid w:val="00776E0E"/>
    <w:rsid w:val="00783FC6"/>
    <w:rsid w:val="00785C6F"/>
    <w:rsid w:val="007A535D"/>
    <w:rsid w:val="007D6BF1"/>
    <w:rsid w:val="007E156B"/>
    <w:rsid w:val="0089431A"/>
    <w:rsid w:val="008F1B40"/>
    <w:rsid w:val="00901FA3"/>
    <w:rsid w:val="0090728C"/>
    <w:rsid w:val="00940072"/>
    <w:rsid w:val="0097529C"/>
    <w:rsid w:val="009E036F"/>
    <w:rsid w:val="009E30D4"/>
    <w:rsid w:val="009E65E7"/>
    <w:rsid w:val="009F74DD"/>
    <w:rsid w:val="00A01BE7"/>
    <w:rsid w:val="00A3625E"/>
    <w:rsid w:val="00A4242E"/>
    <w:rsid w:val="00A455F1"/>
    <w:rsid w:val="00A51F26"/>
    <w:rsid w:val="00A876E5"/>
    <w:rsid w:val="00A96638"/>
    <w:rsid w:val="00AA18AC"/>
    <w:rsid w:val="00AC6FC0"/>
    <w:rsid w:val="00B24F94"/>
    <w:rsid w:val="00B331EC"/>
    <w:rsid w:val="00B44FB7"/>
    <w:rsid w:val="00B55331"/>
    <w:rsid w:val="00B6088A"/>
    <w:rsid w:val="00B66B35"/>
    <w:rsid w:val="00B676F9"/>
    <w:rsid w:val="00B87C64"/>
    <w:rsid w:val="00BA62E1"/>
    <w:rsid w:val="00BB0009"/>
    <w:rsid w:val="00C37705"/>
    <w:rsid w:val="00C41EAB"/>
    <w:rsid w:val="00C50BFA"/>
    <w:rsid w:val="00C87036"/>
    <w:rsid w:val="00CA7D94"/>
    <w:rsid w:val="00CD7F88"/>
    <w:rsid w:val="00CE5820"/>
    <w:rsid w:val="00CF5E45"/>
    <w:rsid w:val="00D170C3"/>
    <w:rsid w:val="00D86216"/>
    <w:rsid w:val="00DA064C"/>
    <w:rsid w:val="00DB7584"/>
    <w:rsid w:val="00DE4040"/>
    <w:rsid w:val="00E17F17"/>
    <w:rsid w:val="00E50502"/>
    <w:rsid w:val="00E70553"/>
    <w:rsid w:val="00E828F0"/>
    <w:rsid w:val="00EF5690"/>
    <w:rsid w:val="00F37C47"/>
    <w:rsid w:val="00F62113"/>
    <w:rsid w:val="00F64E1C"/>
    <w:rsid w:val="00F97526"/>
    <w:rsid w:val="00FB396C"/>
    <w:rsid w:val="00FC0BB6"/>
    <w:rsid w:val="00FE05B4"/>
    <w:rsid w:val="00FE5FAD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D99"/>
  <w15:docId w15:val="{82182FE3-B7B3-4118-9E0A-30E2158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styleId="Grietas">
    <w:name w:val="Strong"/>
    <w:qFormat/>
    <w:rsid w:val="00AA18AC"/>
    <w:rPr>
      <w:rFonts w:cs="Times New Roman"/>
      <w:b/>
      <w:bCs/>
    </w:rPr>
  </w:style>
  <w:style w:type="paragraph" w:styleId="Antrats">
    <w:name w:val="header"/>
    <w:basedOn w:val="prastasis"/>
    <w:link w:val="AntratsDiagrama"/>
    <w:unhideWhenUsed/>
    <w:rsid w:val="00AA1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8AC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A1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8AC"/>
    <w:rPr>
      <w:rFonts w:ascii="Calibri" w:eastAsia="Calibri" w:hAnsi="Calibri" w:cs="Times New Roman"/>
      <w:sz w:val="22"/>
    </w:rPr>
  </w:style>
  <w:style w:type="table" w:styleId="Lentelstinklelis">
    <w:name w:val="Table Grid"/>
    <w:basedOn w:val="prastojilentel"/>
    <w:uiPriority w:val="5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F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Modesta Lukoševičienė</cp:lastModifiedBy>
  <cp:revision>5</cp:revision>
  <cp:lastPrinted>2020-05-11T07:18:00Z</cp:lastPrinted>
  <dcterms:created xsi:type="dcterms:W3CDTF">2020-07-31T12:40:00Z</dcterms:created>
  <dcterms:modified xsi:type="dcterms:W3CDTF">2020-08-03T10:21:00Z</dcterms:modified>
</cp:coreProperties>
</file>