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5d9ce1b095784586a6d73df67ca04735"/>
        <w:lock w:val="sdtLocked"/>
        <w:richText/>
      </w:sdtPr>
      <w:sdtContent>
        <w:p w14:paraId="4496923E" w14:textId="77777777">
          <w:pPr>
            <w:suppressAutoHyphens/>
            <w:spacing w:line="276" w:lineRule="auto"/>
            <w:ind w:left="9072"/>
            <w:textAlignment w:val="baseline"/>
          </w:pPr>
          <w:r>
            <w:rPr>
              <w:szCs w:val="24"/>
              <w:lang w:eastAsia="lt-LT"/>
            </w:rPr>
            <w:t>Teisės aktų projektų antikorupcinio vertinimo taisyklių</w:t>
          </w:r>
        </w:p>
        <w:p w14:paraId="5F753C99" w14:textId="77777777">
          <w:pPr>
            <w:suppressAutoHyphens/>
            <w:spacing w:line="276" w:lineRule="auto"/>
            <w:ind w:left="9072"/>
            <w:textAlignment w:val="baseline"/>
            <w:rPr>
              <w:color w:val="000000"/>
              <w:szCs w:val="24"/>
              <w:lang w:eastAsia="ar-SA"/>
            </w:rPr>
          </w:pPr>
          <w:r>
            <w:rPr>
              <w:color w:val="000000"/>
              <w:szCs w:val="24"/>
              <w:lang w:eastAsia="ar-SA"/>
            </w:rPr>
            <w:t>priedas</w:t>
          </w:r>
        </w:p>
        <w:p w14:paraId="2FA29EE3" w14:textId="77777777">
          <w:pPr>
            <w:suppressAutoHyphens/>
            <w:spacing w:line="276" w:lineRule="auto"/>
            <w:jc w:val="center"/>
            <w:textAlignment w:val="baseline"/>
            <w:rPr>
              <w:b/>
              <w:szCs w:val="24"/>
              <w:lang w:eastAsia="lt-LT"/>
            </w:rPr>
          </w:pPr>
        </w:p>
        <w:p w14:paraId="0CB6341F" w14:textId="77777777">
          <w:pPr>
            <w:suppressAutoHyphens/>
            <w:spacing w:line="276" w:lineRule="auto"/>
            <w:jc w:val="center"/>
            <w:textAlignment w:val="baseline"/>
            <w:rPr>
              <w:b/>
              <w:szCs w:val="24"/>
              <w:lang w:eastAsia="lt-LT"/>
            </w:rPr>
          </w:pPr>
          <w:sdt>
            <w:sdtPr>
              <w:alias w:val="Pavadinimas"/>
              <w:tag w:val="title_5d9ce1b095784586a6d73df67ca04735"/>
              <w:lock w:val="sdtLocked"/>
              <w:richText/>
            </w:sdtPr>
            <w:sdtContent>
              <w:r>
                <w:rPr>
                  <w:b/>
                  <w:szCs w:val="24"/>
                  <w:lang w:eastAsia="lt-LT"/>
                </w:rPr>
                <w:t>TEISĖS AKTŲ PROJEKTŲ ANTIKORUPCINIO VERTINIMO PAŽYMA</w:t>
              </w:r>
            </w:sdtContent>
          </w:sdt>
        </w:p>
        <w:p w14:paraId="44FA51F1" w14:textId="77777777">
          <w:pPr>
            <w:suppressAutoHyphens/>
            <w:spacing w:line="276" w:lineRule="auto"/>
            <w:textAlignment w:val="baseline"/>
            <w:rPr>
              <w:szCs w:val="24"/>
              <w:lang w:eastAsia="lt-LT"/>
            </w:rPr>
          </w:pPr>
        </w:p>
        <w:p w14:paraId="290B666C" w14:textId="7A21BBE4">
          <w:pPr>
            <w:suppressAutoHyphens/>
            <w:jc w:val="both"/>
            <w:textAlignment w:val="baseline"/>
            <w:rPr>
              <w:szCs w:val="24"/>
              <w:lang w:eastAsia="lt-LT"/>
            </w:rPr>
          </w:pPr>
          <w:r>
            <w:rPr>
              <w:szCs w:val="24"/>
              <w:lang w:eastAsia="lt-LT"/>
            </w:rPr>
            <w:t xml:space="preserve">Teisės akto projekto pavadinimas: </w:t>
          </w:r>
          <w:r>
            <w:t>Lietuvos Respublikos Vyriausybės 2007 m. sausio 29 d. nutarimo Nr. 88 „Dėl Geriamojo vandens tiekimo ir nuotekų tvarkymo infrastruktūros objektų išpirkimo tvarkos aprašo patvirtinimo“ pakeitimo projektas (toliau – teisės akto projektas).</w:t>
          </w:r>
        </w:p>
        <w:p w14:paraId="0C890712" w14:textId="77F549F5">
          <w:pPr>
            <w:jc w:val="both"/>
            <w:rPr>
              <w:lang w:eastAsia="lt-LT"/>
            </w:rPr>
          </w:pPr>
          <w:r>
            <w:rPr>
              <w:lang w:eastAsia="lt-LT"/>
            </w:rPr>
            <w:t xml:space="preserve">Teisės akto projekto tiesioginis rengėjas: </w:t>
          </w:r>
          <w:r>
            <w:t>Aplinkos ministerijos Taršos prevencijos politikos grupės patarėja Judita Vaišnorienė.</w:t>
          </w:r>
          <w:r>
            <w:rPr>
              <w:lang w:eastAsia="lt-LT"/>
            </w:rPr>
            <w:t xml:space="preserve"> </w:t>
          </w:r>
        </w:p>
        <w:p w14:paraId="3FA7BCAD" w14:textId="13C48551">
          <w:pPr>
            <w:jc w:val="both"/>
          </w:pPr>
          <w:r>
            <w:rPr>
              <w:color w:val="000000"/>
            </w:rPr>
            <w:t>Teisės akto projekto antikorupcinis vertinimas atliktas (</w:t>
          </w:r>
          <w:r>
            <w:rPr>
              <w:i/>
              <w:color w:val="000000"/>
            </w:rPr>
            <w:t>pažymėti reikiamą atsakymą</w:t>
          </w:r>
          <w:r>
            <w:rPr>
              <w:color w:val="000000"/>
            </w:rPr>
            <w:t>):</w:t>
          </w:r>
        </w:p>
        <w:p w14:paraId="20FE056D" w14:textId="77777777">
          <w:pPr>
            <w:suppressAutoHyphens/>
            <w:ind w:firstLine="1296"/>
            <w:jc w:val="both"/>
            <w:textAlignment w:val="baseline"/>
            <w:rPr>
              <w:szCs w:val="24"/>
              <w:lang w:eastAsia="lt-LT"/>
            </w:rPr>
          </w:pPr>
          <w:r>
            <w:rPr>
              <w:szCs w:val="24"/>
              <w:lang w:eastAsia="lt-LT"/>
            </w:rPr>
            <w:t xml:space="preserve">X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4C22F280" w14:textId="162BAB6D">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73BDF269" w14:textId="4936ABEA">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p w14:paraId="5909A526" w14:textId="63227C07">
          <w:pPr>
            <w:suppressAutoHyphens/>
            <w:spacing w:line="276" w:lineRule="auto"/>
            <w:jc w:val="both"/>
            <w:textAlignment w:val="baseline"/>
          </w:pPr>
          <w:r>
            <w:t>________________________________________________________________________________________________________________________</w:t>
          </w:r>
        </w:p>
        <w:p w14:paraId="62117825" w14:textId="77777777">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533B1F5F" w14:textId="77777777">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3113"/>
            <w:gridCol w:w="454"/>
          </w:tblGrid>
          <w:tr w14:paraId="738D00E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2F69FD"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C01C6A9" w14:textId="77777777">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B2EFA45"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2443D760"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9AA3B17" w14:textId="77777777">
                <w:pPr>
                  <w:suppressAutoHyphens/>
                  <w:jc w:val="center"/>
                  <w:textAlignment w:val="baseline"/>
                  <w:rPr>
                    <w:szCs w:val="24"/>
                    <w:lang w:eastAsia="lt-LT"/>
                  </w:rPr>
                </w:pPr>
              </w:p>
              <w:p w14:paraId="72A9CA8D"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76CC8452"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FD3CCB"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74120D16"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265B055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69485D"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09B72D"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5C3503" w14:textId="7DA72A79">
                <w:pPr>
                  <w:jc w:val="both"/>
                  <w:rPr>
                    <w:rFonts w:eastAsia="Andale Sans UI" w:cs="Tahoma"/>
                    <w:szCs w:val="24"/>
                    <w:lang w:eastAsia="lt-LT" w:bidi="en-US"/>
                  </w:rPr>
                </w:pPr>
                <w:r>
                  <w:rPr>
                    <w:rFonts w:eastAsia="Andale Sans UI" w:cs="Tahoma"/>
                    <w:szCs w:val="24"/>
                    <w:lang w:eastAsia="lt-LT" w:bidi="en-US"/>
                  </w:rPr>
                  <w:t>Teisės akto projektas nesudaro išskirtinių ar nevienodų sąlygų subjektams, su kuriais susijęs teisės akto įgyvendinimas.</w:t>
                </w:r>
              </w:p>
              <w:p w14:paraId="33263C06" w14:textId="77777777">
                <w:pPr>
                  <w:jc w:val="both"/>
                  <w:rPr>
                    <w:rFonts w:eastAsia="Andale Sans UI" w:cs="Tahoma"/>
                    <w:szCs w:val="24"/>
                    <w:lang w:eastAsia="lt-LT" w:bidi="en-US"/>
                  </w:rPr>
                </w:pPr>
              </w:p>
              <w:p w14:paraId="36B5F992" w14:textId="7C30FDEB">
                <w:pPr>
                  <w:jc w:val="both"/>
                  <w:rPr>
                    <w:rFonts w:eastAsia="Andale Sans UI" w:cs="Tahoma"/>
                    <w:szCs w:val="24"/>
                    <w:lang w:bidi="en-US"/>
                  </w:rPr>
                </w:pPr>
                <w:r>
                  <w:rPr>
                    <w:rFonts w:eastAsia="Andale Sans UI" w:cs="Tahoma"/>
                    <w:szCs w:val="24"/>
                    <w:lang w:eastAsia="lt-LT" w:bidi="en-US"/>
                  </w:rPr>
                  <w:t xml:space="preserve">Teisės akto projekto tikslas </w:t>
                </w:r>
                <w:r>
                  <w:rPr>
                    <w:rFonts w:eastAsia="Andale Sans UI" w:cs="Tahoma"/>
                    <w:szCs w:val="24"/>
                    <w:lang w:bidi="en-US"/>
                  </w:rPr>
                  <w:t xml:space="preserve">– </w:t>
                </w:r>
                <w:r>
                  <w:rPr>
                    <w:rFonts w:eastAsia="Andale Sans UI" w:cs="Tahoma"/>
                    <w:szCs w:val="24"/>
                    <w:lang w:eastAsia="lt-LT" w:bidi="en-US"/>
                  </w:rPr>
                  <w:t xml:space="preserve"> </w:t>
                </w:r>
                <w:r>
                  <w:rPr>
                    <w:rFonts w:eastAsia="Andale Sans UI" w:cs="Tahoma"/>
                    <w:szCs w:val="24"/>
                    <w:lang w:bidi="en-US"/>
                  </w:rPr>
                  <w:t xml:space="preserve">suvienodinti nuostatas su Lietuvos Respublikos geriamojo vandens tiekimo ir nuotekų tvarkymo įstatymo Nr. X-764 pakeitimo įstatymo Nr. XIV-1466 nuostatomis. </w:t>
                </w:r>
              </w:p>
              <w:p w14:paraId="5CB9BD59" w14:textId="77777777">
                <w:pPr>
                  <w:jc w:val="both"/>
                  <w:rPr>
                    <w:rFonts w:eastAsia="Andale Sans UI" w:cs="Tahoma"/>
                    <w:szCs w:val="24"/>
                    <w:lang w:bidi="en-US"/>
                  </w:rPr>
                </w:pPr>
              </w:p>
              <w:p w14:paraId="5CA1D486" w14:textId="5359890A">
                <w:pPr>
                  <w:jc w:val="both"/>
                  <w:rPr>
                    <w:rFonts w:eastAsia="Andale Sans UI" w:cs="Tahoma"/>
                    <w:szCs w:val="24"/>
                    <w:lang w:eastAsia="lt-LT" w:bidi="en-US"/>
                  </w:rPr>
                </w:pPr>
                <w:r>
                  <w:rPr>
                    <w:rFonts w:eastAsia="Andale Sans UI" w:cs="Tahoma"/>
                    <w:szCs w:val="24"/>
                    <w:lang w:eastAsia="lt-LT" w:bidi="en-US"/>
                  </w:rPr>
                  <w:t xml:space="preserve">Teisės akto projektas reglamentuoja asmenims nuosavybės teise priklausančių geriamojo vandens tiekimo ir (arba) nuotekų tvarkymo infrastruktūros, paviršinių nuotekų tvarkymo infrastruktūros objektų  perėmimą, išpirkimą ir perdavimą viešajam geriamojo vandens tiekėjui ir nuotekų tvarkytojui,</w:t>
                </w:r>
                <w:r>
                  <w:rPr>
                    <w:rFonts w:eastAsia="Andale Sans UI" w:cs="Tahoma"/>
                    <w:szCs w:val="24"/>
                    <w:lang w:bidi="en-US"/>
                  </w:rPr>
                  <w:t xml:space="preserve"> regioniniam </w:t>
                </w:r>
                <w:r>
                  <w:rPr>
                    <w:rFonts w:eastAsia="Andale Sans UI" w:cs="Tahoma"/>
                    <w:szCs w:val="24"/>
                    <w:lang w:eastAsia="lt-LT" w:bidi="en-US"/>
                  </w:rPr>
                  <w:t>viešajam geriamojo vandens tiekėjui ir nuotekų tvarkytojui, paviršinių nuotekų tvarkytojui.</w:t>
                </w:r>
              </w:p>
              <w:p w14:paraId="12855550" w14:textId="1FBB57F4">
                <w:pPr>
                  <w:jc w:val="both"/>
                  <w:rPr>
                    <w:rFonts w:eastAsia="Andale Sans UI" w:cs="Tahoma"/>
                    <w:szCs w:val="24"/>
                    <w:lang w:eastAsia="ar-SA" w:bidi="en-U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26924A"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C6EB84" w14:textId="77777777">
                <w:pPr>
                  <w:suppressAutoHyphens/>
                  <w:textAlignment w:val="baseline"/>
                  <w:rPr>
                    <w:szCs w:val="24"/>
                    <w:lang w:eastAsia="lt-LT"/>
                  </w:rPr>
                </w:pPr>
                <w:r>
                  <w:rPr>
                    <w:szCs w:val="24"/>
                    <w:lang w:eastAsia="lt-LT"/>
                  </w:rPr>
                  <w:t>X tenkina</w:t>
                </w:r>
              </w:p>
              <w:p w14:paraId="2445D722" w14:textId="77777777">
                <w:pPr>
                  <w:suppressAutoHyphens/>
                  <w:textAlignment w:val="baseline"/>
                  <w:rPr>
                    <w:szCs w:val="24"/>
                    <w:lang w:eastAsia="lt-LT"/>
                  </w:rPr>
                </w:pPr>
                <w:r>
                  <w:rPr>
                    <w:szCs w:val="24"/>
                    <w:lang w:eastAsia="lt-LT"/>
                  </w:rPr>
                  <w:t>□ netenkina</w:t>
                </w:r>
              </w:p>
            </w:tc>
          </w:tr>
          <w:tr w14:paraId="6B2A86D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E8270F" w14:textId="6ED7C181">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2F1F20"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A734E2" w14:textId="437B8B5E">
                <w:pPr>
                  <w:keepNext/>
                  <w:jc w:val="both"/>
                  <w:rPr>
                    <w:szCs w:val="24"/>
                    <w:lang w:eastAsia="lt-LT"/>
                  </w:rPr>
                </w:pPr>
                <w:r>
                  <w:rPr>
                    <w:szCs w:val="24"/>
                    <w:lang w:eastAsia="lt-LT"/>
                  </w:rPr>
                  <w:t>Teisės akto projekte nėra spragų ar nuostatų, leisiančių dviprasmiškai aiškinti ir taikyti teisės aktą.</w:t>
                </w:r>
              </w:p>
              <w:p w14:paraId="2CEB21EC" w14:textId="77777777">
                <w:pPr>
                  <w:keepNext/>
                  <w:jc w:val="both"/>
                  <w:rPr>
                    <w:szCs w:val="24"/>
                    <w:lang w:eastAsia="lt-LT"/>
                  </w:rPr>
                </w:pPr>
              </w:p>
              <w:p w14:paraId="2624A335" w14:textId="449A214F">
                <w:pPr>
                  <w:keepNext/>
                  <w:jc w:val="both"/>
                  <w:rPr>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95FC79"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038E18" w14:textId="2BB9995A">
                <w:pPr>
                  <w:keepNext/>
                  <w:suppressAutoHyphens/>
                  <w:textAlignment w:val="baseline"/>
                  <w:rPr>
                    <w:szCs w:val="24"/>
                    <w:lang w:eastAsia="lt-LT"/>
                  </w:rPr>
                </w:pPr>
                <w:r>
                  <w:rPr>
                    <w:szCs w:val="24"/>
                    <w:lang w:eastAsia="lt-LT"/>
                  </w:rPr>
                  <w:t>X tenkina</w:t>
                </w:r>
              </w:p>
              <w:p w14:paraId="5A6EE3EB" w14:textId="5E2BDFDC">
                <w:pPr>
                  <w:keepNext/>
                  <w:suppressAutoHyphens/>
                  <w:textAlignment w:val="baseline"/>
                  <w:rPr>
                    <w:b/>
                    <w:szCs w:val="24"/>
                    <w:lang w:eastAsia="lt-LT"/>
                  </w:rPr>
                </w:pPr>
                <w:r>
                  <w:rPr>
                    <w:szCs w:val="24"/>
                    <w:lang w:eastAsia="lt-LT"/>
                  </w:rPr>
                  <w:t>□ netenkina</w:t>
                </w:r>
              </w:p>
            </w:tc>
          </w:tr>
          <w:tr w14:paraId="4992FEC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84939E" w14:textId="1E53C851">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1FEB3D"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673816" w14:textId="3B18F339">
                <w:pPr>
                  <w:suppressAutoHyphens/>
                  <w:jc w:val="both"/>
                  <w:textAlignment w:val="baseline"/>
                  <w:rPr>
                    <w:bCs/>
                  </w:rPr>
                </w:pPr>
                <w:r>
                  <w:rPr>
                    <w:bCs/>
                  </w:rPr>
                  <w:t xml:space="preserve">Kriterijus nėra </w:t>
                </w:r>
                <w:r>
                  <w:rPr>
                    <w:szCs w:val="24"/>
                    <w:lang w:eastAsia="lt-LT"/>
                  </w:rPr>
                  <w:t>teisės akto projekto</w:t>
                </w:r>
                <w:r>
                  <w:rPr>
                    <w:bCs/>
                  </w:rPr>
                  <w:t xml:space="preserve"> reglamentavimo dalykas.</w:t>
                </w:r>
              </w:p>
              <w:p w14:paraId="3A482D4B" w14:textId="77777777">
                <w:pPr>
                  <w:suppressAutoHyphens/>
                  <w:jc w:val="both"/>
                  <w:textAlignment w:val="baseline"/>
                  <w:rPr>
                    <w:szCs w:val="24"/>
                    <w:lang w:eastAsia="lt-LT"/>
                  </w:rPr>
                </w:pPr>
              </w:p>
              <w:p w14:paraId="034702AF" w14:textId="77777777">
                <w:pPr>
                  <w:suppressAutoHyphens/>
                  <w:jc w:val="both"/>
                  <w:textAlignment w:val="baseline"/>
                  <w:rPr>
                    <w:szCs w:val="24"/>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3EB2B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5BDB39" w14:textId="67296DF2">
                <w:pPr>
                  <w:suppressAutoHyphens/>
                  <w:textAlignment w:val="baseline"/>
                  <w:rPr>
                    <w:szCs w:val="24"/>
                    <w:lang w:eastAsia="lt-LT"/>
                  </w:rPr>
                </w:pPr>
                <w:r>
                  <w:rPr>
                    <w:szCs w:val="24"/>
                    <w:lang w:eastAsia="lt-LT"/>
                  </w:rPr>
                  <w:t>□ tenkina</w:t>
                </w:r>
              </w:p>
              <w:p w14:paraId="64F5ED06" w14:textId="77777777">
                <w:pPr>
                  <w:suppressAutoHyphens/>
                  <w:textAlignment w:val="baseline"/>
                  <w:rPr>
                    <w:szCs w:val="24"/>
                    <w:lang w:eastAsia="lt-LT"/>
                  </w:rPr>
                </w:pPr>
                <w:r>
                  <w:rPr>
                    <w:szCs w:val="24"/>
                    <w:lang w:eastAsia="lt-LT"/>
                  </w:rPr>
                  <w:t>□ netenkina</w:t>
                </w:r>
              </w:p>
            </w:tc>
          </w:tr>
          <w:tr w14:paraId="1EF7742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45254F"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51BB2"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2DDB3A" w14:textId="77777777">
                <w:pPr>
                  <w:jc w:val="both"/>
                  <w:rPr>
                    <w:rFonts w:eastAsia="Andale Sans UI" w:cs="Tahoma"/>
                    <w:szCs w:val="24"/>
                    <w:lang w:eastAsia="lt-LT" w:bidi="en-US"/>
                  </w:rPr>
                </w:pPr>
                <w:r>
                  <w:rPr>
                    <w:rFonts w:eastAsia="Andale Sans UI" w:cs="Tahoma"/>
                    <w:szCs w:val="24"/>
                    <w:lang w:eastAsia="lt-LT" w:bidi="en-US"/>
                  </w:rPr>
                  <w:t>Teisės akto projektuose nustatyti įgaliojimai viešajam geriamojo vandens tiekėjui ir nuotekų tvarkytojui,</w:t>
                </w:r>
                <w:r>
                  <w:rPr>
                    <w:rFonts w:eastAsia="Andale Sans UI" w:cs="Tahoma"/>
                    <w:szCs w:val="24"/>
                    <w:lang w:bidi="en-US"/>
                  </w:rPr>
                  <w:t xml:space="preserve"> regioniniam </w:t>
                </w:r>
                <w:r>
                  <w:rPr>
                    <w:rFonts w:eastAsia="Andale Sans UI" w:cs="Tahoma"/>
                    <w:szCs w:val="24"/>
                    <w:lang w:eastAsia="lt-LT" w:bidi="en-US"/>
                  </w:rPr>
                  <w:t>viešajam geriamojo vandens tiekėjui ir nuotekų tvarkytojui, paviršinių nuotekų tvarkytojui atitinka jų atliekamas funkcijas (pareigas).</w:t>
                </w:r>
              </w:p>
              <w:p w14:paraId="2168437B" w14:textId="6F064FBC">
                <w:pPr>
                  <w:jc w:val="both"/>
                  <w:rPr>
                    <w:rFonts w:eastAsia="Andale Sans UI" w:cs="Tahoma"/>
                    <w:szCs w:val="24"/>
                    <w:lang w:eastAsia="lt-LT" w:bidi="en-U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F197BB"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56B6CD" w14:textId="5AE8A020">
                <w:pPr>
                  <w:suppressAutoHyphens/>
                  <w:textAlignment w:val="baseline"/>
                  <w:rPr>
                    <w:szCs w:val="24"/>
                    <w:lang w:eastAsia="lt-LT"/>
                  </w:rPr>
                </w:pPr>
                <w:r>
                  <w:rPr>
                    <w:szCs w:val="24"/>
                    <w:lang w:eastAsia="lt-LT"/>
                  </w:rPr>
                  <w:t>X tenkina</w:t>
                </w:r>
              </w:p>
              <w:p w14:paraId="7BAFB674" w14:textId="77777777">
                <w:pPr>
                  <w:suppressAutoHyphens/>
                  <w:textAlignment w:val="baseline"/>
                  <w:rPr>
                    <w:szCs w:val="24"/>
                    <w:lang w:eastAsia="lt-LT"/>
                  </w:rPr>
                </w:pPr>
                <w:r>
                  <w:rPr>
                    <w:szCs w:val="24"/>
                    <w:lang w:eastAsia="lt-LT"/>
                  </w:rPr>
                  <w:t>□ netenkina</w:t>
                </w:r>
              </w:p>
            </w:tc>
          </w:tr>
          <w:tr w14:paraId="4A010E2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2EF6B9" w14:textId="2A5F1B15">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BDDCB"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FB35ED" w14:textId="77777777">
                <w:pPr>
                  <w:suppressAutoHyphens/>
                  <w:jc w:val="both"/>
                  <w:textAlignment w:val="baseline"/>
                  <w:rPr>
                    <w:bCs/>
                  </w:rPr>
                </w:pPr>
                <w:r>
                  <w:rPr>
                    <w:szCs w:val="24"/>
                    <w:lang w:eastAsia="lt-LT"/>
                  </w:rPr>
                  <w:t>Teisės akto projekte nustatytas baigtinis sprendimų priėmimo kriterijų (atvejų) sąrašas</w:t>
                </w:r>
                <w:r>
                  <w:rPr>
                    <w:bCs/>
                  </w:rPr>
                  <w:t>.</w:t>
                </w:r>
              </w:p>
              <w:p w14:paraId="7927AC45" w14:textId="77777777">
                <w:pPr>
                  <w:suppressAutoHyphens/>
                  <w:jc w:val="both"/>
                  <w:textAlignment w:val="baseline"/>
                  <w:rPr>
                    <w:bCs/>
                  </w:rPr>
                </w:pPr>
              </w:p>
              <w:p w14:paraId="4EA2819C" w14:textId="4DB70B61">
                <w:pPr>
                  <w:suppressAutoHyphens/>
                  <w:jc w:val="both"/>
                  <w:textAlignment w:val="baseline"/>
                  <w:rPr>
                    <w:bCs/>
                  </w:rPr>
                </w:pPr>
                <w:r>
                  <w:rPr>
                    <w:szCs w:val="24"/>
                    <w:lang w:eastAsia="lt-LT"/>
                  </w:rPr>
                  <w:t xml:space="preserve">Teisės akto projekto aprašo 13 punkte nurodyta, kad viešasis vandens tiekėjas, paviršinių nuotekų tvarkytojas vadovaudamasis Aprašo 6 punkto nuostatomis </w:t>
                </w:r>
                <w:r>
                  <w:rPr>
                    <w:i/>
                    <w:szCs w:val="24"/>
                    <w:lang w:eastAsia="lt-LT"/>
                  </w:rPr>
                  <w:t xml:space="preserve">(„6. </w:t>
                </w:r>
                <w:r>
                  <w:rPr>
                    <w:rFonts w:eastAsia="Lucida Sans Unicode"/>
                    <w:i/>
                    <w:szCs w:val="24"/>
                    <w:lang w:eastAsia="lt-LT" w:bidi="en-US"/>
                  </w:rPr>
                  <w:t>Infrastruktūros objekto tinkamumo kriterijai nustatyti Geriamojo vandens tiekimo ir nuotekų tvarkymo įstatymo 16 straipsnio 11 dalyje, o reikalingumo kriterijai nustatyti to paties straipsnio 12 dalyje.“)</w:t>
                </w:r>
                <w:r>
                  <w:rPr>
                    <w:bCs/>
                  </w:rPr>
                  <w:t xml:space="preserve"> </w:t>
                </w:r>
                <w:r>
                  <w:rPr>
                    <w:szCs w:val="24"/>
                    <w:lang w:eastAsia="lt-LT"/>
                  </w:rPr>
                  <w:t>parengia išvadą ir raštu (elektroniniu paštu arba registruotu paštu) ją pateikia infrastruktūros objekto savininkui bei inicijuoja objekto išpirkimą arba perėmimą, jei išvada yra teigiama.</w:t>
                </w:r>
              </w:p>
              <w:p w14:paraId="4571CCB9" w14:textId="2ED07B2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C7B7AA"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DDC229" w14:textId="64BD9152">
                <w:pPr>
                  <w:suppressAutoHyphens/>
                  <w:textAlignment w:val="baseline"/>
                  <w:rPr>
                    <w:szCs w:val="24"/>
                    <w:lang w:eastAsia="lt-LT"/>
                  </w:rPr>
                </w:pPr>
                <w:r>
                  <w:rPr>
                    <w:szCs w:val="24"/>
                    <w:lang w:eastAsia="lt-LT"/>
                  </w:rPr>
                  <w:t>X tenkina</w:t>
                </w:r>
              </w:p>
              <w:p w14:paraId="7F6E6AB8" w14:textId="77777777">
                <w:pPr>
                  <w:suppressAutoHyphens/>
                  <w:textAlignment w:val="baseline"/>
                  <w:rPr>
                    <w:szCs w:val="24"/>
                    <w:lang w:eastAsia="lt-LT"/>
                  </w:rPr>
                </w:pPr>
                <w:r>
                  <w:rPr>
                    <w:szCs w:val="24"/>
                    <w:lang w:eastAsia="lt-LT"/>
                  </w:rPr>
                  <w:t>□ netenkina</w:t>
                </w:r>
              </w:p>
            </w:tc>
          </w:tr>
          <w:tr w14:paraId="3154387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88CB02" w14:textId="2908584C">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E0C13B"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619C12" w14:textId="77777777">
                <w:pPr>
                  <w:suppressAutoHyphens/>
                  <w:jc w:val="both"/>
                  <w:textAlignment w:val="baseline"/>
                  <w:rPr>
                    <w:bCs/>
                  </w:rPr>
                </w:pPr>
                <w:r>
                  <w:rPr>
                    <w:bCs/>
                  </w:rPr>
                  <w:t>Kriterijus nėra teisės akto projekto reglamentavimo dalykas.</w:t>
                </w:r>
              </w:p>
              <w:p w14:paraId="63AD3BBF"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DA0D1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350B1D" w14:textId="77777777">
                <w:pPr>
                  <w:suppressAutoHyphens/>
                  <w:textAlignment w:val="baseline"/>
                  <w:rPr>
                    <w:szCs w:val="24"/>
                    <w:lang w:eastAsia="lt-LT"/>
                  </w:rPr>
                </w:pPr>
                <w:r>
                  <w:rPr>
                    <w:szCs w:val="24"/>
                    <w:lang w:eastAsia="lt-LT"/>
                  </w:rPr>
                  <w:t>□ tenkina</w:t>
                </w:r>
              </w:p>
              <w:p w14:paraId="34F8369F" w14:textId="77777777">
                <w:pPr>
                  <w:suppressAutoHyphens/>
                  <w:textAlignment w:val="baseline"/>
                  <w:rPr>
                    <w:szCs w:val="24"/>
                    <w:lang w:eastAsia="lt-LT"/>
                  </w:rPr>
                </w:pPr>
                <w:r>
                  <w:rPr>
                    <w:szCs w:val="24"/>
                    <w:lang w:eastAsia="lt-LT"/>
                  </w:rPr>
                  <w:t>□ netenkina</w:t>
                </w:r>
              </w:p>
            </w:tc>
          </w:tr>
          <w:tr w14:paraId="565801A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082599"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9720AB"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806DDE" w14:textId="3E6898B4">
                <w:pPr>
                  <w:suppressAutoHyphens/>
                  <w:jc w:val="both"/>
                  <w:textAlignment w:val="baseline"/>
                  <w:rPr>
                    <w:bCs/>
                  </w:rPr>
                </w:pPr>
                <w:r>
                  <w:rPr>
                    <w:szCs w:val="24"/>
                    <w:lang w:eastAsia="lt-LT"/>
                  </w:rPr>
                  <w:t xml:space="preserve">Teisės akto projekte nustatyta sprendimų priėmimo ir įforminimo tvarka – aprašo 13 ir 14 punktai. </w:t>
                </w:r>
              </w:p>
              <w:p w14:paraId="7303C3A0" w14:textId="77777777">
                <w:pPr>
                  <w:suppressAutoHyphens/>
                  <w:jc w:val="both"/>
                  <w:textAlignment w:val="baseline"/>
                  <w:rPr>
                    <w:bCs/>
                  </w:rPr>
                </w:pPr>
              </w:p>
              <w:p w14:paraId="4EBA656F" w14:textId="77777777">
                <w:pPr>
                  <w:suppressAutoHyphens/>
                  <w:jc w:val="both"/>
                  <w:textAlignment w:val="baseline"/>
                  <w:rPr>
                    <w:szCs w:val="24"/>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D222E5"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1A7A6" w14:textId="557E4DA1">
                <w:pPr>
                  <w:suppressAutoHyphens/>
                  <w:textAlignment w:val="baseline"/>
                  <w:rPr>
                    <w:szCs w:val="24"/>
                    <w:lang w:eastAsia="lt-LT"/>
                  </w:rPr>
                </w:pPr>
                <w:r>
                  <w:rPr>
                    <w:szCs w:val="24"/>
                    <w:lang w:eastAsia="lt-LT"/>
                  </w:rPr>
                  <w:t xml:space="preserve">X  tenkina</w:t>
                </w:r>
              </w:p>
              <w:p w14:paraId="3DD959D4" w14:textId="77777777">
                <w:pPr>
                  <w:suppressAutoHyphens/>
                  <w:textAlignment w:val="baseline"/>
                  <w:rPr>
                    <w:szCs w:val="24"/>
                    <w:lang w:eastAsia="lt-LT"/>
                  </w:rPr>
                </w:pPr>
                <w:r>
                  <w:rPr>
                    <w:szCs w:val="24"/>
                    <w:lang w:eastAsia="lt-LT"/>
                  </w:rPr>
                  <w:t>□ netenkina</w:t>
                </w:r>
              </w:p>
            </w:tc>
          </w:tr>
          <w:tr w14:paraId="400413F5"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43D270" w14:textId="77777777">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ECCEB5" w14:textId="77777777">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C2BC2F" w14:textId="77777777">
                <w:pPr>
                  <w:suppressAutoHyphens/>
                  <w:jc w:val="both"/>
                  <w:textAlignment w:val="baseline"/>
                  <w:rPr>
                    <w:bCs/>
                  </w:rPr>
                </w:pPr>
                <w:r>
                  <w:rPr>
                    <w:bCs/>
                  </w:rPr>
                  <w:t>Kriterijus nėra teisės akto projekto reglamentavimo dalykas.</w:t>
                </w:r>
              </w:p>
              <w:p w14:paraId="35BA4D63" w14:textId="77777777">
                <w:pPr>
                  <w:suppressAutoHyphens/>
                  <w:jc w:val="both"/>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37A189"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3CE50E" w14:textId="77777777">
                <w:pPr>
                  <w:suppressAutoHyphens/>
                  <w:textAlignment w:val="baseline"/>
                  <w:rPr>
                    <w:szCs w:val="24"/>
                    <w:lang w:eastAsia="lt-LT"/>
                  </w:rPr>
                </w:pPr>
                <w:r>
                  <w:rPr>
                    <w:szCs w:val="24"/>
                    <w:lang w:eastAsia="lt-LT"/>
                  </w:rPr>
                  <w:t>□ tenkina</w:t>
                </w:r>
              </w:p>
              <w:p w14:paraId="072C0D3A" w14:textId="77777777">
                <w:pPr>
                  <w:suppressAutoHyphens/>
                  <w:textAlignment w:val="baseline"/>
                  <w:rPr>
                    <w:szCs w:val="24"/>
                    <w:lang w:eastAsia="lt-LT"/>
                  </w:rPr>
                </w:pPr>
                <w:r>
                  <w:rPr>
                    <w:szCs w:val="24"/>
                    <w:lang w:eastAsia="lt-LT"/>
                  </w:rPr>
                  <w:t>□ netenkina</w:t>
                </w:r>
              </w:p>
            </w:tc>
          </w:tr>
          <w:tr w14:paraId="7E9DC7B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7E6615"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1F29CA"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11931575" w14:textId="77777777">
                <w:pPr>
                  <w:suppressAutoHyphens/>
                  <w:ind w:left="33"/>
                  <w:textAlignment w:val="baseline"/>
                  <w:rPr>
                    <w:szCs w:val="24"/>
                  </w:rPr>
                </w:pPr>
                <w:r>
                  <w:rPr>
                    <w:szCs w:val="24"/>
                  </w:rPr>
                  <w:t>9.1. konkretus narių skaičius, užtikrinantis kolegialaus sprendimus priimančio subjekto veiklos objektyvumą</w:t>
                </w:r>
              </w:p>
              <w:p w14:paraId="52AAF2A2"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032B157C" w14:textId="77777777">
                <w:pPr>
                  <w:suppressAutoHyphens/>
                  <w:textAlignment w:val="baseline"/>
                </w:pPr>
                <w:r>
                  <w:rPr>
                    <w:szCs w:val="24"/>
                    <w:lang w:eastAsia="lt-LT"/>
                  </w:rPr>
                  <w:t>9.3</w:t>
                </w:r>
                <w:r>
                  <w:rPr>
                    <w:spacing w:val="-4"/>
                    <w:szCs w:val="24"/>
                    <w:lang w:eastAsia="lt-LT"/>
                  </w:rPr>
                  <w:t>. narių skyrimo mechanizmas</w:t>
                </w:r>
              </w:p>
              <w:p w14:paraId="26E3E75A" w14:textId="77777777">
                <w:pPr>
                  <w:suppressAutoHyphens/>
                  <w:textAlignment w:val="baseline"/>
                  <w:rPr>
                    <w:szCs w:val="24"/>
                    <w:lang w:eastAsia="lt-LT"/>
                  </w:rPr>
                </w:pPr>
                <w:r>
                  <w:rPr>
                    <w:szCs w:val="24"/>
                    <w:lang w:eastAsia="lt-LT"/>
                  </w:rPr>
                  <w:t>9.4. narių rotacija ir kadencijų skaičius ir trukmė</w:t>
                </w:r>
              </w:p>
              <w:p w14:paraId="102F2F1C" w14:textId="77777777">
                <w:pPr>
                  <w:suppressAutoHyphens/>
                  <w:textAlignment w:val="baseline"/>
                  <w:rPr>
                    <w:szCs w:val="24"/>
                  </w:rPr>
                </w:pPr>
                <w:r>
                  <w:rPr>
                    <w:szCs w:val="24"/>
                  </w:rPr>
                  <w:t>9.5. veiklos pobūdis laiko atžvilgiu</w:t>
                </w:r>
              </w:p>
              <w:p w14:paraId="7D2EED41" w14:textId="77777777">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50DDA3" w14:textId="77777777">
                <w:pPr>
                  <w:suppressAutoHyphens/>
                  <w:jc w:val="both"/>
                  <w:textAlignment w:val="baseline"/>
                  <w:rPr>
                    <w:bCs/>
                  </w:rPr>
                </w:pPr>
                <w:r>
                  <w:rPr>
                    <w:bCs/>
                  </w:rPr>
                  <w:t>Kriterijus nėra teisės akto projekto reglamentavimo dalykas.</w:t>
                </w:r>
              </w:p>
              <w:p w14:paraId="155375FB" w14:textId="77777777">
                <w:pPr>
                  <w:suppressAutoHyphens/>
                  <w:jc w:val="both"/>
                  <w:textAlignment w:val="baseline"/>
                  <w:rPr>
                    <w:i/>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E1E7C3"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850BEB" w14:textId="77777777">
                <w:pPr>
                  <w:suppressAutoHyphens/>
                  <w:textAlignment w:val="baseline"/>
                  <w:rPr>
                    <w:szCs w:val="24"/>
                    <w:lang w:eastAsia="lt-LT"/>
                  </w:rPr>
                </w:pPr>
                <w:r>
                  <w:rPr>
                    <w:szCs w:val="24"/>
                    <w:lang w:eastAsia="lt-LT"/>
                  </w:rPr>
                  <w:t>□ tenkina</w:t>
                </w:r>
              </w:p>
              <w:p w14:paraId="7126F54F" w14:textId="77777777">
                <w:pPr>
                  <w:suppressAutoHyphens/>
                  <w:textAlignment w:val="baseline"/>
                  <w:rPr>
                    <w:szCs w:val="24"/>
                    <w:lang w:eastAsia="lt-LT"/>
                  </w:rPr>
                </w:pPr>
                <w:r>
                  <w:rPr>
                    <w:szCs w:val="24"/>
                    <w:lang w:eastAsia="lt-LT"/>
                  </w:rPr>
                  <w:t>□ netenkina</w:t>
                </w:r>
              </w:p>
            </w:tc>
          </w:tr>
          <w:tr w14:paraId="7D8BFD9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03A69A"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1B23CE"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4C85AD" w14:textId="78945C9E">
                <w:pPr>
                  <w:suppressAutoHyphens/>
                  <w:jc w:val="both"/>
                  <w:textAlignment w:val="baseline"/>
                  <w:rPr>
                    <w:szCs w:val="24"/>
                    <w:lang w:eastAsia="lt-LT"/>
                  </w:rPr>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tvarka.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B12DA4"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30C6B7" w14:textId="040569A4">
                <w:pPr>
                  <w:suppressAutoHyphens/>
                  <w:textAlignment w:val="baseline"/>
                  <w:rPr>
                    <w:szCs w:val="24"/>
                    <w:lang w:eastAsia="lt-LT"/>
                  </w:rPr>
                </w:pPr>
                <w:r>
                  <w:rPr>
                    <w:szCs w:val="24"/>
                    <w:lang w:eastAsia="lt-LT"/>
                  </w:rPr>
                  <w:t>X tenkina</w:t>
                </w:r>
              </w:p>
              <w:p w14:paraId="53444806" w14:textId="77777777">
                <w:pPr>
                  <w:suppressAutoHyphens/>
                  <w:textAlignment w:val="baseline"/>
                  <w:rPr>
                    <w:szCs w:val="24"/>
                    <w:lang w:eastAsia="lt-LT"/>
                  </w:rPr>
                </w:pPr>
                <w:r>
                  <w:rPr>
                    <w:szCs w:val="24"/>
                    <w:lang w:eastAsia="lt-LT"/>
                  </w:rPr>
                  <w:t>□ netenkina</w:t>
                </w:r>
              </w:p>
            </w:tc>
          </w:tr>
          <w:tr w14:paraId="613C07ED"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8CB43D" w14:textId="77777777">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6EB8A75"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19B102" w14:textId="77777777">
                <w:pPr>
                  <w:suppressAutoHyphens/>
                  <w:jc w:val="both"/>
                  <w:textAlignment w:val="baseline"/>
                  <w:rPr>
                    <w:szCs w:val="24"/>
                    <w:lang w:eastAsia="lt-LT"/>
                  </w:rPr>
                </w:pPr>
                <w:r>
                  <w:rPr>
                    <w:szCs w:val="24"/>
                    <w:lang w:eastAsia="lt-LT"/>
                  </w:rPr>
                  <w:t>Teisės akto projekte nustatytas baigtinis motyvuotų atvejų, kai nustatoma procedūra netaikoma, sąrašas.</w:t>
                </w:r>
              </w:p>
              <w:p w14:paraId="6301BA22" w14:textId="77777777">
                <w:pPr>
                  <w:suppressAutoHyphens/>
                  <w:jc w:val="both"/>
                  <w:textAlignment w:val="baseline"/>
                  <w:rPr>
                    <w:szCs w:val="24"/>
                    <w:lang w:eastAsia="lt-LT"/>
                  </w:rPr>
                </w:pPr>
              </w:p>
              <w:p w14:paraId="017790FC" w14:textId="526AFC9B">
                <w:pPr>
                  <w:suppressAutoHyphens/>
                  <w:jc w:val="both"/>
                  <w:textAlignment w:val="baseline"/>
                  <w:rPr>
                    <w:szCs w:val="24"/>
                    <w:lang w:eastAsia="lt-LT"/>
                  </w:rPr>
                </w:pPr>
                <w:r>
                  <w:rPr>
                    <w:szCs w:val="24"/>
                    <w:lang w:eastAsia="lt-LT"/>
                  </w:rPr>
                  <w:t>Teisės akto projekto aprašo 1 punkte nurodyta, kad aprašo nuostatos netaikomos, kai sudaryta Geriamojo vandens tiekimo ir nuotekų tvarkymo įstatymo 16 straipsnio 2 ir 3 dalyse nustatyta trišalė ar daugiašalė savivaldybės institucijos, viešojo vandens tiekėjo arba paviršinių nuotekų tvarkytojo, objekto statytojo (užsakovo) ir (ar) kito savivaldybės infrastruktūros valdytojo savivaldybės infrastruktūros plėtros sutartis.</w:t>
                </w:r>
              </w:p>
              <w:p w14:paraId="3688BBC7" w14:textId="218583B0">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989CDB"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C6560D" w14:textId="2CA14DA3">
                <w:pPr>
                  <w:keepNext/>
                  <w:suppressAutoHyphens/>
                  <w:textAlignment w:val="baseline"/>
                  <w:rPr>
                    <w:szCs w:val="24"/>
                    <w:lang w:eastAsia="lt-LT"/>
                  </w:rPr>
                </w:pPr>
                <w:r>
                  <w:rPr>
                    <w:szCs w:val="24"/>
                    <w:lang w:eastAsia="lt-LT"/>
                  </w:rPr>
                  <w:t>X tenkina</w:t>
                </w:r>
              </w:p>
              <w:p w14:paraId="2EDFF80E" w14:textId="77777777">
                <w:pPr>
                  <w:keepNext/>
                  <w:suppressAutoHyphens/>
                  <w:textAlignment w:val="baseline"/>
                  <w:rPr>
                    <w:szCs w:val="24"/>
                    <w:lang w:eastAsia="lt-LT"/>
                  </w:rPr>
                </w:pPr>
                <w:r>
                  <w:rPr>
                    <w:szCs w:val="24"/>
                    <w:lang w:eastAsia="lt-LT"/>
                  </w:rPr>
                  <w:t>□ netenkina</w:t>
                </w:r>
              </w:p>
            </w:tc>
          </w:tr>
          <w:tr w14:paraId="6EE6B38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708FCF1" w14:textId="66A86ACC">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DC8E55"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BCEE6D" w14:textId="7A8F1DC2">
                <w:pPr>
                  <w:suppressAutoHyphens/>
                  <w:jc w:val="both"/>
                  <w:textAlignment w:val="baseline"/>
                  <w:rPr>
                    <w:bCs/>
                  </w:rPr>
                </w:pPr>
                <w:r>
                  <w:rPr>
                    <w:szCs w:val="24"/>
                    <w:lang w:eastAsia="lt-LT"/>
                  </w:rPr>
                  <w:t xml:space="preserve">Teisės akto projektas nustato jo nuostatoms įgyvendinti numatytų procedūrų ir sprendimų priėmimo konkrečius terminus – aprašo 7, 13, 14, 19 punktai.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13AA2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73A336" w14:textId="4C54048A">
                <w:pPr>
                  <w:suppressAutoHyphens/>
                  <w:textAlignment w:val="baseline"/>
                  <w:rPr>
                    <w:szCs w:val="24"/>
                    <w:lang w:eastAsia="lt-LT"/>
                  </w:rPr>
                </w:pPr>
                <w:r>
                  <w:rPr>
                    <w:szCs w:val="24"/>
                    <w:lang w:eastAsia="lt-LT"/>
                  </w:rPr>
                  <w:t>X tenkina</w:t>
                </w:r>
              </w:p>
              <w:p w14:paraId="0C4930ED" w14:textId="77777777">
                <w:pPr>
                  <w:suppressAutoHyphens/>
                  <w:textAlignment w:val="baseline"/>
                  <w:rPr>
                    <w:b/>
                    <w:szCs w:val="24"/>
                    <w:lang w:eastAsia="lt-LT"/>
                  </w:rPr>
                </w:pPr>
                <w:r>
                  <w:rPr>
                    <w:szCs w:val="24"/>
                    <w:lang w:eastAsia="lt-LT"/>
                  </w:rPr>
                  <w:t>□ netenkina</w:t>
                </w:r>
              </w:p>
            </w:tc>
          </w:tr>
          <w:tr w14:paraId="5293FF6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836F62" w14:textId="2BFE1298">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454D4F4"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7A39A8" w14:textId="77777777">
                <w:pPr>
                  <w:suppressAutoHyphens/>
                  <w:jc w:val="both"/>
                  <w:textAlignment w:val="baseline"/>
                  <w:rPr>
                    <w:bCs/>
                  </w:rPr>
                </w:pPr>
                <w:r>
                  <w:rPr>
                    <w:bCs/>
                  </w:rPr>
                  <w:t>Kriterijus nėra teisės akto projekto reglamentavimo dalykas.</w:t>
                </w:r>
              </w:p>
              <w:p w14:paraId="7D02B187" w14:textId="77777777">
                <w:pPr>
                  <w:suppressAutoHyphens/>
                  <w:textAlignment w:val="baseline"/>
                  <w:rPr>
                    <w:szCs w:val="24"/>
                    <w:lang w:eastAsia="lt-LT"/>
                  </w:rPr>
                </w:pPr>
              </w:p>
              <w:p w14:paraId="6B617D87" w14:textId="77777777">
                <w:pPr>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199D0E"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AAE30C" w14:textId="77777777">
                <w:pPr>
                  <w:suppressAutoHyphens/>
                  <w:textAlignment w:val="baseline"/>
                  <w:rPr>
                    <w:szCs w:val="24"/>
                    <w:lang w:eastAsia="lt-LT"/>
                  </w:rPr>
                </w:pPr>
                <w:r>
                  <w:rPr>
                    <w:szCs w:val="24"/>
                    <w:lang w:eastAsia="lt-LT"/>
                  </w:rPr>
                  <w:t>□ tenkina</w:t>
                </w:r>
              </w:p>
              <w:p w14:paraId="09D52FB6" w14:textId="77777777">
                <w:pPr>
                  <w:suppressAutoHyphens/>
                  <w:textAlignment w:val="baseline"/>
                  <w:rPr>
                    <w:szCs w:val="24"/>
                    <w:lang w:eastAsia="lt-LT"/>
                  </w:rPr>
                </w:pPr>
                <w:r>
                  <w:rPr>
                    <w:szCs w:val="24"/>
                    <w:lang w:eastAsia="lt-LT"/>
                  </w:rPr>
                  <w:t>□ netenkina</w:t>
                </w:r>
              </w:p>
            </w:tc>
          </w:tr>
          <w:tr w14:paraId="154E273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BA0BA8"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5DDB77"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41E9D0" w14:textId="77777777">
                <w:pPr>
                  <w:suppressAutoHyphens/>
                  <w:jc w:val="both"/>
                  <w:textAlignment w:val="baseline"/>
                  <w:rPr>
                    <w:bCs/>
                  </w:rPr>
                </w:pPr>
                <w:r>
                  <w:rPr>
                    <w:bCs/>
                  </w:rPr>
                  <w:t>Kriterijus nėra teisės akto projekto reglamentavimo dalykas.</w:t>
                </w:r>
              </w:p>
              <w:p w14:paraId="6AAD3E30" w14:textId="680EEFB6">
                <w:pPr>
                  <w:suppressAutoHyphens/>
                  <w:jc w:val="both"/>
                  <w:textAlignment w:val="baseline"/>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37A7E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13B68" w14:textId="2EB5C7CF">
                <w:pPr>
                  <w:suppressAutoHyphens/>
                  <w:textAlignment w:val="baseline"/>
                  <w:rPr>
                    <w:szCs w:val="24"/>
                    <w:lang w:eastAsia="lt-LT"/>
                  </w:rPr>
                </w:pPr>
                <w:r>
                  <w:rPr>
                    <w:szCs w:val="24"/>
                    <w:lang w:eastAsia="lt-LT"/>
                  </w:rPr>
                  <w:t xml:space="preserve">□  tenkina</w:t>
                </w:r>
              </w:p>
              <w:p w14:paraId="50C0F399" w14:textId="77777777">
                <w:pPr>
                  <w:suppressAutoHyphens/>
                  <w:textAlignment w:val="baseline"/>
                  <w:rPr>
                    <w:szCs w:val="24"/>
                    <w:lang w:eastAsia="lt-LT"/>
                  </w:rPr>
                </w:pPr>
                <w:r>
                  <w:rPr>
                    <w:szCs w:val="24"/>
                    <w:lang w:eastAsia="lt-LT"/>
                  </w:rPr>
                  <w:t>□ netenkina</w:t>
                </w:r>
              </w:p>
            </w:tc>
          </w:tr>
          <w:tr w14:paraId="53E28F8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38C19" w14:textId="4A7F60DB">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462857B"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AFDE7F" w14:textId="77777777">
                <w:pPr>
                  <w:suppressAutoHyphens/>
                  <w:jc w:val="both"/>
                  <w:textAlignment w:val="baseline"/>
                  <w:rPr>
                    <w:bCs/>
                  </w:rPr>
                </w:pPr>
                <w:r>
                  <w:rPr>
                    <w:bCs/>
                  </w:rPr>
                  <w:t>Kriterijus nėra teisės akto projekto reglamentavimo dalykas.</w:t>
                </w:r>
              </w:p>
              <w:p w14:paraId="22520002" w14:textId="77777777">
                <w:pPr>
                  <w:suppressAutoHyphens/>
                  <w:jc w:val="both"/>
                  <w:textAlignment w:val="baseline"/>
                  <w:rPr>
                    <w:szCs w:val="24"/>
                    <w:lang w:eastAsia="lt-LT"/>
                  </w:rPr>
                </w:pPr>
              </w:p>
              <w:p w14:paraId="3ED7212C"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2063A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C1999" w14:textId="49BFB326">
                <w:pPr>
                  <w:suppressAutoHyphens/>
                  <w:textAlignment w:val="baseline"/>
                  <w:rPr>
                    <w:szCs w:val="24"/>
                    <w:lang w:eastAsia="lt-LT"/>
                  </w:rPr>
                </w:pPr>
                <w:r>
                  <w:rPr>
                    <w:szCs w:val="24"/>
                    <w:lang w:eastAsia="lt-LT"/>
                  </w:rPr>
                  <w:t>□ tenkina</w:t>
                </w:r>
              </w:p>
              <w:p w14:paraId="4E8EB5D5" w14:textId="77777777">
                <w:pPr>
                  <w:suppressAutoHyphens/>
                  <w:textAlignment w:val="baseline"/>
                  <w:rPr>
                    <w:szCs w:val="24"/>
                    <w:lang w:eastAsia="lt-LT"/>
                  </w:rPr>
                </w:pPr>
                <w:r>
                  <w:rPr>
                    <w:szCs w:val="24"/>
                    <w:lang w:eastAsia="lt-LT"/>
                  </w:rPr>
                  <w:t>□ netenkina</w:t>
                </w:r>
              </w:p>
            </w:tc>
          </w:tr>
          <w:tr w14:paraId="684A28F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5A853FB"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AA914A"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9473D6" w14:textId="77777777">
                <w:pPr>
                  <w:suppressAutoHyphens/>
                  <w:jc w:val="both"/>
                  <w:textAlignment w:val="baseline"/>
                  <w:rPr>
                    <w:bCs/>
                  </w:rPr>
                </w:pPr>
                <w:r>
                  <w:rPr>
                    <w:bCs/>
                  </w:rPr>
                  <w:t>Kriterijus nėra teisės akto projekto reglamentavimo dalykas.</w:t>
                </w:r>
              </w:p>
              <w:p w14:paraId="192CBC2D" w14:textId="77777777">
                <w:pPr>
                  <w:suppressAutoHyphens/>
                  <w:jc w:val="both"/>
                  <w:textAlignment w:val="baseline"/>
                  <w:rPr>
                    <w:bCs/>
                  </w:rPr>
                </w:pPr>
              </w:p>
              <w:p w14:paraId="643BBF3F"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24B6D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883A78" w14:textId="77777777">
                <w:pPr>
                  <w:suppressAutoHyphens/>
                  <w:textAlignment w:val="baseline"/>
                  <w:rPr>
                    <w:szCs w:val="24"/>
                    <w:lang w:eastAsia="lt-LT"/>
                  </w:rPr>
                </w:pPr>
                <w:r>
                  <w:rPr>
                    <w:szCs w:val="24"/>
                    <w:lang w:eastAsia="lt-LT"/>
                  </w:rPr>
                  <w:t>□ tenkina</w:t>
                </w:r>
              </w:p>
              <w:p w14:paraId="0F37BC94" w14:textId="77777777">
                <w:pPr>
                  <w:suppressAutoHyphens/>
                  <w:textAlignment w:val="baseline"/>
                  <w:rPr>
                    <w:szCs w:val="24"/>
                    <w:lang w:eastAsia="lt-LT"/>
                  </w:rPr>
                </w:pPr>
                <w:r>
                  <w:rPr>
                    <w:szCs w:val="24"/>
                    <w:lang w:eastAsia="lt-LT"/>
                  </w:rPr>
                  <w:t>□ netenkina</w:t>
                </w:r>
              </w:p>
            </w:tc>
          </w:tr>
          <w:tr w14:paraId="21157B1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129C92" w14:textId="77777777">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0D44C9"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14B241" w14:textId="77777777">
                <w:pPr>
                  <w:suppressAutoHyphens/>
                  <w:jc w:val="both"/>
                  <w:textAlignment w:val="baseline"/>
                  <w:rPr>
                    <w:bCs/>
                  </w:rPr>
                </w:pPr>
                <w:r>
                  <w:rPr>
                    <w:bCs/>
                  </w:rPr>
                  <w:t>Kriterijus nėra teisės akto projekto reglamentavimo dalykas.</w:t>
                </w:r>
              </w:p>
              <w:p w14:paraId="3A0749EB"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ABA233" w14:textId="77777777">
                <w:pPr>
                  <w:keepNext/>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7A529A" w14:textId="77777777">
                <w:pPr>
                  <w:keepNext/>
                  <w:suppressAutoHyphens/>
                  <w:textAlignment w:val="baseline"/>
                  <w:rPr>
                    <w:szCs w:val="24"/>
                    <w:lang w:eastAsia="lt-LT"/>
                  </w:rPr>
                </w:pPr>
                <w:r>
                  <w:rPr>
                    <w:szCs w:val="24"/>
                    <w:lang w:eastAsia="lt-LT"/>
                  </w:rPr>
                  <w:t>□ tenkina</w:t>
                </w:r>
              </w:p>
              <w:p w14:paraId="7ABF89C6" w14:textId="77777777">
                <w:pPr>
                  <w:keepNext/>
                  <w:suppressAutoHyphens/>
                  <w:textAlignment w:val="baseline"/>
                  <w:rPr>
                    <w:szCs w:val="24"/>
                    <w:lang w:eastAsia="lt-LT"/>
                  </w:rPr>
                </w:pPr>
                <w:r>
                  <w:rPr>
                    <w:szCs w:val="24"/>
                    <w:lang w:eastAsia="lt-LT"/>
                  </w:rPr>
                  <w:t>□ netenkina</w:t>
                </w:r>
              </w:p>
            </w:tc>
          </w:tr>
          <w:tr w14:paraId="18D6133E"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2045D3"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37E08"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A6AC3B" w14:textId="77777777">
                <w:pPr>
                  <w:suppressAutoHyphens/>
                  <w:textAlignment w:val="baseline"/>
                  <w:rPr>
                    <w:szCs w:val="24"/>
                    <w:lang w:eastAsia="lt-LT"/>
                  </w:rPr>
                </w:pPr>
                <w:r>
                  <w:rPr>
                    <w:szCs w:val="24"/>
                    <w:lang w:eastAsia="lt-LT"/>
                  </w:rPr>
                  <w:t>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2A3D89"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877780" w14:textId="77777777">
                <w:pPr>
                  <w:suppressAutoHyphens/>
                  <w:textAlignment w:val="baseline"/>
                  <w:rPr>
                    <w:szCs w:val="24"/>
                    <w:lang w:eastAsia="lt-LT"/>
                  </w:rPr>
                </w:pPr>
                <w:r>
                  <w:rPr>
                    <w:szCs w:val="24"/>
                    <w:lang w:eastAsia="lt-LT"/>
                  </w:rPr>
                  <w:t>X tenkina</w:t>
                </w:r>
              </w:p>
              <w:p w14:paraId="25005553" w14:textId="77777777">
                <w:pPr>
                  <w:suppressAutoHyphens/>
                  <w:textAlignment w:val="baseline"/>
                  <w:rPr>
                    <w:szCs w:val="24"/>
                    <w:lang w:eastAsia="lt-LT"/>
                  </w:rPr>
                </w:pPr>
                <w:r>
                  <w:rPr>
                    <w:szCs w:val="24"/>
                    <w:lang w:eastAsia="lt-LT"/>
                  </w:rPr>
                  <w:t>□ netenkina</w:t>
                </w:r>
              </w:p>
            </w:tc>
          </w:tr>
          <w:tr w14:paraId="38A945D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ACECF1"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0AB4F6"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CD3248" w14:textId="77777777">
                <w:pPr>
                  <w:suppressAutoHyphens/>
                  <w:textAlignment w:val="baseline"/>
                  <w:rPr>
                    <w:szCs w:val="24"/>
                    <w:lang w:eastAsia="lt-LT"/>
                  </w:rPr>
                </w:pPr>
                <w:r>
                  <w:rPr>
                    <w:szCs w:val="24"/>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0EEA2C"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3A50AF" w14:textId="77777777">
                <w:pPr>
                  <w:suppressAutoHyphens/>
                  <w:textAlignment w:val="baseline"/>
                  <w:rPr>
                    <w:szCs w:val="24"/>
                    <w:lang w:eastAsia="lt-LT"/>
                  </w:rPr>
                </w:pPr>
                <w:r>
                  <w:rPr>
                    <w:szCs w:val="24"/>
                    <w:lang w:eastAsia="lt-LT"/>
                  </w:rPr>
                  <w:t>□ tenkina</w:t>
                </w:r>
              </w:p>
              <w:p w14:paraId="5F3613FA" w14:textId="77777777">
                <w:pPr>
                  <w:suppressAutoHyphens/>
                  <w:textAlignment w:val="baseline"/>
                  <w:rPr>
                    <w:szCs w:val="24"/>
                    <w:lang w:eastAsia="lt-LT"/>
                  </w:rPr>
                </w:pPr>
                <w:r>
                  <w:rPr>
                    <w:szCs w:val="24"/>
                    <w:lang w:eastAsia="lt-LT"/>
                  </w:rPr>
                  <w:t>□ netenkina</w:t>
                </w:r>
              </w:p>
            </w:tc>
          </w:tr>
          <w:tr w14:paraId="2B64DCDF"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0E867A0" w14:textId="77777777">
                <w:pPr>
                  <w:suppressAutoHyphens/>
                  <w:textAlignment w:val="baseline"/>
                  <w:rPr>
                    <w:szCs w:val="24"/>
                    <w:lang w:eastAsia="lt-LT"/>
                  </w:rPr>
                </w:pPr>
              </w:p>
              <w:p w14:paraId="7EDC32E6"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60999039" w14:textId="77777777">
                <w:pPr>
                  <w:suppressAutoHyphens/>
                  <w:textAlignment w:val="baseline"/>
                  <w:rPr>
                    <w:szCs w:val="24"/>
                    <w:lang w:eastAsia="lt-LT"/>
                  </w:rPr>
                </w:pPr>
              </w:p>
              <w:p w14:paraId="7E3EBF7B"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844DDA6" w14:textId="77777777">
                <w:pPr>
                  <w:suppressAutoHyphens/>
                  <w:textAlignment w:val="baseline"/>
                  <w:rPr>
                    <w:szCs w:val="24"/>
                    <w:lang w:eastAsia="lt-LT"/>
                  </w:rPr>
                </w:pPr>
              </w:p>
              <w:p w14:paraId="14F80ED6" w14:textId="77777777">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B5DDFF1" w14:textId="77777777">
                <w:pPr>
                  <w:suppressAutoHyphens/>
                  <w:textAlignment w:val="baseline"/>
                  <w:rPr>
                    <w:szCs w:val="24"/>
                    <w:lang w:eastAsia="lt-LT"/>
                  </w:rPr>
                </w:pPr>
              </w:p>
            </w:tc>
          </w:tr>
          <w:tr w14:paraId="2BE63F3C"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77A12F4"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01360079" w14:textId="77777777">
                <w:pPr>
                  <w:suppressAutoHyphens/>
                  <w:ind w:left="-11" w:firstLine="11"/>
                  <w:textAlignment w:val="baseline"/>
                </w:pPr>
              </w:p>
              <w:p w14:paraId="440E106D" w14:textId="77777777">
                <w:pPr>
                  <w:jc w:val="both"/>
                  <w:rPr>
                    <w:lang w:eastAsia="lt-LT"/>
                  </w:rPr>
                </w:pPr>
                <w:r>
                  <w:t>Aplinkos ministerijos Taršos prevencijos politikos grupės patarėja Judita Vaišnorienė.</w:t>
                </w:r>
                <w:r>
                  <w:rPr>
                    <w:lang w:eastAsia="lt-LT"/>
                  </w:rPr>
                  <w:t xml:space="preserve"> </w:t>
                </w:r>
              </w:p>
              <w:p w14:paraId="0FBCCFAB" w14:textId="47347F8D">
                <w:pPr>
                  <w:suppressAutoHyphens/>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59777EF4" w14:textId="77777777">
                <w:pPr>
                  <w:suppressAutoHyphens/>
                  <w:textAlignment w:val="baseline"/>
                  <w:rPr>
                    <w:szCs w:val="24"/>
                    <w:lang w:eastAsia="lt-LT"/>
                  </w:rPr>
                </w:pPr>
              </w:p>
              <w:p w14:paraId="584E45F2"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4DDE3B44" w14:textId="77777777">
                <w:pPr>
                  <w:suppressAutoHyphens/>
                  <w:ind w:left="-11" w:firstLine="11"/>
                  <w:textAlignment w:val="baseline"/>
                  <w:rPr>
                    <w:szCs w:val="24"/>
                    <w:lang w:eastAsia="lt-LT"/>
                  </w:rPr>
                </w:pPr>
              </w:p>
              <w:p w14:paraId="61947E30" w14:textId="77777777">
                <w:pPr>
                  <w:suppressAutoHyphens/>
                  <w:ind w:left="-11" w:firstLine="11"/>
                  <w:textAlignment w:val="baseline"/>
                  <w:rPr>
                    <w:szCs w:val="24"/>
                    <w:lang w:eastAsia="lt-LT"/>
                  </w:rPr>
                </w:pPr>
                <w:r>
                  <w:rPr>
                    <w:szCs w:val="24"/>
                    <w:lang w:eastAsia="lt-LT"/>
                  </w:rPr>
                  <w:t>Aplinkos ministerijos Korupcijos prevencijos ir vidaus tyrimų skyriaus vyriausiasis specialistas Remigijus Alavočius</w:t>
                </w:r>
              </w:p>
              <w:p w14:paraId="18B9D327" w14:textId="77777777">
                <w:pPr>
                  <w:suppressAutoHyphens/>
                  <w:ind w:left="-11" w:firstLine="2305"/>
                  <w:textAlignment w:val="baseline"/>
                  <w:rPr>
                    <w:szCs w:val="24"/>
                    <w:lang w:eastAsia="lt-LT"/>
                  </w:rPr>
                </w:pPr>
              </w:p>
            </w:tc>
          </w:tr>
          <w:tr w14:paraId="62EBEC0A"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3B149FE3"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21469F0F"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D50C2E4"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0E516066" w14:textId="77777777">
                <w:pPr>
                  <w:suppressAutoHyphens/>
                  <w:ind w:left="-11" w:firstLine="11"/>
                  <w:textAlignment w:val="baseline"/>
                  <w:rPr>
                    <w:szCs w:val="24"/>
                    <w:lang w:eastAsia="lt-LT"/>
                  </w:rPr>
                </w:pPr>
              </w:p>
            </w:tc>
          </w:tr>
          <w:tr w14:paraId="280F9A8B"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0FCB2450"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39AC3730" w14:textId="77777777">
                <w:pPr>
                  <w:suppressAutoHyphens/>
                  <w:ind w:left="-11" w:firstLine="64"/>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1ECDF86B"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5EBFDB63" w14:textId="77777777">
                <w:pPr>
                  <w:suppressAutoHyphens/>
                  <w:ind w:left="-11" w:firstLine="64"/>
                  <w:textAlignment w:val="baseline"/>
                  <w:rPr>
                    <w:szCs w:val="24"/>
                    <w:lang w:eastAsia="lt-LT"/>
                  </w:rPr>
                </w:pPr>
                <w:r>
                  <w:rPr>
                    <w:szCs w:val="24"/>
                    <w:lang w:eastAsia="lt-LT"/>
                  </w:rPr>
                  <w:t xml:space="preserve">(parašas)                                                     (data)</w:t>
                </w:r>
              </w:p>
              <w:p w14:paraId="01505FDA" w14:textId="77777777">
                <w:pPr>
                  <w:suppressAutoHyphens/>
                  <w:ind w:left="-11" w:firstLine="64"/>
                  <w:textAlignment w:val="baseline"/>
                  <w:rPr>
                    <w:szCs w:val="24"/>
                    <w:lang w:eastAsia="lt-LT"/>
                  </w:rPr>
                </w:pPr>
              </w:p>
              <w:p w14:paraId="0379DD7B" w14:textId="77777777">
                <w:pPr>
                  <w:suppressAutoHyphens/>
                  <w:ind w:left="-11" w:firstLine="64"/>
                  <w:textAlignment w:val="baseline"/>
                  <w:rPr>
                    <w:szCs w:val="24"/>
                    <w:lang w:eastAsia="lt-LT"/>
                  </w:rPr>
                </w:pPr>
              </w:p>
              <w:p w14:paraId="75325C66" w14:textId="77777777">
                <w:pPr>
                  <w:suppressAutoHyphens/>
                  <w:ind w:left="-11" w:firstLine="64"/>
                  <w:textAlignment w:val="baseline"/>
                  <w:rPr>
                    <w:szCs w:val="24"/>
                    <w:lang w:eastAsia="lt-LT"/>
                  </w:rPr>
                </w:pPr>
              </w:p>
            </w:tc>
          </w:tr>
        </w:tbl>
        <w:p w14:paraId="79A886DB" w14:textId="77777777">
          <w:pPr>
            <w:tabs>
              <w:tab w:val="left" w:pos="6237"/>
            </w:tabs>
            <w:suppressAutoHyphens/>
            <w:spacing w:line="276" w:lineRule="auto"/>
            <w:jc w:val="center"/>
            <w:textAlignment w:val="baseline"/>
          </w:pPr>
          <w:r>
            <w:rPr>
              <w:color w:val="000000"/>
              <w:szCs w:val="24"/>
              <w:lang w:eastAsia="lt-LT"/>
            </w:rPr>
            <w:t>___________________________</w:t>
          </w:r>
        </w:p>
        <w:p w14:paraId="514A80E2" w14:textId="77777777"/>
      </w:sdtContent>
    </w:sdt>
    <w:sectPr>
      <w:headerReference w:type="first" r:id="rId7"/>
      <w:pgSz w:w="16838" w:h="11906" w:orient="landscape" w:code="9"/>
      <w:pgMar w:top="1134" w:right="1134" w:bottom="1134" w:left="1134" w:header="567" w:footer="567" w:gutter="0"/>
      <w:pgNumType w:start="1"/>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F10ADD" w14:textId="77777777">
      <w:r>
        <w:separator/>
      </w:r>
    </w:p>
  </w:endnote>
  <w:endnote w:type="continuationSeparator" w:id="0">
    <w:p w14:paraId="7B0E77B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charset w:val="BA"/>
    <w:family w:val="auto"/>
    <w:pitch w:val="variable"/>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3F4BB9" w14:textId="77777777">
      <w:r>
        <w:separator/>
      </w:r>
    </w:p>
  </w:footnote>
  <w:footnote w:type="continuationSeparator" w:id="0">
    <w:p w14:paraId="2030993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3198C" w14:textId="77777777">
    <w:pPr>
      <w:tabs>
        <w:tab w:val="center" w:pos="4819"/>
        <w:tab w:val="right" w:pos="9638"/>
      </w:tabs>
      <w:jc w:val="center"/>
    </w:pPr>
    <w:r>
      <w:fldChar w:fldCharType="begin"/>
    </w:r>
    <w:r>
      <w:instrText xml:space="preserve"> PAGE   \* MERGEFORMAT </w:instrText>
    </w:r>
    <w:r>
      <w:fldChar w:fldCharType="separate"/>
    </w:r>
    <w:r>
      <w:t>1</w:t>
    </w:r>
    <w:r>
      <w:fldChar w:fldCharType="end"/>
    </w:r>
  </w:p>
  <w:p w14:paraId="4697FB1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7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21"/>
    <o:shapelayout v:ext="edit">
      <o:idmap v:ext="edit" data="1"/>
    </o:shapelayout>
  </w:shapeDefaults>
  <w:decimalSymbol w:val="."/>
  <w:listSeparator w:val=","/>
  <w14:docId w14:val="3E509CA5"/>
  <w15:docId w15:val="{4A46660C-4950-49CF-AB08-6A7D7CD0169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862723">
      <w:bodyDiv w:val="1"/>
      <w:marLeft w:val="0"/>
      <w:marRight w:val="0"/>
      <w:marTop w:val="0"/>
      <w:marBottom w:val="0"/>
      <w:divBdr>
        <w:top w:val="none" w:sz="0" w:space="0" w:color="auto"/>
        <w:left w:val="none" w:sz="0" w:space="0" w:color="auto"/>
        <w:bottom w:val="none" w:sz="0" w:space="0" w:color="auto"/>
        <w:right w:val="none" w:sz="0" w:space="0" w:color="auto"/>
      </w:divBdr>
    </w:div>
    <w:div w:id="310986159">
      <w:bodyDiv w:val="1"/>
      <w:marLeft w:val="0"/>
      <w:marRight w:val="0"/>
      <w:marTop w:val="0"/>
      <w:marBottom w:val="0"/>
      <w:divBdr>
        <w:top w:val="none" w:sz="0" w:space="0" w:color="auto"/>
        <w:left w:val="none" w:sz="0" w:space="0" w:color="auto"/>
        <w:bottom w:val="none" w:sz="0" w:space="0" w:color="auto"/>
        <w:right w:val="none" w:sz="0" w:space="0" w:color="auto"/>
      </w:divBdr>
    </w:div>
    <w:div w:id="468016645">
      <w:bodyDiv w:val="1"/>
      <w:marLeft w:val="0"/>
      <w:marRight w:val="0"/>
      <w:marTop w:val="0"/>
      <w:marBottom w:val="0"/>
      <w:divBdr>
        <w:top w:val="none" w:sz="0" w:space="0" w:color="auto"/>
        <w:left w:val="none" w:sz="0" w:space="0" w:color="auto"/>
        <w:bottom w:val="none" w:sz="0" w:space="0" w:color="auto"/>
        <w:right w:val="none" w:sz="0" w:space="0" w:color="auto"/>
      </w:divBdr>
    </w:div>
    <w:div w:id="647635897">
      <w:bodyDiv w:val="1"/>
      <w:marLeft w:val="0"/>
      <w:marRight w:val="0"/>
      <w:marTop w:val="0"/>
      <w:marBottom w:val="0"/>
      <w:divBdr>
        <w:top w:val="none" w:sz="0" w:space="0" w:color="auto"/>
        <w:left w:val="none" w:sz="0" w:space="0" w:color="auto"/>
        <w:bottom w:val="none" w:sz="0" w:space="0" w:color="auto"/>
        <w:right w:val="none" w:sz="0" w:space="0" w:color="auto"/>
      </w:divBdr>
      <w:divsChild>
        <w:div w:id="1706828567">
          <w:marLeft w:val="0"/>
          <w:marRight w:val="0"/>
          <w:marTop w:val="0"/>
          <w:marBottom w:val="0"/>
          <w:divBdr>
            <w:top w:val="none" w:sz="0" w:space="0" w:color="auto"/>
            <w:left w:val="none" w:sz="0" w:space="0" w:color="auto"/>
            <w:bottom w:val="none" w:sz="0" w:space="0" w:color="auto"/>
            <w:right w:val="none" w:sz="0" w:space="0" w:color="auto"/>
          </w:divBdr>
        </w:div>
        <w:div w:id="993804002">
          <w:marLeft w:val="0"/>
          <w:marRight w:val="0"/>
          <w:marTop w:val="0"/>
          <w:marBottom w:val="0"/>
          <w:divBdr>
            <w:top w:val="none" w:sz="0" w:space="0" w:color="auto"/>
            <w:left w:val="none" w:sz="0" w:space="0" w:color="auto"/>
            <w:bottom w:val="none" w:sz="0" w:space="0" w:color="auto"/>
            <w:right w:val="none" w:sz="0" w:space="0" w:color="auto"/>
          </w:divBdr>
        </w:div>
        <w:div w:id="1907184896">
          <w:marLeft w:val="0"/>
          <w:marRight w:val="0"/>
          <w:marTop w:val="0"/>
          <w:marBottom w:val="0"/>
          <w:divBdr>
            <w:top w:val="none" w:sz="0" w:space="0" w:color="auto"/>
            <w:left w:val="none" w:sz="0" w:space="0" w:color="auto"/>
            <w:bottom w:val="none" w:sz="0" w:space="0" w:color="auto"/>
            <w:right w:val="none" w:sz="0" w:space="0" w:color="auto"/>
          </w:divBdr>
        </w:div>
        <w:div w:id="2105419677">
          <w:marLeft w:val="0"/>
          <w:marRight w:val="0"/>
          <w:marTop w:val="0"/>
          <w:marBottom w:val="0"/>
          <w:divBdr>
            <w:top w:val="none" w:sz="0" w:space="0" w:color="auto"/>
            <w:left w:val="none" w:sz="0" w:space="0" w:color="auto"/>
            <w:bottom w:val="none" w:sz="0" w:space="0" w:color="auto"/>
            <w:right w:val="none" w:sz="0" w:space="0" w:color="auto"/>
          </w:divBdr>
        </w:div>
        <w:div w:id="1300112901">
          <w:marLeft w:val="0"/>
          <w:marRight w:val="0"/>
          <w:marTop w:val="0"/>
          <w:marBottom w:val="0"/>
          <w:divBdr>
            <w:top w:val="none" w:sz="0" w:space="0" w:color="auto"/>
            <w:left w:val="none" w:sz="0" w:space="0" w:color="auto"/>
            <w:bottom w:val="none" w:sz="0" w:space="0" w:color="auto"/>
            <w:right w:val="none" w:sz="0" w:space="0" w:color="auto"/>
          </w:divBdr>
        </w:div>
      </w:divsChild>
    </w:div>
    <w:div w:id="711004939">
      <w:bodyDiv w:val="1"/>
      <w:marLeft w:val="0"/>
      <w:marRight w:val="0"/>
      <w:marTop w:val="0"/>
      <w:marBottom w:val="0"/>
      <w:divBdr>
        <w:top w:val="none" w:sz="0" w:space="0" w:color="auto"/>
        <w:left w:val="none" w:sz="0" w:space="0" w:color="auto"/>
        <w:bottom w:val="none" w:sz="0" w:space="0" w:color="auto"/>
        <w:right w:val="none" w:sz="0" w:space="0" w:color="auto"/>
      </w:divBdr>
    </w:div>
    <w:div w:id="1013536466">
      <w:bodyDiv w:val="1"/>
      <w:marLeft w:val="0"/>
      <w:marRight w:val="0"/>
      <w:marTop w:val="0"/>
      <w:marBottom w:val="0"/>
      <w:divBdr>
        <w:top w:val="none" w:sz="0" w:space="0" w:color="auto"/>
        <w:left w:val="none" w:sz="0" w:space="0" w:color="auto"/>
        <w:bottom w:val="none" w:sz="0" w:space="0" w:color="auto"/>
        <w:right w:val="none" w:sz="0" w:space="0" w:color="auto"/>
      </w:divBdr>
      <w:divsChild>
        <w:div w:id="1828087985">
          <w:marLeft w:val="0"/>
          <w:marRight w:val="0"/>
          <w:marTop w:val="0"/>
          <w:marBottom w:val="0"/>
          <w:divBdr>
            <w:top w:val="none" w:sz="0" w:space="0" w:color="auto"/>
            <w:left w:val="none" w:sz="0" w:space="0" w:color="auto"/>
            <w:bottom w:val="none" w:sz="0" w:space="0" w:color="auto"/>
            <w:right w:val="none" w:sz="0" w:space="0" w:color="auto"/>
          </w:divBdr>
        </w:div>
        <w:div w:id="1890991314">
          <w:marLeft w:val="0"/>
          <w:marRight w:val="0"/>
          <w:marTop w:val="0"/>
          <w:marBottom w:val="0"/>
          <w:divBdr>
            <w:top w:val="none" w:sz="0" w:space="0" w:color="auto"/>
            <w:left w:val="none" w:sz="0" w:space="0" w:color="auto"/>
            <w:bottom w:val="none" w:sz="0" w:space="0" w:color="auto"/>
            <w:right w:val="none" w:sz="0" w:space="0" w:color="auto"/>
          </w:divBdr>
        </w:div>
        <w:div w:id="72120050">
          <w:marLeft w:val="0"/>
          <w:marRight w:val="0"/>
          <w:marTop w:val="0"/>
          <w:marBottom w:val="0"/>
          <w:divBdr>
            <w:top w:val="none" w:sz="0" w:space="0" w:color="auto"/>
            <w:left w:val="none" w:sz="0" w:space="0" w:color="auto"/>
            <w:bottom w:val="none" w:sz="0" w:space="0" w:color="auto"/>
            <w:right w:val="none" w:sz="0" w:space="0" w:color="auto"/>
          </w:divBdr>
          <w:divsChild>
            <w:div w:id="1518233288">
              <w:marLeft w:val="0"/>
              <w:marRight w:val="0"/>
              <w:marTop w:val="0"/>
              <w:marBottom w:val="0"/>
              <w:divBdr>
                <w:top w:val="none" w:sz="0" w:space="0" w:color="auto"/>
                <w:left w:val="none" w:sz="0" w:space="0" w:color="auto"/>
                <w:bottom w:val="none" w:sz="0" w:space="0" w:color="auto"/>
                <w:right w:val="none" w:sz="0" w:space="0" w:color="auto"/>
              </w:divBdr>
            </w:div>
            <w:div w:id="922954631">
              <w:marLeft w:val="0"/>
              <w:marRight w:val="0"/>
              <w:marTop w:val="0"/>
              <w:marBottom w:val="0"/>
              <w:divBdr>
                <w:top w:val="none" w:sz="0" w:space="0" w:color="auto"/>
                <w:left w:val="none" w:sz="0" w:space="0" w:color="auto"/>
                <w:bottom w:val="none" w:sz="0" w:space="0" w:color="auto"/>
                <w:right w:val="none" w:sz="0" w:space="0" w:color="auto"/>
              </w:divBdr>
            </w:div>
            <w:div w:id="179543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370627">
      <w:bodyDiv w:val="1"/>
      <w:marLeft w:val="0"/>
      <w:marRight w:val="0"/>
      <w:marTop w:val="0"/>
      <w:marBottom w:val="0"/>
      <w:divBdr>
        <w:top w:val="none" w:sz="0" w:space="0" w:color="auto"/>
        <w:left w:val="none" w:sz="0" w:space="0" w:color="auto"/>
        <w:bottom w:val="none" w:sz="0" w:space="0" w:color="auto"/>
        <w:right w:val="none" w:sz="0" w:space="0" w:color="auto"/>
      </w:divBdr>
    </w:div>
    <w:div w:id="1321159848">
      <w:bodyDiv w:val="1"/>
      <w:marLeft w:val="0"/>
      <w:marRight w:val="0"/>
      <w:marTop w:val="0"/>
      <w:marBottom w:val="0"/>
      <w:divBdr>
        <w:top w:val="none" w:sz="0" w:space="0" w:color="auto"/>
        <w:left w:val="none" w:sz="0" w:space="0" w:color="auto"/>
        <w:bottom w:val="none" w:sz="0" w:space="0" w:color="auto"/>
        <w:right w:val="none" w:sz="0" w:space="0" w:color="auto"/>
      </w:divBdr>
      <w:divsChild>
        <w:div w:id="507212952">
          <w:marLeft w:val="0"/>
          <w:marRight w:val="0"/>
          <w:marTop w:val="0"/>
          <w:marBottom w:val="0"/>
          <w:divBdr>
            <w:top w:val="none" w:sz="0" w:space="0" w:color="auto"/>
            <w:left w:val="none" w:sz="0" w:space="0" w:color="auto"/>
            <w:bottom w:val="none" w:sz="0" w:space="0" w:color="auto"/>
            <w:right w:val="none" w:sz="0" w:space="0" w:color="auto"/>
          </w:divBdr>
        </w:div>
        <w:div w:id="662124036">
          <w:marLeft w:val="0"/>
          <w:marRight w:val="0"/>
          <w:marTop w:val="0"/>
          <w:marBottom w:val="0"/>
          <w:divBdr>
            <w:top w:val="none" w:sz="0" w:space="0" w:color="auto"/>
            <w:left w:val="none" w:sz="0" w:space="0" w:color="auto"/>
            <w:bottom w:val="none" w:sz="0" w:space="0" w:color="auto"/>
            <w:right w:val="none" w:sz="0" w:space="0" w:color="auto"/>
          </w:divBdr>
        </w:div>
      </w:divsChild>
    </w:div>
    <w:div w:id="1491479792">
      <w:bodyDiv w:val="1"/>
      <w:marLeft w:val="0"/>
      <w:marRight w:val="0"/>
      <w:marTop w:val="0"/>
      <w:marBottom w:val="0"/>
      <w:divBdr>
        <w:top w:val="none" w:sz="0" w:space="0" w:color="auto"/>
        <w:left w:val="none" w:sz="0" w:space="0" w:color="auto"/>
        <w:bottom w:val="none" w:sz="0" w:space="0" w:color="auto"/>
        <w:right w:val="none" w:sz="0" w:space="0" w:color="auto"/>
      </w:divBdr>
    </w:div>
    <w:div w:id="1841852127">
      <w:bodyDiv w:val="1"/>
      <w:marLeft w:val="0"/>
      <w:marRight w:val="0"/>
      <w:marTop w:val="0"/>
      <w:marBottom w:val="0"/>
      <w:divBdr>
        <w:top w:val="none" w:sz="0" w:space="0" w:color="auto"/>
        <w:left w:val="none" w:sz="0" w:space="0" w:color="auto"/>
        <w:bottom w:val="none" w:sz="0" w:space="0" w:color="auto"/>
        <w:right w:val="none" w:sz="0" w:space="0" w:color="auto"/>
      </w:divBdr>
      <w:divsChild>
        <w:div w:id="269894447">
          <w:marLeft w:val="0"/>
          <w:marRight w:val="0"/>
          <w:marTop w:val="0"/>
          <w:marBottom w:val="0"/>
          <w:divBdr>
            <w:top w:val="none" w:sz="0" w:space="0" w:color="auto"/>
            <w:left w:val="none" w:sz="0" w:space="0" w:color="auto"/>
            <w:bottom w:val="none" w:sz="0" w:space="0" w:color="auto"/>
            <w:right w:val="none" w:sz="0" w:space="0" w:color="auto"/>
          </w:divBdr>
        </w:div>
        <w:div w:id="253704561">
          <w:marLeft w:val="0"/>
          <w:marRight w:val="0"/>
          <w:marTop w:val="0"/>
          <w:marBottom w:val="0"/>
          <w:divBdr>
            <w:top w:val="none" w:sz="0" w:space="0" w:color="auto"/>
            <w:left w:val="none" w:sz="0" w:space="0" w:color="auto"/>
            <w:bottom w:val="none" w:sz="0" w:space="0" w:color="auto"/>
            <w:right w:val="none" w:sz="0" w:space="0" w:color="auto"/>
          </w:divBdr>
        </w:div>
        <w:div w:id="1091895713">
          <w:marLeft w:val="0"/>
          <w:marRight w:val="0"/>
          <w:marTop w:val="0"/>
          <w:marBottom w:val="0"/>
          <w:divBdr>
            <w:top w:val="none" w:sz="0" w:space="0" w:color="auto"/>
            <w:left w:val="none" w:sz="0" w:space="0" w:color="auto"/>
            <w:bottom w:val="none" w:sz="0" w:space="0" w:color="auto"/>
            <w:right w:val="none" w:sz="0" w:space="0" w:color="auto"/>
          </w:divBdr>
        </w:div>
        <w:div w:id="1941909204">
          <w:marLeft w:val="0"/>
          <w:marRight w:val="0"/>
          <w:marTop w:val="0"/>
          <w:marBottom w:val="0"/>
          <w:divBdr>
            <w:top w:val="none" w:sz="0" w:space="0" w:color="auto"/>
            <w:left w:val="none" w:sz="0" w:space="0" w:color="auto"/>
            <w:bottom w:val="none" w:sz="0" w:space="0" w:color="auto"/>
            <w:right w:val="none" w:sz="0" w:space="0" w:color="auto"/>
          </w:divBdr>
        </w:div>
        <w:div w:id="109976521">
          <w:marLeft w:val="0"/>
          <w:marRight w:val="0"/>
          <w:marTop w:val="0"/>
          <w:marBottom w:val="0"/>
          <w:divBdr>
            <w:top w:val="none" w:sz="0" w:space="0" w:color="auto"/>
            <w:left w:val="none" w:sz="0" w:space="0" w:color="auto"/>
            <w:bottom w:val="none" w:sz="0" w:space="0" w:color="auto"/>
            <w:right w:val="none" w:sz="0" w:space="0" w:color="auto"/>
          </w:divBdr>
        </w:div>
      </w:divsChild>
    </w:div>
    <w:div w:id="206270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Abbr="pr." Title="TEISĖS AKTŲ PROJEKTŲ ANTIKORUPCINIO VERTINIMO PAŽYMA" DocPartId="31d3dfafc05e4b68b0a8c281ad4455b1" PartId="5d9ce1b095784586a6d73df67ca04735"/>
</Parts>
</file>

<file path=customXml/itemProps1.xml><?xml version="1.0" encoding="utf-8"?>
<ds:datastoreItem xmlns:ds="http://schemas.openxmlformats.org/officeDocument/2006/customXml" ds:itemID="{640D2042-BAB1-47F5-B415-B67A6FD1502F}">
  <ds:schemaRefs>
    <ds:schemaRef ds:uri="http://schemas.openxmlformats.org/officeDocument/2006/bibliography"/>
  </ds:schemaRefs>
</ds:datastoreItem>
</file>

<file path=customXml/itemProps2.xml><?xml version="1.0" encoding="utf-8"?>
<ds:datastoreItem xmlns:ds="http://schemas.openxmlformats.org/officeDocument/2006/customXml" ds:itemID="{858E1BF9-E56A-455A-A32A-73E92574A2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1165</Words>
  <Characters>8615</Characters>
  <Application>Microsoft Office Word</Application>
  <DocSecurity>4</DocSecurity>
  <Lines>410</Lines>
  <Paragraphs>148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9632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2023-02-09T06:30:00Z</dcterms:created>
  <dc:creator>Remigijus Alavočius</dc:creator>
  <lastModifiedBy>adlibuser</lastModifiedBy>
  <dcterms:modified xsi:type="dcterms:W3CDTF">2023-02-09T06:30:00Z</dcterms:modified>
  <revision>2</revision>
</coreProperties>
</file>