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6f337c01d8b45059cfc5148bd73c3e4"/>
        <w:lock w:val="sdtLocked"/>
        <w:richText/>
      </w:sdtPr>
      <w:sdtContent>
        <w:tbl>
          <w:tblPr>
            <w:tblW w:w="9638" w:type="dxa"/>
            <w:tblInd w:w="55" w:type="dxa"/>
            <w:tblLayout w:type="fixed"/>
            <w:tblCellMar>
              <w:top w:w="55" w:type="dxa"/>
              <w:left w:w="55" w:type="dxa"/>
              <w:bottom w:w="55" w:type="dxa"/>
              <w:right w:w="55" w:type="dxa"/>
            </w:tblCellMar>
            <w:tblLook w:val="04A0" w:firstRow="1" w:lastRow="0" w:firstColumn="1" w:lastColumn="0" w:noHBand="0" w:noVBand="1"/>
          </w:tblPr>
          <w:tblGrid>
            <w:gridCol w:w="5529"/>
            <w:gridCol w:w="141"/>
            <w:gridCol w:w="1270"/>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Times New Roman" w:cs="Tahoma"/>
                    <w:szCs w:val="24"/>
                    <w:lang w:eastAsia="zh-CN" w:bidi="en-US"/>
                  </w:rPr>
                </w:pPr>
              </w:p>
              <w:p>
                <w:pPr>
                  <w:rPr>
                    <w:sz w:val="10"/>
                    <w:szCs w:val="10"/>
                  </w:rPr>
                </w:pPr>
              </w:p>
              <w:p>
                <w:pPr>
                  <w:widowControl w:val="0"/>
                  <w:suppressLineNumbers/>
                  <w:suppressAutoHyphens/>
                  <w:jc w:val="center"/>
                  <w:rPr>
                    <w:rFonts w:eastAsia="Andale Sans UI;Times New Roman" w:cs="Tahoma"/>
                    <w:i/>
                    <w:iCs/>
                    <w:sz w:val="28"/>
                    <w:szCs w:val="28"/>
                    <w:lang w:eastAsia="zh-CN" w:bidi="en-US"/>
                  </w:rPr>
                </w:pPr>
                <w:r>
                  <w:rPr>
                    <w:rFonts w:eastAsia="Andale Sans UI;Times New Roman" w:cs="Tahoma"/>
                    <w:i/>
                    <w:iCs/>
                    <w:sz w:val="20"/>
                    <w:lang w:val="en-US"/>
                  </w:rPr>
                  <w:drawing>
                    <wp:inline distT="0" distB="0" distL="0" distR="0">
                      <wp:extent cx="522605" cy="617855"/>
                      <wp:effectExtent l="0" t="0" r="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6"/>
                              <a:srcRect l="-11" t="-9" r="-11" b="-9"/>
                              <a:stretch>
                                <a:fillRect/>
                              </a:stretch>
                            </pic:blipFill>
                            <pic:spPr bwMode="auto">
                              <a:xfrm>
                                <a:off x="0" y="0"/>
                                <a:ext cx="522605" cy="617855"/>
                              </a:xfrm>
                              <a:prstGeom prst="rect">
                                <a:avLst/>
                              </a:prstGeom>
                            </pic:spPr>
                          </pic:pic>
                        </a:graphicData>
                      </a:graphic>
                    </wp:inline>
                  </w:drawing>
                </w:r>
              </w:p>
              <w:p>
                <w:pPr>
                  <w:rPr>
                    <w:sz w:val="10"/>
                    <w:szCs w:val="10"/>
                  </w:rPr>
                </w:pPr>
              </w:p>
              <w:p>
                <w:pPr>
                  <w:widowControl w:val="0"/>
                  <w:suppressLineNumbers/>
                  <w:suppressAutoHyphens/>
                  <w:jc w:val="center"/>
                  <w:rPr>
                    <w:rFonts w:eastAsia="Andale Sans UI;Times New Roman" w:cs="Tahoma"/>
                    <w:b/>
                    <w:bCs/>
                    <w:spacing w:val="20"/>
                    <w:sz w:val="28"/>
                    <w:szCs w:val="28"/>
                    <w:lang w:eastAsia="zh-CN" w:bidi="en-US"/>
                  </w:rPr>
                </w:pPr>
                <w:r>
                  <w:rPr>
                    <w:rFonts w:eastAsia="Andale Sans UI;Times New Roman" w:cs="Tahoma"/>
                    <w:b/>
                    <w:bCs/>
                    <w:spacing w:val="20"/>
                    <w:sz w:val="28"/>
                    <w:szCs w:val="28"/>
                    <w:lang w:eastAsia="zh-CN" w:bidi="en-US"/>
                  </w:rPr>
                  <w:t>LIETUVOS RESPUBLIKOS APLINKOS MINISTERIJA</w:t>
                </w:r>
              </w:p>
              <w:p>
                <w:pPr>
                  <w:rPr>
                    <w:sz w:val="10"/>
                    <w:szCs w:val="10"/>
                  </w:rPr>
                </w:pPr>
              </w:p>
              <w:p>
                <w:pPr>
                  <w:widowControl w:val="0"/>
                  <w:suppressLineNumbers/>
                  <w:suppressAutoHyphens/>
                  <w:jc w:val="center"/>
                  <w:rPr>
                    <w:rFonts w:eastAsia="Andale Sans UI;Times New Roman" w:cs="Tahoma"/>
                    <w:szCs w:val="24"/>
                    <w:lang w:eastAsia="zh-CN" w:bidi="en-US"/>
                  </w:rPr>
                </w:pPr>
                <w:r>
                  <w:rPr>
                    <w:rFonts w:ascii="Arial" w:eastAsia="Andale Sans UI;Times New Roman" w:hAnsi="Arial" w:cs="Arial"/>
                    <w:b/>
                    <w:bCs/>
                    <w:spacing w:val="12"/>
                    <w:sz w:val="14"/>
                    <w:szCs w:val="14"/>
                    <w:lang w:eastAsia="zh-CN" w:bidi="en-US"/>
                  </w:rPr>
                  <w:t>Biudžetinė įstaiga, A. Jakšto g. 4, LT-01105 Vilnius,</w:t>
                </w:r>
              </w:p>
              <w:p>
                <w:pPr>
                  <w:widowControl w:val="0"/>
                  <w:suppressLineNumbers/>
                  <w:suppressAutoHyphens/>
                  <w:jc w:val="center"/>
                  <w:rPr>
                    <w:rFonts w:ascii="Arial" w:eastAsia="Andale Sans UI;Times New Roman" w:hAnsi="Arial" w:cs="Arial"/>
                    <w:b/>
                    <w:bCs/>
                    <w:spacing w:val="12"/>
                    <w:sz w:val="14"/>
                    <w:szCs w:val="14"/>
                    <w:lang w:eastAsia="zh-CN" w:bidi="en-US"/>
                  </w:rPr>
                </w:pPr>
                <w:r>
                  <w:rPr>
                    <w:rFonts w:ascii="Arial" w:eastAsia="Andale Sans UI;Times New Roman" w:hAnsi="Arial" w:cs="Arial"/>
                    <w:b/>
                    <w:bCs/>
                    <w:spacing w:val="12"/>
                    <w:sz w:val="14"/>
                    <w:szCs w:val="14"/>
                    <w:lang w:eastAsia="zh-CN" w:bidi="en-US"/>
                  </w:rPr>
                  <w:t>tel. (8~5) 266 3661, el. p. info@am.lt, http://www.am.lt.</w:t>
                </w:r>
              </w:p>
              <w:p>
                <w:pPr>
                  <w:widowControl w:val="0"/>
                  <w:suppressLineNumbers/>
                  <w:suppressAutoHyphens/>
                  <w:jc w:val="center"/>
                  <w:rPr>
                    <w:rFonts w:ascii="Arial" w:eastAsia="Andale Sans UI;Times New Roman" w:hAnsi="Arial" w:cs="Arial"/>
                    <w:b/>
                    <w:bCs/>
                    <w:spacing w:val="12"/>
                    <w:sz w:val="14"/>
                    <w:szCs w:val="14"/>
                    <w:lang w:eastAsia="zh-CN" w:bidi="en-US"/>
                  </w:rPr>
                </w:pPr>
                <w:r>
                  <w:rPr>
                    <w:rFonts w:ascii="Arial" w:eastAsia="Andale Sans UI;Times New Roman" w:hAnsi="Arial" w:cs="Arial"/>
                    <w:b/>
                    <w:bCs/>
                    <w:spacing w:val="12"/>
                    <w:sz w:val="14"/>
                    <w:szCs w:val="14"/>
                    <w:lang w:eastAsia="zh-CN"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snapToGrid w:val="0"/>
                  <w:rPr>
                    <w:rFonts w:ascii="Arial" w:eastAsia="Andale Sans UI;Times New Roman" w:hAnsi="Arial" w:cs="Arial"/>
                    <w:b/>
                    <w:bCs/>
                    <w:spacing w:val="12"/>
                    <w:sz w:val="14"/>
                    <w:szCs w:val="14"/>
                    <w:lang w:eastAsia="zh-CN" w:bidi="en-US"/>
                  </w:rPr>
                </w:pPr>
              </w:p>
            </w:tc>
          </w:tr>
          <w:tr>
            <w:trPr>
              <w:cantSplit/>
              <w:trHeight w:val="340"/>
            </w:trPr>
            <w:tc>
              <w:tcPr>
                <w:tcW w:w="5529" w:type="dxa"/>
                <w:vMerge w:val="restart"/>
                <w:tcMar>
                  <w:top w:w="0" w:type="dxa"/>
                  <w:left w:w="0" w:type="dxa"/>
                  <w:bottom w:w="0" w:type="dxa"/>
                  <w:right w:w="0" w:type="dxa"/>
                </w:tcMar>
              </w:tcPr>
              <w:p>
                <w:pPr>
                  <w:widowControl w:val="0"/>
                  <w:suppressLineNumbers/>
                  <w:suppressAutoHyphens/>
                  <w:rPr>
                    <w:rFonts w:eastAsia="Andale Sans UI;Times New Roman" w:cs="Tahoma"/>
                    <w:szCs w:val="24"/>
                    <w:lang w:eastAsia="zh-CN" w:bidi="en-US"/>
                  </w:rPr>
                </w:pPr>
                <w:r>
                  <w:rPr>
                    <w:rFonts w:eastAsia="Andale Sans UI;Times New Roman" w:cs="Tahoma"/>
                    <w:szCs w:val="24"/>
                    <w:lang w:eastAsia="zh-CN" w:bidi="en-US"/>
                  </w:rPr>
                  <w:t>Pagal adresatų sąrašą</w:t>
                </w:r>
              </w:p>
              <w:p>
                <w:pPr>
                  <w:widowControl w:val="0"/>
                  <w:suppressLineNumbers/>
                  <w:suppressAutoHyphens/>
                  <w:rPr>
                    <w:rFonts w:eastAsia="Andale Sans UI;Times New Roman" w:cs="Tahoma"/>
                    <w:szCs w:val="24"/>
                    <w:lang w:eastAsia="zh-CN" w:bidi="en-US"/>
                  </w:rPr>
                </w:pPr>
              </w:p>
            </w:tc>
            <w:tc>
              <w:tcPr>
                <w:tcW w:w="141" w:type="dxa"/>
                <w:tcMar>
                  <w:top w:w="0" w:type="dxa"/>
                  <w:left w:w="0" w:type="dxa"/>
                  <w:bottom w:w="0" w:type="dxa"/>
                  <w:right w:w="0" w:type="dxa"/>
                </w:tcMar>
              </w:tcPr>
              <w:p>
                <w:pPr>
                  <w:widowControl w:val="0"/>
                  <w:suppressAutoHyphens/>
                  <w:snapToGrid w:val="0"/>
                  <w:ind w:right="67"/>
                  <w:jc w:val="right"/>
                  <w:rPr>
                    <w:rFonts w:eastAsia="Andale Sans UI;Times New Roman" w:cs="Tahoma"/>
                    <w:spacing w:val="10"/>
                    <w:szCs w:val="24"/>
                    <w:lang w:eastAsia="zh-CN" w:bidi="en-US"/>
                  </w:rPr>
                </w:pPr>
              </w:p>
            </w:tc>
            <w:tc>
              <w:tcPr>
                <w:tcW w:w="1270" w:type="dxa"/>
                <w:tcMar>
                  <w:top w:w="0" w:type="dxa"/>
                  <w:left w:w="0" w:type="dxa"/>
                  <w:bottom w:w="0" w:type="dxa"/>
                  <w:right w:w="0" w:type="dxa"/>
                </w:tcMar>
              </w:tcPr>
              <w:p>
                <w:pPr>
                  <w:widowControl w:val="0"/>
                  <w:suppressLineNumbers/>
                  <w:suppressAutoHyphens/>
                  <w:snapToGrid w:val="0"/>
                  <w:ind w:right="67"/>
                  <w:rPr>
                    <w:rFonts w:eastAsia="Andale Sans UI;Times New Roman" w:cs="Tahoma"/>
                    <w:spacing w:val="10"/>
                    <w:szCs w:val="24"/>
                    <w:lang w:eastAsia="zh-CN" w:bidi="en-US"/>
                  </w:rPr>
                </w:pPr>
              </w:p>
            </w:tc>
            <w:tc>
              <w:tcPr>
                <w:tcW w:w="565" w:type="dxa"/>
              </w:tcPr>
              <w:p>
                <w:pPr>
                  <w:widowControl w:val="0"/>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Nr.</w:t>
                </w:r>
              </w:p>
            </w:tc>
            <w:tc>
              <w:tcPr>
                <w:tcW w:w="2133" w:type="dxa"/>
              </w:tcPr>
              <w:p>
                <w:pPr>
                  <w:widowControl w:val="0"/>
                  <w:suppressLineNumbers/>
                  <w:suppressAutoHyphens/>
                  <w:snapToGrid w:val="0"/>
                  <w:ind w:right="67"/>
                  <w:rPr>
                    <w:rFonts w:eastAsia="Andale Sans UI;Times New Roman" w:cs="Tahoma"/>
                    <w:spacing w:val="10"/>
                    <w:szCs w:val="24"/>
                    <w:lang w:eastAsia="zh-CN" w:bidi="en-US"/>
                  </w:rPr>
                </w:pPr>
              </w:p>
            </w:tc>
          </w:tr>
          <w:tr>
            <w:trPr>
              <w:cantSplit/>
              <w:trHeight w:val="340"/>
            </w:trPr>
            <w:tc>
              <w:tcPr>
                <w:tcW w:w="5529" w:type="dxa"/>
                <w:vMerge/>
                <w:tcMar>
                  <w:top w:w="0" w:type="dxa"/>
                  <w:left w:w="0" w:type="dxa"/>
                  <w:bottom w:w="0" w:type="dxa"/>
                  <w:right w:w="0" w:type="dxa"/>
                </w:tcMar>
              </w:tcPr>
              <w:p>
                <w:pPr>
                  <w:widowControl w:val="0"/>
                  <w:suppressAutoHyphens/>
                  <w:snapToGrid w:val="0"/>
                  <w:rPr>
                    <w:rFonts w:eastAsia="Andale Sans UI;Times New Roman" w:cs="Tahoma"/>
                    <w:szCs w:val="24"/>
                    <w:lang w:eastAsia="zh-CN" w:bidi="en-US"/>
                  </w:rPr>
                </w:pPr>
              </w:p>
            </w:tc>
            <w:tc>
              <w:tcPr>
                <w:tcW w:w="141" w:type="dxa"/>
                <w:tcMar>
                  <w:top w:w="0" w:type="dxa"/>
                  <w:left w:w="0" w:type="dxa"/>
                  <w:bottom w:w="0" w:type="dxa"/>
                  <w:right w:w="0" w:type="dxa"/>
                </w:tcMar>
              </w:tcPr>
              <w:p>
                <w:pPr>
                  <w:widowControl w:val="0"/>
                  <w:tabs>
                    <w:tab w:val="left" w:pos="2869"/>
                  </w:tabs>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Į</w:t>
                </w:r>
              </w:p>
            </w:tc>
            <w:tc>
              <w:tcPr>
                <w:tcW w:w="1270" w:type="dxa"/>
                <w:tcMar>
                  <w:top w:w="0" w:type="dxa"/>
                  <w:left w:w="0" w:type="dxa"/>
                  <w:bottom w:w="0" w:type="dxa"/>
                  <w:right w:w="0" w:type="dxa"/>
                </w:tcMar>
              </w:tcPr>
              <w:p>
                <w:pPr>
                  <w:widowControl w:val="0"/>
                  <w:suppressLineNumbers/>
                  <w:suppressAutoHyphens/>
                  <w:snapToGrid w:val="0"/>
                  <w:ind w:right="67"/>
                  <w:rPr>
                    <w:rFonts w:eastAsia="Andale Sans UI;Times New Roman" w:cs="Tahoma"/>
                    <w:spacing w:val="10"/>
                    <w:szCs w:val="24"/>
                    <w:lang w:eastAsia="zh-CN" w:bidi="en-US"/>
                  </w:rPr>
                </w:pPr>
              </w:p>
            </w:tc>
            <w:tc>
              <w:tcPr>
                <w:tcW w:w="565" w:type="dxa"/>
              </w:tcPr>
              <w:p>
                <w:pPr>
                  <w:widowControl w:val="0"/>
                  <w:tabs>
                    <w:tab w:val="left" w:pos="2869"/>
                  </w:tabs>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Nr.</w:t>
                </w:r>
              </w:p>
            </w:tc>
            <w:tc>
              <w:tcPr>
                <w:tcW w:w="2133" w:type="dxa"/>
              </w:tcPr>
              <w:p>
                <w:pPr>
                  <w:widowControl w:val="0"/>
                  <w:suppressLineNumbers/>
                  <w:suppressAutoHyphens/>
                  <w:snapToGrid w:val="0"/>
                  <w:ind w:right="67"/>
                  <w:rPr>
                    <w:rFonts w:eastAsia="Andale Sans UI;Times New Roman" w:cs="Tahoma"/>
                    <w:spacing w:val="10"/>
                    <w:szCs w:val="24"/>
                    <w:lang w:eastAsia="zh-CN" w:bidi="en-US"/>
                  </w:rPr>
                </w:pPr>
              </w:p>
            </w:tc>
          </w:tr>
          <w:tr>
            <w:trPr>
              <w:cantSplit/>
            </w:trPr>
            <w:tc>
              <w:tcPr>
                <w:tcW w:w="5529" w:type="dxa"/>
                <w:vMerge/>
                <w:tcMar>
                  <w:top w:w="0" w:type="dxa"/>
                  <w:left w:w="0" w:type="dxa"/>
                  <w:bottom w:w="0" w:type="dxa"/>
                  <w:right w:w="0" w:type="dxa"/>
                </w:tcMar>
              </w:tcPr>
              <w:p>
                <w:pPr>
                  <w:widowControl w:val="0"/>
                  <w:suppressAutoHyphens/>
                  <w:snapToGrid w:val="0"/>
                  <w:rPr>
                    <w:rFonts w:eastAsia="Andale Sans UI;Times New Roman" w:cs="Tahoma"/>
                    <w:szCs w:val="24"/>
                    <w:lang w:eastAsia="zh-CN" w:bidi="en-US"/>
                  </w:rPr>
                </w:pPr>
              </w:p>
            </w:tc>
            <w:tc>
              <w:tcPr>
                <w:tcW w:w="4109" w:type="dxa"/>
                <w:gridSpan w:val="4"/>
                <w:tcMar>
                  <w:top w:w="0" w:type="dxa"/>
                  <w:left w:w="0" w:type="dxa"/>
                  <w:bottom w:w="0" w:type="dxa"/>
                  <w:right w:w="0" w:type="dxa"/>
                </w:tcMar>
              </w:tcPr>
              <w:p>
                <w:pPr>
                  <w:widowControl w:val="0"/>
                  <w:tabs>
                    <w:tab w:val="left" w:pos="2869"/>
                  </w:tabs>
                  <w:suppressAutoHyphens/>
                  <w:snapToGrid w:val="0"/>
                  <w:ind w:right="67"/>
                  <w:rPr>
                    <w:rFonts w:eastAsia="Andale Sans UI;Times New Roman" w:cs="Tahoma"/>
                    <w:spacing w:val="10"/>
                    <w:szCs w:val="24"/>
                    <w:lang w:eastAsia="zh-CN"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jc w:val="both"/>
                  <w:rPr>
                    <w:rFonts w:eastAsia="Andale Sans UI;Times New Roman" w:cs="Tahoma"/>
                    <w:b/>
                    <w:bCs/>
                    <w:szCs w:val="24"/>
                    <w:lang w:eastAsia="zh-CN" w:bidi="en-US"/>
                  </w:rPr>
                </w:pPr>
                <w:r>
                  <w:rPr>
                    <w:rFonts w:eastAsia="Andale Sans UI;Times New Roman" w:cs="Tahoma"/>
                    <w:b/>
                    <w:bCs/>
                    <w:caps/>
                    <w:szCs w:val="24"/>
                    <w:lang w:eastAsia="zh-CN" w:bidi="en-US"/>
                  </w:rPr>
                  <w:t xml:space="preserve">dėl VYRIAUSYBĖS NUTARIMo projekto </w:t>
                </w:r>
              </w:p>
            </w:tc>
          </w:tr>
        </w:tbl>
        <w:p>
          <w:pPr>
            <w:widowControl w:val="0"/>
            <w:suppressAutoHyphens/>
            <w:spacing w:line="360" w:lineRule="auto"/>
            <w:ind w:firstLine="567"/>
            <w:jc w:val="both"/>
            <w:rPr>
              <w:rFonts w:eastAsia="Andale Sans UI;Times New Roman" w:cs="Tahoma"/>
              <w:szCs w:val="24"/>
              <w:lang w:eastAsia="zh-CN" w:bidi="en-US"/>
            </w:rPr>
          </w:pPr>
        </w:p>
      </w:sdtContent>
    </w:sdt>
    <w:sdt>
      <w:sdtPr>
        <w:alias w:val="pastraipa"/>
        <w:tag w:val="part_6f3d81ec47514a79a28f62176a39363d"/>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Aplinkos ministerija teikia išvadoms gauti Lietuvos Respublikos Vyriausybės nutarimo „Dėl Lietuvos Respublikos Vyriausybės 2007 m. sausio 29 d. nutarimo Nr. 88 „Dėl Geriamojo vandens tiekimo ir nuotekų tvarkymo infrastruktūros objektų perėmimo arba išpirkimo tvarkos aprašo patvirtinimo“ pakeitimo“ projektą (toliau – Projektas).</w:t>
          </w:r>
        </w:p>
      </w:sdtContent>
    </w:sdt>
    <w:sdt>
      <w:sdtPr>
        <w:alias w:val="pastraipa"/>
        <w:tag w:val="part_28791ba51d7b478a8276a7d49c475b1a"/>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i/>
              <w:szCs w:val="24"/>
              <w:lang w:eastAsia="zh-CN" w:bidi="en-US"/>
            </w:rPr>
            <w:t>Projekto tikslas</w:t>
          </w:r>
        </w:p>
      </w:sdtContent>
    </w:sdt>
    <w:sdt>
      <w:sdtPr>
        <w:alias w:val="pastraipa"/>
        <w:tag w:val="part_cacc9f24af204e708aa88055d7587bff"/>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Projektu siekiama suvienodinti nuostatas su Lietuvos Respublikos geriamojo vandens tiekimo ir nuotekų tvarkymo įstatymo Nr. X-764 pakeitimo įstatymo Nr. XIV-1466 (toliau – Įstatymas) nuostatomis. </w:t>
          </w:r>
        </w:p>
      </w:sdtContent>
    </w:sdt>
    <w:sdt>
      <w:sdtPr>
        <w:alias w:val="pastraipa"/>
        <w:tag w:val="part_e307f1ebd81d4a799485f54803910987"/>
        <w:lock w:val="sdtLocked"/>
        <w:richText/>
      </w:sdtPr>
      <w:sdtContent>
        <w:p>
          <w:pPr>
            <w:widowControl w:val="0"/>
            <w:suppressAutoHyphens/>
            <w:ind w:firstLine="567"/>
            <w:jc w:val="both"/>
            <w:rPr>
              <w:rFonts w:eastAsia="Andale Sans UI;Times New Roman" w:cs="Tahoma"/>
              <w:i/>
              <w:szCs w:val="24"/>
              <w:lang w:eastAsia="zh-CN" w:bidi="en-US"/>
            </w:rPr>
          </w:pPr>
          <w:r>
            <w:rPr>
              <w:rFonts w:eastAsia="Andale Sans UI;Times New Roman" w:cs="Tahoma"/>
              <w:i/>
              <w:szCs w:val="24"/>
              <w:lang w:eastAsia="zh-CN" w:bidi="en-US"/>
            </w:rPr>
            <w:t>Problema ir poreikio keisti reguliavimą šaltinis</w:t>
          </w:r>
        </w:p>
      </w:sdtContent>
    </w:sdt>
    <w:sdt>
      <w:sdtPr>
        <w:alias w:val="pastraipa"/>
        <w:tag w:val="part_c6bcb2530d62418b8721437ad906182a"/>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color w:val="000000"/>
              <w:szCs w:val="24"/>
              <w:lang w:eastAsia="zh-CN" w:bidi="en-US"/>
            </w:rPr>
            <w:t>Projektas parengtas vadovaujantis Įstatymo 2 straipsnio</w:t>
          </w:r>
          <w:r>
            <w:rPr>
              <w:rFonts w:eastAsia="Andale Sans UI;Times New Roman" w:cs="Tahoma"/>
              <w:szCs w:val="24"/>
              <w:lang w:eastAsia="zh-CN" w:bidi="en-US"/>
            </w:rPr>
            <w:t xml:space="preserve"> „</w:t>
          </w:r>
          <w:r>
            <w:rPr>
              <w:rFonts w:eastAsia="Andale Sans UI;Times New Roman" w:cs="Tahoma"/>
              <w:color w:val="000000"/>
              <w:szCs w:val="24"/>
              <w:lang w:eastAsia="zh-CN" w:bidi="en-US"/>
            </w:rPr>
            <w:t>Įstatymo įgyvendinimas ir taikymas“ 1 dalies nuostatomis</w:t>
          </w:r>
          <w:r>
            <w:rPr>
              <w:rFonts w:eastAsia="Andale Sans UI;Times New Roman" w:cs="Tahoma"/>
              <w:color w:val="000000"/>
              <w:szCs w:val="24"/>
              <w:vertAlign w:val="superscript"/>
              <w:lang w:eastAsia="zh-CN" w:bidi="en-US"/>
            </w:rPr>
            <w:footnoteReference w:id="1"/>
          </w:r>
          <w:r>
            <w:rPr>
              <w:rFonts w:eastAsia="Andale Sans UI;Times New Roman" w:cs="Tahoma"/>
              <w:color w:val="000000"/>
              <w:szCs w:val="24"/>
              <w:lang w:eastAsia="zh-CN" w:bidi="en-US"/>
            </w:rPr>
            <w:t xml:space="preserve"> ir atsižvelgus į vandentvarkos įmonių pastabas bei pasiūlymus.</w:t>
          </w:r>
        </w:p>
      </w:sdtContent>
    </w:sdt>
    <w:sdt>
      <w:sdtPr>
        <w:alias w:val="pastraipa"/>
        <w:tag w:val="part_0d507bf3e2ca4d4a98a9ae159c72fdac"/>
        <w:lock w:val="sdtLocked"/>
        <w:richText/>
      </w:sdtPr>
      <w:sdtContent>
        <w:p>
          <w:pPr>
            <w:widowControl w:val="0"/>
            <w:suppressAutoHyphens/>
            <w:ind w:firstLine="567"/>
            <w:jc w:val="both"/>
            <w:rPr>
              <w:rFonts w:eastAsia="Andale Sans UI;Times New Roman" w:cs="Tahoma"/>
              <w:i/>
              <w:szCs w:val="24"/>
              <w:lang w:eastAsia="en-GB" w:bidi="en-US"/>
            </w:rPr>
          </w:pPr>
          <w:r>
            <w:rPr>
              <w:rFonts w:eastAsia="Andale Sans UI;Times New Roman" w:cs="Tahoma"/>
              <w:i/>
              <w:szCs w:val="24"/>
              <w:lang w:eastAsia="zh-CN" w:bidi="en-US"/>
            </w:rPr>
            <w:t>Sprendimo priemonės, į</w:t>
          </w:r>
          <w:r>
            <w:rPr>
              <w:rFonts w:eastAsia="Andale Sans UI;Times New Roman" w:cs="Tahoma"/>
              <w:i/>
              <w:szCs w:val="24"/>
              <w:lang w:eastAsia="en-GB" w:bidi="en-US"/>
            </w:rPr>
            <w:t>gyvendinimo kaštai, n</w:t>
          </w:r>
          <w:r>
            <w:rPr>
              <w:rFonts w:eastAsia="Andale Sans UI;Times New Roman" w:cs="Tahoma"/>
              <w:bCs/>
              <w:i/>
              <w:szCs w:val="24"/>
              <w:lang w:eastAsia="zh-CN" w:bidi="en-US"/>
            </w:rPr>
            <w:t>auda</w:t>
          </w:r>
          <w:r>
            <w:rPr>
              <w:rFonts w:eastAsia="Andale Sans UI;Times New Roman" w:cs="Tahoma"/>
              <w:szCs w:val="24"/>
              <w:lang w:eastAsia="zh-CN" w:bidi="en-US"/>
            </w:rPr>
            <w:t xml:space="preserve">, </w:t>
          </w:r>
          <w:r>
            <w:rPr>
              <w:rFonts w:eastAsia="Andale Sans UI;Times New Roman" w:cs="Tahoma"/>
              <w:bCs/>
              <w:i/>
              <w:szCs w:val="24"/>
              <w:lang w:eastAsia="zh-CN" w:bidi="en-US"/>
            </w:rPr>
            <w:t>juos patirsiantys subjektai ir asmenų grupės, rezultatas, kurio tikimasi</w:t>
          </w:r>
        </w:p>
      </w:sdtContent>
    </w:sdt>
    <w:sdt>
      <w:sdtPr>
        <w:alias w:val="pastraipa"/>
        <w:tag w:val="part_edceac556d32416dbfeb4f393ede9176"/>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Atsižvelgiant į tai, kad Projekte keičiama daugiau kaip pusė punktų, jis dėstomas nauja redakcija. </w:t>
          </w:r>
        </w:p>
      </w:sdtContent>
    </w:sdt>
    <w:sdt>
      <w:sdtPr>
        <w:alias w:val="pastraipa"/>
        <w:tag w:val="part_4a9b2eb8feeb42168cb1fef33f5650ae"/>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Projekte pataisyti teisės aktų projektams taikomos teisės technikos netikslumai, atsisakyta perteklinių Įstatymo nuostatų (pvz., Įstatymo 16 straipsnio 11 ir 12 dalyse nustatytų geriamojo vandens tiekimo ir (arba) nuotekų tvarkymo infrastruktūros, paviršinių nuotekų tvarkymo infrastruktūros (toliau – infrastruktūra) tinkamumo ir reikalingumo kriterijų).</w:t>
          </w:r>
        </w:p>
      </w:sdtContent>
    </w:sdt>
    <w:sdt>
      <w:sdtPr>
        <w:alias w:val="pastraipa"/>
        <w:tag w:val="part_2241fcce300e4dd78cb5aa580d174cd3"/>
        <w:lock w:val="sdtLocked"/>
        <w:richText/>
      </w:sdtPr>
      <w:sdtContent>
        <w:p>
          <w:pPr>
            <w:widowControl w:val="0"/>
            <w:suppressAutoHyphens/>
            <w:ind w:firstLine="629"/>
            <w:jc w:val="both"/>
            <w:rPr>
              <w:rFonts w:eastAsia="Andale Sans UI;Times New Roman" w:cs="Tahoma"/>
              <w:szCs w:val="24"/>
              <w:lang w:eastAsia="zh-CN" w:bidi="en-US"/>
            </w:rPr>
          </w:pPr>
          <w:r>
            <w:rPr>
              <w:rFonts w:eastAsia="Andale Sans UI;Times New Roman" w:cs="Tahoma"/>
              <w:szCs w:val="24"/>
              <w:lang w:eastAsia="zh-CN" w:bidi="en-US"/>
            </w:rPr>
            <w:t>Projektas pakoreguotas pagal Įstatymo 16 straipsnio 4 ir 5 dalyse įtvirtintas nuostatas, kad infrastruktūra nuosavybės teise turi priklausyti viešajam vandens tiekėjui, regioniniam viešajam vandens tiekėjui arba paviršinių nuotekų tvarkytojui, todėl atsisakyta nuostatų, kad savivaldybė priima sprendimą dėl infrastruktūros išpirkimo savivaldybės nuosavybėn arba teikia viešajam vandens tiekėjui, paviršinių nuotekų tvarkytojui pasiūlymą išpirkti infrastruktūrą. Atsižvelgiant į Įstatymo 16 straipsnio 10 dalies nuostatas, Projektas (9 punktas) papildytas nuostatomis, kad infrastruktūros savininkas (ar jo įgaliotas atstovas) savo iniciatyva turi teisę teikti prašymą dėl infrastruktūros išpirkimo ar perėmimo, atitinkamai patikslintas prašyme nurodomos informacijos turinys (10 punktas), nurodoma, kokius dokumentus reikia papildomai pateikti (pvz., patvirtinančius, kad nustatytos ir Nekilnojamojo turto registre įregistruotos žemės sklypams, kuriuose yra parduodamas arba perleidžiamas infrastruktūros objektas, taikomos specialiosios žemės naudojimo sąlygos (vandens tiekimo ir nuotekų, paviršinių nuotekų tvarkymo infrastruktūros apsaugos zonos). Pažymėtina, kad panašios nuostatos reglamentuotos energetikos sektorių reglamentuojančiame teisės akte</w:t>
          </w:r>
          <w:r>
            <w:rPr>
              <w:rFonts w:eastAsia="Andale Sans UI;Times New Roman" w:cs="Tahoma"/>
              <w:szCs w:val="24"/>
              <w:vertAlign w:val="superscript"/>
              <w:lang w:eastAsia="zh-CN" w:bidi="en-US"/>
            </w:rPr>
            <w:footnoteReference w:id="2"/>
          </w:r>
          <w:r>
            <w:rPr>
              <w:rFonts w:eastAsia="Andale Sans UI;Times New Roman" w:cs="Tahoma"/>
              <w:szCs w:val="24"/>
              <w:lang w:eastAsia="zh-CN" w:bidi="en-US"/>
            </w:rPr>
            <w:t>).</w:t>
          </w:r>
        </w:p>
      </w:sdtContent>
    </w:sdt>
    <w:sdt>
      <w:sdtPr>
        <w:alias w:val="pastraipa"/>
        <w:tag w:val="part_710c4da848e64209a790cfb1da7ac51a"/>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Atsižvelgus į tai, kad Įstatymo 16 straipsnio 13 dalyje nustatyta: „Išperkamų geriamojo vandens tiekimo ir (arba) nuotekų tvarkymo, paviršinių nuotekų tvarkymo infrastruktūros objektų vertę, </w:t>
          </w:r>
          <w:r>
            <w:rPr>
              <w:rFonts w:eastAsia="Andale Sans UI;Times New Roman" w:cs="Tahoma"/>
              <w:i/>
              <w:szCs w:val="24"/>
              <w:lang w:eastAsia="zh-CN" w:bidi="en-US"/>
            </w:rPr>
            <w:t>išskyrus Geriamojo vandens tiekimo ir nuotekų tvarkymo infrastruktūros objektų išpirkimo tvarkos apraše numatytus atvejus</w:t>
          </w:r>
          <w:r>
            <w:rPr>
              <w:rFonts w:eastAsia="Andale Sans UI;Times New Roman" w:cs="Tahoma"/>
              <w:szCs w:val="24"/>
              <w:lang w:eastAsia="zh-CN" w:bidi="en-US"/>
            </w:rPr>
            <w:t xml:space="preserve">, nustato nepriklausomi turto arba verslo vertintojai &lt;...&gt; Turto ir verslo vertinimo pagrindų įstatymo nustatyta tvarka“, ir įvertinus tai, kad nepriklausomas turto vertinimas įsigyjant mažos vertės geriamojo vandens tiekimo ir (arba) nuotekų tvarkymo, paviršinių nuotekų infrastruktūrą nekuria pridėtinės vertės, dažnai net  padidina viešųjų vandens tiekėjų ir paviršinių nuotekų tvarkytojų sąnaudas ir kad išperkamo turto vertė keletą kartų viršija nepriklausomo turto vertinimo atlikimo išlaidas, siekiant racionaliai panaudoti lėšas, vadovaujantis protingumo bei racionalumo kriterijais, Projektu (167.1–17.3 papunkčiai) siūloma numatyti šiuos atvejus, kai nepriklausomas turto vertinimas nėra privalomas:</w:t>
          </w:r>
        </w:p>
      </w:sdtContent>
    </w:sdt>
    <w:sdt>
      <w:sdtPr>
        <w:alias w:val="pastraipa"/>
        <w:tag w:val="part_9ea2d1a5a14d42b0ac6d7e5b38900b0c"/>
        <w:lock w:val="sdtLocked"/>
        <w:richText/>
      </w:sdtPr>
      <w:sdtContent>
        <w:p>
          <w:pPr>
            <w:widowControl w:val="0"/>
            <w:suppressAutoHyphens/>
            <w:ind w:firstLine="567"/>
            <w:jc w:val="both"/>
            <w:rPr>
              <w:rFonts w:eastAsia="Andale Sans UI;Times New Roman" w:cs="Tahoma"/>
              <w:szCs w:val="24"/>
              <w:lang w:eastAsia="lt-LT" w:bidi="en-US"/>
            </w:rPr>
          </w:pPr>
          <w:r>
            <w:rPr>
              <w:rFonts w:eastAsia="Andale Sans UI;Times New Roman" w:cs="Tahoma"/>
              <w:szCs w:val="24"/>
              <w:lang w:eastAsia="lt-LT" w:bidi="en-US"/>
            </w:rPr>
            <w:t xml:space="preserve">- kai infrastruktūros objektai šalių susitarimu perimami neatlygintinai; </w:t>
          </w:r>
        </w:p>
      </w:sdtContent>
    </w:sdt>
    <w:sdt>
      <w:sdtPr>
        <w:alias w:val="pastraipa"/>
        <w:tag w:val="part_f601ed6024b34b31943ae112f9c1d621"/>
        <w:lock w:val="sdtLocked"/>
        <w:richText/>
      </w:sdtPr>
      <w:sdtContent>
        <w:p>
          <w:pPr>
            <w:widowControl w:val="0"/>
            <w:suppressAutoHyphens/>
            <w:ind w:firstLine="567"/>
            <w:jc w:val="both"/>
            <w:rPr>
              <w:rFonts w:eastAsia="Andale Sans UI;Times New Roman" w:cs="Tahoma"/>
              <w:szCs w:val="24"/>
              <w:lang w:eastAsia="lt-LT" w:bidi="en-US"/>
            </w:rPr>
          </w:pPr>
          <w:r>
            <w:rPr>
              <w:rFonts w:eastAsia="Andale Sans UI;Times New Roman" w:cs="Tahoma"/>
              <w:szCs w:val="24"/>
              <w:lang w:eastAsia="lt-LT" w:bidi="en-US"/>
            </w:rPr>
            <w:t xml:space="preserve">- kai sudaryta Įstatymo 16 straipsnio 2 dalyje nustatyta trišalė ar daugiašalė savivaldybės institucijos, viešojo vandens tiekėjo arba regioninio viešojo vandens tiekėjo, objekto statytojo (užsakovo) ir (ar) kito savivaldybės infrastruktūros valdytojo savivaldybės infrastruktūros plėtros sutartis arba Įstatymo 16 straipsnio 3 dalyje nustatyta trišalė ar daugiašalė savivaldybės institucijos, paviršinių nuotekų tvarkytojo, objekto statytojo (užsakovo) ir (ar) kito savivaldybės infrastruktūros valdytojo savivaldybės infrastruktūros plėtros sutartis. (Pažymėtina, kad nuo 2006 metų galiojo įstatymų nuostatos, kad kai nauja infrastruktūra statoma ne viešojo vandens tiekėjo ar savivaldybės, turi būti pasirašyta trišalė (statytojo, vandens tiekėjo ir savivaldybės) sutartis, kurioje turi būti numatyti viešojo geriamojo vandens tiekimo ir nuotekų tvarkymo infrastruktūros objekto statybos terminai, finansavimo šaltiniai, šio objekto </w:t>
          </w:r>
          <w:r>
            <w:rPr>
              <w:rFonts w:eastAsia="Andale Sans UI;Times New Roman" w:cs="Tahoma"/>
              <w:i/>
              <w:szCs w:val="24"/>
              <w:lang w:eastAsia="lt-LT" w:bidi="en-US"/>
            </w:rPr>
            <w:t>naudojimo (eksploatavimo) sąlygos ir nuosavybės teisių perleidimo savivaldybei arba viešajam geriamojo vandens tiekėjui ir nuotekų tvarkytojui terminai, tvarka.</w:t>
          </w:r>
          <w:r>
            <w:rPr>
              <w:rFonts w:eastAsia="Andale Sans UI;Times New Roman" w:cs="Tahoma"/>
              <w:szCs w:val="24"/>
              <w:lang w:eastAsia="lt-LT" w:bidi="en-US"/>
            </w:rPr>
            <w:t xml:space="preserve"> Įstatymo 16 straipsnio 2 ir 3 dalyje nustatyta, kad trišalė arba daugiašalė sutartis sudaroma, keičiama ir nutraukiama vadovaujantis Savivaldybių infrastruktūros plėtros įstatymo 8 straipsnyje nustatyta tvarka ir Civilinio kodekso nuostatomis. Savivaldybių infrastruktūros plėtros 8 straipsnio 4 dalies 6 punkte nustatyta, kad savivaldybės infrastruktūros plėtros organizatoriaus parengtose savivaldybės infrastruktūros plėtros sutarties standartinėse sąlygose turi būti nurodyta suprojektuotos ir pastatytos ar įrengtos savivaldybės infrastruktūros </w:t>
          </w:r>
          <w:r>
            <w:rPr>
              <w:rFonts w:eastAsia="Andale Sans UI;Times New Roman" w:cs="Tahoma"/>
              <w:i/>
              <w:szCs w:val="24"/>
              <w:lang w:eastAsia="lt-LT" w:bidi="en-US"/>
            </w:rPr>
            <w:t>neatlygintino perdavimo įstatymų ir kitų teisės aktų nustatytiems savivaldybės infrastruktūros valdytojams sąlygos ir tvarka</w:t>
          </w:r>
          <w:r>
            <w:rPr>
              <w:rFonts w:eastAsia="Andale Sans UI;Times New Roman" w:cs="Tahoma"/>
              <w:szCs w:val="24"/>
              <w:lang w:eastAsia="lt-LT" w:bidi="en-US"/>
            </w:rPr>
            <w:t xml:space="preserve">. Atsižvelgiant į tai, netikslinga  papildomai atlikti turto vertinimą, nes infrastruktūra perduodama sutartyje nustatyta tvarka);</w:t>
          </w:r>
        </w:p>
      </w:sdtContent>
    </w:sdt>
    <w:sdt>
      <w:sdtPr>
        <w:alias w:val="pastraipa"/>
        <w:tag w:val="part_2fd2284b658240748aefbbf3b3f1bf39"/>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lt-LT" w:bidi="en-US"/>
            </w:rPr>
            <w:t xml:space="preserve">- kai ketinamo išpirkti infrastruktūros objekto sandorio vertė neviršija viešojo vandens tiekėjo, paviršinių nuotekų tvarkytojo nusistatytos minimalios ilgalaikio materialiojo turto vertės (Projektu siūloma numatyti, kad infrastruktūros savininkas pateikdamas prašymą išpirkti infrastruktūrą kartu nurodytų ir siūlomą infrastruktūros objekto išpirkimo kainą, tad jei infrastruktūros savininko siūloma kaina atitiktų viešojo vandens tiekėjo, paviršinių nuotekų tvarkytojo nusistatytą minimalią ilgalaikio materialiojo turto vertę, nebūtų poreikio papildomai atlikti turto vertinimą. Pažymėtina, kad </w:t>
          </w:r>
          <w:r>
            <w:rPr>
              <w:rFonts w:eastAsia="Andale Sans UI;Times New Roman" w:cs="Tahoma"/>
              <w:szCs w:val="24"/>
              <w:lang w:eastAsia="zh-CN" w:bidi="en-US"/>
            </w:rPr>
            <w:t>viešieji vandens tiekėjai ir paviršinių nuotekų tvarkytojai apskaitą tvarko vadovaudamiesi verslo apskaitos standartais. Vadovaujantis 12-ojo verslo apskaitos standarto „Ilgalaikis materialusis turtas“ 42 punktu, minimalios vertės keitimas laikomas apskaitinio įvertinimo keitimu. Minimali ilgalaikio materialiojo turto vertė negali būti dažnai ir be ekonominio pagrindo keičiama. Ji gali būti keičiama, pavyzdžiui, įvykus reikšmingiems įmonės turto pokyčiams ar pasikeitus įmonės veiklos pobūdžiui. Jei įmonė keičia nustatytą minimalią ilgalaikio materialiojo turto vertę, visų turto vienetų, kurių įsigijimo savikaina mažesnė už patvirtintą naują minimalią vertę ir kurie dėl to jau neatitinka ilgalaikio materialiojo turto pripažinimo kriterijų, likutinė vertė nedelsiant pripažįstama sąnaudomis. Apskaitinių įvertinimų keitimo apskaitos reikalavimus nustato 7-asis verslo apskaitos standartas „Apskaitos politikos, apskaitinių įvertinimų keitimas ir klaidų taisymas“).</w:t>
          </w:r>
        </w:p>
      </w:sdtContent>
    </w:sdt>
    <w:sdt>
      <w:sdtPr>
        <w:alias w:val="pastraipa"/>
        <w:tag w:val="part_688bf6fb7cc84a1bb2b813a6f4ad4f9b"/>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Geriamojo vandens tiekimo ir nuotekų tvarkymo sektoriaus ir energetikos sektoriaus reguliavimo principai panašūs, todėl, remiantis energetikoje taikomu principu, kad energetikos objektai parduodami </w:t>
          </w:r>
          <w:r>
            <w:rPr>
              <w:rFonts w:eastAsia="Andale Sans UI;Times New Roman" w:cs="Tahoma"/>
              <w:i/>
              <w:szCs w:val="24"/>
              <w:lang w:eastAsia="zh-CN" w:bidi="en-US"/>
            </w:rPr>
            <w:t>už kainą, nustatomą pagal energetikos objektų vertę, nustatytą vadovaujantis turto ir verslo vertinimą reglamentuojančiais teisės aktais“</w:t>
          </w:r>
          <w:r>
            <w:rPr>
              <w:rFonts w:eastAsia="Andale Sans UI;Times New Roman" w:cs="Tahoma"/>
              <w:szCs w:val="24"/>
              <w:lang w:eastAsia="zh-CN" w:bidi="en-US"/>
            </w:rPr>
            <w:t xml:space="preserve"> (Lietuvos Respublikos energetikos įstatymo 37 straipsnio 2 dalis), Projekto 17 punkte siūloma nustatyti taip: „Infrastruktūros objektai, viešojo vandens tiekėjo pripažinti reikalingais ir tinkamais viešajam geriamojo vandens tiekimui ir (arba) nuotekų tvarkymui, paviršinių nuotekų tvarkytojo pripažinti reikalingais ir tinkamais paviršinių nuotekų tvarkymui, išperkami už kainą pagal vertę, nustatytą nepriklausomų turto arba verslo vertintojų Turto ir verslo vertinimo pagrindų įstatymo nustatyta tvarka, išskyrus šiuos atvejus &lt;...&gt;“.</w:t>
          </w:r>
        </w:p>
      </w:sdtContent>
    </w:sdt>
    <w:sdt>
      <w:sdtPr>
        <w:alias w:val="pastraipa"/>
        <w:tag w:val="part_b985dc9c3fc147619e56308f27d0cc47"/>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Atsižvelgiant į tai, kad Įstatymo 2 straipsnio „Įstatymo įgyvendinimas ir taikymas“ 4 dalyje nustatyta, kad „savivaldybių institucijos iki 2027 m. gruodžio 31 d. perduoda viešajam geriamojo vandens tiekėjui ir nuotekų tvarkytojui, regioniniam viešajam geriamojo vandens tiekėjui ir nuotekų tvarkytojui nuosavybės teise priklausančią geriamojo vandens tiekimo ir nuotekų tvarkymo infrastruktūrą“, Projektas (26 punktas) papildytas nuostatomis, kad </w:t>
          </w:r>
          <w:r>
            <w:rPr>
              <w:rFonts w:eastAsia="Andale Sans UI;Times New Roman" w:cs="Tahoma"/>
              <w:szCs w:val="24"/>
              <w:lang w:eastAsia="lt-LT" w:bidi="en-US"/>
            </w:rPr>
            <w:t>savivaldybių institucijos perduoda viešajam vandens tiekėjui nuosavybės teise priklausančią geriamojo vandens tiekimo ir nuotekų tvarkymo infrastruktūrą sudarydami geriamojo vandens tiekimo ir nuotekų tvarkymo perdavimo–priėmimo sutartį.</w:t>
          </w:r>
        </w:p>
      </w:sdtContent>
    </w:sdt>
    <w:sdt>
      <w:sdtPr>
        <w:alias w:val="pastraipa"/>
        <w:tag w:val="part_13adae900d084c1d816dc9682ad6fa80"/>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Projektas papildytas asmens duomenų tvarkymo nuostatomis. Projekte atlikta ir kitų pakeitimų.</w:t>
          </w:r>
        </w:p>
      </w:sdtContent>
    </w:sdt>
    <w:sdt>
      <w:sdtPr>
        <w:alias w:val="pastraipa"/>
        <w:tag w:val="part_ad076640c7bd49aab4ded50c9458fa49"/>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Projektą patikslinus, bus užtikrinta sklandi infrastruktūros objektų išpirkimo ir perėmimo eiga, geriamojo vandens tiekimo ir nuotekų tvarkymo, paviršinių nuotekų tvarkymo paslauga.</w:t>
          </w:r>
        </w:p>
      </w:sdtContent>
    </w:sdt>
    <w:sdt>
      <w:sdtPr>
        <w:alias w:val="pastraipa"/>
        <w:tag w:val="part_1925ebad591848f2a393b169eed51528"/>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Projektas neprieštarauja Aštuonioliktosios Lietuvos Respublikos Vyriausybės programai, kuriai pritarta Lietuvos Respublikos Seimo 2020 m. gruodžio 11 d. nutarimu Nr. XIV-72 „Dėl Aštuonioliktosios Lietuvos Respublikos Vyriausybės programos“.</w:t>
          </w:r>
        </w:p>
      </w:sdtContent>
    </w:sdt>
    <w:sdt>
      <w:sdtPr>
        <w:alias w:val="pastraipa"/>
        <w:tag w:val="part_7f873954e66d450ca16ac2fe69255346"/>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Projektu neperkeliamos ir neįgyvendinamos Europos Sąjungos teisės aktų nuostatos.</w:t>
          </w:r>
        </w:p>
      </w:sdtContent>
    </w:sdt>
    <w:sdt>
      <w:sdtPr>
        <w:alias w:val="pastraipa"/>
        <w:tag w:val="part_a1ecf25ccb3b4adbbb1e2e9445ec4833"/>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Projektas nenotifikuotinas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sdtContent>
    </w:sdt>
    <w:sdt>
      <w:sdtPr>
        <w:alias w:val="pastraipa"/>
        <w:tag w:val="part_7a85c65ce8e743c79a7594d67a45b43f"/>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Vadovaujantis Numatomo teisinio reguliavimo poveikio vertinimo metodikos, patvirtintos Lietuvos Respublikos Vyriausybės 2003 m. vasario 26 d. nutarimu Nr. 276 „Dėl Numatomo teisinio reguliavimo poveikio vertinimo metodikos patvirtinimo“, 4 punktu, atliktas Projekto numatomo teisinio reguliavimo poveikio vertinimas.</w:t>
          </w:r>
        </w:p>
      </w:sdtContent>
    </w:sdt>
    <w:sdt>
      <w:sdtPr>
        <w:alias w:val="pastraipa"/>
        <w:tag w:val="part_ca491b25ef414b50ab2722ef2c0e3a91"/>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Projektui įtraukti į teisės sistemą kitų teisės aktų priimti nereikės.</w:t>
          </w:r>
        </w:p>
      </w:sdtContent>
    </w:sdt>
    <w:sdt>
      <w:sdtPr>
        <w:alias w:val="pastraipa"/>
        <w:tag w:val="part_48b6920a9757481a8806ab834dd1005a"/>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Projekte nėra sąvokų, vertintinų Lietuvos Respublikos terminų banko įstatymo ir jo įgyvendinamųjų teisės aktų nustatyta tvarka.</w:t>
          </w:r>
        </w:p>
      </w:sdtContent>
    </w:sdt>
    <w:sdt>
      <w:sdtPr>
        <w:alias w:val="pastraipa"/>
        <w:tag w:val="part_957801b8b44e4cc6a36013f9bf6b0b25"/>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Konsultacijų su visuomene nebuvo ir jos neplanuojamos.</w:t>
          </w:r>
        </w:p>
      </w:sdtContent>
    </w:sdt>
    <w:sdt>
      <w:sdtPr>
        <w:alias w:val="pastraipa"/>
        <w:tag w:val="part_c99293fc95174f1dae5ac2a7a80f00f7"/>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Projektas suderintas su Aplinkos ministerijos duomenų apsaugos pareigūnu.</w:t>
          </w:r>
        </w:p>
      </w:sdtContent>
    </w:sdt>
    <w:sdt>
      <w:sdtPr>
        <w:alias w:val="pastraipa"/>
        <w:tag w:val="part_ab1b2c526a2b4803836fb3e742cef5e3"/>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Administracinė našta neskaičiuojama, nes skaičiavimai atlikti rengiant Įstatymą.</w:t>
          </w:r>
        </w:p>
      </w:sdtContent>
    </w:sdt>
    <w:sdt>
      <w:sdtPr>
        <w:alias w:val="pastraipa"/>
        <w:tag w:val="part_5657843df6134a49badad317ffeba2fa"/>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Projektas skelbiamas Lietuvos Respublikos Seimo kanceliarijos teisės aktų informacinėje sistemoje (TAIS).</w:t>
          </w:r>
        </w:p>
      </w:sdtContent>
    </w:sdt>
    <w:sdt>
      <w:sdtPr>
        <w:alias w:val="pastraipa"/>
        <w:tag w:val="part_1886faca2e34481ba248c18b41510b2f"/>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Išvadas dėl Projekto prašome pateikti per 12 darbo dienų nuo jo paskelbimo TAIS.</w:t>
          </w:r>
        </w:p>
      </w:sdtContent>
    </w:sdt>
    <w:sdt>
      <w:sdtPr>
        <w:alias w:val="pastraipa"/>
        <w:tag w:val="part_a0748795557a4cd3b6daba80fedc2cc2"/>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szCs w:val="24"/>
              <w:lang w:eastAsia="zh-CN" w:bidi="en-US"/>
            </w:rPr>
            <w:t>Per nurodytą terminą negavę pastabų ir pasiūlymų, laikysime, kad Projektui pritariate.</w:t>
          </w:r>
        </w:p>
      </w:sdtContent>
    </w:sdt>
    <w:sdt>
      <w:sdtPr>
        <w:alias w:val="pastraipa"/>
        <w:tag w:val="part_685d7de2d2e24411bf37a3450561b17b"/>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Projektą parengė Aplinkos ministerijos Taršos prevencijos politikos grupės (grupės vadovas – Vitalijus Auglys, tel. 8 686 46 087, el. p. vitalijus.auglys@am.lt, vyresnysis patarėjas – Irmantas Valūnas, tel. 8 684 04 000, el. p. irmantas.valunas@am.lt) patarėja Judita Vaišnorienė (tel. 8 695 54 136, el. p. judita.vaisnoriene@am.lt).</w:t>
          </w:r>
        </w:p>
      </w:sdtContent>
    </w:sdt>
    <w:sdt>
      <w:sdtPr>
        <w:alias w:val="pastraipa"/>
        <w:tag w:val="part_2436e3e4fc4b4bbba162d988087f7af6"/>
        <w:lock w:val="sdtLocked"/>
        <w:richText/>
      </w:sdtPr>
      <w:sdtContent>
        <w:p>
          <w:pPr>
            <w:widowControl w:val="0"/>
            <w:suppressAutoHyphens/>
            <w:ind w:firstLine="540"/>
            <w:jc w:val="both"/>
            <w:rPr>
              <w:rFonts w:eastAsia="Andale Sans UI;Times New Roman" w:cs="Tahoma"/>
              <w:szCs w:val="24"/>
              <w:lang w:eastAsia="zh-CN" w:bidi="en-US"/>
            </w:rPr>
          </w:pPr>
          <w:r>
            <w:rPr>
              <w:rFonts w:eastAsia="Andale Sans UI;Times New Roman" w:cs="Tahoma"/>
              <w:szCs w:val="24"/>
              <w:lang w:eastAsia="zh-CN" w:bidi="en-US"/>
            </w:rPr>
            <w:t>PRIDEDAMA:</w:t>
          </w:r>
        </w:p>
        <w:sdt>
          <w:sdtPr>
            <w:alias w:val="1 p."/>
            <w:tag w:val="part_49bdf2f333a4497a8192e2be7104e82f"/>
            <w:lock w:val="sdtLocked"/>
            <w:richText/>
          </w:sdtPr>
          <w:sdtContent>
            <w:p>
              <w:pPr>
                <w:widowControl w:val="0"/>
                <w:suppressAutoHyphens/>
                <w:ind w:firstLine="567"/>
                <w:jc w:val="both"/>
                <w:rPr>
                  <w:rFonts w:eastAsia="Andale Sans UI;Times New Roman" w:cs="Tahoma"/>
                  <w:color w:val="000000"/>
                  <w:szCs w:val="24"/>
                  <w:lang w:eastAsia="zh-CN" w:bidi="en-US"/>
                </w:rPr>
              </w:pPr>
              <w:sdt>
                <w:sdtPr>
                  <w:alias w:val="Numeris"/>
                  <w:tag w:val="nr_49bdf2f333a4497a8192e2be7104e82f"/>
                  <w:lock w:val="sdtLocked"/>
                  <w:richText/>
                </w:sdtPr>
                <w:sdtContent>
                  <w:r>
                    <w:rPr>
                      <w:rFonts w:eastAsia="Andale Sans UI;Times New Roman" w:cs="Tahoma"/>
                      <w:color w:val="000000"/>
                      <w:szCs w:val="24"/>
                      <w:lang w:eastAsia="zh-CN" w:bidi="en-US"/>
                    </w:rPr>
                    <w:t>1</w:t>
                  </w:r>
                </w:sdtContent>
              </w:sdt>
              <w:r>
                <w:rPr>
                  <w:rFonts w:eastAsia="Andale Sans UI;Times New Roman" w:cs="Tahoma"/>
                  <w:color w:val="000000"/>
                  <w:szCs w:val="24"/>
                  <w:lang w:eastAsia="zh-CN" w:bidi="en-US"/>
                </w:rPr>
                <w:t>. Projektas, 6 lapai.</w:t>
              </w:r>
            </w:p>
          </w:sdtContent>
        </w:sdt>
        <w:sdt>
          <w:sdtPr>
            <w:alias w:val="2 p."/>
            <w:tag w:val="part_98fac144ec3f49fd8c664ef00b439a99"/>
            <w:lock w:val="sdtLocked"/>
            <w:richText/>
          </w:sdtPr>
          <w:sdtContent>
            <w:p>
              <w:pPr>
                <w:widowControl w:val="0"/>
                <w:suppressAutoHyphens/>
                <w:ind w:firstLine="567"/>
                <w:jc w:val="both"/>
                <w:rPr>
                  <w:rFonts w:eastAsia="Andale Sans UI;Times New Roman" w:cs="Tahoma"/>
                  <w:color w:val="000000"/>
                  <w:szCs w:val="24"/>
                  <w:lang w:eastAsia="zh-CN" w:bidi="en-US"/>
                </w:rPr>
              </w:pPr>
              <w:sdt>
                <w:sdtPr>
                  <w:alias w:val="Numeris"/>
                  <w:tag w:val="nr_98fac144ec3f49fd8c664ef00b439a99"/>
                  <w:lock w:val="sdtLocked"/>
                  <w:richText/>
                </w:sdtPr>
                <w:sdtContent>
                  <w:r>
                    <w:rPr>
                      <w:rFonts w:eastAsia="Andale Sans UI;Times New Roman" w:cs="Tahoma"/>
                      <w:color w:val="000000"/>
                      <w:szCs w:val="24"/>
                      <w:lang w:eastAsia="zh-CN" w:bidi="en-US"/>
                    </w:rPr>
                    <w:t>2</w:t>
                  </w:r>
                </w:sdtContent>
              </w:sdt>
              <w:r>
                <w:rPr>
                  <w:rFonts w:eastAsia="Andale Sans UI;Times New Roman" w:cs="Tahoma"/>
                  <w:color w:val="000000"/>
                  <w:szCs w:val="24"/>
                  <w:lang w:eastAsia="zh-CN" w:bidi="en-US"/>
                </w:rPr>
                <w:t>. Numatomo teisinio reguliavimo poveikio vertinimo pažyma, 2 lapai.</w:t>
              </w:r>
            </w:p>
          </w:sdtContent>
        </w:sdt>
        <w:sdt>
          <w:sdtPr>
            <w:alias w:val="3 p."/>
            <w:tag w:val="part_e29fb70cf2714fc4a134301670c02ddf"/>
            <w:lock w:val="sdtLocked"/>
            <w:richText/>
          </w:sdtPr>
          <w:sdtContent>
            <w:p>
              <w:pPr>
                <w:widowControl w:val="0"/>
                <w:suppressAutoHyphens/>
                <w:ind w:firstLine="567"/>
                <w:jc w:val="both"/>
                <w:rPr>
                  <w:rFonts w:eastAsia="Andale Sans UI;Times New Roman" w:cs="Tahoma"/>
                  <w:color w:val="000000"/>
                  <w:szCs w:val="24"/>
                  <w:lang w:eastAsia="zh-CN" w:bidi="en-US"/>
                </w:rPr>
              </w:pPr>
              <w:sdt>
                <w:sdtPr>
                  <w:alias w:val="Numeris"/>
                  <w:tag w:val="nr_e29fb70cf2714fc4a134301670c02ddf"/>
                  <w:lock w:val="sdtLocked"/>
                  <w:richText/>
                </w:sdtPr>
                <w:sdtContent>
                  <w:r>
                    <w:rPr>
                      <w:rFonts w:eastAsia="Andale Sans UI;Times New Roman" w:cs="Tahoma"/>
                      <w:color w:val="000000"/>
                      <w:szCs w:val="24"/>
                      <w:lang w:eastAsia="zh-CN" w:bidi="en-US"/>
                    </w:rPr>
                    <w:t>3</w:t>
                  </w:r>
                </w:sdtContent>
              </w:sdt>
              <w:r>
                <w:rPr>
                  <w:rFonts w:eastAsia="Andale Sans UI;Times New Roman" w:cs="Tahoma"/>
                  <w:color w:val="000000"/>
                  <w:szCs w:val="24"/>
                  <w:lang w:eastAsia="zh-CN" w:bidi="en-US"/>
                </w:rPr>
                <w:t>. Antikorupcinio vertinimo pažyma, 7 lapai.</w:t>
              </w:r>
            </w:p>
            <w:p>
              <w:pPr>
                <w:widowControl w:val="0"/>
                <w:suppressAutoHyphens/>
                <w:ind w:firstLine="567"/>
                <w:jc w:val="both"/>
                <w:rPr>
                  <w:rFonts w:eastAsia="Andale Sans UI;Times New Roman" w:cs="Tahoma"/>
                  <w:color w:val="000000"/>
                  <w:szCs w:val="24"/>
                  <w:lang w:eastAsia="zh-CN" w:bidi="en-US"/>
                </w:rPr>
              </w:pP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276" w:lineRule="auto"/>
                <w:jc w:val="both"/>
                <w:rPr>
                  <w:rFonts w:eastAsia="Andale Sans UI;Times New Roman" w:cs="Tahoma"/>
                  <w:szCs w:val="24"/>
                  <w:lang w:eastAsia="zh-CN" w:bidi="en-US"/>
                </w:rPr>
              </w:pPr>
              <w:r>
                <w:rPr>
                  <w:rFonts w:eastAsia="Andale Sans UI;Times New Roman" w:cs="Tahoma"/>
                  <w:color w:val="000000"/>
                  <w:szCs w:val="24"/>
                  <w:lang w:eastAsia="zh-CN" w:bidi="en-US"/>
                </w:rPr>
                <w:t>Aplinkos viceministrė</w:t>
                <w:tab/>
                <w:tab/>
                <w:tab/>
                <w:tab/>
                <w:tab/>
                <w:tab/>
                <w:tab/>
                <w:tab/>
                <w:tab/>
                <w:tab/>
                <w:t xml:space="preserve">   </w:t>
              </w:r>
              <w:r>
                <w:rPr>
                  <w:rFonts w:eastAsia="Andale Sans UI;Times New Roman" w:cs="Tahoma"/>
                  <w:szCs w:val="24"/>
                  <w:lang w:eastAsia="zh-CN" w:bidi="en-US"/>
                </w:rPr>
                <w:t>Raminta Radavičienė</w:t>
              </w:r>
            </w:p>
            <w:tbl>
              <w:tblPr>
                <w:tblW w:w="9643" w:type="dxa"/>
                <w:tblInd w:w="8" w:type="dxa"/>
                <w:tblLayout w:type="fixed"/>
                <w:tblCellMar>
                  <w:left w:w="0" w:type="dxa"/>
                  <w:right w:w="0" w:type="dxa"/>
                </w:tblCellMar>
                <w:tblLook w:val="04A0" w:firstRow="1" w:lastRow="0" w:firstColumn="1" w:lastColumn="0" w:noHBand="0" w:noVBand="1"/>
              </w:tblPr>
              <w:tblGrid>
                <w:gridCol w:w="9643"/>
              </w:tblGrid>
              <w:tr>
                <w:trPr>
                  <w:trHeight w:val="340"/>
                </w:trPr>
                <w:tc>
                  <w:tcPr>
                    <w:tcW w:w="9643" w:type="dxa"/>
                  </w:tcPr>
                  <w:p>
                    <w:pPr>
                      <w:rPr>
                        <w:sz w:val="8"/>
                        <w:szCs w:val="8"/>
                      </w:rPr>
                    </w:pPr>
                  </w:p>
                  <w:p>
                    <w:pPr>
                      <w:snapToGrid w:val="0"/>
                      <w:rPr>
                        <w:szCs w:val="24"/>
                        <w:lang w:eastAsia="zh-CN"/>
                      </w:rPr>
                    </w:pPr>
                  </w:p>
                  <w:p>
                    <w:pPr>
                      <w:rPr>
                        <w:sz w:val="8"/>
                        <w:szCs w:val="8"/>
                      </w:rPr>
                    </w:pPr>
                  </w:p>
                  <w:p>
                    <w:pPr>
                      <w:rPr>
                        <w:szCs w:val="24"/>
                        <w:lang w:eastAsia="zh-CN"/>
                      </w:rPr>
                    </w:pPr>
                  </w:p>
                  <w:p>
                    <w:pPr>
                      <w:rPr>
                        <w:sz w:val="8"/>
                        <w:szCs w:val="8"/>
                      </w:rPr>
                    </w:pPr>
                  </w:p>
                  <w:p>
                    <w:pPr>
                      <w:rPr>
                        <w:szCs w:val="24"/>
                        <w:lang w:eastAsia="zh-CN"/>
                      </w:rPr>
                    </w:pPr>
                    <w:r>
                      <w:rPr>
                        <w:szCs w:val="24"/>
                        <w:lang w:eastAsia="zh-CN"/>
                      </w:rPr>
                      <w:t xml:space="preserve">J. Vaišnorienė, 8  695 54 136, el. p. j.vaisnoriene@am.lt</w:t>
                    </w:r>
                  </w:p>
                </w:tc>
              </w:tr>
            </w:tbl>
            <w:p>
              <w:pPr>
                <w:widowControl w:val="0"/>
                <w:suppressAutoHyphens/>
                <w:jc w:val="both"/>
                <w:rPr>
                  <w:rFonts w:eastAsia="Andale Sans UI;Times New Roman" w:cs="Tahoma"/>
                  <w:szCs w:val="24"/>
                  <w:lang w:eastAsia="zh-CN" w:bidi="en-US"/>
                </w:rPr>
              </w:pPr>
            </w:p>
          </w:sdtContent>
        </w:sdt>
        <w:sdt>
          <w:sdtPr>
            <w:alias w:val="signatura"/>
            <w:tag w:val="part_d80367e39f1649f3b552079ee3cf8744"/>
            <w:lock w:val="sdtLocked"/>
            <w:richText/>
          </w:sdtPr>
          <w:sdtContent>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Adresatų sąrašas:</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Atsakingai vandentvarkos asociacijai „Vandens jėga“</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ekonomikos ir inovacijų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teisingumo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specialiųjų tyrimų tarnybai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vidaus reikalų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savivaldybių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vandens tiekėjų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Valstybinei duomenų apsaugos inspekcijai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Valstybinei energetikos reguliavimo tarybai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Valstybės įmonės Registrų centrui</w:t>
              </w:r>
            </w:p>
            <w:p>
              <w:pPr>
                <w:widowControl w:val="0"/>
                <w:suppressAutoHyphens/>
                <w:rPr>
                  <w:rFonts w:eastAsia="Andale Sans UI;Times New Roman" w:cs="Tahoma"/>
                  <w:szCs w:val="24"/>
                  <w:lang w:eastAsia="zh-CN" w:bidi="en-US"/>
                </w:rPr>
              </w:pPr>
              <w:r>
                <w:rPr>
                  <w:rFonts w:eastAsia="Andale Sans UI;Times New Roman" w:cs="Tahoma"/>
                  <w:szCs w:val="24"/>
                  <w:lang w:eastAsia="zh-CN" w:bidi="en-US"/>
                </w:rPr>
                <w:t>Valstybinei vartotojų teisių apsaugos tarnybai</w:t>
              </w:r>
            </w:p>
            <w:p>
              <w:pPr>
                <w:widowControl w:val="0"/>
                <w:suppressAutoHyphens/>
                <w:rPr>
                  <w:rFonts w:eastAsia="Andale Sans UI;Times New Roman" w:cs="Tahoma"/>
                  <w:szCs w:val="24"/>
                  <w:lang w:eastAsia="zh-CN" w:bidi="en-US"/>
                </w:rPr>
              </w:pPr>
              <w:r>
                <w:rPr>
                  <w:rFonts w:eastAsia="Andale Sans UI;Times New Roman" w:cs="Tahoma"/>
                  <w:szCs w:val="24"/>
                  <w:lang w:eastAsia="zh-CN" w:bidi="en-US"/>
                </w:rPr>
                <w:t>Vyriausybės atstovų įstaigai</w:t>
              </w:r>
            </w:p>
            <w:p>
              <w:pPr>
                <w:widowControl w:val="0"/>
                <w:tabs>
                  <w:tab w:val="left" w:pos="3802"/>
                </w:tabs>
                <w:suppressAutoHyphens/>
                <w:rPr>
                  <w:szCs w:val="24"/>
                  <w:lang w:eastAsia="zh-CN" w:bidi="en-US"/>
                </w:rPr>
              </w:pPr>
              <w:r>
                <w:rPr>
                  <w:szCs w:val="24"/>
                  <w:lang w:eastAsia="zh-CN" w:bidi="en-US"/>
                </w:rPr>
                <w:t>UAB „Akmenės vandenys“</w:t>
              </w:r>
            </w:p>
            <w:p>
              <w:pPr>
                <w:widowControl w:val="0"/>
                <w:tabs>
                  <w:tab w:val="left" w:pos="3802"/>
                </w:tabs>
                <w:suppressAutoHyphens/>
                <w:rPr>
                  <w:szCs w:val="24"/>
                  <w:lang w:eastAsia="zh-CN" w:bidi="en-US"/>
                </w:rPr>
              </w:pPr>
              <w:r>
                <w:rPr>
                  <w:szCs w:val="24"/>
                  <w:lang w:eastAsia="zh-CN" w:bidi="en-US"/>
                </w:rPr>
                <w:t>UAB „Dzūkijos vandenys“</w:t>
              </w:r>
            </w:p>
            <w:p>
              <w:pPr>
                <w:widowControl w:val="0"/>
                <w:tabs>
                  <w:tab w:val="left" w:pos="3802"/>
                </w:tabs>
                <w:suppressAutoHyphens/>
                <w:rPr>
                  <w:rFonts w:eastAsia="Andale Sans UI;Times New Roman" w:cs="Tahoma"/>
                  <w:szCs w:val="24"/>
                  <w:lang w:eastAsia="zh-CN" w:bidi="en-US"/>
                </w:rPr>
              </w:pPr>
              <w:r>
                <w:rPr>
                  <w:szCs w:val="24"/>
                  <w:lang w:eastAsia="zh-CN" w:bidi="en-US"/>
                </w:rPr>
                <w:t>SĮ „Simno komunalininkas“</w:t>
              </w:r>
            </w:p>
            <w:p>
              <w:pPr>
                <w:widowControl w:val="0"/>
                <w:tabs>
                  <w:tab w:val="left" w:pos="3802"/>
                </w:tabs>
                <w:suppressAutoHyphens/>
                <w:rPr>
                  <w:szCs w:val="24"/>
                  <w:lang w:eastAsia="zh-CN" w:bidi="en-US"/>
                </w:rPr>
              </w:pPr>
              <w:r>
                <w:rPr>
                  <w:szCs w:val="24"/>
                  <w:lang w:eastAsia="zh-CN" w:bidi="en-US"/>
                </w:rPr>
                <w:t>UAB „Anykščių vandenys“</w:t>
              </w:r>
            </w:p>
            <w:p>
              <w:pPr>
                <w:widowControl w:val="0"/>
                <w:tabs>
                  <w:tab w:val="left" w:pos="3802"/>
                </w:tabs>
                <w:suppressAutoHyphens/>
                <w:rPr>
                  <w:szCs w:val="24"/>
                  <w:lang w:eastAsia="zh-CN" w:bidi="en-US"/>
                </w:rPr>
              </w:pPr>
              <w:r>
                <w:rPr>
                  <w:szCs w:val="24"/>
                  <w:lang w:eastAsia="zh-CN" w:bidi="en-US"/>
                </w:rPr>
                <w:t>UAB „Birštono vandentiekis“</w:t>
              </w:r>
            </w:p>
            <w:p>
              <w:pPr>
                <w:widowControl w:val="0"/>
                <w:tabs>
                  <w:tab w:val="left" w:pos="3802"/>
                </w:tabs>
                <w:suppressAutoHyphens/>
                <w:rPr>
                  <w:szCs w:val="24"/>
                  <w:lang w:eastAsia="zh-CN" w:bidi="en-US"/>
                </w:rPr>
              </w:pPr>
              <w:r>
                <w:rPr>
                  <w:szCs w:val="24"/>
                  <w:lang w:eastAsia="zh-CN" w:bidi="en-US"/>
                </w:rPr>
                <w:t>UAB „Biržų vandenys“</w:t>
              </w:r>
            </w:p>
            <w:p>
              <w:pPr>
                <w:widowControl w:val="0"/>
                <w:tabs>
                  <w:tab w:val="left" w:pos="3802"/>
                </w:tabs>
                <w:suppressAutoHyphens/>
                <w:rPr>
                  <w:szCs w:val="24"/>
                  <w:lang w:eastAsia="zh-CN" w:bidi="en-US"/>
                </w:rPr>
              </w:pPr>
              <w:r>
                <w:rPr>
                  <w:szCs w:val="24"/>
                  <w:lang w:eastAsia="zh-CN" w:bidi="en-US"/>
                </w:rPr>
                <w:t>UAB „Druskininkų vandenys“</w:t>
              </w:r>
            </w:p>
            <w:p>
              <w:pPr>
                <w:widowControl w:val="0"/>
                <w:tabs>
                  <w:tab w:val="left" w:pos="3802"/>
                </w:tabs>
                <w:suppressAutoHyphens/>
                <w:rPr>
                  <w:szCs w:val="24"/>
                  <w:lang w:eastAsia="zh-CN" w:bidi="en-US"/>
                </w:rPr>
              </w:pPr>
              <w:r>
                <w:rPr>
                  <w:szCs w:val="24"/>
                  <w:lang w:eastAsia="zh-CN" w:bidi="en-US"/>
                </w:rPr>
                <w:t>UAB „Elektrėnų komunalinis ūkis“</w:t>
              </w:r>
            </w:p>
            <w:p>
              <w:pPr>
                <w:widowControl w:val="0"/>
                <w:tabs>
                  <w:tab w:val="left" w:pos="3802"/>
                </w:tabs>
                <w:suppressAutoHyphens/>
                <w:rPr>
                  <w:szCs w:val="24"/>
                  <w:lang w:eastAsia="zh-CN" w:bidi="en-US"/>
                </w:rPr>
              </w:pPr>
              <w:r>
                <w:rPr>
                  <w:szCs w:val="24"/>
                  <w:lang w:eastAsia="zh-CN" w:bidi="en-US"/>
                </w:rPr>
                <w:t xml:space="preserve">UAB „Ignalinos vanduo“ </w:t>
              </w:r>
            </w:p>
            <w:p>
              <w:pPr>
                <w:widowControl w:val="0"/>
                <w:tabs>
                  <w:tab w:val="left" w:pos="3802"/>
                </w:tabs>
                <w:suppressAutoHyphens/>
                <w:rPr>
                  <w:szCs w:val="24"/>
                  <w:lang w:eastAsia="zh-CN" w:bidi="en-US"/>
                </w:rPr>
              </w:pPr>
              <w:r>
                <w:rPr>
                  <w:szCs w:val="24"/>
                  <w:lang w:eastAsia="zh-CN" w:bidi="en-US"/>
                </w:rPr>
                <w:t>UAB „Didžiasalio komunalinės paslaugos“</w:t>
              </w:r>
            </w:p>
            <w:p>
              <w:pPr>
                <w:widowControl w:val="0"/>
                <w:tabs>
                  <w:tab w:val="left" w:pos="3802"/>
                </w:tabs>
                <w:suppressAutoHyphens/>
                <w:rPr>
                  <w:szCs w:val="24"/>
                  <w:lang w:eastAsia="zh-CN" w:bidi="en-US"/>
                </w:rPr>
              </w:pPr>
              <w:r>
                <w:rPr>
                  <w:szCs w:val="24"/>
                  <w:lang w:eastAsia="zh-CN" w:bidi="en-US"/>
                </w:rPr>
                <w:t>UAB „Jonavos vandenys“</w:t>
              </w:r>
            </w:p>
            <w:p>
              <w:pPr>
                <w:widowControl w:val="0"/>
                <w:tabs>
                  <w:tab w:val="left" w:pos="3802"/>
                </w:tabs>
                <w:suppressAutoHyphens/>
                <w:rPr>
                  <w:szCs w:val="24"/>
                  <w:lang w:eastAsia="zh-CN" w:bidi="en-US"/>
                </w:rPr>
              </w:pPr>
              <w:r>
                <w:rPr>
                  <w:szCs w:val="24"/>
                  <w:lang w:eastAsia="zh-CN" w:bidi="en-US"/>
                </w:rPr>
                <w:t>UAB „Joniškio vandenys“</w:t>
              </w:r>
            </w:p>
            <w:p>
              <w:pPr>
                <w:widowControl w:val="0"/>
                <w:tabs>
                  <w:tab w:val="left" w:pos="3802"/>
                </w:tabs>
                <w:suppressAutoHyphens/>
                <w:rPr>
                  <w:szCs w:val="24"/>
                  <w:lang w:eastAsia="zh-CN" w:bidi="en-US"/>
                </w:rPr>
              </w:pPr>
              <w:r>
                <w:rPr>
                  <w:szCs w:val="24"/>
                  <w:lang w:eastAsia="zh-CN" w:bidi="en-US"/>
                </w:rPr>
                <w:t>UAB „Jurbarko vandenys“</w:t>
              </w:r>
            </w:p>
            <w:p>
              <w:pPr>
                <w:widowControl w:val="0"/>
                <w:tabs>
                  <w:tab w:val="left" w:pos="3802"/>
                </w:tabs>
                <w:suppressAutoHyphens/>
                <w:rPr>
                  <w:szCs w:val="24"/>
                  <w:lang w:eastAsia="zh-CN" w:bidi="en-US"/>
                </w:rPr>
              </w:pPr>
              <w:r>
                <w:rPr>
                  <w:szCs w:val="24"/>
                  <w:lang w:eastAsia="zh-CN" w:bidi="en-US"/>
                </w:rPr>
                <w:t>UAB „ Kaišiadorių vandenys“</w:t>
              </w:r>
            </w:p>
            <w:p>
              <w:pPr>
                <w:widowControl w:val="0"/>
                <w:tabs>
                  <w:tab w:val="left" w:pos="3802"/>
                </w:tabs>
                <w:suppressAutoHyphens/>
                <w:rPr>
                  <w:szCs w:val="24"/>
                  <w:lang w:eastAsia="zh-CN" w:bidi="en-US"/>
                </w:rPr>
              </w:pPr>
              <w:r>
                <w:rPr>
                  <w:szCs w:val="24"/>
                  <w:lang w:eastAsia="zh-CN" w:bidi="en-US"/>
                </w:rPr>
                <w:t>UAB „Kalvarijos komunalininkas“</w:t>
              </w:r>
            </w:p>
            <w:p>
              <w:pPr>
                <w:widowControl w:val="0"/>
                <w:tabs>
                  <w:tab w:val="left" w:pos="3802"/>
                </w:tabs>
                <w:suppressAutoHyphens/>
                <w:rPr>
                  <w:szCs w:val="24"/>
                  <w:lang w:eastAsia="zh-CN" w:bidi="en-US"/>
                </w:rPr>
              </w:pPr>
              <w:r>
                <w:rPr>
                  <w:szCs w:val="24"/>
                  <w:lang w:eastAsia="zh-CN" w:bidi="en-US"/>
                </w:rPr>
                <w:t>UAB „Kauno vandenys“</w:t>
              </w:r>
            </w:p>
            <w:p>
              <w:pPr>
                <w:widowControl w:val="0"/>
                <w:tabs>
                  <w:tab w:val="left" w:pos="3802"/>
                </w:tabs>
                <w:suppressAutoHyphens/>
                <w:rPr>
                  <w:szCs w:val="24"/>
                  <w:lang w:eastAsia="zh-CN" w:bidi="en-US"/>
                </w:rPr>
              </w:pPr>
              <w:r>
                <w:rPr>
                  <w:szCs w:val="24"/>
                  <w:lang w:eastAsia="zh-CN" w:bidi="en-US"/>
                </w:rPr>
                <w:t>UAB „Giraitės vandenys“</w:t>
              </w:r>
            </w:p>
            <w:p>
              <w:pPr>
                <w:widowControl w:val="0"/>
                <w:tabs>
                  <w:tab w:val="left" w:pos="3802"/>
                </w:tabs>
                <w:suppressAutoHyphens/>
                <w:rPr>
                  <w:rFonts w:eastAsia="Andale Sans UI;Times New Roman" w:cs="Tahoma"/>
                  <w:szCs w:val="24"/>
                  <w:lang w:eastAsia="zh-CN" w:bidi="en-US"/>
                </w:rPr>
              </w:pPr>
              <w:r>
                <w:rPr>
                  <w:szCs w:val="24"/>
                  <w:lang w:eastAsia="zh-CN" w:bidi="en-US"/>
                </w:rPr>
                <w:t>UAB „Kazlų Rūdos šilumos tinklai “</w:t>
              </w:r>
            </w:p>
            <w:p>
              <w:pPr>
                <w:widowControl w:val="0"/>
                <w:tabs>
                  <w:tab w:val="left" w:pos="3802"/>
                </w:tabs>
                <w:suppressAutoHyphens/>
                <w:rPr>
                  <w:szCs w:val="24"/>
                  <w:lang w:eastAsia="zh-CN" w:bidi="en-US"/>
                </w:rPr>
              </w:pPr>
              <w:r>
                <w:rPr>
                  <w:szCs w:val="24"/>
                  <w:lang w:eastAsia="zh-CN" w:bidi="en-US"/>
                </w:rPr>
                <w:t>UAB „Kelmės vanduo“</w:t>
              </w:r>
            </w:p>
            <w:p>
              <w:pPr>
                <w:widowControl w:val="0"/>
                <w:tabs>
                  <w:tab w:val="left" w:pos="3802"/>
                </w:tabs>
                <w:suppressAutoHyphens/>
                <w:rPr>
                  <w:szCs w:val="24"/>
                  <w:lang w:eastAsia="zh-CN" w:bidi="en-US"/>
                </w:rPr>
              </w:pPr>
              <w:r>
                <w:rPr>
                  <w:szCs w:val="24"/>
                  <w:lang w:eastAsia="zh-CN" w:bidi="en-US"/>
                </w:rPr>
                <w:t>UAB „Kėdainių vandenys“</w:t>
              </w:r>
            </w:p>
            <w:p>
              <w:pPr>
                <w:widowControl w:val="0"/>
                <w:tabs>
                  <w:tab w:val="left" w:pos="3802"/>
                </w:tabs>
                <w:suppressAutoHyphens/>
                <w:rPr>
                  <w:szCs w:val="24"/>
                  <w:lang w:eastAsia="zh-CN" w:bidi="en-US"/>
                </w:rPr>
              </w:pPr>
              <w:r>
                <w:rPr>
                  <w:szCs w:val="24"/>
                  <w:lang w:eastAsia="zh-CN" w:bidi="en-US"/>
                </w:rPr>
                <w:t>AB „Klaipėdos vanduo“</w:t>
              </w:r>
            </w:p>
            <w:p>
              <w:pPr>
                <w:widowControl w:val="0"/>
                <w:tabs>
                  <w:tab w:val="left" w:pos="3802"/>
                </w:tabs>
                <w:suppressAutoHyphens/>
                <w:rPr>
                  <w:szCs w:val="24"/>
                  <w:lang w:eastAsia="zh-CN" w:bidi="en-US"/>
                </w:rPr>
              </w:pPr>
              <w:r>
                <w:rPr>
                  <w:szCs w:val="24"/>
                  <w:lang w:eastAsia="zh-CN" w:bidi="en-US"/>
                </w:rPr>
                <w:t>AB „Klaipėdos vanduo“</w:t>
              </w:r>
            </w:p>
            <w:p>
              <w:pPr>
                <w:widowControl w:val="0"/>
                <w:tabs>
                  <w:tab w:val="left" w:pos="3802"/>
                </w:tabs>
                <w:suppressAutoHyphens/>
                <w:rPr>
                  <w:szCs w:val="24"/>
                  <w:lang w:eastAsia="zh-CN" w:bidi="en-US"/>
                </w:rPr>
              </w:pPr>
              <w:r>
                <w:rPr>
                  <w:szCs w:val="24"/>
                  <w:lang w:eastAsia="zh-CN" w:bidi="en-US"/>
                </w:rPr>
                <w:t>UAB „Kretingos vandenys“</w:t>
              </w:r>
            </w:p>
            <w:p>
              <w:pPr>
                <w:widowControl w:val="0"/>
                <w:tabs>
                  <w:tab w:val="left" w:pos="3802"/>
                </w:tabs>
                <w:suppressAutoHyphens/>
                <w:rPr>
                  <w:szCs w:val="24"/>
                  <w:lang w:eastAsia="zh-CN" w:bidi="en-US"/>
                </w:rPr>
              </w:pPr>
              <w:r>
                <w:rPr>
                  <w:szCs w:val="24"/>
                  <w:lang w:eastAsia="zh-CN" w:bidi="en-US"/>
                </w:rPr>
                <w:t>UAB „Kupiškio vandenys“</w:t>
              </w:r>
            </w:p>
            <w:p>
              <w:pPr>
                <w:widowControl w:val="0"/>
                <w:tabs>
                  <w:tab w:val="left" w:pos="3802"/>
                </w:tabs>
                <w:suppressAutoHyphens/>
                <w:rPr>
                  <w:szCs w:val="24"/>
                  <w:lang w:eastAsia="zh-CN" w:bidi="en-US"/>
                </w:rPr>
              </w:pPr>
              <w:r>
                <w:rPr>
                  <w:szCs w:val="24"/>
                  <w:lang w:eastAsia="zh-CN" w:bidi="en-US"/>
                </w:rPr>
                <w:t>UAB „Lazdijų vanduo“</w:t>
              </w:r>
            </w:p>
            <w:p>
              <w:pPr>
                <w:widowControl w:val="0"/>
                <w:tabs>
                  <w:tab w:val="left" w:pos="3802"/>
                </w:tabs>
                <w:suppressAutoHyphens/>
                <w:rPr>
                  <w:szCs w:val="24"/>
                  <w:lang w:eastAsia="zh-CN" w:bidi="en-US"/>
                </w:rPr>
              </w:pPr>
              <w:r>
                <w:rPr>
                  <w:szCs w:val="24"/>
                  <w:lang w:eastAsia="zh-CN" w:bidi="en-US"/>
                </w:rPr>
                <w:t>UAB „Sūduvos vandenys“</w:t>
              </w:r>
            </w:p>
            <w:p>
              <w:pPr>
                <w:widowControl w:val="0"/>
                <w:tabs>
                  <w:tab w:val="left" w:pos="3802"/>
                </w:tabs>
                <w:suppressAutoHyphens/>
                <w:rPr>
                  <w:szCs w:val="24"/>
                  <w:lang w:eastAsia="zh-CN" w:bidi="en-US"/>
                </w:rPr>
              </w:pPr>
              <w:r>
                <w:rPr>
                  <w:szCs w:val="24"/>
                  <w:lang w:eastAsia="zh-CN" w:bidi="en-US"/>
                </w:rPr>
                <w:t>UAB „Mažeikių vandenys“</w:t>
              </w:r>
            </w:p>
            <w:p>
              <w:pPr>
                <w:widowControl w:val="0"/>
                <w:tabs>
                  <w:tab w:val="left" w:pos="3802"/>
                </w:tabs>
                <w:suppressAutoHyphens/>
                <w:rPr>
                  <w:szCs w:val="24"/>
                  <w:lang w:eastAsia="zh-CN" w:bidi="en-US"/>
                </w:rPr>
              </w:pPr>
              <w:r>
                <w:rPr>
                  <w:szCs w:val="24"/>
                  <w:lang w:eastAsia="zh-CN" w:bidi="en-US"/>
                </w:rPr>
                <w:t>UAB „Molėtų vanduo“</w:t>
              </w:r>
            </w:p>
            <w:p>
              <w:pPr>
                <w:widowControl w:val="0"/>
                <w:tabs>
                  <w:tab w:val="left" w:pos="3802"/>
                </w:tabs>
                <w:suppressAutoHyphens/>
                <w:rPr>
                  <w:szCs w:val="24"/>
                  <w:lang w:eastAsia="zh-CN" w:bidi="en-US"/>
                </w:rPr>
              </w:pPr>
              <w:r>
                <w:rPr>
                  <w:szCs w:val="24"/>
                  <w:lang w:eastAsia="zh-CN" w:bidi="en-US"/>
                </w:rPr>
                <w:t>UAB „Neringos vanduo“</w:t>
              </w:r>
            </w:p>
            <w:p>
              <w:pPr>
                <w:widowControl w:val="0"/>
                <w:tabs>
                  <w:tab w:val="left" w:pos="3802"/>
                </w:tabs>
                <w:suppressAutoHyphens/>
                <w:rPr>
                  <w:szCs w:val="24"/>
                  <w:lang w:eastAsia="zh-CN" w:bidi="en-US"/>
                </w:rPr>
              </w:pPr>
              <w:r>
                <w:rPr>
                  <w:szCs w:val="24"/>
                  <w:lang w:eastAsia="zh-CN" w:bidi="en-US"/>
                </w:rPr>
                <w:t>UAB „Pagėgių komunalinis ūkis“</w:t>
              </w:r>
            </w:p>
            <w:p>
              <w:pPr>
                <w:widowControl w:val="0"/>
                <w:tabs>
                  <w:tab w:val="left" w:pos="3802"/>
                </w:tabs>
                <w:suppressAutoHyphens/>
                <w:rPr>
                  <w:szCs w:val="24"/>
                  <w:lang w:eastAsia="zh-CN" w:bidi="en-US"/>
                </w:rPr>
              </w:pPr>
              <w:r>
                <w:rPr>
                  <w:szCs w:val="24"/>
                  <w:lang w:eastAsia="zh-CN" w:bidi="en-US"/>
                </w:rPr>
                <w:t>UAB „Pakruojo vandentiekis“</w:t>
              </w:r>
            </w:p>
            <w:p>
              <w:pPr>
                <w:widowControl w:val="0"/>
                <w:tabs>
                  <w:tab w:val="left" w:pos="3802"/>
                </w:tabs>
                <w:suppressAutoHyphens/>
                <w:rPr>
                  <w:szCs w:val="24"/>
                  <w:lang w:eastAsia="zh-CN" w:bidi="en-US"/>
                </w:rPr>
              </w:pPr>
              <w:r>
                <w:rPr>
                  <w:szCs w:val="24"/>
                  <w:lang w:eastAsia="zh-CN" w:bidi="en-US"/>
                </w:rPr>
                <w:t>UAB „Palangos vandenys“</w:t>
              </w:r>
            </w:p>
            <w:p>
              <w:pPr>
                <w:widowControl w:val="0"/>
                <w:tabs>
                  <w:tab w:val="left" w:pos="3802"/>
                </w:tabs>
                <w:suppressAutoHyphens/>
                <w:rPr>
                  <w:szCs w:val="24"/>
                  <w:lang w:eastAsia="zh-CN" w:bidi="en-US"/>
                </w:rPr>
              </w:pPr>
              <w:r>
                <w:rPr>
                  <w:szCs w:val="24"/>
                  <w:lang w:eastAsia="zh-CN" w:bidi="en-US"/>
                </w:rPr>
                <w:t>UAB „Aukštaitijos vandenys“</w:t>
              </w:r>
            </w:p>
            <w:p>
              <w:pPr>
                <w:widowControl w:val="0"/>
                <w:tabs>
                  <w:tab w:val="left" w:pos="3802"/>
                </w:tabs>
                <w:suppressAutoHyphens/>
                <w:rPr>
                  <w:szCs w:val="24"/>
                  <w:lang w:eastAsia="zh-CN" w:bidi="en-US"/>
                </w:rPr>
              </w:pPr>
              <w:r>
                <w:rPr>
                  <w:szCs w:val="24"/>
                  <w:lang w:eastAsia="zh-CN" w:bidi="en-US"/>
                </w:rPr>
                <w:t>VšĮ „Velžio komunalinis ūkis“</w:t>
              </w:r>
            </w:p>
            <w:p>
              <w:pPr>
                <w:widowControl w:val="0"/>
                <w:tabs>
                  <w:tab w:val="left" w:pos="3802"/>
                </w:tabs>
                <w:suppressAutoHyphens/>
                <w:rPr>
                  <w:szCs w:val="24"/>
                  <w:lang w:eastAsia="zh-CN" w:bidi="en-US"/>
                </w:rPr>
              </w:pPr>
              <w:r>
                <w:rPr>
                  <w:szCs w:val="24"/>
                  <w:lang w:eastAsia="zh-CN" w:bidi="en-US"/>
                </w:rPr>
                <w:t>UAB „Pasvalio vandenys“</w:t>
              </w:r>
            </w:p>
            <w:p>
              <w:pPr>
                <w:widowControl w:val="0"/>
                <w:tabs>
                  <w:tab w:val="left" w:pos="3802"/>
                </w:tabs>
                <w:suppressAutoHyphens/>
                <w:rPr>
                  <w:szCs w:val="24"/>
                  <w:lang w:eastAsia="zh-CN" w:bidi="en-US"/>
                </w:rPr>
              </w:pPr>
              <w:r>
                <w:rPr>
                  <w:szCs w:val="24"/>
                  <w:lang w:eastAsia="zh-CN" w:bidi="en-US"/>
                </w:rPr>
                <w:t>UAB „Plungės vandenys“</w:t>
              </w:r>
            </w:p>
            <w:p>
              <w:pPr>
                <w:widowControl w:val="0"/>
                <w:tabs>
                  <w:tab w:val="left" w:pos="3802"/>
                </w:tabs>
                <w:suppressAutoHyphens/>
                <w:rPr>
                  <w:szCs w:val="24"/>
                  <w:lang w:eastAsia="zh-CN" w:bidi="en-US"/>
                </w:rPr>
              </w:pPr>
              <w:r>
                <w:rPr>
                  <w:szCs w:val="24"/>
                  <w:lang w:eastAsia="zh-CN" w:bidi="en-US"/>
                </w:rPr>
                <w:t>UAB „Prienų vandenys“</w:t>
              </w:r>
            </w:p>
            <w:p>
              <w:pPr>
                <w:widowControl w:val="0"/>
                <w:tabs>
                  <w:tab w:val="left" w:pos="3802"/>
                </w:tabs>
                <w:suppressAutoHyphens/>
                <w:rPr>
                  <w:szCs w:val="24"/>
                  <w:lang w:eastAsia="zh-CN" w:bidi="en-US"/>
                </w:rPr>
              </w:pPr>
              <w:r>
                <w:rPr>
                  <w:szCs w:val="24"/>
                  <w:lang w:eastAsia="zh-CN" w:bidi="en-US"/>
                </w:rPr>
                <w:t>UAB „Radviliškio vanduo“</w:t>
              </w:r>
            </w:p>
            <w:p>
              <w:pPr>
                <w:widowControl w:val="0"/>
                <w:tabs>
                  <w:tab w:val="left" w:pos="3802"/>
                </w:tabs>
                <w:suppressAutoHyphens/>
                <w:rPr>
                  <w:szCs w:val="24"/>
                  <w:lang w:eastAsia="zh-CN" w:bidi="en-US"/>
                </w:rPr>
              </w:pPr>
              <w:r>
                <w:rPr>
                  <w:szCs w:val="24"/>
                  <w:lang w:eastAsia="zh-CN" w:bidi="en-US"/>
                </w:rPr>
                <w:t>UAB „Raseinių vandenys“</w:t>
              </w:r>
            </w:p>
            <w:p>
              <w:pPr>
                <w:widowControl w:val="0"/>
                <w:tabs>
                  <w:tab w:val="left" w:pos="3802"/>
                </w:tabs>
                <w:suppressAutoHyphens/>
                <w:rPr>
                  <w:szCs w:val="24"/>
                  <w:lang w:eastAsia="zh-CN" w:bidi="en-US"/>
                </w:rPr>
              </w:pPr>
              <w:r>
                <w:rPr>
                  <w:szCs w:val="24"/>
                  <w:lang w:eastAsia="zh-CN" w:bidi="en-US"/>
                </w:rPr>
                <w:t>UAB „Rietavo komunalinis ūkis“</w:t>
              </w:r>
            </w:p>
            <w:p>
              <w:pPr>
                <w:widowControl w:val="0"/>
                <w:tabs>
                  <w:tab w:val="left" w:pos="3802"/>
                </w:tabs>
                <w:suppressAutoHyphens/>
                <w:rPr>
                  <w:szCs w:val="24"/>
                  <w:lang w:eastAsia="zh-CN" w:bidi="en-US"/>
                </w:rPr>
              </w:pPr>
              <w:r>
                <w:rPr>
                  <w:szCs w:val="24"/>
                  <w:lang w:eastAsia="zh-CN" w:bidi="en-US"/>
                </w:rPr>
                <w:t>UAB „Rokiškio vandenys“</w:t>
              </w:r>
            </w:p>
            <w:p>
              <w:pPr>
                <w:widowControl w:val="0"/>
                <w:tabs>
                  <w:tab w:val="left" w:pos="3802"/>
                </w:tabs>
                <w:suppressAutoHyphens/>
                <w:rPr>
                  <w:szCs w:val="24"/>
                  <w:lang w:eastAsia="zh-CN" w:bidi="en-US"/>
                </w:rPr>
              </w:pPr>
              <w:r>
                <w:rPr>
                  <w:szCs w:val="24"/>
                  <w:lang w:eastAsia="zh-CN" w:bidi="en-US"/>
                </w:rPr>
                <w:t>UAB „Skuodo vandenys“</w:t>
              </w:r>
            </w:p>
            <w:p>
              <w:pPr>
                <w:widowControl w:val="0"/>
                <w:tabs>
                  <w:tab w:val="left" w:pos="3802"/>
                </w:tabs>
                <w:suppressAutoHyphens/>
                <w:rPr>
                  <w:szCs w:val="24"/>
                  <w:lang w:eastAsia="zh-CN" w:bidi="en-US"/>
                </w:rPr>
              </w:pPr>
              <w:r>
                <w:rPr>
                  <w:szCs w:val="24"/>
                  <w:lang w:eastAsia="zh-CN" w:bidi="en-US"/>
                </w:rPr>
                <w:t>UAB „Šakių vandenys“</w:t>
              </w:r>
            </w:p>
            <w:p>
              <w:pPr>
                <w:widowControl w:val="0"/>
                <w:tabs>
                  <w:tab w:val="left" w:pos="3802"/>
                </w:tabs>
                <w:suppressAutoHyphens/>
                <w:rPr>
                  <w:szCs w:val="24"/>
                  <w:lang w:eastAsia="zh-CN" w:bidi="en-US"/>
                </w:rPr>
              </w:pPr>
              <w:r>
                <w:rPr>
                  <w:szCs w:val="24"/>
                  <w:lang w:eastAsia="zh-CN" w:bidi="en-US"/>
                </w:rPr>
                <w:t>UAB „Tvarkyba“</w:t>
              </w:r>
            </w:p>
            <w:p>
              <w:pPr>
                <w:widowControl w:val="0"/>
                <w:tabs>
                  <w:tab w:val="left" w:pos="3802"/>
                </w:tabs>
                <w:suppressAutoHyphens/>
                <w:rPr>
                  <w:szCs w:val="24"/>
                  <w:lang w:eastAsia="zh-CN" w:bidi="en-US"/>
                </w:rPr>
              </w:pPr>
              <w:r>
                <w:rPr>
                  <w:szCs w:val="24"/>
                  <w:lang w:eastAsia="zh-CN" w:bidi="en-US"/>
                </w:rPr>
                <w:t>UAB „Šiaulių vandenys“</w:t>
              </w:r>
            </w:p>
            <w:p>
              <w:pPr>
                <w:widowControl w:val="0"/>
                <w:tabs>
                  <w:tab w:val="left" w:pos="3802"/>
                </w:tabs>
                <w:suppressAutoHyphens/>
                <w:rPr>
                  <w:szCs w:val="24"/>
                  <w:lang w:eastAsia="zh-CN" w:bidi="en-US"/>
                </w:rPr>
              </w:pPr>
              <w:r>
                <w:rPr>
                  <w:szCs w:val="24"/>
                  <w:lang w:eastAsia="zh-CN" w:bidi="en-US"/>
                </w:rPr>
                <w:t>UAB „Kuršėnų vandenys“</w:t>
              </w:r>
            </w:p>
            <w:p>
              <w:pPr>
                <w:widowControl w:val="0"/>
                <w:tabs>
                  <w:tab w:val="left" w:pos="3802"/>
                </w:tabs>
                <w:suppressAutoHyphens/>
                <w:rPr>
                  <w:szCs w:val="24"/>
                  <w:lang w:eastAsia="zh-CN" w:bidi="en-US"/>
                </w:rPr>
              </w:pPr>
              <w:r>
                <w:rPr>
                  <w:szCs w:val="24"/>
                  <w:lang w:eastAsia="zh-CN" w:bidi="en-US"/>
                </w:rPr>
                <w:t>UAB „Šilalės vandenys“</w:t>
              </w:r>
            </w:p>
            <w:p>
              <w:pPr>
                <w:widowControl w:val="0"/>
                <w:tabs>
                  <w:tab w:val="left" w:pos="3802"/>
                </w:tabs>
                <w:suppressAutoHyphens/>
                <w:rPr>
                  <w:szCs w:val="24"/>
                  <w:lang w:eastAsia="zh-CN" w:bidi="en-US"/>
                </w:rPr>
              </w:pPr>
              <w:r>
                <w:rPr>
                  <w:szCs w:val="24"/>
                  <w:lang w:eastAsia="zh-CN" w:bidi="en-US"/>
                </w:rPr>
                <w:t>UAB „Šilutės vandenys“</w:t>
              </w:r>
            </w:p>
            <w:p>
              <w:pPr>
                <w:widowControl w:val="0"/>
                <w:tabs>
                  <w:tab w:val="left" w:pos="3802"/>
                </w:tabs>
                <w:suppressAutoHyphens/>
                <w:rPr>
                  <w:szCs w:val="24"/>
                  <w:lang w:eastAsia="zh-CN" w:bidi="en-US"/>
                </w:rPr>
              </w:pPr>
              <w:r>
                <w:rPr>
                  <w:szCs w:val="24"/>
                  <w:lang w:eastAsia="zh-CN" w:bidi="en-US"/>
                </w:rPr>
                <w:t>UAB „Širvintų vandenys“</w:t>
              </w:r>
            </w:p>
            <w:p>
              <w:pPr>
                <w:widowControl w:val="0"/>
                <w:tabs>
                  <w:tab w:val="left" w:pos="3802"/>
                </w:tabs>
                <w:suppressAutoHyphens/>
                <w:rPr>
                  <w:szCs w:val="24"/>
                  <w:lang w:eastAsia="zh-CN" w:bidi="en-US"/>
                </w:rPr>
              </w:pPr>
              <w:r>
                <w:rPr>
                  <w:szCs w:val="24"/>
                  <w:lang w:eastAsia="zh-CN" w:bidi="en-US"/>
                </w:rPr>
                <w:t>UAB „Pabradės komunalinis ūkis“</w:t>
              </w:r>
            </w:p>
            <w:p>
              <w:pPr>
                <w:widowControl w:val="0"/>
                <w:tabs>
                  <w:tab w:val="left" w:pos="3802"/>
                </w:tabs>
                <w:suppressAutoHyphens/>
                <w:rPr>
                  <w:szCs w:val="24"/>
                  <w:lang w:eastAsia="zh-CN" w:bidi="en-US"/>
                </w:rPr>
              </w:pPr>
              <w:r>
                <w:rPr>
                  <w:szCs w:val="24"/>
                  <w:lang w:eastAsia="zh-CN" w:bidi="en-US"/>
                </w:rPr>
                <w:t>UAB „Tauragės vandenys“</w:t>
              </w:r>
            </w:p>
            <w:p>
              <w:pPr>
                <w:widowControl w:val="0"/>
                <w:tabs>
                  <w:tab w:val="left" w:pos="3802"/>
                </w:tabs>
                <w:suppressAutoHyphens/>
                <w:rPr>
                  <w:szCs w:val="24"/>
                  <w:lang w:eastAsia="zh-CN" w:bidi="en-US"/>
                </w:rPr>
              </w:pPr>
              <w:r>
                <w:rPr>
                  <w:szCs w:val="24"/>
                  <w:lang w:eastAsia="zh-CN" w:bidi="en-US"/>
                </w:rPr>
                <w:t>UAB „Telšių vandenys“</w:t>
              </w:r>
            </w:p>
            <w:p>
              <w:pPr>
                <w:widowControl w:val="0"/>
                <w:tabs>
                  <w:tab w:val="left" w:pos="3802"/>
                </w:tabs>
                <w:suppressAutoHyphens/>
                <w:rPr>
                  <w:szCs w:val="24"/>
                  <w:lang w:eastAsia="zh-CN" w:bidi="en-US"/>
                </w:rPr>
              </w:pPr>
              <w:r>
                <w:rPr>
                  <w:szCs w:val="24"/>
                  <w:lang w:eastAsia="zh-CN" w:bidi="en-US"/>
                </w:rPr>
                <w:t>UAB „Trakų vandenys“</w:t>
              </w:r>
            </w:p>
            <w:p>
              <w:pPr>
                <w:widowControl w:val="0"/>
                <w:tabs>
                  <w:tab w:val="left" w:pos="3802"/>
                </w:tabs>
                <w:suppressAutoHyphens/>
                <w:rPr>
                  <w:szCs w:val="24"/>
                  <w:lang w:eastAsia="zh-CN" w:bidi="en-US"/>
                </w:rPr>
              </w:pPr>
              <w:r>
                <w:rPr>
                  <w:szCs w:val="24"/>
                  <w:lang w:eastAsia="zh-CN" w:bidi="en-US"/>
                </w:rPr>
                <w:t>UAB „Ukmergės vandenys“</w:t>
              </w:r>
            </w:p>
            <w:p>
              <w:pPr>
                <w:widowControl w:val="0"/>
                <w:tabs>
                  <w:tab w:val="left" w:pos="3802"/>
                </w:tabs>
                <w:suppressAutoHyphens/>
                <w:rPr>
                  <w:szCs w:val="24"/>
                  <w:lang w:eastAsia="zh-CN" w:bidi="en-US"/>
                </w:rPr>
              </w:pPr>
              <w:r>
                <w:rPr>
                  <w:szCs w:val="24"/>
                  <w:lang w:eastAsia="zh-CN" w:bidi="en-US"/>
                </w:rPr>
                <w:t>UAB „Utenos vandenys“</w:t>
              </w:r>
            </w:p>
            <w:p>
              <w:pPr>
                <w:widowControl w:val="0"/>
                <w:tabs>
                  <w:tab w:val="left" w:pos="3802"/>
                </w:tabs>
                <w:suppressAutoHyphens/>
                <w:rPr>
                  <w:szCs w:val="24"/>
                  <w:lang w:eastAsia="zh-CN" w:bidi="en-US"/>
                </w:rPr>
              </w:pPr>
              <w:r>
                <w:rPr>
                  <w:szCs w:val="24"/>
                  <w:lang w:eastAsia="zh-CN" w:bidi="en-US"/>
                </w:rPr>
                <w:t>UAB „Varėnos vandenys“</w:t>
              </w:r>
            </w:p>
            <w:p>
              <w:pPr>
                <w:widowControl w:val="0"/>
                <w:tabs>
                  <w:tab w:val="left" w:pos="3802"/>
                </w:tabs>
                <w:suppressAutoHyphens/>
                <w:rPr>
                  <w:szCs w:val="24"/>
                  <w:lang w:eastAsia="zh-CN" w:bidi="en-US"/>
                </w:rPr>
              </w:pPr>
              <w:r>
                <w:rPr>
                  <w:szCs w:val="24"/>
                  <w:lang w:eastAsia="zh-CN" w:bidi="en-US"/>
                </w:rPr>
                <w:t>UAB „Vilkaviškio vandenys“</w:t>
              </w:r>
            </w:p>
            <w:p>
              <w:pPr>
                <w:widowControl w:val="0"/>
                <w:tabs>
                  <w:tab w:val="left" w:pos="3802"/>
                </w:tabs>
                <w:suppressAutoHyphens/>
                <w:rPr>
                  <w:szCs w:val="24"/>
                  <w:lang w:eastAsia="zh-CN" w:bidi="en-US"/>
                </w:rPr>
              </w:pPr>
              <w:r>
                <w:rPr>
                  <w:szCs w:val="24"/>
                  <w:lang w:eastAsia="zh-CN" w:bidi="en-US"/>
                </w:rPr>
                <w:t>UAB „Vilniaus vandenys“</w:t>
              </w:r>
            </w:p>
            <w:p>
              <w:pPr>
                <w:widowControl w:val="0"/>
                <w:tabs>
                  <w:tab w:val="left" w:pos="3802"/>
                </w:tabs>
                <w:suppressAutoHyphens/>
                <w:rPr>
                  <w:szCs w:val="24"/>
                  <w:lang w:eastAsia="zh-CN" w:bidi="en-US"/>
                </w:rPr>
              </w:pPr>
              <w:r>
                <w:rPr>
                  <w:szCs w:val="24"/>
                  <w:lang w:eastAsia="zh-CN" w:bidi="en-US"/>
                </w:rPr>
                <w:t xml:space="preserve">UAB „Nemėžio komunalininkas“ </w:t>
              </w:r>
            </w:p>
            <w:p>
              <w:pPr>
                <w:widowControl w:val="0"/>
                <w:tabs>
                  <w:tab w:val="left" w:pos="3802"/>
                </w:tabs>
                <w:suppressAutoHyphens/>
                <w:rPr>
                  <w:szCs w:val="24"/>
                  <w:lang w:eastAsia="zh-CN" w:bidi="en-US"/>
                </w:rPr>
              </w:pPr>
              <w:r>
                <w:rPr>
                  <w:szCs w:val="24"/>
                  <w:lang w:eastAsia="zh-CN" w:bidi="en-US"/>
                </w:rPr>
                <w:t>UAB „Nemenčinės komunalininkas“</w:t>
              </w:r>
            </w:p>
            <w:p>
              <w:pPr>
                <w:widowControl w:val="0"/>
                <w:tabs>
                  <w:tab w:val="left" w:pos="3802"/>
                </w:tabs>
                <w:suppressAutoHyphens/>
                <w:rPr>
                  <w:szCs w:val="24"/>
                  <w:lang w:eastAsia="zh-CN" w:bidi="en-US"/>
                </w:rPr>
              </w:pPr>
              <w:r>
                <w:rPr>
                  <w:szCs w:val="24"/>
                  <w:lang w:eastAsia="zh-CN" w:bidi="en-US"/>
                </w:rPr>
                <w:t>VĮ „Visagino energija“</w:t>
              </w:r>
            </w:p>
            <w:p>
              <w:pPr>
                <w:rPr>
                  <w:szCs w:val="24"/>
                  <w:lang w:eastAsia="lt-LT"/>
                </w:rPr>
              </w:pPr>
              <w:r>
                <w:rPr>
                  <w:rFonts w:eastAsia="Calibri"/>
                  <w:szCs w:val="24"/>
                  <w:lang w:eastAsia="lt-LT"/>
                </w:rPr>
                <w:t>Akmenės rajono savivaldybei</w:t>
              </w:r>
            </w:p>
            <w:p>
              <w:pPr>
                <w:rPr>
                  <w:szCs w:val="24"/>
                  <w:lang w:eastAsia="lt-LT"/>
                </w:rPr>
              </w:pPr>
              <w:r>
                <w:rPr>
                  <w:rFonts w:eastAsia="Calibri"/>
                  <w:szCs w:val="24"/>
                  <w:lang w:eastAsia="lt-LT"/>
                </w:rPr>
                <w:t>Alytaus miesto savivaldybei</w:t>
              </w:r>
            </w:p>
            <w:p>
              <w:pPr>
                <w:rPr>
                  <w:szCs w:val="24"/>
                  <w:lang w:eastAsia="lt-LT"/>
                </w:rPr>
              </w:pPr>
              <w:r>
                <w:rPr>
                  <w:rFonts w:eastAsia="Calibri"/>
                  <w:szCs w:val="24"/>
                  <w:lang w:eastAsia="lt-LT"/>
                </w:rPr>
                <w:t xml:space="preserve">Alytaus rajono savivaldybei </w:t>
              </w:r>
            </w:p>
            <w:p>
              <w:pPr>
                <w:rPr>
                  <w:szCs w:val="24"/>
                  <w:lang w:eastAsia="lt-LT"/>
                </w:rPr>
              </w:pPr>
              <w:r>
                <w:rPr>
                  <w:rFonts w:eastAsia="Calibri"/>
                  <w:szCs w:val="24"/>
                  <w:lang w:eastAsia="lt-LT"/>
                </w:rPr>
                <w:t xml:space="preserve">Anykščių rajono savivaldybei </w:t>
              </w:r>
            </w:p>
            <w:p>
              <w:pPr>
                <w:rPr>
                  <w:szCs w:val="24"/>
                  <w:lang w:eastAsia="lt-LT"/>
                </w:rPr>
              </w:pPr>
              <w:r>
                <w:rPr>
                  <w:rFonts w:eastAsia="Calibri"/>
                  <w:szCs w:val="24"/>
                  <w:lang w:eastAsia="lt-LT"/>
                </w:rPr>
                <w:t>Birštono savivaldybei</w:t>
              </w:r>
            </w:p>
            <w:p>
              <w:pPr>
                <w:rPr>
                  <w:rFonts w:eastAsia="Calibri"/>
                  <w:szCs w:val="24"/>
                  <w:lang w:eastAsia="lt-LT"/>
                </w:rPr>
              </w:pPr>
              <w:r>
                <w:rPr>
                  <w:rFonts w:eastAsia="Calibri"/>
                  <w:szCs w:val="24"/>
                  <w:lang w:eastAsia="lt-LT"/>
                </w:rPr>
                <w:t>Biržų rajono savivaldybei</w:t>
              </w:r>
            </w:p>
            <w:p>
              <w:pPr>
                <w:rPr>
                  <w:szCs w:val="24"/>
                  <w:lang w:eastAsia="lt-LT"/>
                </w:rPr>
              </w:pPr>
              <w:r>
                <w:rPr>
                  <w:rFonts w:eastAsia="Calibri"/>
                  <w:szCs w:val="24"/>
                  <w:lang w:eastAsia="lt-LT"/>
                </w:rPr>
                <w:t>Druskininkų savivaldybei</w:t>
              </w:r>
            </w:p>
            <w:p>
              <w:pPr>
                <w:rPr>
                  <w:rFonts w:eastAsia="Calibri"/>
                  <w:szCs w:val="24"/>
                  <w:lang w:eastAsia="lt-LT"/>
                </w:rPr>
              </w:pPr>
              <w:r>
                <w:rPr>
                  <w:rFonts w:eastAsia="Calibri"/>
                  <w:szCs w:val="24"/>
                  <w:lang w:eastAsia="lt-LT"/>
                </w:rPr>
                <w:t>Elektrėnų savivaldybei</w:t>
              </w:r>
            </w:p>
            <w:p>
              <w:pPr>
                <w:rPr>
                  <w:rFonts w:eastAsia="Andale Sans UI;Times New Roman" w:cs="Tahoma"/>
                  <w:szCs w:val="24"/>
                  <w:lang w:eastAsia="zh-CN" w:bidi="en-US"/>
                </w:rPr>
              </w:pPr>
              <w:r>
                <w:rPr>
                  <w:szCs w:val="24"/>
                  <w:lang w:eastAsia="lt-LT"/>
                </w:rPr>
                <w:t>Ignalinos rajono savivaldyb</w:t>
              </w:r>
              <w:r>
                <w:rPr>
                  <w:rFonts w:eastAsia="Calibri"/>
                  <w:szCs w:val="24"/>
                  <w:lang w:eastAsia="lt-LT"/>
                </w:rPr>
                <w:t>ei</w:t>
              </w:r>
              <w:r>
                <w:rPr>
                  <w:szCs w:val="24"/>
                  <w:lang w:eastAsia="lt-LT"/>
                </w:rPr>
                <w:t xml:space="preserve"> </w:t>
              </w:r>
            </w:p>
            <w:p>
              <w:pPr>
                <w:rPr>
                  <w:szCs w:val="24"/>
                  <w:lang w:eastAsia="lt-LT"/>
                </w:rPr>
              </w:pPr>
              <w:r>
                <w:rPr>
                  <w:rFonts w:eastAsia="Calibri"/>
                  <w:szCs w:val="24"/>
                  <w:lang w:eastAsia="lt-LT"/>
                </w:rPr>
                <w:t xml:space="preserve">Jonavos rajono savivaldybei </w:t>
              </w:r>
            </w:p>
            <w:p>
              <w:pPr>
                <w:rPr>
                  <w:szCs w:val="24"/>
                  <w:lang w:eastAsia="lt-LT"/>
                </w:rPr>
              </w:pPr>
              <w:r>
                <w:rPr>
                  <w:rFonts w:eastAsia="Calibri"/>
                  <w:szCs w:val="24"/>
                  <w:lang w:eastAsia="lt-LT"/>
                </w:rPr>
                <w:t>Joniškio rajono savivaldybei</w:t>
              </w:r>
            </w:p>
            <w:p>
              <w:pPr>
                <w:rPr>
                  <w:szCs w:val="24"/>
                  <w:lang w:eastAsia="lt-LT"/>
                </w:rPr>
              </w:pPr>
              <w:r>
                <w:rPr>
                  <w:rFonts w:eastAsia="Calibri"/>
                  <w:szCs w:val="24"/>
                  <w:lang w:eastAsia="lt-LT"/>
                </w:rPr>
                <w:t xml:space="preserve">Jurbarko rajono savivaldybei </w:t>
              </w:r>
            </w:p>
            <w:p>
              <w:pPr>
                <w:rPr>
                  <w:szCs w:val="24"/>
                  <w:lang w:eastAsia="lt-LT"/>
                </w:rPr>
              </w:pPr>
              <w:r>
                <w:rPr>
                  <w:rFonts w:eastAsia="Calibri"/>
                  <w:szCs w:val="24"/>
                  <w:lang w:eastAsia="lt-LT"/>
                </w:rPr>
                <w:t>Kaišiadorių rajono savivaldybei</w:t>
              </w:r>
            </w:p>
            <w:p>
              <w:pPr>
                <w:rPr>
                  <w:szCs w:val="24"/>
                  <w:lang w:eastAsia="lt-LT"/>
                </w:rPr>
              </w:pPr>
              <w:r>
                <w:rPr>
                  <w:rFonts w:eastAsia="Calibri"/>
                  <w:szCs w:val="24"/>
                  <w:lang w:eastAsia="lt-LT"/>
                </w:rPr>
                <w:t>Kalvarijos savivaldybei</w:t>
              </w:r>
            </w:p>
            <w:p>
              <w:pPr>
                <w:rPr>
                  <w:szCs w:val="24"/>
                  <w:lang w:eastAsia="lt-LT"/>
                </w:rPr>
              </w:pPr>
              <w:r>
                <w:rPr>
                  <w:rFonts w:eastAsia="Calibri"/>
                  <w:szCs w:val="24"/>
                  <w:lang w:eastAsia="lt-LT"/>
                </w:rPr>
                <w:t>Kauno miesto savivaldybei</w:t>
              </w:r>
            </w:p>
            <w:p>
              <w:pPr>
                <w:rPr>
                  <w:szCs w:val="24"/>
                  <w:lang w:eastAsia="lt-LT"/>
                </w:rPr>
              </w:pPr>
              <w:r>
                <w:rPr>
                  <w:rFonts w:eastAsia="Calibri"/>
                  <w:szCs w:val="24"/>
                  <w:lang w:eastAsia="lt-LT"/>
                </w:rPr>
                <w:t>Kauno rajono savivaldybei</w:t>
              </w:r>
            </w:p>
            <w:p>
              <w:pPr>
                <w:rPr>
                  <w:szCs w:val="24"/>
                  <w:lang w:eastAsia="lt-LT"/>
                </w:rPr>
              </w:pPr>
              <w:r>
                <w:rPr>
                  <w:rFonts w:eastAsia="Calibri"/>
                  <w:szCs w:val="24"/>
                  <w:lang w:eastAsia="lt-LT"/>
                </w:rPr>
                <w:t xml:space="preserve">Kazlų Rūdos savivaldybei </w:t>
              </w:r>
            </w:p>
            <w:p>
              <w:pPr>
                <w:rPr>
                  <w:szCs w:val="24"/>
                  <w:lang w:eastAsia="lt-LT"/>
                </w:rPr>
              </w:pPr>
              <w:r>
                <w:rPr>
                  <w:rFonts w:eastAsia="Calibri"/>
                  <w:szCs w:val="24"/>
                  <w:lang w:eastAsia="lt-LT"/>
                </w:rPr>
                <w:t xml:space="preserve">Kėdainių rajono savivaldybei </w:t>
              </w:r>
            </w:p>
            <w:p>
              <w:pPr>
                <w:rPr>
                  <w:szCs w:val="24"/>
                  <w:lang w:eastAsia="lt-LT"/>
                </w:rPr>
              </w:pPr>
              <w:r>
                <w:rPr>
                  <w:rFonts w:eastAsia="Calibri"/>
                  <w:szCs w:val="24"/>
                  <w:lang w:eastAsia="lt-LT"/>
                </w:rPr>
                <w:t>Kelmės rajono savivaldybei</w:t>
              </w:r>
            </w:p>
            <w:p>
              <w:pPr>
                <w:rPr>
                  <w:szCs w:val="24"/>
                  <w:lang w:eastAsia="lt-LT"/>
                </w:rPr>
              </w:pPr>
              <w:r>
                <w:rPr>
                  <w:rFonts w:eastAsia="Calibri"/>
                  <w:szCs w:val="24"/>
                  <w:lang w:eastAsia="lt-LT"/>
                </w:rPr>
                <w:t xml:space="preserve">Klaipėdos miesto savivaldybei </w:t>
              </w:r>
            </w:p>
            <w:p>
              <w:pPr>
                <w:rPr>
                  <w:szCs w:val="24"/>
                  <w:lang w:eastAsia="lt-LT"/>
                </w:rPr>
              </w:pPr>
              <w:r>
                <w:rPr>
                  <w:rFonts w:eastAsia="Calibri"/>
                  <w:szCs w:val="24"/>
                  <w:lang w:eastAsia="lt-LT"/>
                </w:rPr>
                <w:t>Klaipėdos rajono savivaldybei</w:t>
              </w:r>
            </w:p>
            <w:p>
              <w:pPr>
                <w:rPr>
                  <w:rFonts w:eastAsia="Calibri"/>
                  <w:szCs w:val="24"/>
                  <w:lang w:eastAsia="lt-LT"/>
                </w:rPr>
              </w:pPr>
              <w:r>
                <w:rPr>
                  <w:rFonts w:eastAsia="Calibri"/>
                  <w:szCs w:val="24"/>
                  <w:lang w:eastAsia="lt-LT"/>
                </w:rPr>
                <w:t xml:space="preserve">Kretingos rajono savivaldybei </w:t>
              </w:r>
            </w:p>
            <w:p>
              <w:pPr>
                <w:rPr>
                  <w:szCs w:val="24"/>
                  <w:lang w:eastAsia="lt-LT"/>
                </w:rPr>
              </w:pPr>
              <w:r>
                <w:rPr>
                  <w:rFonts w:eastAsia="Calibri"/>
                  <w:szCs w:val="24"/>
                  <w:lang w:eastAsia="lt-LT"/>
                </w:rPr>
                <w:t xml:space="preserve">Kupiškio rajono savivaldybei </w:t>
              </w:r>
            </w:p>
            <w:p>
              <w:pPr>
                <w:rPr>
                  <w:szCs w:val="24"/>
                  <w:lang w:eastAsia="lt-LT"/>
                </w:rPr>
              </w:pPr>
              <w:r>
                <w:rPr>
                  <w:rFonts w:eastAsia="Calibri"/>
                  <w:szCs w:val="24"/>
                  <w:lang w:eastAsia="lt-LT"/>
                </w:rPr>
                <w:t>Lazdijų rajono savivaldybei</w:t>
              </w:r>
            </w:p>
            <w:p>
              <w:pPr>
                <w:rPr>
                  <w:rFonts w:eastAsia="Calibri"/>
                  <w:szCs w:val="24"/>
                  <w:lang w:eastAsia="lt-LT"/>
                </w:rPr>
              </w:pPr>
              <w:r>
                <w:rPr>
                  <w:rFonts w:eastAsia="Calibri"/>
                  <w:szCs w:val="24"/>
                  <w:lang w:eastAsia="lt-LT"/>
                </w:rPr>
                <w:t xml:space="preserve">Marijampolės rajono savivaldybei </w:t>
              </w:r>
            </w:p>
            <w:p>
              <w:pPr>
                <w:rPr>
                  <w:rFonts w:eastAsia="Calibri"/>
                  <w:szCs w:val="24"/>
                  <w:lang w:eastAsia="lt-LT"/>
                </w:rPr>
              </w:pPr>
              <w:r>
                <w:rPr>
                  <w:rFonts w:eastAsia="Calibri"/>
                  <w:szCs w:val="24"/>
                  <w:lang w:eastAsia="lt-LT"/>
                </w:rPr>
                <w:t>Mažeikių rajono savivaldybei</w:t>
              </w:r>
            </w:p>
            <w:p>
              <w:pPr>
                <w:rPr>
                  <w:szCs w:val="24"/>
                  <w:lang w:eastAsia="lt-LT"/>
                </w:rPr>
              </w:pPr>
              <w:r>
                <w:rPr>
                  <w:rFonts w:eastAsia="Calibri"/>
                  <w:szCs w:val="24"/>
                  <w:lang w:eastAsia="lt-LT"/>
                </w:rPr>
                <w:t>Molėtų rajono savivaldybei</w:t>
              </w:r>
            </w:p>
            <w:p>
              <w:pPr>
                <w:rPr>
                  <w:szCs w:val="24"/>
                  <w:lang w:eastAsia="lt-LT"/>
                </w:rPr>
              </w:pPr>
              <w:r>
                <w:rPr>
                  <w:rFonts w:eastAsia="Calibri"/>
                  <w:szCs w:val="24"/>
                  <w:lang w:eastAsia="lt-LT"/>
                </w:rPr>
                <w:t>Neringos savivaldybei</w:t>
              </w:r>
            </w:p>
            <w:p>
              <w:pPr>
                <w:rPr>
                  <w:szCs w:val="24"/>
                  <w:lang w:eastAsia="lt-LT"/>
                </w:rPr>
              </w:pPr>
              <w:r>
                <w:rPr>
                  <w:rFonts w:eastAsia="Calibri"/>
                  <w:szCs w:val="24"/>
                  <w:lang w:eastAsia="lt-LT"/>
                </w:rPr>
                <w:t>Pagėgių savivaldybei</w:t>
              </w:r>
            </w:p>
            <w:p>
              <w:pPr>
                <w:rPr>
                  <w:szCs w:val="24"/>
                  <w:lang w:eastAsia="lt-LT"/>
                </w:rPr>
              </w:pPr>
              <w:r>
                <w:rPr>
                  <w:rFonts w:eastAsia="Calibri"/>
                  <w:szCs w:val="24"/>
                  <w:lang w:eastAsia="lt-LT"/>
                </w:rPr>
                <w:t>Pakruojo rajono savivaldybei</w:t>
              </w:r>
            </w:p>
            <w:p>
              <w:pPr>
                <w:rPr>
                  <w:szCs w:val="24"/>
                  <w:lang w:eastAsia="lt-LT"/>
                </w:rPr>
              </w:pPr>
              <w:r>
                <w:rPr>
                  <w:rFonts w:eastAsia="Calibri"/>
                  <w:szCs w:val="24"/>
                  <w:lang w:eastAsia="lt-LT"/>
                </w:rPr>
                <w:t>Palangos miesto savivaldybei</w:t>
              </w:r>
            </w:p>
            <w:p>
              <w:pPr>
                <w:rPr>
                  <w:szCs w:val="24"/>
                  <w:lang w:eastAsia="lt-LT"/>
                </w:rPr>
              </w:pPr>
              <w:r>
                <w:rPr>
                  <w:rFonts w:eastAsia="Calibri"/>
                  <w:szCs w:val="24"/>
                  <w:lang w:eastAsia="lt-LT"/>
                </w:rPr>
                <w:t>Panevėžio miesto savivaldybei</w:t>
              </w:r>
            </w:p>
            <w:p>
              <w:pPr>
                <w:rPr>
                  <w:rFonts w:eastAsia="Andale Sans UI;Times New Roman" w:cs="Tahoma"/>
                  <w:szCs w:val="24"/>
                  <w:lang w:eastAsia="zh-CN" w:bidi="en-US"/>
                </w:rPr>
              </w:pPr>
              <w:r>
                <w:rPr>
                  <w:szCs w:val="24"/>
                  <w:lang w:eastAsia="lt-LT"/>
                </w:rPr>
                <w:t>Panevėžio rajono savivaldyb</w:t>
              </w:r>
              <w:r>
                <w:rPr>
                  <w:rFonts w:eastAsia="Calibri"/>
                  <w:szCs w:val="24"/>
                  <w:lang w:eastAsia="lt-LT"/>
                </w:rPr>
                <w:t>ei</w:t>
              </w:r>
              <w:r>
                <w:rPr>
                  <w:szCs w:val="24"/>
                  <w:lang w:eastAsia="lt-LT"/>
                </w:rPr>
                <w:t xml:space="preserve"> </w:t>
              </w:r>
            </w:p>
            <w:p>
              <w:pPr>
                <w:rPr>
                  <w:szCs w:val="24"/>
                  <w:lang w:eastAsia="lt-LT"/>
                </w:rPr>
              </w:pPr>
              <w:r>
                <w:rPr>
                  <w:rFonts w:eastAsia="Calibri"/>
                  <w:szCs w:val="24"/>
                  <w:lang w:eastAsia="lt-LT"/>
                </w:rPr>
                <w:t xml:space="preserve">Pasvalio rajono savivaldybei </w:t>
              </w:r>
            </w:p>
            <w:p>
              <w:pPr>
                <w:rPr>
                  <w:szCs w:val="24"/>
                  <w:lang w:eastAsia="lt-LT"/>
                </w:rPr>
              </w:pPr>
              <w:r>
                <w:rPr>
                  <w:rFonts w:eastAsia="Calibri"/>
                  <w:szCs w:val="24"/>
                  <w:lang w:eastAsia="lt-LT"/>
                </w:rPr>
                <w:t>Plungės rajono savivaldybei</w:t>
              </w:r>
            </w:p>
            <w:p>
              <w:pPr>
                <w:rPr>
                  <w:szCs w:val="24"/>
                  <w:lang w:eastAsia="lt-LT"/>
                </w:rPr>
              </w:pPr>
              <w:r>
                <w:rPr>
                  <w:rFonts w:eastAsia="Calibri"/>
                  <w:szCs w:val="24"/>
                  <w:lang w:eastAsia="lt-LT"/>
                </w:rPr>
                <w:t xml:space="preserve">Prienų savivaldybei </w:t>
              </w:r>
            </w:p>
            <w:p>
              <w:pPr>
                <w:rPr>
                  <w:szCs w:val="24"/>
                  <w:lang w:eastAsia="lt-LT"/>
                </w:rPr>
              </w:pPr>
              <w:r>
                <w:rPr>
                  <w:rFonts w:eastAsia="Calibri"/>
                  <w:szCs w:val="24"/>
                  <w:lang w:eastAsia="lt-LT"/>
                </w:rPr>
                <w:t>Radviliškio rajono savivaldybei</w:t>
              </w:r>
            </w:p>
            <w:p>
              <w:pPr>
                <w:rPr>
                  <w:szCs w:val="24"/>
                  <w:lang w:eastAsia="lt-LT"/>
                </w:rPr>
              </w:pPr>
              <w:r>
                <w:rPr>
                  <w:rFonts w:eastAsia="Calibri"/>
                  <w:szCs w:val="24"/>
                  <w:lang w:eastAsia="lt-LT"/>
                </w:rPr>
                <w:t>Raseinių rajono savivaldybei</w:t>
              </w:r>
            </w:p>
            <w:p>
              <w:pPr>
                <w:rPr>
                  <w:szCs w:val="24"/>
                  <w:lang w:eastAsia="lt-LT"/>
                </w:rPr>
              </w:pPr>
              <w:r>
                <w:rPr>
                  <w:rFonts w:eastAsia="Calibri"/>
                  <w:szCs w:val="24"/>
                  <w:lang w:eastAsia="lt-LT"/>
                </w:rPr>
                <w:t>Rietavo savivaldybei</w:t>
              </w:r>
            </w:p>
            <w:p>
              <w:pPr>
                <w:rPr>
                  <w:szCs w:val="24"/>
                  <w:lang w:eastAsia="lt-LT"/>
                </w:rPr>
              </w:pPr>
              <w:r>
                <w:rPr>
                  <w:rFonts w:eastAsia="Calibri"/>
                  <w:szCs w:val="24"/>
                  <w:lang w:eastAsia="lt-LT"/>
                </w:rPr>
                <w:t>Rokiškio rajono savivaldybei</w:t>
              </w:r>
            </w:p>
            <w:p>
              <w:pPr>
                <w:rPr>
                  <w:szCs w:val="24"/>
                  <w:lang w:eastAsia="lt-LT"/>
                </w:rPr>
              </w:pPr>
              <w:r>
                <w:rPr>
                  <w:rFonts w:eastAsia="Calibri"/>
                  <w:szCs w:val="24"/>
                  <w:lang w:eastAsia="lt-LT"/>
                </w:rPr>
                <w:t xml:space="preserve">Skuodo rajono savivaldybei </w:t>
              </w:r>
            </w:p>
            <w:p>
              <w:pPr>
                <w:rPr>
                  <w:szCs w:val="24"/>
                  <w:lang w:eastAsia="lt-LT"/>
                </w:rPr>
              </w:pPr>
              <w:r>
                <w:rPr>
                  <w:rFonts w:eastAsia="Calibri"/>
                  <w:szCs w:val="24"/>
                  <w:lang w:eastAsia="lt-LT"/>
                </w:rPr>
                <w:t>Šakių rajono savivaldybei</w:t>
              </w:r>
            </w:p>
            <w:p>
              <w:pPr>
                <w:rPr>
                  <w:szCs w:val="24"/>
                  <w:lang w:eastAsia="lt-LT"/>
                </w:rPr>
              </w:pPr>
              <w:r>
                <w:rPr>
                  <w:rFonts w:eastAsia="Calibri"/>
                  <w:szCs w:val="24"/>
                  <w:lang w:eastAsia="lt-LT"/>
                </w:rPr>
                <w:t>Šalčininkų rajono savivaldybei</w:t>
              </w:r>
            </w:p>
            <w:p>
              <w:pPr>
                <w:rPr>
                  <w:szCs w:val="24"/>
                  <w:lang w:eastAsia="lt-LT"/>
                </w:rPr>
              </w:pPr>
              <w:r>
                <w:rPr>
                  <w:rFonts w:eastAsia="Calibri"/>
                  <w:szCs w:val="24"/>
                  <w:lang w:eastAsia="lt-LT"/>
                </w:rPr>
                <w:t xml:space="preserve">Šiaulių miesto savivaldybei </w:t>
              </w:r>
            </w:p>
            <w:p>
              <w:pPr>
                <w:rPr>
                  <w:szCs w:val="24"/>
                  <w:lang w:eastAsia="lt-LT"/>
                </w:rPr>
              </w:pPr>
              <w:r>
                <w:rPr>
                  <w:rFonts w:eastAsia="Calibri"/>
                  <w:szCs w:val="24"/>
                  <w:lang w:eastAsia="lt-LT"/>
                </w:rPr>
                <w:t xml:space="preserve">Šiaulių rajono savivaldybei </w:t>
              </w:r>
            </w:p>
            <w:p>
              <w:pPr>
                <w:rPr>
                  <w:rFonts w:eastAsia="Calibri"/>
                  <w:szCs w:val="24"/>
                  <w:lang w:eastAsia="lt-LT"/>
                </w:rPr>
              </w:pPr>
              <w:r>
                <w:rPr>
                  <w:rFonts w:eastAsia="Calibri"/>
                  <w:szCs w:val="24"/>
                  <w:lang w:eastAsia="lt-LT"/>
                </w:rPr>
                <w:t>Šilalės rajono savivaldybei</w:t>
              </w:r>
            </w:p>
            <w:p>
              <w:pPr>
                <w:rPr>
                  <w:szCs w:val="24"/>
                  <w:lang w:eastAsia="lt-LT"/>
                </w:rPr>
              </w:pPr>
              <w:r>
                <w:rPr>
                  <w:rFonts w:eastAsia="Calibri"/>
                  <w:szCs w:val="24"/>
                  <w:lang w:eastAsia="lt-LT"/>
                </w:rPr>
                <w:t>Šilutės rajono savivaldybei</w:t>
              </w:r>
            </w:p>
            <w:p>
              <w:pPr>
                <w:rPr>
                  <w:szCs w:val="24"/>
                  <w:lang w:eastAsia="lt-LT"/>
                </w:rPr>
              </w:pPr>
              <w:r>
                <w:rPr>
                  <w:szCs w:val="24"/>
                  <w:lang w:eastAsia="lt-LT"/>
                </w:rPr>
                <w:t>Širvintų rajono savivaldyb</w:t>
              </w:r>
              <w:r>
                <w:rPr>
                  <w:rFonts w:eastAsia="Calibri"/>
                  <w:szCs w:val="24"/>
                  <w:lang w:eastAsia="lt-LT"/>
                </w:rPr>
                <w:t>ei</w:t>
              </w:r>
              <w:r>
                <w:rPr>
                  <w:szCs w:val="24"/>
                  <w:lang w:eastAsia="lt-LT"/>
                </w:rPr>
                <w:t xml:space="preserve"> </w:t>
              </w:r>
            </w:p>
            <w:p>
              <w:pPr>
                <w:rPr>
                  <w:szCs w:val="24"/>
                  <w:lang w:eastAsia="lt-LT"/>
                </w:rPr>
              </w:pPr>
              <w:r>
                <w:rPr>
                  <w:rFonts w:eastAsia="Calibri"/>
                  <w:szCs w:val="24"/>
                  <w:lang w:eastAsia="lt-LT"/>
                </w:rPr>
                <w:t xml:space="preserve">Švenčionių rajono savivaldybei </w:t>
              </w:r>
            </w:p>
            <w:p>
              <w:pPr>
                <w:rPr>
                  <w:rFonts w:eastAsia="Andale Sans UI;Times New Roman" w:cs="Tahoma"/>
                  <w:szCs w:val="24"/>
                  <w:lang w:eastAsia="zh-CN" w:bidi="en-US"/>
                </w:rPr>
              </w:pPr>
              <w:r>
                <w:rPr>
                  <w:szCs w:val="24"/>
                  <w:lang w:eastAsia="lt-LT"/>
                </w:rPr>
                <w:t>Tauragės rajono savivaldyb</w:t>
              </w:r>
              <w:r>
                <w:rPr>
                  <w:rFonts w:eastAsia="Calibri"/>
                  <w:szCs w:val="24"/>
                  <w:lang w:eastAsia="lt-LT"/>
                </w:rPr>
                <w:t>ei</w:t>
              </w:r>
              <w:r>
                <w:rPr>
                  <w:szCs w:val="24"/>
                  <w:lang w:eastAsia="lt-LT"/>
                </w:rPr>
                <w:t xml:space="preserve"> </w:t>
              </w:r>
            </w:p>
            <w:p>
              <w:pPr>
                <w:rPr>
                  <w:szCs w:val="24"/>
                  <w:lang w:eastAsia="lt-LT"/>
                </w:rPr>
              </w:pPr>
              <w:r>
                <w:rPr>
                  <w:rFonts w:eastAsia="Calibri"/>
                  <w:szCs w:val="24"/>
                  <w:lang w:eastAsia="lt-LT"/>
                </w:rPr>
                <w:t xml:space="preserve">Telšių rajono savivaldybei </w:t>
              </w:r>
            </w:p>
            <w:p>
              <w:pPr>
                <w:rPr>
                  <w:szCs w:val="24"/>
                  <w:lang w:eastAsia="lt-LT"/>
                </w:rPr>
              </w:pPr>
              <w:r>
                <w:rPr>
                  <w:rFonts w:eastAsia="Calibri"/>
                  <w:szCs w:val="24"/>
                  <w:lang w:eastAsia="lt-LT"/>
                </w:rPr>
                <w:t>Trakų rajono savivaldybei</w:t>
              </w:r>
            </w:p>
            <w:p>
              <w:pPr>
                <w:rPr>
                  <w:szCs w:val="24"/>
                  <w:lang w:eastAsia="lt-LT"/>
                </w:rPr>
              </w:pPr>
              <w:r>
                <w:rPr>
                  <w:rFonts w:eastAsia="Calibri"/>
                  <w:szCs w:val="24"/>
                  <w:lang w:eastAsia="lt-LT"/>
                </w:rPr>
                <w:t>Ukmergės rajono savivaldybei</w:t>
              </w:r>
            </w:p>
            <w:p>
              <w:pPr>
                <w:rPr>
                  <w:szCs w:val="24"/>
                  <w:lang w:eastAsia="lt-LT"/>
                </w:rPr>
              </w:pPr>
              <w:r>
                <w:rPr>
                  <w:rFonts w:eastAsia="Calibri"/>
                  <w:szCs w:val="24"/>
                  <w:lang w:eastAsia="lt-LT"/>
                </w:rPr>
                <w:t>Utenos rajono savivaldybei</w:t>
              </w:r>
            </w:p>
            <w:p>
              <w:pPr>
                <w:rPr>
                  <w:szCs w:val="24"/>
                  <w:lang w:eastAsia="lt-LT"/>
                </w:rPr>
              </w:pPr>
              <w:r>
                <w:rPr>
                  <w:rFonts w:eastAsia="Calibri"/>
                  <w:szCs w:val="24"/>
                  <w:lang w:eastAsia="lt-LT"/>
                </w:rPr>
                <w:t>Varėnos rajono savivaldybei</w:t>
              </w:r>
            </w:p>
            <w:p>
              <w:pPr>
                <w:rPr>
                  <w:szCs w:val="24"/>
                  <w:lang w:eastAsia="lt-LT"/>
                </w:rPr>
              </w:pPr>
              <w:r>
                <w:rPr>
                  <w:rFonts w:eastAsia="Calibri"/>
                  <w:szCs w:val="24"/>
                  <w:lang w:eastAsia="lt-LT"/>
                </w:rPr>
                <w:t xml:space="preserve">Vilkaviškio rajono savivaldybei </w:t>
              </w:r>
            </w:p>
            <w:p>
              <w:pPr>
                <w:rPr>
                  <w:szCs w:val="24"/>
                  <w:lang w:eastAsia="lt-LT"/>
                </w:rPr>
              </w:pPr>
              <w:r>
                <w:rPr>
                  <w:rFonts w:eastAsia="Calibri"/>
                  <w:szCs w:val="24"/>
                  <w:lang w:eastAsia="lt-LT"/>
                </w:rPr>
                <w:t xml:space="preserve">Vilniaus miesto savivaldybei </w:t>
              </w:r>
            </w:p>
            <w:p>
              <w:pPr>
                <w:rPr>
                  <w:szCs w:val="24"/>
                  <w:lang w:eastAsia="lt-LT"/>
                </w:rPr>
              </w:pPr>
              <w:r>
                <w:rPr>
                  <w:rFonts w:eastAsia="Calibri"/>
                  <w:szCs w:val="24"/>
                  <w:lang w:eastAsia="lt-LT"/>
                </w:rPr>
                <w:t xml:space="preserve">Vilniaus rajono savivaldybei </w:t>
              </w:r>
            </w:p>
            <w:p>
              <w:pPr>
                <w:rPr>
                  <w:szCs w:val="24"/>
                  <w:lang w:eastAsia="lt-LT"/>
                </w:rPr>
              </w:pPr>
              <w:r>
                <w:rPr>
                  <w:rFonts w:eastAsia="Calibri"/>
                  <w:szCs w:val="24"/>
                  <w:lang w:eastAsia="lt-LT"/>
                </w:rPr>
                <w:t xml:space="preserve">Visagino savivaldybei </w:t>
              </w:r>
            </w:p>
            <w:p>
              <w:pPr>
                <w:rPr>
                  <w:rFonts w:eastAsia="Andale Sans UI;Times New Roman" w:cs="Tahoma"/>
                  <w:szCs w:val="24"/>
                  <w:lang w:eastAsia="zh-CN" w:bidi="en-US"/>
                </w:rPr>
              </w:pPr>
              <w:r>
                <w:rPr>
                  <w:rFonts w:eastAsia="Calibri"/>
                  <w:szCs w:val="24"/>
                  <w:lang w:eastAsia="lt-LT"/>
                </w:rPr>
                <w:t>Zarasų rajono savivaldybei</w:t>
              </w: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numRestart w:val="eachPage"/>
      </w:footnotePr>
      <w:pgSz w:w="11906" w:h="16838"/>
      <w:pgMar w:top="671" w:right="567" w:bottom="851" w:left="1701" w:header="567" w:footer="23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Times New Roman" w:cs="Tahoma"/>
          <w:szCs w:val="24"/>
          <w:lang w:eastAsia="zh-CN" w:bidi="en-US"/>
        </w:rPr>
      </w:pPr>
      <w:r>
        <w:rPr>
          <w:rFonts w:eastAsia="Andale Sans UI;Times New Roman" w:cs="Tahoma"/>
          <w:szCs w:val="24"/>
          <w:lang w:eastAsia="zh-CN" w:bidi="en-US"/>
        </w:rPr>
        <w:separator/>
      </w:r>
    </w:p>
  </w:endnote>
  <w:endnote w:type="continuationSeparator" w:id="0">
    <w:p>
      <w:pPr>
        <w:widowControl w:val="0"/>
        <w:suppressAutoHyphens/>
        <w:rPr>
          <w:rFonts w:eastAsia="Andale Sans UI;Times New Roman" w:cs="Tahoma"/>
          <w:szCs w:val="24"/>
          <w:lang w:eastAsia="zh-CN" w:bidi="en-US"/>
        </w:rPr>
      </w:pPr>
      <w:r>
        <w:rPr>
          <w:rFonts w:eastAsia="Andale Sans UI;Times New Roman" w:cs="Tahoma"/>
          <w:szCs w:val="24"/>
          <w:lang w:eastAsia="zh-CN"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eastAsia="Andale Sans UI;Times New Roman" w:cs="Tahoma"/>
        <w:szCs w:val="24"/>
        <w:lang w:eastAsia="zh-CN"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Times New Roman" w:cs="Tahoma"/>
          <w:sz w:val="12"/>
          <w:szCs w:val="24"/>
          <w:lang w:eastAsia="zh-CN" w:bidi="en-US"/>
        </w:rPr>
      </w:pPr>
      <w:r>
        <w:rPr>
          <w:rFonts w:eastAsia="Andale Sans UI;Times New Roman" w:cs="Tahoma"/>
          <w:szCs w:val="24"/>
          <w:lang w:eastAsia="zh-CN" w:bidi="en-US"/>
        </w:rPr>
        <w:separator/>
      </w:r>
    </w:p>
  </w:footnote>
  <w:footnote w:type="continuationSeparator" w:id="0">
    <w:p>
      <w:pPr>
        <w:widowControl w:val="0"/>
        <w:suppressAutoHyphens/>
        <w:rPr>
          <w:rFonts w:eastAsia="Andale Sans UI;Times New Roman" w:cs="Tahoma"/>
          <w:sz w:val="12"/>
          <w:szCs w:val="24"/>
          <w:lang w:eastAsia="zh-CN" w:bidi="en-US"/>
        </w:rPr>
      </w:pPr>
      <w:r>
        <w:rPr>
          <w:rFonts w:eastAsia="Andale Sans UI;Times New Roman" w:cs="Tahoma"/>
          <w:szCs w:val="24"/>
          <w:lang w:eastAsia="zh-CN" w:bidi="en-US"/>
        </w:rPr>
        <w:continuationSeparator/>
      </w:r>
    </w:p>
  </w:footnote>
  <w:footnote w:id="1">
    <w:p>
      <w:pPr>
        <w:widowControl w:val="0"/>
        <w:suppressAutoHyphens/>
        <w:jc w:val="both"/>
        <w:rPr>
          <w:rFonts w:eastAsia="Andale Sans UI;Times New Roman" w:cs="Tahoma"/>
          <w:sz w:val="20"/>
          <w:lang w:eastAsia="zh-CN" w:bidi="en-US"/>
        </w:rPr>
      </w:pPr>
      <w:r>
        <w:rPr>
          <w:rFonts w:eastAsia="Andale Sans UI;Times New Roman" w:cs="Tahoma"/>
          <w:sz w:val="20"/>
          <w:lang w:eastAsia="zh-CN" w:bidi="en-US"/>
        </w:rPr>
        <w:footnoteRef/>
      </w:r>
      <w:r>
        <w:rPr>
          <w:rFonts w:eastAsia="Andale Sans UI;Times New Roman" w:cs="Tahoma"/>
          <w:sz w:val="18"/>
          <w:szCs w:val="18"/>
          <w:lang w:eastAsia="zh-CN" w:bidi="en-US"/>
        </w:rPr>
        <w:t xml:space="preserve"> „1. Lietuvos Respublikos Vyriausybė, aplinkos ministras, sveikatos apsaugos ministras ir Valstybinė energetikos reguliavimo taryba priima šio įstatymo įgyvendinamuosius teisės aktus.“</w:t>
      </w:r>
    </w:p>
  </w:footnote>
  <w:footnote w:id="2">
    <w:p>
      <w:pPr>
        <w:widowControl w:val="0"/>
        <w:suppressAutoHyphens/>
        <w:jc w:val="both"/>
        <w:rPr>
          <w:rFonts w:eastAsia="Andale Sans UI;Times New Roman" w:cs="Tahoma"/>
          <w:sz w:val="20"/>
          <w:lang w:eastAsia="zh-CN" w:bidi="en-US"/>
        </w:rPr>
      </w:pPr>
      <w:r>
        <w:rPr>
          <w:rFonts w:eastAsia="Andale Sans UI;Times New Roman" w:cs="Tahoma"/>
          <w:sz w:val="20"/>
          <w:lang w:eastAsia="zh-CN" w:bidi="en-US"/>
        </w:rPr>
        <w:footnoteRef/>
        <w:t xml:space="preserve"> </w:t>
      </w:r>
      <w:r>
        <w:rPr>
          <w:rFonts w:eastAsia="Andale Sans UI;Times New Roman" w:cs="Tahoma"/>
          <w:sz w:val="18"/>
          <w:szCs w:val="18"/>
          <w:lang w:eastAsia="zh-CN" w:bidi="en-US"/>
        </w:rPr>
        <w:t>Lietuvos Respublikos energetikos ministro 2009 m. gruodžio 9 d. įsakymas Nr. 1-243 „Dėl Vartotojų (juridinių ir fizinių asmenų) lėšomis iki Lietuvos Respublikos energetikos įstatymo įsigaliojimo įrengtų bendrai naudojamų elektros energetikos objektų, skirtų elektros energijai perduoti ir (ar) skirstyti, išpirkimo ar eksploatavimo tvarkos aprašo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r>
      <w:rPr>
        <w:rFonts w:eastAsia="Andale Sans UI;Times New Roman" w:cs="Tahoma"/>
        <w:szCs w:val="24"/>
        <w:lang w:val="en-US"/>
      </w:rPr>
      <mc:AlternateContent>
        <mc:Choice Requires="wps">
          <w:drawing>
            <wp:anchor distT="0" distB="0" distL="0" distR="0" simplePos="0" relativeHeight="7" behindDoc="0" locked="0" layoutInCell="0" allowOverlap="1">
              <wp:simplePos x="0" y="0"/>
              <wp:positionH relativeFrom="margin">
                <wp:align>center</wp:align>
              </wp:positionH>
              <wp:positionV relativeFrom="paragraph">
                <wp:posOffset>635</wp:posOffset>
              </wp:positionV>
              <wp:extent cx="76835" cy="168910"/>
              <wp:effectExtent l="0" t="0" r="0" b="0"/>
              <wp:wrapSquare wrapText="largest"/>
              <wp:docPr id="2" name="Frame1"/>
              <wp:cNvGraphicFramePr/>
              <a:graphic xmlns:a="http://schemas.openxmlformats.org/drawingml/2006/main">
                <a:graphicData uri="http://schemas.microsoft.com/office/word/2010/wordprocessingShape">
                  <wps:wsp>
                    <wps:cNvSpPr txBox="1"/>
                    <wps:spPr>
                      <a:xfrm>
                        <a:off x="0" y="0"/>
                        <a:ext cx="76835" cy="168910"/>
                      </a:xfrm>
                      <a:prstGeom prst="rect">
                        <a:avLst/>
                      </a:prstGeom>
                      <a:solidFill>
                        <a:srgbClr val="FFFFFF">
                          <a:alpha val="0"/>
                        </a:srgbClr>
                      </a:solidFill>
                    </wps:spPr>
                    <wps:txbx>
                      <w:txbxContent>
                        <w:p>
                          <w:pPr>
                            <w:widowControl w:val="0"/>
                            <w:suppressLineNumbers/>
                            <w:tabs>
                              <w:tab w:val="center" w:pos="4800"/>
                              <w:tab w:val="right" w:pos="9601"/>
                            </w:tabs>
                            <w:suppressAutoHyphens/>
                            <w:rPr>
                              <w:rFonts w:eastAsia="Andale Sans UI;Times New Roman"/>
                              <w:szCs w:val="24"/>
                              <w:lang w:eastAsia="zh-CN" w:bidi="en-US"/>
                            </w:rPr>
                          </w:pPr>
                          <w:r>
                            <w:rPr>
                              <w:rFonts w:eastAsia="Andale Sans UI;Times New Roman"/>
                              <w:szCs w:val="24"/>
                              <w:lang w:eastAsia="zh-CN" w:bidi="en-US"/>
                            </w:rPr>
                            <w:fldChar w:fldCharType="begin"/>
                          </w:r>
                          <w:r>
                            <w:rPr>
                              <w:rFonts w:eastAsia="Andale Sans UI;Times New Roman"/>
                              <w:szCs w:val="24"/>
                              <w:lang w:eastAsia="zh-CN" w:bidi="en-US"/>
                            </w:rPr>
                            <w:instrText xml:space="preserve"> PAGE </w:instrText>
                          </w:r>
                          <w:r>
                            <w:rPr>
                              <w:rFonts w:eastAsia="Andale Sans UI;Times New Roman"/>
                              <w:szCs w:val="24"/>
                              <w:lang w:eastAsia="zh-CN" w:bidi="en-US"/>
                            </w:rPr>
                            <w:fldChar w:fldCharType="separate"/>
                          </w:r>
                          <w:r>
                            <w:rPr>
                              <w:rFonts w:eastAsia="Andale Sans UI;Times New Roman"/>
                              <w:szCs w:val="24"/>
                              <w:lang w:eastAsia="zh-CN" w:bidi="en-US"/>
                            </w:rPr>
                            <w:t>6</w:t>
                          </w:r>
                          <w:r>
                            <w:rPr>
                              <w:rFonts w:eastAsia="Andale Sans UI;Times New Roman"/>
                              <w:szCs w:val="24"/>
                              <w:lang w:eastAsia="zh-CN" w:bidi="en-US"/>
                            </w:rP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margin-left:0;margin-top:.05pt;width:6.05pt;height:13.3pt;z-index:7;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Q6ENswEAAGQDAAAOAAAAZHJzL2Uyb0RvYy54bWysU82O0zAQviPxDpbvNE0RpURNV8CqCAnB SgsP4Dh2Y8n2WGNvk749Y6fpruCGyMGeP38z38xkfzc5y84KowHf8nq15kx5Cb3xp5b/+nl8s+Ms JuF7YcGrll9U5HeH16/2Y2jUBgawvUJGID42Y2j5kFJoqirKQTkRVxCUJ6cGdCKRiqeqRzESurPV Zr3eViNgHxCkipGs97OTHwq+1kqmH1pHlZhtOdWWyonl7PJZHfaiOaEIg5HXMsQ/VOGE8ZT0BnUv kmBPaP6CckYiRNBpJcFVoLWRqnAgNvX6DzaPgwiqcKHmxHBrU/x/sPL7+QGZ6Vu+4cwLRyM6Il11 7swYYkMBj4FC0vQJJprwYo9kzIQnjS7fRIWRn3p8ufVVTYlJMr7f7t6+40ySp97uPtSl7dXz24Ax fVHgWBZajjS10kxx/hYT1UGhS0hOFcGa/misLQqeus8W2VnQhI/lm9/aMIjZuqSLc2jBe4FRZZoz nSylqZuu3DvoL0TdfvXU8bw9i4CL0C2C8HIA2qu5cA8fnxJoU4rPoDMSZc4KjbLUcF27vCsv9RL1 /HMcfgMAAP//AwBQSwMEFAAGAAgAAAAhAGJpG0fYAAAAAwEAAA8AAABkcnMvZG93bnJldi54bWxM j0FvwjAMhe+T+A+RkbiNlCIB65oixrRdp3WTuJrGNFUbp2oCdP9+6Wk7Wc/Peu9zvh9tJ240+Max gtUyAUFcOd1wreD76+1xB8IHZI2dY1LwQx72xewhx0y7O3/SrQy1iCHsM1RgQugzKX1lyKJfup44 ehc3WAxRDrXUA95juO1kmiQbabHh2GCwp6Ohqi2vVsH6I92e/Hv5euxP9NTu/Et7YaPUYj4enkEE GsPfMUz4ER2KyHR2V9ZedAriI2HaislL4zwrSDdbkEUu/7MXvwAAAP//AwBQSwECLQAUAAYACAAA ACEAtoM4kv4AAADhAQAAEwAAAAAAAAAAAAAAAAAAAAAAW0NvbnRlbnRfVHlwZXNdLnhtbFBLAQIt ABQABgAIAAAAIQA4/SH/1gAAAJQBAAALAAAAAAAAAAAAAAAAAC8BAABfcmVscy8ucmVsc1BLAQIt ABQABgAIAAAAIQA6Q6ENswEAAGQDAAAOAAAAAAAAAAAAAAAAAC4CAABkcnMvZTJvRG9jLnhtbFBL AQItABQABgAIAAAAIQBiaRtH2AAAAAMBAAAPAAAAAAAAAAAAAAAAAA0EAABkcnMvZG93bnJldi54 bWxQSwUGAAAAAAQABADzAAAAEgUAAAAA " o:allowincell="f" stroked="f">
              <v:fill opacity="0"/>
              <v:textbox inset="0,0,0,0">
                <w:txbxContent>
                  <w:p>
                    <w:pPr>
                      <w:widowControl w:val="0"/>
                      <w:suppressLineNumbers/>
                      <w:tabs>
                        <w:tab w:val="center" w:leader="none" w:pos="4800"/>
                        <w:tab w:val="right" w:leader="none" w:pos="9601"/>
                      </w:tabs>
                      <w:suppressAutoHyphens w:val="1"/>
                      <w:rPr>
                        <w:rFonts w:ascii="Times New Roman" w:hAnsi="Times New Roman" w:eastAsia="Andale Sans UI;Times New Roman" w:cs="Times New Roman"/>
                        <w:szCs w:val="24"/>
                        <w:lang w:eastAsia="zh-CN" w:bidi="en-US"/>
                      </w:rPr>
                    </w:pPr>
                    <w:r>
                      <w:rPr>
                        <w:rFonts w:ascii="Times New Roman" w:hAnsi="Times New Roman" w:eastAsia="Andale Sans UI;Times New Roman" w:cs="Times New Roman"/>
                        <w:szCs w:val="24"/>
                        <w:lang w:eastAsia="zh-CN" w:bidi="en-US"/>
                      </w:rPr>
                      <w:fldChar w:fldCharType="begin"/>
                    </w:r>
                    <w:r>
                      <w:rPr>
                        <w:rFonts w:ascii="Times New Roman" w:hAnsi="Times New Roman" w:eastAsia="Andale Sans UI;Times New Roman" w:cs="Times New Roman"/>
                        <w:szCs w:val="24"/>
                        <w:lang w:eastAsia="zh-CN" w:bidi="en-US"/>
                      </w:rPr>
                      <w:instrText xml:space="preserve"> PAGE </w:instrText>
                    </w:r>
                    <w:r>
                      <w:rPr>
                        <w:rFonts w:ascii="Times New Roman" w:hAnsi="Times New Roman" w:eastAsia="Andale Sans UI;Times New Roman" w:cs="Times New Roman"/>
                        <w:szCs w:val="24"/>
                        <w:lang w:eastAsia="zh-CN" w:bidi="en-US"/>
                      </w:rPr>
                      <w:fldChar w:fldCharType="separate"/>
                    </w:r>
                    <w:r>
                      <w:rPr>
                        <w:rFonts w:ascii="Times New Roman" w:hAnsi="Times New Roman" w:eastAsia="Andale Sans UI;Times New Roman" w:cs="Times New Roman"/>
                        <w:szCs w:val="24"/>
                        <w:lang w:eastAsia="zh-CN" w:bidi="en-US"/>
                      </w:rPr>
                      <w:t>6</w:t>
                    </w:r>
                    <w:r>
                      <w:rPr>
                        <w:rFonts w:ascii="Times New Roman" w:hAnsi="Times New Roman" w:eastAsia="Andale Sans UI;Times New Roman" w:cs="Times New Roman"/>
                        <w:szCs w:val="24"/>
                        <w:lang w:eastAsia="zh-CN" w:bidi="en-US"/>
                      </w:rPr>
                      <w:fldChar w:fldCharType="end"/>
                    </w:r>
                  </w:p>
                </w:txbxContent>
              </v:textbox>
              <w10:wrap type="square" side="largest" anchorx="margin"/>
            </v:shape>
          </w:pict>
        </mc:Fallback>
      </mc:AlternateContent>
    </w:r>
  </w:p>
  <w:p>
    <w:pPr>
      <w:widowControl w:val="0"/>
      <w:suppressLineNumbers/>
      <w:tabs>
        <w:tab w:val="center" w:pos="4800"/>
        <w:tab w:val="right" w:pos="9601"/>
      </w:tabs>
      <w:suppressAutoHyphens/>
      <w:rPr>
        <w:rFonts w:eastAsia="Andale Sans UI;Times New Roman" w:cs="Tahoma"/>
        <w:szCs w:val="24"/>
        <w:lang w:eastAsia="zh-CN"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67"/>
  <w:doNotHyphenateCaps/>
  <w:characterSpacingControl w:val="doNotCompress"/>
  <w:footnotePr>
    <w:numRestart w:val="eachPage"/>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8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B71C10-7EE7-42D8-8E24-CB01703D67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9832f22c51bc404eab2ce45a54767106" PartId="a6f337c01d8b45059cfc5148bd73c3e4"/>
  <Part Type="pastraipa" DocPartId="fdf4d028720e4ac1808c47717293e6da" PartId="6f3d81ec47514a79a28f62176a39363d"/>
  <Part Type="pastraipa" DocPartId="c6a7d4f8ff44484c9ad4768677a6a0bc" PartId="28791ba51d7b478a8276a7d49c475b1a"/>
  <Part Type="pastraipa" DocPartId="046ee1f3e4f3468798579e389f78d453" PartId="cacc9f24af204e708aa88055d7587bff"/>
  <Part Type="pastraipa" DocPartId="c32b31351a2e4084b9b4ce5bd45421b9" PartId="e307f1ebd81d4a799485f54803910987"/>
  <Part Type="pastraipa" DocPartId="2b65e1d2b6a2457282bc291dc12ad995" PartId="c6bcb2530d62418b8721437ad906182a"/>
  <Part Type="pastraipa" DocPartId="2e70aa23327f45b7bc07025505682a6a" PartId="0d507bf3e2ca4d4a98a9ae159c72fdac"/>
  <Part Type="pastraipa" DocPartId="3486544598d645e8b396ff7ec740a8f9" PartId="edceac556d32416dbfeb4f393ede9176"/>
  <Part Type="pastraipa" DocPartId="90231237bd9d4e94a6499c6df4d634b1" PartId="4a9b2eb8feeb42168cb1fef33f5650ae"/>
  <Part Type="pastraipa" DocPartId="8cbc8585de114cd1b0f8ad184c07dd58" PartId="2241fcce300e4dd78cb5aa580d174cd3"/>
  <Part Type="pastraipa" DocPartId="03bfb709cf1848459201ecf5da12e4a6" PartId="710c4da848e64209a790cfb1da7ac51a"/>
  <Part Type="pastraipa" DocPartId="e2edeb1af851467c9dfad64c97a91727" PartId="9ea2d1a5a14d42b0ac6d7e5b38900b0c"/>
  <Part Type="pastraipa" DocPartId="dc8c03b9c0ec483ca64e056b7cda19be" PartId="f601ed6024b34b31943ae112f9c1d621"/>
  <Part Type="pastraipa" DocPartId="39fd2edfbbae4378a0925cf6ab1cd892" PartId="2fd2284b658240748aefbbf3b3f1bf39"/>
  <Part Type="pastraipa" DocPartId="d768cc23331d4726802eba2f6b1cdaf4" PartId="688bf6fb7cc84a1bb2b813a6f4ad4f9b"/>
  <Part Type="pastraipa" DocPartId="16fb2d75b1aa49c2b49b64624136b28a" PartId="b985dc9c3fc147619e56308f27d0cc47"/>
  <Part Type="pastraipa" DocPartId="e06b8c9284014368ad9e7750dd491a22" PartId="13adae900d084c1d816dc9682ad6fa80"/>
  <Part Type="pastraipa" DocPartId="d5bebdf0f31248a28b04de959d0c5525" PartId="ad076640c7bd49aab4ded50c9458fa49"/>
  <Part Type="pastraipa" DocPartId="6ca2a3f38d884febb1c795b378f7a36f" PartId="1925ebad591848f2a393b169eed51528"/>
  <Part Type="pastraipa" DocPartId="42b3daf79d0449edb84bebd8d52d217b" PartId="7f873954e66d450ca16ac2fe69255346"/>
  <Part Type="pastraipa" DocPartId="85adea7f1c5a4b058ec67e76ed42085a" PartId="a1ecf25ccb3b4adbbb1e2e9445ec4833"/>
  <Part Type="pastraipa" DocPartId="d926ea092ac740b7ad66773d8ba77526" PartId="7a85c65ce8e743c79a7594d67a45b43f"/>
  <Part Type="pastraipa" DocPartId="ed143485082948a694eb381b53972d6f" PartId="ca491b25ef414b50ab2722ef2c0e3a91"/>
  <Part Type="pastraipa" DocPartId="e6e3e6d39830404ca2eda7ae4e30e7c7" PartId="48b6920a9757481a8806ab834dd1005a"/>
  <Part Type="pastraipa" DocPartId="8499b2d3725b4030a0c005543468a4db" PartId="957801b8b44e4cc6a36013f9bf6b0b25"/>
  <Part Type="pastraipa" DocPartId="052cae136d954e4985f397dcf5073c43" PartId="c99293fc95174f1dae5ac2a7a80f00f7"/>
  <Part Type="pastraipa" DocPartId="0d621603af5c43c886251a5cfe06c702" PartId="ab1b2c526a2b4803836fb3e742cef5e3"/>
  <Part Type="pastraipa" DocPartId="379b9f47ae5949529bcf42dee3a1d835" PartId="5657843df6134a49badad317ffeba2fa"/>
  <Part Type="pastraipa" DocPartId="90c3da8b7a514a649f2bb720cddeba49" PartId="1886faca2e34481ba248c18b41510b2f"/>
  <Part Type="pastraipa" DocPartId="44a3f71e85b449809944fc81bcbafdc5" PartId="a0748795557a4cd3b6daba80fedc2cc2"/>
  <Part Type="pastraipa" DocPartId="e69e5324b6c0405183fe84e664850704" PartId="685d7de2d2e24411bf37a3450561b17b"/>
  <Part Type="pastraipa" DocPartId="481f70afa3aa42fea5e30d8890c2825c" PartId="2436e3e4fc4b4bbba162d988087f7af6">
    <Part Type="punktas" Nr="1" Abbr="1 p." DocPartId="4ef301b72650491181386b7aeb058148" PartId="49bdf2f333a4497a8192e2be7104e82f"/>
    <Part Type="punktas" Nr="2" Abbr="2 p." DocPartId="a29c3fa7bac74052b9ab58851365cbeb" PartId="98fac144ec3f49fd8c664ef00b439a99"/>
    <Part Type="punktas" Nr="3" Abbr="3 p." DocPartId="e95d589c21b640feab64958471d8a673" PartId="e29fb70cf2714fc4a134301670c02ddf"/>
    <Part Type="signatura" DocPartId="77bcaaa62d2c41b9be84f764fbe07991" PartId="d80367e39f1649f3b552079ee3cf8744"/>
  </Part>
</Parts>
</file>

<file path=customXml/itemProps1.xml><?xml version="1.0" encoding="utf-8"?>
<ds:datastoreItem xmlns:ds="http://schemas.openxmlformats.org/officeDocument/2006/customXml" ds:itemID="{BB5B7934-3BE4-4775-9D45-75410E0325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1782</Words>
  <Characters>13562</Characters>
  <Application>Microsoft Office Word</Application>
  <DocSecurity>4</DocSecurity>
  <Lines>301</Lines>
  <Paragraphs>201</Paragraphs>
  <ScaleCrop>false</ScaleCrop>
  <Company>LRS Kanceliarija</Company>
  <LinksUpToDate>false</LinksUpToDate>
  <CharactersWithSpaces>15143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2023-02-09T06:30:00Z</dcterms:created>
  <dc:creator>i.valunas</dc:creator>
  <dc:language>lt-LT</dc:language>
  <lastModifiedBy>adlibuser</lastModifiedBy>
  <lastPrinted>2019-03-26T10:15:00Z</lastPrinted>
  <dcterms:modified xsi:type="dcterms:W3CDTF">2023-02-09T06:30:00Z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dDocAuthor">
    <vt:lpwstr>j.vaisnoriene</vt:lpwstr>
  </property>
  <property fmtid="{D5CDD505-2E9C-101B-9397-08002B2CF9AE}" pid="3" name="DISProperties">
    <vt:lpwstr>DISidcName,DISdID,DISCdDocAuthor,VDVISDokPavadinimas,VDVISDokTipas,DIScgiUrl,DISTaskPaneUrl,DISdUser,DISdDocName</vt:lpwstr>
  </property>
  <property fmtid="{D5CDD505-2E9C-101B-9397-08002B2CF9AE}" pid="4" name="DISTaskPaneUrl">
    <vt:lpwstr>https://vdvis.am.lt/cs/idcplg?IdcService=DESKTOP_DOC_INFO&amp;dDocName=AM_4223439&amp;dID=4270060&amp;ClientControlled=DocMan,taskpane&amp;coreContentOnly=1</vt:lpwstr>
  </property>
  <property fmtid="{D5CDD505-2E9C-101B-9397-08002B2CF9AE}" pid="5" name="DIScgiUrl">
    <vt:lpwstr>https://vdvis.am.lt/cs/idcplg</vt:lpwstr>
  </property>
  <property fmtid="{D5CDD505-2E9C-101B-9397-08002B2CF9AE}" pid="6" name="DISdDocName">
    <vt:lpwstr>AM_4223439</vt:lpwstr>
  </property>
  <property fmtid="{D5CDD505-2E9C-101B-9397-08002B2CF9AE}" pid="7" name="DISdID">
    <vt:lpwstr>4270060</vt:lpwstr>
  </property>
  <property fmtid="{D5CDD505-2E9C-101B-9397-08002B2CF9AE}" pid="8" name="DISdUser">
    <vt:lpwstr>j.vaisnoriene</vt:lpwstr>
  </property>
  <property fmtid="{D5CDD505-2E9C-101B-9397-08002B2CF9AE}" pid="9" name="DISidcName">
    <vt:lpwstr>vdvis_dev</vt:lpwstr>
  </property>
  <property fmtid="{D5CDD505-2E9C-101B-9397-08002B2CF9AE}" pid="10" name="LikedBy">
    <vt:lpwstr/>
  </property>
  <property fmtid="{D5CDD505-2E9C-101B-9397-08002B2CF9AE}" pid="11" name="LikesCount">
    <vt:lpwstr/>
  </property>
  <property fmtid="{D5CDD505-2E9C-101B-9397-08002B2CF9AE}" pid="12" name="RatedBy">
    <vt:lpwstr/>
  </property>
  <property fmtid="{D5CDD505-2E9C-101B-9397-08002B2CF9AE}" pid="13" name="Ratings">
    <vt:lpwstr/>
  </property>
  <property fmtid="{D5CDD505-2E9C-101B-9397-08002B2CF9AE}" pid="14" name="SharedWithUsers">
    <vt:lpwstr>206;#Judita Vaišnorienė</vt:lpwstr>
  </property>
  <property fmtid="{D5CDD505-2E9C-101B-9397-08002B2CF9AE}" pid="15" name="VDVISDokPavadinimas">
    <vt:lpwstr>DĖL ĮSAKYMŲ PROJEKTŲ DERINIMO</vt:lpwstr>
  </property>
  <property fmtid="{D5CDD505-2E9C-101B-9397-08002B2CF9AE}" pid="16" name="VDVISDokTipas">
    <vt:lpwstr>Raštas</vt:lpwstr>
  </property>
  <property fmtid="{D5CDD505-2E9C-101B-9397-08002B2CF9AE}" pid="17" name="display_urn:schemas-microsoft-com:office:office#SharedWithUsers">
    <vt:lpwstr>Judita Vaišnorienė</vt:lpwstr>
  </property>
</Properties>
</file>