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4c3176e36984476abaf61d3a7d20b83"/>
        <w:lock w:val="sdtLocked"/>
        <w:richText/>
      </w:sdtPr>
      <w:sdtContent>
        <w:p>
          <w:pPr>
            <w:spacing w:line="259" w:lineRule="auto"/>
            <w:jc w:val="center"/>
            <w:rPr>
              <w:b/>
              <w:bCs/>
              <w:szCs w:val="24"/>
            </w:rPr>
          </w:pPr>
        </w:p>
        <w:p>
          <w:pPr>
            <w:rPr>
              <w:sz w:val="14"/>
              <w:szCs w:val="14"/>
            </w:rPr>
          </w:pPr>
        </w:p>
        <w:p>
          <w:pPr>
            <w:spacing w:line="259" w:lineRule="auto"/>
            <w:jc w:val="center"/>
            <w:rPr>
              <w:b/>
              <w:bCs/>
              <w:szCs w:val="24"/>
            </w:rPr>
          </w:pPr>
          <w:r>
            <w:rPr>
              <w:b/>
              <w:bCs/>
              <w:szCs w:val="24"/>
            </w:rPr>
            <w:t>PASTABOS IR PASIŪLYMAI</w:t>
          </w:r>
        </w:p>
        <w:p>
          <w:pPr>
            <w:rPr>
              <w:sz w:val="14"/>
              <w:szCs w:val="14"/>
            </w:rPr>
          </w:pPr>
        </w:p>
        <w:p>
          <w:pPr>
            <w:spacing w:line="259" w:lineRule="auto"/>
            <w:jc w:val="center"/>
            <w:rPr>
              <w:b/>
              <w:bCs/>
              <w:szCs w:val="24"/>
            </w:rPr>
          </w:pPr>
          <w:r>
            <w:rPr>
              <w:b/>
              <w:bCs/>
              <w:szCs w:val="24"/>
            </w:rPr>
            <w:t xml:space="preserve">Dėl  Šiaulių miesto savivaldybės tarybos sprendimų projektų Nr.</w:t>
          </w:r>
          <w:r>
            <w:rPr>
              <w:szCs w:val="24"/>
            </w:rPr>
            <w:t xml:space="preserve"> </w:t>
          </w:r>
          <w:r>
            <w:rPr>
              <w:b/>
              <w:bCs/>
              <w:szCs w:val="24"/>
            </w:rPr>
            <w:t>TSP-179,TSP-180, TSP-185, TSP-181, TSP-184, TSP-182, TSP-183</w:t>
          </w:r>
        </w:p>
        <w:p>
          <w:pPr>
            <w:rPr>
              <w:sz w:val="14"/>
              <w:szCs w:val="14"/>
            </w:rPr>
          </w:pPr>
        </w:p>
        <w:p>
          <w:pPr>
            <w:spacing w:line="360" w:lineRule="auto"/>
            <w:ind w:left="-720"/>
            <w:jc w:val="center"/>
            <w:rPr>
              <w:szCs w:val="24"/>
            </w:rPr>
          </w:pPr>
          <w:r>
            <w:rPr>
              <w:szCs w:val="24"/>
            </w:rPr>
            <w:t>2025-04-01</w:t>
          </w:r>
        </w:p>
        <w:sdt>
          <w:sdtPr>
            <w:alias w:val="preambule"/>
            <w:tag w:val="part_ca5ac4ae7eae41eda1a932d41c2cabe5"/>
            <w:lock w:val="sdtLocked"/>
            <w:richText/>
          </w:sdtPr>
          <w:sdtContent>
            <w:p>
              <w:pPr>
                <w:spacing w:line="259" w:lineRule="auto"/>
                <w:ind w:firstLine="434"/>
                <w:jc w:val="both"/>
                <w:rPr>
                  <w:b/>
                  <w:bCs/>
                  <w:szCs w:val="24"/>
                </w:rPr>
              </w:pPr>
              <w:r>
                <w:rPr>
                  <w:szCs w:val="24"/>
                </w:rPr>
                <w:t>Vadovaudamiesi Savivaldybių administracinės priežiūros įstatymu atlikome 2025-04-04  Šiaulių miesto savivaldybės tarybos posėdžiui teikiamų sprendimų projektų Nr. TSP-179,TSP-180, TSP-185, TSP-181, TSP-184, TSP-182, TSP-183 išankstinę priežiūrą (toliau – Sprendimų projektai).</w:t>
              </w:r>
            </w:p>
            <w:p>
              <w:pPr>
                <w:rPr>
                  <w:sz w:val="14"/>
                  <w:szCs w:val="14"/>
                </w:rPr>
              </w:pPr>
            </w:p>
          </w:sdtContent>
        </w:sdt>
        <w:sdt>
          <w:sdtPr>
            <w:alias w:val="pastraipa"/>
            <w:tag w:val="part_aa5d5c3742114b47acf4ff809ef415c6"/>
            <w:lock w:val="sdtLocked"/>
            <w:richText/>
          </w:sdtPr>
          <w:sdtContent>
            <w:p>
              <w:pPr>
                <w:ind w:firstLine="434"/>
                <w:jc w:val="both"/>
                <w:rPr>
                  <w:szCs w:val="24"/>
                </w:rPr>
              </w:pPr>
              <w:r>
                <w:rPr>
                  <w:szCs w:val="24"/>
                </w:rPr>
                <w:t xml:space="preserve">Nustatyta, kad Sprendimų projektais tvirtinamus mokyklų nuostatus (toliau – Nuostatai)  derėtų tikslinti:</w:t>
              </w:r>
            </w:p>
          </w:sdtContent>
        </w:sdt>
        <w:sdt>
          <w:sdtPr>
            <w:alias w:val="1 p."/>
            <w:tag w:val="part_cdcdda57bd0c41b791c2bd0f8c6bbd3b"/>
            <w:lock w:val="sdtLocked"/>
            <w:richText/>
          </w:sdtPr>
          <w:sdtContent>
            <w:p>
              <w:pPr>
                <w:ind w:firstLine="360"/>
                <w:jc w:val="both"/>
                <w:rPr>
                  <w:szCs w:val="24"/>
                </w:rPr>
              </w:pPr>
              <w:sdt>
                <w:sdtPr>
                  <w:alias w:val="Numeris"/>
                  <w:tag w:val="nr_cdcdda57bd0c41b791c2bd0f8c6bbd3b"/>
                  <w:lock w:val="sdtLocked"/>
                  <w:richText/>
                </w:sdtPr>
                <w:sdtContent>
                  <w:r>
                    <w:rPr>
                      <w:szCs w:val="24"/>
                    </w:rPr>
                    <w:t>1</w:t>
                  </w:r>
                </w:sdtContent>
              </w:sdt>
              <w:r>
                <w:rPr>
                  <w:szCs w:val="24"/>
                </w:rPr>
                <w:t>.</w:t>
                <w:tab/>
                <w:t>Reikėtų pildyti Nuostatų projekte nurodytą įstaigų direktorių atšaukimo tvarką kaip to reikalauja Švietimo įstatymo 59 str. 16 dalis bei Darbo kodekso 104 str. 1 dalis. Tai, kad d</w:t>
              </w:r>
              <w:r>
                <w:rPr>
                  <w:rFonts w:eastAsia="Calibri"/>
                  <w:bCs/>
                  <w:szCs w:val="24"/>
                </w:rPr>
                <w:t>ėl</w:t>
              </w:r>
              <w:r>
                <w:rPr>
                  <w:rFonts w:eastAsia="Lucida Sans Unicode"/>
                  <w:bCs/>
                  <w:szCs w:val="24"/>
                </w:rPr>
                <w:t xml:space="preserve"> direktoriaus</w:t>
              </w:r>
              <w:r>
                <w:rPr>
                  <w:rFonts w:eastAsia="Calibri"/>
                  <w:bCs/>
                  <w:szCs w:val="24"/>
                </w:rPr>
                <w:t xml:space="preserve"> atšaukimo iš pareigų priimamas Savivaldybės mero potvarkis (niekas kitas pagal Švietimo įstatymo 59 straipsnį nei meras negali priimti tokio sprendimo) nėra laikytinas tvarka, Nuostatai turėtų būti papildyti direktoriaus atšaukimo tvarka.</w:t>
              </w:r>
            </w:p>
            <w:p>
              <w:pPr>
                <w:ind w:firstLine="186"/>
                <w:jc w:val="both"/>
                <w:rPr>
                  <w:szCs w:val="24"/>
                </w:rPr>
              </w:pPr>
              <w:r>
                <w:rPr>
                  <w:rFonts w:eastAsia="Calibri"/>
                  <w:bCs/>
                  <w:szCs w:val="24"/>
                </w:rPr>
                <w:t>Siekiant teisinio aiškumo siūlome papildyti Nuostatus Švietimo įstatymo 59 str. 16 dalyje nurodytais 2 atšaukimo pagrindais (praradus Švietimo įstatyme nurodytą nepriekaištingą reputaciją arba paaiškėjus, kad dalyvaujant viešame konkurse direktoriaus pareigoms užimti nuslėpė arba pateikė tikrovės neatitinkančius duomenis, dėl kurių negalėjo būti priimtas į pareigas)</w:t>
              </w:r>
            </w:p>
          </w:sdtContent>
        </w:sdt>
        <w:sdt>
          <w:sdtPr>
            <w:alias w:val="2 p."/>
            <w:tag w:val="part_83192cc750774eb18e6abbcc271927c6"/>
            <w:lock w:val="sdtLocked"/>
            <w:richText/>
          </w:sdtPr>
          <w:sdtContent>
            <w:p>
              <w:pPr>
                <w:ind w:firstLine="360"/>
                <w:jc w:val="both"/>
                <w:rPr>
                  <w:szCs w:val="24"/>
                </w:rPr>
              </w:pPr>
              <w:sdt>
                <w:sdtPr>
                  <w:alias w:val="Numeris"/>
                  <w:tag w:val="nr_83192cc750774eb18e6abbcc271927c6"/>
                  <w:lock w:val="sdtLocked"/>
                  <w:richText/>
                </w:sdtPr>
                <w:sdtContent>
                  <w:r>
                    <w:rPr>
                      <w:szCs w:val="24"/>
                    </w:rPr>
                    <w:t>2</w:t>
                  </w:r>
                </w:sdtContent>
              </w:sdt>
              <w:r>
                <w:rPr>
                  <w:szCs w:val="24"/>
                </w:rPr>
                <w:t>.</w:t>
                <w:tab/>
                <w:t>Švietimo, mokslo ir sporto ministro 2011 m. birželio 29 d. įsakymu Nr. V-1164 „Dėl Nuostatų, įstatų ar statutų įforminimo reikalavimų patvirtinimo“ patvirtintų Nuostatų, įstatų ar statutų įforminimo reikalavimų 11 punktas nurodo, jog „Skyriuje „Mokyklos savivalda“ aprašoma Mokyklos tarybos vieta Mokyklos savivaldos institucijų sistemoje, jos sudėtis (nurodomos atstovaujamos Mokyklos bendruomenės grupės pagal </w:t>
              </w:r>
              <w:r>
                <w:rPr>
                  <w:color w:val="262626"/>
                  <w:szCs w:val="24"/>
                </w:rPr>
                <w:t>Švietimo įstatymo 60</w:t>
              </w:r>
              <w:r>
                <w:rPr>
                  <w:szCs w:val="24"/>
                </w:rPr>
                <w:t xml:space="preserve"> straipsnio 3 dalį ir Mokyklos tarybos narių, atstovaujančių minėtoms grupėms, skaičius) ir sudarymo tvarka (rekomenduojama, kad Mokyklos taryboje vietos bendruomenei atstovautų seniūnaitis, bendruomeninės organizacijos tarybos deleguotas atstovas ar kitas vietos bendruomenės atstovas, susietas bendrais gyvenimo atitinkamoje vietos bendruomenėje poreikiais ir interesais), pirmininko rinkimo principas, Mokyklos tarybos kadencija, galimas Mokyklos tarybos nario kadencijų skaičius, naujo Mokyklos tarybos nario paskyrimas nutrūkus Mokyklos tarybos nario įgaliojimams pirma laiko, Mokyklos tarybos kompetencija, </w:t>
              </w:r>
              <w:r>
                <w:rPr>
                  <w:i/>
                  <w:iCs/>
                  <w:szCs w:val="24"/>
                  <w:u w:val="single"/>
                </w:rPr>
                <w:t>veiklos organizavimas</w:t>
              </w:r>
              <w:r>
                <w:rPr>
                  <w:szCs w:val="24"/>
                </w:rPr>
                <w:t xml:space="preserve">, sprendimų priėmimo tvarka. Kitų Mokyklos savivaldos institucijų (mokytojų, mokinių, tėvų (globėjų, rūpintojų) narių skaičius, rinkimo ir atstovavimo principai, kadencijos, galimas savivaldos institucijos nario kadencijų skaičius, naujo nario paskyrimas nutrūkus savivaldos institucijos nario įgaliojimams pirma laiko, savivaldos institucijos vadovo rinkimo principas, savivaldos institucijos kompetencija, </w:t>
              </w:r>
              <w:r>
                <w:rPr>
                  <w:i/>
                  <w:iCs/>
                  <w:szCs w:val="24"/>
                  <w:u w:val="single"/>
                </w:rPr>
                <w:t>veiklos organizavimas</w:t>
              </w:r>
              <w:r>
                <w:rPr>
                  <w:szCs w:val="24"/>
                </w:rPr>
                <w:t xml:space="preserve"> (mokytojų savivaldos institucijos nariu negali būti Mokyklos vadovas), sprendimų priėmimo tvarka taip pat turėtų būti aprašytas mokyklos nuostatuose..</w:t>
              </w:r>
            </w:p>
            <w:p>
              <w:pPr>
                <w:ind w:firstLine="124"/>
                <w:jc w:val="both"/>
                <w:rPr>
                  <w:rFonts w:eastAsia="Lucida Sans Unicode"/>
                  <w:szCs w:val="24"/>
                  <w:shd w:val="clear" w:color="auto" w:fill="FFFFFF"/>
                </w:rPr>
              </w:pPr>
              <w:r>
                <w:rPr>
                  <w:rFonts w:eastAsia="Lucida Sans Unicode"/>
                  <w:szCs w:val="24"/>
                  <w:shd w:val="clear" w:color="auto" w:fill="FFFFFF"/>
                </w:rPr>
                <w:t xml:space="preserve">Pažymėtina, kad ne visuose Nuostatuose aprašomas mokyklos savivaldos darinių veiklos organizavimas, tačiau Nuostatuose numatoma, kad  įstaigos direktorius tvirtina atskirus nuostatus (Mokytojų tarybos,. Mokinių tarybos) ir juose nustato veiklos organizavimo tvarką , o tai  neatitinka Švietimo, mokslo ir sporto ministro įsakymo, veiklos organizavimas turėtų būti nustatytas savivaldybės tarybos  tvirtinamuose mokyklos nuostatuose.</w:t>
              </w:r>
            </w:p>
          </w:sdtContent>
        </w:sdt>
        <w:sdt>
          <w:sdtPr>
            <w:alias w:val="3 p."/>
            <w:tag w:val="part_5b0d3319daf3477fa3256c4a4533d2a7"/>
            <w:lock w:val="sdtLocked"/>
            <w:richText/>
          </w:sdtPr>
          <w:sdtContent>
            <w:p>
              <w:pPr>
                <w:ind w:firstLine="360"/>
                <w:jc w:val="both"/>
                <w:rPr>
                  <w:rFonts w:eastAsia="Lucida Sans Unicode"/>
                  <w:szCs w:val="24"/>
                  <w:shd w:val="clear" w:color="auto" w:fill="FFFFFF"/>
                </w:rPr>
              </w:pPr>
              <w:sdt>
                <w:sdtPr>
                  <w:alias w:val="Numeris"/>
                  <w:tag w:val="nr_5b0d3319daf3477fa3256c4a4533d2a7"/>
                  <w:lock w:val="sdtLocked"/>
                  <w:richText/>
                </w:sdtPr>
                <w:sdtContent>
                  <w:r>
                    <w:rPr>
                      <w:rFonts w:eastAsia="Lucida Sans Unicode"/>
                      <w:szCs w:val="24"/>
                    </w:rPr>
                    <w:t>3</w:t>
                  </w:r>
                </w:sdtContent>
              </w:sdt>
              <w:r>
                <w:rPr>
                  <w:rFonts w:eastAsia="Lucida Sans Unicode"/>
                  <w:szCs w:val="24"/>
                </w:rPr>
                <w:t>.</w:t>
                <w:tab/>
              </w:r>
              <w:r>
                <w:rPr>
                  <w:rFonts w:eastAsia="Lucida Sans Unicode"/>
                  <w:szCs w:val="24"/>
                  <w:shd w:val="clear" w:color="auto" w:fill="FFFFFF"/>
                </w:rPr>
                <w:t xml:space="preserve">Nuostatuose nustatoma, jog mero kompetencija yra </w:t>
              </w:r>
              <w:r>
                <w:rPr>
                  <w:bCs/>
                  <w:szCs w:val="24"/>
                  <w:lang w:eastAsia="ar-SA"/>
                </w:rPr>
                <w:t xml:space="preserve">nustatyti maksimalų etatų skaičių, dar kartą pažymime, kad nei </w:t>
              </w:r>
              <w:r>
                <w:rPr>
                  <w:szCs w:val="24"/>
                </w:rPr>
                <w:t>Vietos savivaldos įstatymas nei Biudžetinių įstaigų įstatymas nesuteikia teisės Merui nustatyti maksimalų etatų skaičių įstaigose.</w:t>
              </w:r>
            </w:p>
          </w:sdtContent>
        </w:sdt>
        <w:sdt>
          <w:sdtPr>
            <w:alias w:val="4 p."/>
            <w:tag w:val="part_d8ac221679d64744bfe23329315729f5"/>
            <w:lock w:val="sdtLocked"/>
            <w:richText/>
          </w:sdtPr>
          <w:sdtContent>
            <w:p>
              <w:pPr>
                <w:ind w:firstLine="360"/>
                <w:jc w:val="both"/>
                <w:rPr>
                  <w:rFonts w:eastAsia="Lucida Sans Unicode"/>
                  <w:szCs w:val="24"/>
                  <w:shd w:val="clear" w:color="auto" w:fill="FFFFFF"/>
                </w:rPr>
              </w:pPr>
              <w:sdt>
                <w:sdtPr>
                  <w:alias w:val="Numeris"/>
                  <w:tag w:val="nr_d8ac221679d64744bfe23329315729f5"/>
                  <w:lock w:val="sdtLocked"/>
                  <w:richText/>
                </w:sdtPr>
                <w:sdtContent>
                  <w:r>
                    <w:rPr>
                      <w:rFonts w:eastAsia="Lucida Sans Unicode"/>
                      <w:szCs w:val="24"/>
                    </w:rPr>
                    <w:t>4</w:t>
                  </w:r>
                </w:sdtContent>
              </w:sdt>
              <w:r>
                <w:rPr>
                  <w:rFonts w:eastAsia="Lucida Sans Unicode"/>
                  <w:szCs w:val="24"/>
                </w:rPr>
                <w:t>.</w:t>
                <w:tab/>
              </w:r>
              <w:r>
                <w:rPr>
                  <w:spacing w:val="-1"/>
                  <w:szCs w:val="24"/>
                  <w:shd w:val="clear" w:color="auto" w:fill="FFFFFF"/>
                  <w:lang w:eastAsia="lt-LT"/>
                </w:rPr>
                <w:t xml:space="preserve">Pažymėtina, kad pagal Biudžetinių įstaigų įstatymą yra galima tik 1 biudžetinės įstaigos savininko teises ir pareigas įgyvendinanti institucija – savivaldybės vykdomoji institucija (meras), išskyrus tiek, kiek tam tikra su biudžetine įstaiga susijusi ir Vietos savivaldos įstatyme nurodyta tarybos išimtinė kompetencija nepriskirta savivaldybės tarybai. Taigi, savivaldybės taryba nelaikytina savininko teises ir pareigas įgyvendinančia institucija. Atsižvelgiant į tai, derėtų tikslinti mokyklų Nuostatų III skyrius. </w:t>
              </w:r>
            </w:p>
            <w:p>
              <w:pPr>
                <w:ind w:left="360"/>
                <w:jc w:val="both"/>
                <w:rPr>
                  <w:rFonts w:eastAsia="Lucida Sans Unicode"/>
                  <w:szCs w:val="24"/>
                  <w:shd w:val="clear" w:color="auto" w:fill="FFFFFF"/>
                </w:rPr>
              </w:pPr>
            </w:p>
            <w:p>
              <w:pPr>
                <w:ind w:firstLine="567"/>
                <w:jc w:val="both"/>
                <w:rPr>
                  <w:szCs w:val="24"/>
                </w:rPr>
              </w:pPr>
              <w:r>
                <w:rPr>
                  <w:szCs w:val="24"/>
                </w:rPr>
                <w:t>Atsižvelgiant į tai, kas pateikta aukščiau, siūlome visus mokyklų Nuostatus tikslinti, kad jie atitiktų šiuo metu galiojantį teisinį reglamentavimą.</w:t>
              </w:r>
            </w:p>
            <w:p>
              <w:pPr>
                <w:ind w:firstLine="567"/>
                <w:jc w:val="both"/>
                <w:rPr>
                  <w:szCs w:val="24"/>
                </w:rPr>
              </w:pPr>
            </w:p>
            <w:p>
              <w:pPr>
                <w:ind w:firstLine="567"/>
                <w:jc w:val="both"/>
                <w:rPr>
                  <w:szCs w:val="24"/>
                </w:rPr>
              </w:pPr>
            </w:p>
            <w:p>
              <w:pPr>
                <w:ind w:firstLine="567"/>
                <w:jc w:val="both"/>
                <w:rPr>
                  <w:szCs w:val="24"/>
                </w:rPr>
              </w:pPr>
            </w:p>
          </w:sdtContent>
        </w:sdt>
        <w:sdt>
          <w:sdtPr>
            <w:alias w:val="signatura"/>
            <w:tag w:val="part_1c556df3af774a8c92ca47efe609ea3a"/>
            <w:lock w:val="sdtLocked"/>
            <w:richText/>
          </w:sdtPr>
          <w:sdtContent>
            <w:p>
              <w:pPr>
                <w:ind w:firstLine="124"/>
                <w:rPr>
                  <w:szCs w:val="24"/>
                </w:rPr>
              </w:pPr>
              <w:r>
                <w:rPr>
                  <w:szCs w:val="24"/>
                </w:rPr>
                <w:t xml:space="preserve">Vyriausybės atstovas Šiaulių ir Telšių apskrityse                                              Rimvydas Pilibaitis</w:t>
              </w:r>
            </w:p>
            <w:p>
              <w:pPr>
                <w:ind w:firstLine="124"/>
                <w:rPr>
                  <w:szCs w:val="24"/>
                </w:rPr>
              </w:pPr>
            </w:p>
            <w:p>
              <w:pPr>
                <w:spacing w:line="259" w:lineRule="auto"/>
                <w:jc w:val="both"/>
                <w:rPr>
                  <w:szCs w:val="24"/>
                </w:rPr>
              </w:pPr>
            </w:p>
            <w:p>
              <w:pPr>
                <w:rPr>
                  <w:sz w:val="14"/>
                  <w:szCs w:val="14"/>
                </w:rPr>
              </w:pPr>
            </w:p>
            <w:p>
              <w:pPr>
                <w:spacing w:line="259" w:lineRule="auto"/>
                <w:jc w:val="both"/>
                <w:rPr>
                  <w:szCs w:val="24"/>
                </w:rPr>
              </w:pPr>
            </w:p>
          </w:sdtContent>
        </w:sdt>
      </w:sdtContent>
    </w:sdt>
    <w:sectPr>
      <w:pgSz w:w="11906" w:h="16838"/>
      <w:pgMar w:top="426"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F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58FA97-B3C9-4844-9018-63F22151F64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83728627">
      <w:bodyDiv w:val="1"/>
      <w:marLeft w:val="0"/>
      <w:marRight w:val="0"/>
      <w:marTop w:val="0"/>
      <w:marBottom w:val="0"/>
      <w:divBdr>
        <w:top w:val="none" w:sz="0" w:space="0" w:color="auto"/>
        <w:left w:val="none" w:sz="0" w:space="0" w:color="auto"/>
        <w:bottom w:val="none" w:sz="0" w:space="0" w:color="auto"/>
        <w:right w:val="none" w:sz="0" w:space="0" w:color="auto"/>
      </w:divBdr>
    </w:div>
    <w:div w:id="532962567">
      <w:bodyDiv w:val="1"/>
      <w:marLeft w:val="0"/>
      <w:marRight w:val="0"/>
      <w:marTop w:val="0"/>
      <w:marBottom w:val="0"/>
      <w:divBdr>
        <w:top w:val="none" w:sz="0" w:space="0" w:color="auto"/>
        <w:left w:val="none" w:sz="0" w:space="0" w:color="auto"/>
        <w:bottom w:val="none" w:sz="0" w:space="0" w:color="auto"/>
        <w:right w:val="none" w:sz="0" w:space="0" w:color="auto"/>
      </w:divBdr>
    </w:div>
    <w:div w:id="705372930">
      <w:bodyDiv w:val="1"/>
      <w:marLeft w:val="0"/>
      <w:marRight w:val="0"/>
      <w:marTop w:val="0"/>
      <w:marBottom w:val="0"/>
      <w:divBdr>
        <w:top w:val="none" w:sz="0" w:space="0" w:color="auto"/>
        <w:left w:val="none" w:sz="0" w:space="0" w:color="auto"/>
        <w:bottom w:val="none" w:sz="0" w:space="0" w:color="auto"/>
        <w:right w:val="none" w:sz="0" w:space="0" w:color="auto"/>
      </w:divBdr>
    </w:div>
    <w:div w:id="807673156">
      <w:bodyDiv w:val="1"/>
      <w:marLeft w:val="0"/>
      <w:marRight w:val="0"/>
      <w:marTop w:val="0"/>
      <w:marBottom w:val="0"/>
      <w:divBdr>
        <w:top w:val="none" w:sz="0" w:space="0" w:color="auto"/>
        <w:left w:val="none" w:sz="0" w:space="0" w:color="auto"/>
        <w:bottom w:val="none" w:sz="0" w:space="0" w:color="auto"/>
        <w:right w:val="none" w:sz="0" w:space="0" w:color="auto"/>
      </w:divBdr>
    </w:div>
    <w:div w:id="1121076175">
      <w:bodyDiv w:val="1"/>
      <w:marLeft w:val="0"/>
      <w:marRight w:val="0"/>
      <w:marTop w:val="0"/>
      <w:marBottom w:val="0"/>
      <w:divBdr>
        <w:top w:val="none" w:sz="0" w:space="0" w:color="auto"/>
        <w:left w:val="none" w:sz="0" w:space="0" w:color="auto"/>
        <w:bottom w:val="none" w:sz="0" w:space="0" w:color="auto"/>
        <w:right w:val="none" w:sz="0" w:space="0" w:color="auto"/>
      </w:divBdr>
    </w:div>
    <w:div w:id="1181580586">
      <w:bodyDiv w:val="1"/>
      <w:marLeft w:val="0"/>
      <w:marRight w:val="0"/>
      <w:marTop w:val="0"/>
      <w:marBottom w:val="0"/>
      <w:divBdr>
        <w:top w:val="none" w:sz="0" w:space="0" w:color="auto"/>
        <w:left w:val="none" w:sz="0" w:space="0" w:color="auto"/>
        <w:bottom w:val="none" w:sz="0" w:space="0" w:color="auto"/>
        <w:right w:val="none" w:sz="0" w:space="0" w:color="auto"/>
      </w:divBdr>
    </w:div>
    <w:div w:id="1535847363">
      <w:bodyDiv w:val="1"/>
      <w:marLeft w:val="0"/>
      <w:marRight w:val="0"/>
      <w:marTop w:val="0"/>
      <w:marBottom w:val="0"/>
      <w:divBdr>
        <w:top w:val="none" w:sz="0" w:space="0" w:color="auto"/>
        <w:left w:val="none" w:sz="0" w:space="0" w:color="auto"/>
        <w:bottom w:val="none" w:sz="0" w:space="0" w:color="auto"/>
        <w:right w:val="none" w:sz="0" w:space="0" w:color="auto"/>
      </w:divBdr>
    </w:div>
    <w:div w:id="1899126992">
      <w:bodyDiv w:val="1"/>
      <w:marLeft w:val="0"/>
      <w:marRight w:val="0"/>
      <w:marTop w:val="0"/>
      <w:marBottom w:val="0"/>
      <w:divBdr>
        <w:top w:val="none" w:sz="0" w:space="0" w:color="auto"/>
        <w:left w:val="none" w:sz="0" w:space="0" w:color="auto"/>
        <w:bottom w:val="none" w:sz="0" w:space="0" w:color="auto"/>
        <w:right w:val="none" w:sz="0" w:space="0" w:color="auto"/>
      </w:divBdr>
    </w:div>
    <w:div w:id="1937008589">
      <w:bodyDiv w:val="1"/>
      <w:marLeft w:val="0"/>
      <w:marRight w:val="0"/>
      <w:marTop w:val="0"/>
      <w:marBottom w:val="0"/>
      <w:divBdr>
        <w:top w:val="none" w:sz="0" w:space="0" w:color="auto"/>
        <w:left w:val="none" w:sz="0" w:space="0" w:color="auto"/>
        <w:bottom w:val="none" w:sz="0" w:space="0" w:color="auto"/>
        <w:right w:val="none" w:sz="0" w:space="0" w:color="auto"/>
      </w:divBdr>
    </w:div>
    <w:div w:id="2046328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fd10f42308446f095234c279eab28c1" PartId="34c3176e36984476abaf61d3a7d20b83">
    <Part Type="preambule" DocPartId="cb9caafe008e48a484eb87dd3bd32293" PartId="ca5ac4ae7eae41eda1a932d41c2cabe5"/>
    <Part Type="pastraipa" DocPartId="efa35007bc1e45b79584012ad3c769b0" PartId="aa5d5c3742114b47acf4ff809ef415c6"/>
    <Part Type="punktas" Nr="1" Abbr="1 p." DocPartId="3800214ffb0f4115bc8a307bc680717b" PartId="cdcdda57bd0c41b791c2bd0f8c6bbd3b"/>
    <Part Type="punktas" Nr="2" Abbr="2 p." DocPartId="a18ec325258646a2abe8d47ce6d84c95" PartId="83192cc750774eb18e6abbcc271927c6"/>
    <Part Type="punktas" Nr="3" Abbr="3 p." DocPartId="0b0ed886214d40ae8ced2d9de0dd6aa4" PartId="5b0d3319daf3477fa3256c4a4533d2a7"/>
    <Part Type="punktas" Nr="4" Abbr="4 p." DocPartId="86e85a23933b4808958dfb51b426c741" PartId="d8ac221679d64744bfe23329315729f5"/>
    <Part Type="signatura" DocPartId="318674bbe30d4dd09aaa82100d3eddba" PartId="1c556df3af774a8c92ca47efe609ea3a"/>
  </Part>
</Parts>
</file>

<file path=customXml/itemProps1.xml><?xml version="1.0" encoding="utf-8"?>
<ds:datastoreItem xmlns:ds="http://schemas.openxmlformats.org/officeDocument/2006/customXml" ds:itemID="{CBF19F39-E28C-4D37-818D-51FC0C17C6F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526</Words>
  <Characters>3950</Characters>
  <Application>Microsoft Office Word</Application>
  <DocSecurity>4</DocSecurity>
  <Lines>61</Lines>
  <Paragraphs>14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4462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2025-04-02T09:20:00Z</dcterms:created>
  <dc:creator>Jūratė Šimkuvienė</dc:creator>
  <lastModifiedBy>adlibuser</lastModifiedBy>
  <dcterms:modified xsi:type="dcterms:W3CDTF">2025-04-02T09:20:00Z</dcterms:modified>
  <revision>2</revision>
</coreProperties>
</file>