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f6fc58f427f425fb408098f712b9111"/>
        <w:lock w:val="sdtLocked"/>
        <w:richText/>
      </w:sdtPr>
      <w:sdtContent>
        <w:p>
          <w:pPr>
            <w:widowControl w:val="0"/>
            <w:suppressAutoHyphens/>
            <w:jc w:val="center"/>
            <w:rPr>
              <w:b/>
              <w:bCs/>
              <w:szCs w:val="24"/>
              <w:shd w:val="clear" w:color="auto" w:fill="FFFFFF"/>
              <w:lang w:eastAsia="ar-SA"/>
            </w:rPr>
          </w:pPr>
          <w:r>
            <w:rPr>
              <w:b/>
              <w:bCs/>
              <w:szCs w:val="24"/>
              <w:shd w:val="clear" w:color="auto" w:fill="FFFFFF"/>
              <w:lang w:eastAsia="ar-SA"/>
            </w:rPr>
            <w:t>ŠIAULIŲ MIESTO SAVIVALDYBĖS ADMINISTRACIJOS</w:t>
          </w:r>
        </w:p>
        <w:sdt>
          <w:sdtPr>
            <w:alias w:val="skyrius"/>
            <w:tag w:val="part_52a4ba431b6843c79d983859858057c7"/>
            <w:lock w:val="sdtLocked"/>
            <w:richText/>
          </w:sdtPr>
          <w:sdtContent>
            <w:p>
              <w:pPr>
                <w:suppressAutoHyphens/>
                <w:jc w:val="center"/>
                <w:rPr>
                  <w:b/>
                  <w:szCs w:val="24"/>
                  <w:shd w:val="clear" w:color="auto" w:fill="FFFFFF"/>
                  <w:lang w:eastAsia="ar-SA"/>
                </w:rPr>
              </w:pPr>
              <w:r>
                <w:rPr>
                  <w:b/>
                  <w:szCs w:val="24"/>
                  <w:shd w:val="clear" w:color="auto" w:fill="FFFFFF"/>
                  <w:lang w:eastAsia="ar-SA"/>
                </w:rPr>
                <w:t>MIESTO ŪKIO IR APLINKOS SKYRIUS</w:t>
              </w:r>
            </w:p>
            <w:p>
              <w:pPr>
                <w:suppressAutoHyphens/>
                <w:jc w:val="center"/>
                <w:rPr>
                  <w:b/>
                  <w:bCs/>
                  <w:szCs w:val="24"/>
                  <w:shd w:val="clear" w:color="auto" w:fill="FFFFFF"/>
                  <w:lang w:eastAsia="ar-SA"/>
                </w:rPr>
              </w:pPr>
            </w:p>
            <w:sdt>
              <w:sdtPr>
                <w:alias w:val="Pavadinimas"/>
                <w:tag w:val="title_52a4ba431b6843c79d983859858057c7"/>
                <w:lock w:val="sdtLocked"/>
                <w:richText/>
              </w:sdtPr>
              <w:sdtContent>
                <w:p>
                  <w:pPr>
                    <w:suppressAutoHyphens/>
                    <w:jc w:val="center"/>
                    <w:rPr>
                      <w:b/>
                      <w:bCs/>
                      <w:color w:val="000000"/>
                      <w:szCs w:val="24"/>
                      <w:lang w:eastAsia="lt-LT"/>
                    </w:rPr>
                  </w:pPr>
                  <w:r>
                    <w:rPr>
                      <w:b/>
                      <w:bCs/>
                      <w:color w:val="000000"/>
                      <w:szCs w:val="24"/>
                      <w:lang w:eastAsia="lt-LT"/>
                    </w:rPr>
                    <w:t xml:space="preserve">DĖL </w:t>
                  </w:r>
                  <w:r>
                    <w:rPr>
                      <w:b/>
                      <w:szCs w:val="24"/>
                      <w:lang w:eastAsia="lt-LT"/>
                    </w:rPr>
                    <w:t xml:space="preserve">ŠIAULIŲ MIESTO SAVIVALDYBĖS TARYBOS 2023 M. BIRŽELIO 8 D. SPRENDIMO NR. T-264 „DĖL LAIDOJIMO ŠIAULIŲ MIESTO KAPINĖS, KAPINIŲ TVARKYMO IR LANKYMO TVARKOS APRAŠO PATVIRTINIMO“, </w:t>
                  </w:r>
                </w:p>
                <w:p>
                  <w:pPr>
                    <w:suppressAutoHyphens/>
                    <w:jc w:val="center"/>
                    <w:rPr>
                      <w:color w:val="000000"/>
                      <w:szCs w:val="24"/>
                      <w:lang w:eastAsia="ar-SA"/>
                    </w:rPr>
                  </w:pPr>
                  <w:r>
                    <w:rPr>
                      <w:b/>
                      <w:bCs/>
                      <w:color w:val="000000"/>
                      <w:szCs w:val="24"/>
                      <w:lang w:eastAsia="lt-LT"/>
                    </w:rPr>
                    <w:t xml:space="preserve">PAKEITIMO </w:t>
                  </w:r>
                </w:p>
                <w:p>
                  <w:pPr>
                    <w:suppressAutoHyphens/>
                    <w:overflowPunct w:val="0"/>
                    <w:ind w:firstLine="283"/>
                    <w:jc w:val="center"/>
                    <w:textAlignment w:val="baseline"/>
                    <w:rPr>
                      <w:b/>
                      <w:bCs/>
                      <w:sz w:val="28"/>
                      <w:szCs w:val="28"/>
                      <w:shd w:val="clear" w:color="auto" w:fill="FFFFFF"/>
                      <w:lang w:eastAsia="ar-SA"/>
                    </w:rPr>
                  </w:pPr>
                  <w:r>
                    <w:rPr>
                      <w:b/>
                      <w:bCs/>
                      <w:szCs w:val="24"/>
                      <w:shd w:val="clear" w:color="auto" w:fill="FFFFFF"/>
                      <w:lang w:eastAsia="ar-SA"/>
                    </w:rPr>
                    <w:t>AIŠKINAMASIS RAŠTAS</w:t>
                  </w:r>
                </w:p>
              </w:sdtContent>
            </w:sdt>
            <w:p>
              <w:pPr>
                <w:widowControl w:val="0"/>
                <w:jc w:val="center"/>
                <w:rPr>
                  <w:rFonts w:eastAsia="Lucida Sans Unicode"/>
                  <w:b/>
                  <w:bCs/>
                  <w:sz w:val="28"/>
                  <w:szCs w:val="28"/>
                  <w:shd w:val="clear" w:color="auto" w:fill="FFFFFF"/>
                  <w:lang w:eastAsia="ar-SA"/>
                </w:rPr>
              </w:pPr>
            </w:p>
            <w:p>
              <w:pPr>
                <w:widowControl w:val="0"/>
                <w:jc w:val="center"/>
                <w:rPr>
                  <w:rFonts w:eastAsia="Lucida Sans Unicode"/>
                  <w:shd w:val="clear" w:color="auto" w:fill="FFFFFF"/>
                  <w:lang w:eastAsia="ar-SA"/>
                </w:rPr>
              </w:pPr>
              <w:r>
                <w:rPr>
                  <w:rFonts w:eastAsia="Lucida Sans Unicode"/>
                  <w:shd w:val="clear" w:color="auto" w:fill="FFFFFF"/>
                  <w:lang w:eastAsia="ar-SA"/>
                </w:rPr>
                <w:t xml:space="preserve">2024 - .......   -....</w:t>
              </w:r>
            </w:p>
            <w:p>
              <w:pPr>
                <w:widowControl w:val="0"/>
                <w:jc w:val="center"/>
                <w:rPr>
                  <w:rFonts w:eastAsia="Lucida Sans Unicode"/>
                  <w:shd w:val="clear" w:color="auto" w:fill="FFFFFF"/>
                  <w:lang w:eastAsia="ar-SA"/>
                </w:rPr>
              </w:pPr>
              <w:r>
                <w:rPr>
                  <w:rFonts w:eastAsia="Lucida Sans Unicode"/>
                  <w:shd w:val="clear" w:color="auto" w:fill="FFFFFF"/>
                  <w:lang w:eastAsia="ar-SA"/>
                </w:rPr>
                <w:t>Šiauliai</w:t>
              </w:r>
            </w:p>
            <w:p>
              <w:pPr>
                <w:widowControl w:val="0"/>
                <w:jc w:val="center"/>
                <w:rPr>
                  <w:rFonts w:eastAsia="Lucida Sans Unicode"/>
                  <w:sz w:val="28"/>
                  <w:szCs w:val="28"/>
                  <w:shd w:val="clear" w:color="auto" w:fill="FFFFFF"/>
                  <w:lang w:eastAsia="ar-SA"/>
                </w:rPr>
              </w:pPr>
            </w:p>
            <w:tbl>
              <w:tblPr>
                <w:tblW w:w="0" w:type="auto"/>
                <w:tblInd w:w="-567" w:type="dxa"/>
                <w:tblLayout w:type="fixed"/>
                <w:tblCellMar>
                  <w:left w:w="0" w:type="dxa"/>
                  <w:right w:w="0" w:type="dxa"/>
                </w:tblCellMar>
                <w:tblLook w:val="0000" w:firstRow="0" w:lastRow="0" w:firstColumn="0" w:lastColumn="0" w:noHBand="0" w:noVBand="0"/>
              </w:tblPr>
              <w:tblGrid>
                <w:gridCol w:w="10204"/>
              </w:tblGrid>
              <w:tr>
                <w:tc>
                  <w:tcPr>
                    <w:tcW w:w="10204" w:type="dxa"/>
                    <w:shd w:val="clear" w:color="auto" w:fill="auto"/>
                  </w:tcPr>
                  <w:p>
                    <w:pPr>
                      <w:widowControl w:val="0"/>
                      <w:suppressAutoHyphens/>
                      <w:snapToGrid w:val="0"/>
                      <w:ind w:right="83" w:firstLine="744"/>
                      <w:jc w:val="both"/>
                      <w:rPr>
                        <w:rFonts w:eastAsia="Lucida Sans Unicode"/>
                        <w:b/>
                        <w:lang w:eastAsia="ar-SA"/>
                      </w:rPr>
                    </w:pPr>
                    <w:r>
                      <w:rPr>
                        <w:rFonts w:eastAsia="Lucida Sans Unicode"/>
                        <w:b/>
                        <w:shd w:val="clear" w:color="auto" w:fill="FFFFFF"/>
                        <w:lang w:eastAsia="ar-SA"/>
                      </w:rPr>
                      <w:t>Parengto sprendimo projekto tikslai ir uždaviniai:</w:t>
                    </w:r>
                  </w:p>
                </w:tc>
              </w:tr>
              <w:tr>
                <w:tc>
                  <w:tcPr>
                    <w:tcW w:w="10204" w:type="dxa"/>
                    <w:shd w:val="clear" w:color="auto" w:fill="auto"/>
                  </w:tcPr>
                  <w:p>
                    <w:pPr>
                      <w:suppressAutoHyphens/>
                      <w:snapToGrid w:val="0"/>
                      <w:ind w:firstLine="700"/>
                      <w:jc w:val="both"/>
                      <w:rPr>
                        <w:color w:val="000000"/>
                        <w:szCs w:val="24"/>
                        <w:lang w:eastAsia="lt-LT"/>
                      </w:rPr>
                    </w:pPr>
                    <w:r>
                      <w:rPr>
                        <w:rFonts w:cs="Tahoma"/>
                        <w:szCs w:val="24"/>
                        <w:lang w:eastAsia="ar-SA"/>
                      </w:rPr>
                      <w:t xml:space="preserve">Patikslinti </w:t>
                    </w:r>
                    <w:r>
                      <w:rPr>
                        <w:bCs/>
                        <w:color w:val="000000"/>
                        <w:szCs w:val="24"/>
                        <w:lang w:eastAsia="lt-LT"/>
                      </w:rPr>
                      <w:t xml:space="preserve">Laidojimo Šiaulių miesto kapinėse, kapinių tvarkymo ir lankymo tvarkos aprašą (toliau – Aprašas), </w:t>
                    </w:r>
                    <w:r>
                      <w:rPr>
                        <w:szCs w:val="24"/>
                        <w:lang w:eastAsia="lt-LT"/>
                      </w:rPr>
                      <w:t xml:space="preserve">vadovaujantis Lietuvos Respublikos vietos savivaldos </w:t>
                    </w:r>
                    <w:r>
                      <w:rPr>
                        <w:color w:val="000000"/>
                        <w:szCs w:val="24"/>
                        <w:lang w:eastAsia="lt-LT"/>
                      </w:rPr>
                      <w:t>įstatymo 6 straipsnio 41 punktu, 15 straipsnio 2 dalies 28 punktu bei įvertinus žmonių laidojimą reglamentuojančių LR teisės aktų pasikeitimus.</w:t>
                    </w:r>
                  </w:p>
                </w:tc>
              </w:tr>
              <w:tr>
                <w:tc>
                  <w:tcPr>
                    <w:tcW w:w="10204" w:type="dxa"/>
                    <w:shd w:val="clear" w:color="auto" w:fill="auto"/>
                  </w:tcPr>
                  <w:p>
                    <w:pPr>
                      <w:suppressAutoHyphens/>
                      <w:snapToGrid w:val="0"/>
                      <w:ind w:firstLine="806"/>
                      <w:jc w:val="both"/>
                      <w:rPr>
                        <w:b/>
                        <w:szCs w:val="24"/>
                        <w:lang w:eastAsia="ar-SA"/>
                      </w:rPr>
                    </w:pPr>
                    <w:r>
                      <w:rPr>
                        <w:rFonts w:eastAsia="Lucida Sans Unicode"/>
                        <w:b/>
                        <w:shd w:val="clear" w:color="auto" w:fill="FFFFFF"/>
                        <w:lang w:eastAsia="ar-SA"/>
                      </w:rPr>
                      <w:t xml:space="preserve">Dabartinis sprendimo projekte aptariamų klausimų reguliavimas. </w:t>
                    </w:r>
                  </w:p>
                </w:tc>
              </w:tr>
              <w:tr>
                <w:tc>
                  <w:tcPr>
                    <w:tcW w:w="10204" w:type="dxa"/>
                    <w:shd w:val="clear" w:color="auto" w:fill="auto"/>
                  </w:tcPr>
                  <w:p>
                    <w:pPr>
                      <w:suppressAutoHyphens/>
                      <w:ind w:firstLine="744"/>
                      <w:jc w:val="both"/>
                      <w:rPr>
                        <w:szCs w:val="24"/>
                        <w:lang w:eastAsia="ar-SA"/>
                      </w:rPr>
                    </w:pPr>
                    <w:r>
                      <w:rPr>
                        <w:rFonts w:eastAsia="Lucida Sans Unicode"/>
                        <w:shd w:val="clear" w:color="auto" w:fill="FFFFFF"/>
                        <w:lang w:eastAsia="ar-SA"/>
                      </w:rPr>
                      <w:t xml:space="preserve">Dabar galioja Šiaulių miesto savivaldybės tarybos 2023 m. birželio 8 d. sprendimo </w:t>
                    </w:r>
                    <w:r>
                      <w:rPr>
                        <w:bCs/>
                        <w:color w:val="000000"/>
                        <w:szCs w:val="24"/>
                        <w:lang w:eastAsia="lt-LT"/>
                      </w:rPr>
                      <w:t>Nr. T-264 „Dėl laidojimo Šiaulių miesto kapinėse, kapinių tvarkymo ir lankymo tvarkos aprašo patvirtinimo“ aktuali redakcija.</w:t>
                    </w:r>
                  </w:p>
                </w:tc>
              </w:tr>
              <w:tr>
                <w:tc>
                  <w:tcPr>
                    <w:tcW w:w="10204" w:type="dxa"/>
                    <w:shd w:val="clear" w:color="auto" w:fill="auto"/>
                  </w:tcPr>
                  <w:p>
                    <w:pPr>
                      <w:widowControl w:val="0"/>
                      <w:suppressLineNumbers/>
                      <w:suppressAutoHyphens/>
                      <w:snapToGrid w:val="0"/>
                      <w:ind w:right="83" w:firstLine="744"/>
                      <w:jc w:val="both"/>
                      <w:rPr>
                        <w:rFonts w:eastAsia="Lucida Sans Unicode"/>
                        <w:i/>
                        <w:shd w:val="clear" w:color="auto" w:fill="FFFFFF"/>
                        <w:lang w:eastAsia="ar-SA"/>
                      </w:rPr>
                    </w:pPr>
                    <w:r>
                      <w:rPr>
                        <w:rFonts w:eastAsia="Lucida Sans Unicode"/>
                        <w:b/>
                        <w:shd w:val="clear" w:color="auto" w:fill="FFFFFF"/>
                        <w:lang w:eastAsia="ar-SA"/>
                      </w:rPr>
                      <w:t>Sprendimo projekte numatytos naujos teisinio reguliavimo nuostatos</w:t>
                    </w:r>
                    <w:r>
                      <w:rPr>
                        <w:rFonts w:eastAsia="Lucida Sans Unicode"/>
                        <w:i/>
                        <w:shd w:val="clear" w:color="auto" w:fill="FFFFFF"/>
                        <w:lang w:eastAsia="ar-SA"/>
                      </w:rPr>
                      <w:t>.</w:t>
                    </w:r>
                  </w:p>
                  <w:p>
                    <w:pPr>
                      <w:suppressAutoHyphens/>
                      <w:snapToGrid w:val="0"/>
                      <w:ind w:firstLine="700"/>
                      <w:jc w:val="both"/>
                      <w:rPr>
                        <w:rFonts w:cs="Tahoma"/>
                        <w:szCs w:val="24"/>
                        <w:shd w:val="clear" w:color="auto" w:fill="FFFFFF"/>
                        <w:lang w:eastAsia="lt-LT"/>
                      </w:rPr>
                    </w:pPr>
                    <w:r>
                      <w:rPr>
                        <w:szCs w:val="24"/>
                        <w:lang w:eastAsia="ar-SA"/>
                      </w:rPr>
                      <w:t xml:space="preserve">Aprašo </w:t>
                    </w:r>
                    <w:r>
                      <w:rPr>
                        <w:bCs/>
                        <w:color w:val="000000"/>
                        <w:szCs w:val="24"/>
                        <w:lang w:eastAsia="lt-LT"/>
                      </w:rPr>
                      <w:t>pakeitimų būtinybė atsirado</w:t>
                    </w:r>
                    <w:r>
                      <w:rPr>
                        <w:color w:val="000000"/>
                        <w:szCs w:val="24"/>
                        <w:lang w:eastAsia="lt-LT"/>
                      </w:rPr>
                      <w:t xml:space="preserve"> įgyvendinus Šiaulių miesto savivaldybės Ginkūnų kapinių, K. Donelaičio kapinių, senųjų miesto kapinių vad. Talšos kapinėmis, ir Daušiškių kapinių informacinę duomenų valdymo sistemą (toliau – KIS) bei atsiradus galimybei prašymus teikti ir leidimus gauti naudojantis KIS, kuri susieta su </w:t>
                    </w:r>
                    <w:r>
                      <w:rPr>
                        <w:i/>
                        <w:color w:val="000000"/>
                        <w:szCs w:val="24"/>
                        <w:lang w:eastAsia="lt-LT"/>
                      </w:rPr>
                      <w:t>epaslaugos.lt.</w:t>
                    </w:r>
                    <w:r>
                      <w:rPr>
                        <w:color w:val="000000"/>
                        <w:szCs w:val="24"/>
                        <w:lang w:eastAsia="lt-LT"/>
                      </w:rPr>
                      <w:t xml:space="preserve"> KIS gyventojams atsirado galimybė rasti dominančio asmens kapavietę, matyti joje palaidotų žmonių vardus, pavardes, gimimo ir mirties datas, pamatyti kapaviečių nuotraukas, pasinaudoti galimybe nuotraukas atnaujinti po kapaviečių rekonstrukcijos. Kapinių administratoriui ir Šiaulių miesto savivaldybės administracijos atsakingiems specialistams yra prieinami duomenys apie kiekvieną dieną pildomus </w:t>
                    </w:r>
                    <w:r>
                      <w:rPr>
                        <w:rFonts w:cs="Tahoma"/>
                        <w:szCs w:val="24"/>
                        <w:shd w:val="clear" w:color="auto" w:fill="FFFFFF"/>
                        <w:lang w:eastAsia="lt-LT"/>
                      </w:rPr>
                      <w:t>Laidojimų ir kapaviečių statinių registravimo žurnalus, atsirado galimybė pasirašyti Leidimus laidoti, registruoti kapavietes prižiūrinčius asmenis, teikti ir gauti įvairius dokumentus elektroniniu būdu.</w:t>
                    </w:r>
                  </w:p>
                  <w:p>
                    <w:pPr>
                      <w:suppressAutoHyphens/>
                      <w:snapToGrid w:val="0"/>
                      <w:ind w:firstLine="762"/>
                      <w:jc w:val="both"/>
                      <w:rPr>
                        <w:rFonts w:eastAsia="Lucida Sans Unicode"/>
                        <w:shd w:val="clear" w:color="auto" w:fill="FFFFFF"/>
                        <w:lang w:eastAsia="ar-SA"/>
                      </w:rPr>
                    </w:pPr>
                    <w:r>
                      <w:rPr>
                        <w:color w:val="000000"/>
                        <w:szCs w:val="24"/>
                        <w:lang w:eastAsia="lt-LT"/>
                      </w:rPr>
                      <w:t>Taip pat, vadovaujantis Lietuvos Respublikos Šiaulių miesto valdybos 1996 m. gegužės 1</w:t>
                    </w:r>
                    <w:r>
                      <w:rPr>
                        <w:rFonts w:eastAsia="Lucida Sans Unicode"/>
                        <w:shd w:val="clear" w:color="auto" w:fill="FFFFFF"/>
                        <w:lang w:eastAsia="ar-SA"/>
                      </w:rPr>
                      <w:t xml:space="preserve">3 d. sprendimu Nr. 213 „Dėl vietos skyrimo politiniams kaliniams ir tremtiniams laidoti Ginkūnų kapinėse“ ir esant Lietuvos politinių kalinių ir tremtinių sąjungos Šiaulių skyriaus prašymui, Apraše reglamentuota </w:t>
                    </w:r>
                    <w:r>
                      <w:rPr>
                        <w:szCs w:val="24"/>
                        <w:lang w:eastAsia="lt-LT"/>
                      </w:rPr>
                      <w:t xml:space="preserve"> politiniams kaliniams ir tremtiniams skirtų kvartaluose esančių kapaviečių ir kolumbariumo nišų skyrimo ir </w:t>
                    </w:r>
                    <w:r>
                      <w:rPr>
                        <w:rFonts w:eastAsia="Lucida Sans Unicode"/>
                        <w:shd w:val="clear" w:color="auto" w:fill="FFFFFF"/>
                        <w:lang w:eastAsia="ar-SA"/>
                      </w:rPr>
                      <w:t xml:space="preserve">priežiūros tvarka.  </w:t>
                    </w:r>
                  </w:p>
                  <w:p>
                    <w:pPr>
                      <w:suppressAutoHyphens/>
                      <w:snapToGrid w:val="0"/>
                      <w:ind w:firstLine="700"/>
                      <w:jc w:val="both"/>
                      <w:rPr>
                        <w:rFonts w:eastAsia="Lucida Sans Unicode"/>
                        <w:shd w:val="clear" w:color="auto" w:fill="FFFFFF"/>
                        <w:lang w:eastAsia="ar-SA"/>
                      </w:rPr>
                    </w:pPr>
                    <w:r>
                      <w:rPr>
                        <w:rFonts w:eastAsia="Lucida Sans Unicode"/>
                        <w:shd w:val="clear" w:color="auto" w:fill="FFFFFF"/>
                        <w:lang w:eastAsia="ar-SA"/>
                      </w:rPr>
                      <w:t>Įvertinus paskutinius Lietuvos Respublikos teisės aktus, kuriais savivaldybių lėšomis įrengti kolumbariumai privalo būti skiriami nemokamai, siekiant užtikrinti racionalų ir tikslinį lėšų panaudojimą, Apraše numatyta, jog leidimai kolumbariumo nišoms bus suteikiami tik tuo atveju, jei laidojamo ar laidojančio asmens gyvenamoji vieta bus deklaruota Šiaulių miesto savivaldybėje.</w:t>
                    </w:r>
                  </w:p>
                  <w:p>
                    <w:pPr>
                      <w:suppressAutoHyphens/>
                      <w:snapToGrid w:val="0"/>
                      <w:ind w:firstLine="700"/>
                      <w:jc w:val="both"/>
                      <w:rPr>
                        <w:rFonts w:eastAsia="Lucida Sans Unicode"/>
                        <w:shd w:val="clear" w:color="auto" w:fill="FFFFFF"/>
                        <w:lang w:eastAsia="ar-SA"/>
                      </w:rPr>
                    </w:pPr>
                    <w:r>
                      <w:rPr>
                        <w:rFonts w:eastAsia="Lucida Sans Unicode"/>
                        <w:shd w:val="clear" w:color="auto" w:fill="FFFFFF"/>
                        <w:lang w:eastAsia="ar-SA"/>
                      </w:rPr>
                      <w:t xml:space="preserve">Detaliau reglamentuota tvarka dėl savavališkai įrengtų statinių/įrenginių už kapavietės ribų. Numatyta, jog įrenginiai (suoliukai, žvakidės, borteliai ir pan.) po įspėjimo nesusitvarkius, bus išardomi ir pašalinami. </w:t>
                    </w:r>
                  </w:p>
                  <w:p>
                    <w:pPr>
                      <w:suppressAutoHyphens/>
                      <w:snapToGrid w:val="0"/>
                      <w:ind w:firstLine="700"/>
                      <w:jc w:val="both"/>
                      <w:rPr>
                        <w:rFonts w:eastAsia="Lucida Sans Unicode"/>
                        <w:shd w:val="clear" w:color="auto" w:fill="FFFFFF"/>
                        <w:lang w:eastAsia="ar-SA"/>
                      </w:rPr>
                    </w:pPr>
                    <w:r>
                      <w:rPr>
                        <w:rFonts w:eastAsia="Lucida Sans Unicode"/>
                        <w:shd w:val="clear" w:color="auto" w:fill="FFFFFF"/>
                        <w:lang w:eastAsia="ar-SA"/>
                      </w:rPr>
                      <w:t>Aprašas papildomas naujais punktais: 8, 9, 28, 29, 30; patikslinami punktai: 2, 5, 6, 7, 10, 11, 22, 33, 34, 41, 43, 45, 51,72 (nauja redakcija). Keičiasi aprašo numeracija.</w:t>
                    </w:r>
                  </w:p>
                  <w:p>
                    <w:pPr>
                      <w:suppressAutoHyphens/>
                      <w:snapToGrid w:val="0"/>
                      <w:ind w:firstLine="700"/>
                      <w:jc w:val="both"/>
                      <w:rPr>
                        <w:szCs w:val="24"/>
                        <w:lang w:eastAsia="lt-LT"/>
                      </w:rPr>
                    </w:pPr>
                  </w:p>
                </w:tc>
              </w:tr>
              <w:tr>
                <w:trPr>
                  <w:trHeight w:val="102"/>
                </w:trPr>
                <w:tc>
                  <w:tcPr>
                    <w:tcW w:w="10204" w:type="dxa"/>
                    <w:shd w:val="clear" w:color="auto" w:fill="auto"/>
                  </w:tcPr>
                  <w:p>
                    <w:pPr>
                      <w:tabs>
                        <w:tab w:val="left" w:pos="0"/>
                      </w:tabs>
                      <w:suppressAutoHyphens/>
                      <w:ind w:firstLine="682"/>
                      <w:jc w:val="both"/>
                      <w:rPr>
                        <w:b/>
                        <w:szCs w:val="24"/>
                        <w:shd w:val="clear" w:color="auto" w:fill="FFFFFF"/>
                        <w:lang w:eastAsia="ar-SA"/>
                      </w:rPr>
                    </w:pPr>
                    <w:r>
                      <w:rPr>
                        <w:b/>
                        <w:szCs w:val="24"/>
                        <w:shd w:val="clear" w:color="auto" w:fill="FFFFFF"/>
                        <w:lang w:eastAsia="ar-SA"/>
                      </w:rPr>
                      <w:t>Priėmus sprendimą, galimos pasekmės (teigiamos, neigiamos).</w:t>
                    </w:r>
                  </w:p>
                </w:tc>
              </w:tr>
              <w:tr>
                <w:tc>
                  <w:tcPr>
                    <w:tcW w:w="10204" w:type="dxa"/>
                    <w:shd w:val="clear" w:color="auto" w:fill="auto"/>
                  </w:tcPr>
                  <w:p>
                    <w:pPr>
                      <w:widowControl w:val="0"/>
                      <w:suppressLineNumbers/>
                      <w:suppressAutoHyphens/>
                      <w:snapToGrid w:val="0"/>
                      <w:ind w:right="83" w:firstLine="744"/>
                      <w:jc w:val="both"/>
                      <w:rPr>
                        <w:rFonts w:eastAsia="Lucida Sans Unicode"/>
                        <w:lang w:eastAsia="ar-SA"/>
                      </w:rPr>
                    </w:pPr>
                    <w:r>
                      <w:rPr>
                        <w:rFonts w:eastAsia="Lucida Sans Unicode"/>
                        <w:shd w:val="clear" w:color="auto" w:fill="FFFFFF"/>
                        <w:lang w:eastAsia="ar-SA"/>
                      </w:rPr>
                      <w:t xml:space="preserve">Teigiamos pasekmės: </w:t>
                    </w:r>
                    <w:r>
                      <w:rPr>
                        <w:rFonts w:eastAsia="Lucida Sans Unicode"/>
                        <w:lang w:eastAsia="ar-SA"/>
                      </w:rPr>
                      <w:t>galimybė miesto gyventojams gauti aiškią ir tikslią informaciją. Aprašo pakeitimai suteikia didesnes galimybes kolumbariumu pasinaudoti Šiaulių miesto gyventojams.</w:t>
                    </w:r>
                  </w:p>
                </w:tc>
              </w:tr>
              <w:tr>
                <w:tc>
                  <w:tcPr>
                    <w:tcW w:w="10204" w:type="dxa"/>
                    <w:shd w:val="clear" w:color="auto" w:fill="auto"/>
                  </w:tcPr>
                  <w:p>
                    <w:pPr>
                      <w:suppressAutoHyphens/>
                      <w:snapToGrid w:val="0"/>
                      <w:ind w:firstLine="720"/>
                      <w:jc w:val="both"/>
                      <w:rPr>
                        <w:szCs w:val="24"/>
                        <w:lang w:eastAsia="ar-SA"/>
                      </w:rPr>
                    </w:pPr>
                    <w:r>
                      <w:rPr>
                        <w:szCs w:val="24"/>
                        <w:lang w:eastAsia="ar-SA"/>
                      </w:rPr>
                      <w:t>Neigiamos pasekmės: kolumbariumu nebegalės pasinaudoti ne Šiaulių miesto gyventojai.</w:t>
                    </w:r>
                  </w:p>
                </w:tc>
              </w:tr>
              <w:tr>
                <w:tc>
                  <w:tcPr>
                    <w:tcW w:w="10204" w:type="dxa"/>
                    <w:shd w:val="clear" w:color="auto" w:fill="auto"/>
                  </w:tcPr>
                  <w:p>
                    <w:pPr>
                      <w:widowControl w:val="0"/>
                      <w:suppressLineNumbers/>
                      <w:suppressAutoHyphens/>
                      <w:snapToGrid w:val="0"/>
                      <w:ind w:right="83" w:firstLine="744"/>
                      <w:jc w:val="both"/>
                      <w:rPr>
                        <w:rFonts w:eastAsia="Lucida Sans Unicode"/>
                        <w:shd w:val="clear" w:color="auto" w:fill="FFFFFF"/>
                        <w:lang w:eastAsia="ar-SA"/>
                      </w:rPr>
                    </w:pPr>
                    <w:r>
                      <w:rPr>
                        <w:rFonts w:eastAsia="Lucida Sans Unicode"/>
                        <w:shd w:val="clear" w:color="auto" w:fill="FFFFFF"/>
                        <w:lang w:eastAsia="ar-SA"/>
                      </w:rPr>
                      <w:t>Priėmus sprendimą, kiti teisės aktai nekeičiami ir nenaikinami.</w:t>
                    </w:r>
                  </w:p>
                  <w:p>
                    <w:pPr>
                      <w:widowControl w:val="0"/>
                      <w:suppressLineNumbers/>
                      <w:suppressAutoHyphens/>
                      <w:snapToGrid w:val="0"/>
                      <w:ind w:right="83" w:firstLine="744"/>
                      <w:jc w:val="both"/>
                      <w:rPr>
                        <w:rFonts w:eastAsia="Lucida Sans Unicode"/>
                        <w:lang w:eastAsia="ar-SA"/>
                      </w:rPr>
                    </w:pPr>
                    <w:r>
                      <w:rPr>
                        <w:rFonts w:eastAsia="Lucida Sans Unicode"/>
                        <w:b/>
                        <w:shd w:val="clear" w:color="auto" w:fill="FFFFFF"/>
                        <w:lang w:eastAsia="ar-SA"/>
                      </w:rPr>
                      <w:t>Sprendimui įgyvendinti reikalingi priimti papildomi teisės aktai</w:t>
                    </w:r>
                    <w:r>
                      <w:rPr>
                        <w:rFonts w:eastAsia="Lucida Sans Unicode"/>
                        <w:i/>
                        <w:shd w:val="clear" w:color="auto" w:fill="FFFFFF"/>
                        <w:lang w:eastAsia="ar-SA"/>
                      </w:rPr>
                      <w:t>.</w:t>
                    </w:r>
                  </w:p>
                </w:tc>
              </w:tr>
              <w:tr>
                <w:tc>
                  <w:tcPr>
                    <w:tcW w:w="10204" w:type="dxa"/>
                    <w:shd w:val="clear" w:color="auto" w:fill="auto"/>
                  </w:tcPr>
                  <w:p>
                    <w:pPr>
                      <w:widowControl w:val="0"/>
                      <w:suppressLineNumbers/>
                      <w:suppressAutoHyphens/>
                      <w:snapToGrid w:val="0"/>
                      <w:ind w:firstLine="806"/>
                      <w:jc w:val="both"/>
                      <w:rPr>
                        <w:rFonts w:eastAsia="Lucida Sans Unicode"/>
                        <w:lang w:eastAsia="ar-SA"/>
                      </w:rPr>
                    </w:pPr>
                    <w:r>
                      <w:rPr>
                        <w:rFonts w:eastAsia="Lucida Sans Unicode"/>
                        <w:lang w:eastAsia="ar-SA"/>
                      </w:rPr>
                      <w:t>Sprendimui įgyvendinti priimti papildomų teisės aktų nereikės.</w:t>
                    </w:r>
                  </w:p>
                </w:tc>
              </w:tr>
              <w:tr>
                <w:tc>
                  <w:tcPr>
                    <w:tcW w:w="10204" w:type="dxa"/>
                    <w:shd w:val="clear" w:color="auto" w:fill="auto"/>
                  </w:tcPr>
                  <w:p>
                    <w:pPr>
                      <w:widowControl w:val="0"/>
                      <w:suppressLineNumbers/>
                      <w:suppressAutoHyphens/>
                      <w:snapToGrid w:val="0"/>
                      <w:ind w:right="83" w:firstLine="744"/>
                      <w:jc w:val="both"/>
                      <w:rPr>
                        <w:rFonts w:eastAsia="Lucida Sans Unicode"/>
                        <w:b/>
                        <w:lang w:eastAsia="ar-SA"/>
                      </w:rPr>
                    </w:pPr>
                    <w:r>
                      <w:rPr>
                        <w:rFonts w:eastAsia="Lucida Sans Unicode"/>
                        <w:b/>
                        <w:shd w:val="clear" w:color="auto" w:fill="FFFFFF"/>
                        <w:lang w:eastAsia="ar-SA"/>
                      </w:rPr>
                      <w:t>Sprendimui įgyvendinti reikalingos lėšos.</w:t>
                    </w:r>
                  </w:p>
                </w:tc>
              </w:tr>
              <w:tr>
                <w:tc>
                  <w:tcPr>
                    <w:tcW w:w="10204" w:type="dxa"/>
                    <w:shd w:val="clear" w:color="auto" w:fill="auto"/>
                  </w:tcPr>
                  <w:p>
                    <w:pPr>
                      <w:suppressAutoHyphens/>
                      <w:snapToGrid w:val="0"/>
                      <w:ind w:firstLine="806"/>
                      <w:jc w:val="both"/>
                      <w:rPr>
                        <w:b/>
                        <w:szCs w:val="24"/>
                        <w:lang w:eastAsia="ar-SA"/>
                      </w:rPr>
                    </w:pPr>
                    <w:r>
                      <w:rPr>
                        <w:rFonts w:eastAsia="Lucida Sans Unicode"/>
                        <w:shd w:val="clear" w:color="auto" w:fill="FFFFFF"/>
                        <w:lang w:eastAsia="ar-SA"/>
                      </w:rPr>
                      <w:t xml:space="preserve">Sprendimui įgyvendinti lėšos nereikalingos. </w:t>
                    </w:r>
                  </w:p>
                  <w:p>
                    <w:pPr>
                      <w:suppressAutoHyphens/>
                      <w:snapToGrid w:val="0"/>
                      <w:ind w:firstLine="720"/>
                      <w:jc w:val="both"/>
                      <w:rPr>
                        <w:b/>
                        <w:szCs w:val="24"/>
                        <w:lang w:eastAsia="ar-SA"/>
                      </w:rPr>
                    </w:pPr>
                    <w:r>
                      <w:rPr>
                        <w:b/>
                        <w:szCs w:val="24"/>
                        <w:lang w:eastAsia="ar-SA"/>
                      </w:rPr>
                      <w:t>Sprendimo projekto antikorupcinis vertinimas.</w:t>
                    </w:r>
                  </w:p>
                  <w:p>
                    <w:pPr>
                      <w:suppressAutoHyphens/>
                      <w:snapToGrid w:val="0"/>
                      <w:ind w:firstLine="806"/>
                      <w:jc w:val="both"/>
                      <w:rPr>
                        <w:szCs w:val="24"/>
                        <w:lang w:eastAsia="ar-SA"/>
                      </w:rPr>
                    </w:pPr>
                    <w:r>
                      <w:rPr>
                        <w:szCs w:val="24"/>
                        <w:lang w:eastAsia="ar-SA"/>
                      </w:rPr>
                      <w:t>Pridedama antikorupcinio vertinimo pažyma.</w:t>
                    </w:r>
                  </w:p>
                </w:tc>
              </w:tr>
              <w:tr>
                <w:tc>
                  <w:tcPr>
                    <w:tcW w:w="10204" w:type="dxa"/>
                    <w:shd w:val="clear" w:color="auto" w:fill="auto"/>
                  </w:tcPr>
                  <w:p>
                    <w:pPr>
                      <w:widowControl w:val="0"/>
                      <w:suppressLineNumbers/>
                      <w:suppressAutoHyphens/>
                      <w:snapToGrid w:val="0"/>
                      <w:ind w:right="85" w:firstLine="806"/>
                      <w:jc w:val="both"/>
                      <w:rPr>
                        <w:rFonts w:eastAsia="Lucida Sans Unicode"/>
                        <w:b/>
                        <w:shd w:val="clear" w:color="auto" w:fill="FFFFFF"/>
                        <w:lang w:eastAsia="ar-SA"/>
                      </w:rPr>
                    </w:pPr>
                    <w:r>
                      <w:rPr>
                        <w:rFonts w:eastAsia="Lucida Sans Unicode"/>
                        <w:b/>
                        <w:shd w:val="clear" w:color="auto" w:fill="FFFFFF"/>
                        <w:lang w:eastAsia="ar-SA"/>
                      </w:rPr>
                      <w:t>Sprendimo projektą parengė:</w:t>
                    </w:r>
                  </w:p>
                  <w:p>
                    <w:pPr>
                      <w:tabs>
                        <w:tab w:val="left" w:pos="855"/>
                      </w:tabs>
                      <w:suppressAutoHyphens/>
                      <w:ind w:firstLine="868"/>
                      <w:jc w:val="both"/>
                      <w:rPr>
                        <w:szCs w:val="24"/>
                        <w:shd w:val="clear" w:color="auto" w:fill="FFFFFF"/>
                        <w:lang w:eastAsia="ar-SA"/>
                      </w:rPr>
                    </w:pPr>
                    <w:r>
                      <w:rPr>
                        <w:szCs w:val="24"/>
                        <w:shd w:val="clear" w:color="auto" w:fill="FFFFFF"/>
                        <w:lang w:eastAsia="ar-SA"/>
                      </w:rPr>
                      <w:t>Šiaulių miesto savivaldybės administracijos, Miesto ūkio ir aplinkos skyrius. Tiesioginis rengėjas – Miesto ūkio ir aplinkos skyriaus Aplinkosaugos ir miesto tvarkymo poskyrio vyr. specialistė Danutė Mažulienė, tel. +370 41 596 281. Projekto iniciatorius: Miesto ūkio ir aplinkos skyrius.</w:t>
                    </w:r>
                  </w:p>
                  <w:p>
                    <w:pPr>
                      <w:suppressAutoHyphens/>
                      <w:spacing w:line="100" w:lineRule="atLeast"/>
                      <w:ind w:firstLine="700"/>
                      <w:jc w:val="both"/>
                      <w:rPr>
                        <w:rFonts w:eastAsia="Calibri"/>
                        <w:b/>
                        <w:szCs w:val="24"/>
                        <w:lang w:eastAsia="ar-SA"/>
                      </w:rPr>
                    </w:pPr>
                    <w:r>
                      <w:rPr>
                        <w:b/>
                        <w:szCs w:val="24"/>
                        <w:shd w:val="clear" w:color="auto" w:fill="FFFFFF"/>
                        <w:lang w:eastAsia="ar-SA"/>
                      </w:rPr>
                      <w:t>N</w:t>
                    </w:r>
                    <w:r>
                      <w:rPr>
                        <w:rFonts w:eastAsia="Calibri"/>
                        <w:b/>
                        <w:szCs w:val="24"/>
                        <w:lang w:eastAsia="ar-SA"/>
                      </w:rPr>
                      <w:t>umatomo teisinio reguliavimo poveikio vertinimo rezultatai.</w:t>
                    </w:r>
                  </w:p>
                  <w:p>
                    <w:pPr>
                      <w:suppressAutoHyphens/>
                      <w:spacing w:line="100" w:lineRule="atLeast"/>
                      <w:ind w:firstLine="700"/>
                      <w:jc w:val="both"/>
                      <w:rPr>
                        <w:szCs w:val="24"/>
                        <w:lang w:eastAsia="ar-SA"/>
                      </w:rPr>
                    </w:pPr>
                    <w:r>
                      <w:rPr>
                        <w:szCs w:val="24"/>
                        <w:lang w:eastAsia="ar-SA"/>
                      </w:rPr>
                      <w:t>Teisinio reguliavimo poveikio vertinimas neatliekamas.</w:t>
                    </w:r>
                  </w:p>
                </w:tc>
              </w:tr>
              <w:tr>
                <w:trPr>
                  <w:trHeight w:val="155"/>
                </w:trPr>
                <w:tc>
                  <w:tcPr>
                    <w:tcW w:w="10204" w:type="dxa"/>
                    <w:shd w:val="clear" w:color="auto" w:fill="auto"/>
                  </w:tcPr>
                  <w:p>
                    <w:pPr>
                      <w:widowControl w:val="0"/>
                      <w:suppressLineNumbers/>
                      <w:suppressAutoHyphens/>
                      <w:snapToGrid w:val="0"/>
                      <w:ind w:right="85" w:firstLine="806"/>
                      <w:jc w:val="both"/>
                      <w:rPr>
                        <w:rFonts w:eastAsia="Lucida Sans Unicode"/>
                        <w:lang w:eastAsia="ar-SA"/>
                      </w:rPr>
                    </w:pPr>
                  </w:p>
                </w:tc>
              </w:tr>
              <w:tr>
                <w:trPr>
                  <w:trHeight w:val="155"/>
                </w:trPr>
                <w:tc>
                  <w:tcPr>
                    <w:tcW w:w="10204" w:type="dxa"/>
                    <w:shd w:val="clear" w:color="auto" w:fill="auto"/>
                  </w:tcPr>
                  <w:p>
                    <w:pPr>
                      <w:suppressAutoHyphens/>
                      <w:snapToGrid w:val="0"/>
                      <w:ind w:firstLine="700"/>
                      <w:jc w:val="both"/>
                      <w:rPr>
                        <w:strike/>
                        <w:szCs w:val="24"/>
                        <w:lang w:eastAsia="ar-SA"/>
                      </w:rPr>
                    </w:pPr>
                  </w:p>
                </w:tc>
              </w:tr>
            </w:tbl>
            <w:p>
              <w:pPr>
                <w:widowControl w:val="0"/>
                <w:suppressAutoHyphens/>
                <w:ind w:right="-108"/>
                <w:jc w:val="both"/>
                <w:rPr>
                  <w:rFonts w:eastAsia="Lucida Sans Unicode"/>
                  <w:sz w:val="22"/>
                  <w:lang w:eastAsia="ar-SA"/>
                </w:rPr>
              </w:pPr>
            </w:p>
            <w:p>
              <w:pPr>
                <w:widowControl w:val="0"/>
                <w:suppressAutoHyphens/>
                <w:ind w:right="-108"/>
                <w:jc w:val="both"/>
                <w:rPr>
                  <w:rFonts w:eastAsia="Lucida Sans Unicode"/>
                  <w:sz w:val="22"/>
                  <w:shd w:val="clear" w:color="auto" w:fill="FFFFFF"/>
                  <w:lang w:eastAsia="ar-SA"/>
                </w:rPr>
              </w:pPr>
            </w:p>
          </w:sdtContent>
        </w:sdt>
        <w:sdt>
          <w:sdtPr>
            <w:alias w:val="signatura"/>
            <w:tag w:val="part_40ea2183583841a99d1f22f4d4036dca"/>
            <w:lock w:val="sdtLocked"/>
            <w:richText/>
          </w:sdtPr>
          <w:sdtContent>
            <w:p>
              <w:pPr>
                <w:suppressAutoHyphens/>
                <w:jc w:val="both"/>
                <w:rPr>
                  <w:szCs w:val="24"/>
                  <w:shd w:val="clear" w:color="auto" w:fill="FFFFFF"/>
                  <w:lang w:eastAsia="ar-SA"/>
                </w:rPr>
              </w:pPr>
              <w:r>
                <w:rPr>
                  <w:szCs w:val="24"/>
                  <w:lang w:eastAsia="ar-SA"/>
                </w:rPr>
                <w:t>Miesto ūkio ir aplinkos skyriaus vedėja</w:t>
                <w:tab/>
                <w:tab/>
                <w:tab/>
                <w:t>Eglė Bružienė</w:t>
              </w:r>
            </w:p>
            <w:p>
              <w:pPr>
                <w:widowControl w:val="0"/>
                <w:suppressAutoHyphens/>
                <w:ind w:right="-108" w:firstLine="4320"/>
                <w:jc w:val="both"/>
                <w:rPr>
                  <w:rFonts w:eastAsia="Lucida Sans Unicode"/>
                  <w:sz w:val="22"/>
                  <w:lang w:eastAsia="ar-SA"/>
                </w:rPr>
              </w:pPr>
            </w:p>
            <w:p>
              <w:pPr>
                <w:widowControl w:val="0"/>
                <w:suppressAutoHyphens/>
                <w:ind w:right="-108" w:firstLine="720"/>
                <w:jc w:val="both"/>
                <w:rPr>
                  <w:rFonts w:eastAsia="Lucida Sans Unicode"/>
                  <w:sz w:val="22"/>
                  <w:lang w:eastAsia="ar-SA"/>
                </w:rPr>
              </w:pPr>
            </w:p>
            <w:p>
              <w:pPr>
                <w:widowControl w:val="0"/>
                <w:jc w:val="center"/>
                <w:rPr>
                  <w:rFonts w:eastAsia="Lucida Sans Unicode"/>
                  <w:sz w:val="28"/>
                  <w:szCs w:val="28"/>
                  <w:shd w:val="clear" w:color="auto" w:fill="FFFFFF"/>
                  <w:lang w:eastAsia="ar-SA"/>
                </w:rPr>
              </w:pPr>
            </w:p>
          </w:sdtContent>
        </w:sdt>
      </w:sdtContent>
    </w:sdt>
    <w:sectPr>
      <w:headerReference w:type="default" r:id="rId6"/>
      <w:pgSz w:w="11906" w:h="16838"/>
      <w:pgMar w:top="1134" w:right="567" w:bottom="1134" w:left="1701" w:header="567" w:footer="567" w:gutter="0"/>
      <w:pgNumType w:start="1"/>
      <w:cols w:space="1296"/>
      <w:docGrid w:linePitch="600" w:charSpace="32768"/>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suppressAutoHyphens/>
        <w:rPr>
          <w:szCs w:val="24"/>
          <w:lang w:eastAsia="ar-SA"/>
        </w:rPr>
      </w:pPr>
      <w:r>
        <w:rPr>
          <w:szCs w:val="24"/>
          <w:lang w:eastAsia="ar-SA"/>
        </w:rPr>
        <w:separator/>
      </w:r>
    </w:p>
  </w:endnote>
  <w:endnote w:type="continuationSeparator" w:id="0">
    <w:p>
      <w:pPr>
        <w:suppressAutoHyphens/>
        <w:rPr>
          <w:szCs w:val="24"/>
          <w:lang w:eastAsia="ar-SA"/>
        </w:rPr>
      </w:pPr>
      <w:r>
        <w:rPr>
          <w:szCs w:val="24"/>
          <w:lang w:eastAsia="ar-SA"/>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suppressAutoHyphens/>
        <w:rPr>
          <w:szCs w:val="24"/>
          <w:lang w:eastAsia="ar-SA"/>
        </w:rPr>
      </w:pPr>
      <w:r>
        <w:rPr>
          <w:szCs w:val="24"/>
          <w:lang w:eastAsia="ar-SA"/>
        </w:rPr>
        <w:separator/>
      </w:r>
    </w:p>
  </w:footnote>
  <w:footnote w:type="continuationSeparator" w:id="0">
    <w:p>
      <w:pPr>
        <w:suppressAutoHyphens/>
        <w:rPr>
          <w:szCs w:val="24"/>
          <w:lang w:eastAsia="ar-SA"/>
        </w:rPr>
      </w:pPr>
      <w:r>
        <w:rPr>
          <w:szCs w:val="24"/>
          <w:lang w:eastAsia="ar-SA"/>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suppressAutoHyphens/>
      <w:jc w:val="center"/>
      <w:rPr>
        <w:szCs w:val="24"/>
        <w:lang w:eastAsia="ar-SA"/>
      </w:rPr>
    </w:pPr>
    <w:r>
      <w:rPr>
        <w:szCs w:val="24"/>
        <w:lang w:eastAsia="ar-SA"/>
      </w:rPr>
      <w:fldChar w:fldCharType="begin"/>
    </w:r>
    <w:r>
      <w:rPr>
        <w:szCs w:val="24"/>
        <w:lang w:eastAsia="ar-SA"/>
      </w:rPr>
      <w:instrText xml:space="preserve"> PAGE </w:instrText>
    </w:r>
    <w:r>
      <w:rPr>
        <w:szCs w:val="24"/>
        <w:lang w:eastAsia="ar-SA"/>
      </w:rPr>
      <w:fldChar w:fldCharType="separate"/>
    </w:r>
    <w:r>
      <w:rPr>
        <w:szCs w:val="24"/>
        <w:lang w:eastAsia="ar-SA"/>
      </w:rPr>
      <w:t>2</w:t>
    </w:r>
    <w:r>
      <w:rPr>
        <w:szCs w:val="24"/>
        <w:lang w:eastAsia="ar-SA"/>
      </w:rPr>
      <w:fldChar w:fldCharType="end"/>
    </w:r>
  </w:p>
  <w:p>
    <w:pPr>
      <w:tabs>
        <w:tab w:val="center" w:pos="4819"/>
        <w:tab w:val="right" w:pos="9638"/>
      </w:tabs>
      <w:suppressAutoHyphens/>
      <w:rPr>
        <w:szCs w:val="24"/>
        <w:lang w:eastAsia="ar-SA"/>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392"/>
  </w:rsids>
  <m:mathPr>
    <m:mathFont m:val="Cambria Math"/>
    <m:brkBin m:val="before"/>
    <m:brkBinSub m:val="--"/>
    <m:smallFrac m:val="0"/>
    <m:dispDef/>
    <m:lMargin m:val="0"/>
    <m:rMargin m:val="0"/>
    <m:defJc m:val="centerGroup"/>
    <m:wrapIndent m:val="1440"/>
    <m:intLim m:val="subSup"/>
    <m:naryLim m:val="undOvr"/>
  </m:mathPr>
  <w:themeFontLang w:val="en-US" w:eastAsia="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68C17F0-CBBB-460C-A084-939351EDBA7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fontTable" Target="fontTable.xml"/>
  <Relationship Id="rId8" Type="http://schemas.openxmlformats.org/officeDocument/2006/relationships/theme" Target="theme/theme1.xml"/>
  <Relationship Id="rId9"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e95f2a22fe545c1974c4d6a27e83370" PartId="af6fc58f427f425fb408098f712b9111">
    <Part Type="skyrius" Nr="999" Title="DĖL ŠIAULIŲ MIESTO SAVIVALDYBĖS TARYBOS 2023 M. BIRŽELIO 8 D. SPRENDIMO NR. T-264 „DĖL LAIDOJIMO ŠIAULIŲ MIESTO KAPINĖS, KAPINIŲ TVARKYMO IR LANKYMO TVARKOS APRAŠO PATVIRTINIMO“, PAKEITIMO AIŠKINAMASIS RAŠTAS" DocPartId="826165dd8f654d8ca5d8ca0d2a532130" PartId="52a4ba431b6843c79d983859858057c7"/>
    <Part Type="signatura" DocPartId="e17122a56d79427aa107a6f5f831ecb2" PartId="40ea2183583841a99d1f22f4d4036dca"/>
  </Part>
</Parts>
</file>

<file path=customXml/itemProps1.xml><?xml version="1.0" encoding="utf-8"?>
<ds:datastoreItem xmlns:ds="http://schemas.openxmlformats.org/officeDocument/2006/customXml" ds:itemID="{5F761A75-F6E0-46F3-A381-9659B61BCD7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525</Words>
  <Characters>3844</Characters>
  <Application>Microsoft Office Word</Application>
  <DocSecurity>4</DocSecurity>
  <Lines>71</Lines>
  <Paragraphs>36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4333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2024-08-14T06:59:00Z</dcterms:created>
  <dc:creator>Danutė Mažulienė</dc:creator>
  <lastModifiedBy>adlibuser</lastModifiedBy>
  <dcterms:modified xsi:type="dcterms:W3CDTF">2024-08-14T06:59:00Z</dcterms:modified>
  <revision>2</revision>
</coreProperties>
</file>