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6f19f90224b4a3d9492acb5b6b36f43"/>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1796"/>
          </w:tblGrid>
          <w:tr>
            <w:tc>
              <w:tcPr>
                <w:tcW w:w="9301"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45CE540F" wp14:editId="177B974C">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301"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b/>
                    <w:bCs/>
                    <w:szCs w:val="24"/>
                    <w:lang w:bidi="en-US"/>
                  </w:rPr>
                </w:pPr>
              </w:p>
              <w:p>
                <w:pPr>
                  <w:suppressLineNumbers/>
                  <w:jc w:val="both"/>
                  <w:rPr>
                    <w:rFonts w:eastAsia="Andale Sans UI" w:cs="Tahoma"/>
                    <w:b/>
                    <w:bCs/>
                    <w:spacing w:val="10"/>
                    <w:szCs w:val="24"/>
                    <w:lang w:bidi="en-US"/>
                  </w:rPr>
                </w:pPr>
              </w:p>
              <w:p>
                <w:pPr>
                  <w:suppressLineNumbers/>
                  <w:jc w:val="both"/>
                  <w:rPr>
                    <w:rFonts w:eastAsia="Andale Sans UI" w:cs="Tahoma"/>
                    <w:b/>
                    <w:bCs/>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1796"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pPr>
                  <w:jc w:val="both"/>
                  <w:rPr>
                    <w:rFonts w:eastAsia="Andale Sans UI" w:cs="Tahoma"/>
                    <w:b/>
                    <w:bCs/>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1796"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pPr>
                  <w:jc w:val="both"/>
                  <w:rPr>
                    <w:rFonts w:eastAsia="Andale Sans UI" w:cs="Tahoma"/>
                    <w:b/>
                    <w:bCs/>
                    <w:szCs w:val="24"/>
                    <w:lang w:bidi="en-US"/>
                  </w:rPr>
                </w:pPr>
              </w:p>
            </w:tc>
            <w:tc>
              <w:tcPr>
                <w:tcW w:w="4484"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301" w:type="dxa"/>
                <w:gridSpan w:val="5"/>
                <w:tcMar>
                  <w:top w:w="0" w:type="dxa"/>
                  <w:left w:w="0" w:type="dxa"/>
                  <w:bottom w:w="0" w:type="dxa"/>
                  <w:right w:w="0" w:type="dxa"/>
                </w:tcMar>
              </w:tcPr>
              <w:p>
                <w:pPr>
                  <w:rPr>
                    <w:sz w:val="8"/>
                    <w:szCs w:val="8"/>
                  </w:rPr>
                </w:pPr>
              </w:p>
              <w:p>
                <w:pPr>
                  <w:rPr>
                    <w:b/>
                    <w:bCs/>
                    <w:szCs w:val="24"/>
                    <w:lang w:eastAsia="lt-LT"/>
                  </w:rPr>
                </w:pPr>
                <w:r>
                  <w:rPr>
                    <w:b/>
                    <w:bCs/>
                    <w:szCs w:val="24"/>
                    <w:lang w:eastAsia="lt-LT"/>
                  </w:rPr>
                  <w:t>DĖL APLINKOS MINISTRO ĮSAKYMO PROJEKTO</w:t>
                </w:r>
              </w:p>
              <w:p>
                <w:pPr>
                  <w:rPr>
                    <w:sz w:val="8"/>
                    <w:szCs w:val="8"/>
                  </w:rPr>
                </w:pPr>
              </w:p>
              <w:p>
                <w:pPr>
                  <w:rPr>
                    <w:b/>
                    <w:bCs/>
                    <w:szCs w:val="24"/>
                    <w:lang w:eastAsia="lt-LT"/>
                  </w:rPr>
                </w:pPr>
              </w:p>
            </w:tc>
          </w:tr>
          <w:tr>
            <w:trPr>
              <w:trHeight w:val="340"/>
            </w:trPr>
            <w:tc>
              <w:tcPr>
                <w:tcW w:w="9301" w:type="dxa"/>
                <w:gridSpan w:val="5"/>
                <w:tcMar>
                  <w:top w:w="0" w:type="dxa"/>
                  <w:left w:w="0" w:type="dxa"/>
                  <w:bottom w:w="0" w:type="dxa"/>
                  <w:right w:w="0" w:type="dxa"/>
                </w:tcMar>
              </w:tcPr>
              <w:p>
                <w:pPr>
                  <w:ind w:firstLine="558"/>
                  <w:jc w:val="both"/>
                  <w:rPr>
                    <w:szCs w:val="24"/>
                    <w:lang w:eastAsia="lt-LT"/>
                  </w:rPr>
                </w:pPr>
                <w:r>
                  <w:rPr>
                    <w:szCs w:val="24"/>
                    <w:lang w:eastAsia="lt-LT"/>
                  </w:rPr>
                  <w:t xml:space="preserve">Aplinkos ministerija teikia išvadoms gauti Lietuvos Respublikos aplinkos ministro įsakymo „Dėl </w:t>
                </w:r>
                <w:r>
                  <w:rPr>
                    <w:rFonts w:eastAsia="Calibri"/>
                    <w:color w:val="000000"/>
                    <w:szCs w:val="24"/>
                    <w:shd w:val="clear" w:color="auto" w:fill="FFFFFF"/>
                    <w:lang w:eastAsia="lt-LT"/>
                  </w:rPr>
                  <w:t>Garantiniam geriamojo vandens tiekimo ir nuotekų tvarkymo paslaugų užtikrinimui mokamų įmokų</w:t>
                </w:r>
                <w:r>
                  <w:rPr>
                    <w:color w:val="000000"/>
                    <w:szCs w:val="24"/>
                    <w:lang w:eastAsia="lt-LT"/>
                  </w:rPr>
                  <w:t xml:space="preserve"> naudojimo tvarkos aprašo</w:t>
                </w:r>
                <w:r>
                  <w:rPr>
                    <w:szCs w:val="24"/>
                    <w:lang w:eastAsia="lt-LT"/>
                  </w:rPr>
                  <w:t>“ projektą (toliau – Įsakymo projektas).</w:t>
                </w:r>
              </w:p>
              <w:p>
                <w:pPr>
                  <w:ind w:firstLine="567"/>
                  <w:jc w:val="both"/>
                  <w:rPr>
                    <w:rFonts w:eastAsia="Andale Sans UI" w:cs="Tahoma"/>
                    <w:color w:val="000000"/>
                    <w:szCs w:val="24"/>
                    <w:shd w:val="clear" w:color="auto" w:fill="FFFFFF"/>
                    <w:lang w:bidi="en-US"/>
                  </w:rPr>
                </w:pPr>
                <w:r>
                  <w:rPr>
                    <w:rFonts w:eastAsia="Andale Sans UI" w:cs="Tahoma"/>
                    <w:color w:val="000000"/>
                    <w:szCs w:val="24"/>
                    <w:lang w:eastAsia="lt-LT" w:bidi="en-US"/>
                  </w:rPr>
                  <w:t>Teisinis pagrindas – </w:t>
                </w:r>
                <w:r>
                  <w:rPr>
                    <w:color w:val="000000"/>
                    <w:szCs w:val="24"/>
                    <w:shd w:val="clear" w:color="auto" w:fill="FFFFFF"/>
                    <w:lang w:eastAsia="zh-CN" w:bidi="en-US"/>
                  </w:rPr>
                  <w:t xml:space="preserve">Lietuvos Respublikos Vyriausybės </w:t>
                </w:r>
                <w:r>
                  <w:rPr>
                    <w:color w:val="000000"/>
                    <w:szCs w:val="24"/>
                    <w:shd w:val="clear" w:color="auto" w:fill="FFFFFF"/>
                    <w:lang w:val="en-US" w:eastAsia="zh-CN" w:bidi="en-US"/>
                  </w:rPr>
                  <w:t xml:space="preserve">2023 m. birželio 7 d. nutarimo Nr. 440 </w:t>
                </w:r>
                <w:r>
                  <w:rPr>
                    <w:rFonts w:eastAsia="Andale Sans UI"/>
                    <w:color w:val="000000"/>
                    <w:szCs w:val="24"/>
                    <w:shd w:val="clear" w:color="auto" w:fill="FFFFFF"/>
                    <w:lang w:bidi="en-US"/>
                  </w:rPr>
                  <w:t>„Dėl Geriamojo vandens tiekimo ir nuotekų tvarkymo įstatymo įgyvendinimo“ 1</w:t>
                </w:r>
                <w:r>
                  <w:rPr>
                    <w:rFonts w:eastAsia="Andale Sans UI"/>
                    <w:color w:val="000000"/>
                    <w:szCs w:val="24"/>
                    <w:shd w:val="clear" w:color="auto" w:fill="FFFFFF"/>
                    <w:vertAlign w:val="superscript"/>
                    <w:lang w:bidi="en-US"/>
                  </w:rPr>
                  <w:t>1</w:t>
                </w:r>
                <w:r>
                  <w:rPr>
                    <w:rFonts w:eastAsia="Andale Sans UI"/>
                    <w:color w:val="000000"/>
                    <w:szCs w:val="24"/>
                    <w:shd w:val="clear" w:color="auto" w:fill="FFFFFF"/>
                    <w:lang w:bidi="en-US"/>
                  </w:rPr>
                  <w:t xml:space="preserve"> punktas.</w:t>
                </w:r>
              </w:p>
              <w:p>
                <w:pPr>
                  <w:ind w:firstLine="567"/>
                  <w:jc w:val="both"/>
                  <w:rPr>
                    <w:rFonts w:eastAsia="Andale Sans UI" w:cs="Tahoma"/>
                    <w:color w:val="000000"/>
                    <w:szCs w:val="24"/>
                    <w:lang w:eastAsia="lt-LT" w:bidi="en-US"/>
                  </w:rPr>
                </w:pPr>
                <w:r>
                  <w:rPr>
                    <w:rFonts w:eastAsia="Andale Sans UI" w:cs="Tahoma"/>
                    <w:color w:val="000000"/>
                    <w:szCs w:val="24"/>
                    <w:shd w:val="clear" w:color="auto" w:fill="FFFFFF"/>
                    <w:lang w:bidi="en-US"/>
                  </w:rPr>
                  <w:t>Įsakymu siekiama pašalinti reguliavimo spragą</w:t>
                </w:r>
                <w:r>
                  <w:rPr>
                    <w:rFonts w:eastAsia="Andale Sans UI" w:cs="Tahoma"/>
                    <w:szCs w:val="24"/>
                    <w:lang w:bidi="en-US"/>
                  </w:rPr>
                  <w:t xml:space="preserve"> – </w:t>
                </w:r>
                <w:r>
                  <w:rPr>
                    <w:rFonts w:eastAsia="Andale Sans UI" w:cs="Tahoma"/>
                    <w:color w:val="000000"/>
                    <w:szCs w:val="24"/>
                    <w:shd w:val="clear" w:color="auto" w:fill="FFFFFF"/>
                    <w:lang w:bidi="en-US"/>
                  </w:rPr>
                  <w:t xml:space="preserve">nėra galiojančios </w:t>
                </w:r>
                <w:r>
                  <w:rPr>
                    <w:rFonts w:eastAsia="Andale Sans UI" w:cs="Tahoma"/>
                    <w:szCs w:val="24"/>
                    <w:lang w:bidi="en-US"/>
                  </w:rPr>
                  <w:t xml:space="preserve">įmokų, </w:t>
                </w:r>
                <w:r>
                  <w:rPr>
                    <w:rFonts w:eastAsia="Andale Sans UI" w:cs="Tahoma"/>
                    <w:color w:val="000000"/>
                    <w:szCs w:val="24"/>
                    <w:lang w:bidi="en-US"/>
                  </w:rPr>
                  <w:t xml:space="preserve">mokamų garantiniams geriamojo vandens tiekėjams ir nuotekų tvarkytojams, </w:t>
                </w:r>
                <w:r>
                  <w:rPr>
                    <w:rFonts w:eastAsia="Andale Sans UI" w:cs="Tahoma"/>
                    <w:szCs w:val="24"/>
                    <w:lang w:bidi="en-US"/>
                  </w:rPr>
                  <w:t xml:space="preserve"> naudojimo tvarkos. </w:t>
                </w:r>
                <w:r>
                  <w:rPr>
                    <w:rFonts w:eastAsia="Calibri"/>
                    <w:color w:val="000000"/>
                    <w:szCs w:val="24"/>
                    <w:shd w:val="clear" w:color="auto" w:fill="FFFFFF"/>
                    <w:lang w:bidi="en-US"/>
                  </w:rPr>
                  <w:t>Garantiniam geriamojo vandens tiekimo ir nuotekų tvarkymo paslaugų užtikrinimui mokamų įmokų</w:t>
                </w:r>
                <w:r>
                  <w:rPr>
                    <w:color w:val="000000"/>
                    <w:szCs w:val="24"/>
                    <w:lang w:eastAsia="lt-LT" w:bidi="en-US"/>
                  </w:rPr>
                  <w:t xml:space="preserve"> naudojimo tvarkos aprašu</w:t>
                </w:r>
                <w:r>
                  <w:rPr>
                    <w:rFonts w:eastAsia="Calibri"/>
                    <w:color w:val="000000"/>
                    <w:szCs w:val="24"/>
                    <w:shd w:val="clear" w:color="auto" w:fill="FFFFFF"/>
                    <w:lang w:bidi="en-US"/>
                  </w:rPr>
                  <w:t xml:space="preserve"> n</w:t>
                </w:r>
                <w:r>
                  <w:rPr>
                    <w:rFonts w:eastAsia="Andale Sans UI"/>
                    <w:color w:val="000000"/>
                    <w:szCs w:val="24"/>
                    <w:shd w:val="clear" w:color="auto" w:fill="FFFFFF"/>
                    <w:lang w:bidi="en-US"/>
                  </w:rPr>
                  <w:t xml:space="preserve">ustatomas naujas reguliavimas, jis suteiks galimybę garantiniam geriamojo vandens tiekėjui  ir nuotekų tvarkytojui </w:t>
                </w:r>
                <w:r>
                  <w:rPr>
                    <w:rFonts w:eastAsia="Andale Sans UI"/>
                    <w:szCs w:val="24"/>
                    <w:lang w:bidi="en-US"/>
                  </w:rPr>
                  <w:t>viešųjų geriamojo vandens tiekėjų ir nuotekų tvarkytojų</w:t>
                </w:r>
                <w:r>
                  <w:rPr>
                    <w:rFonts w:eastAsia="Andale Sans UI" w:cs="Tahoma"/>
                    <w:szCs w:val="24"/>
                    <w:lang w:bidi="en-US"/>
                  </w:rPr>
                  <w:t> </w:t>
                </w:r>
                <w:r>
                  <w:rPr>
                    <w:rFonts w:eastAsia="Andale Sans UI"/>
                    <w:szCs w:val="24"/>
                    <w:lang w:bidi="en-US"/>
                  </w:rPr>
                  <w:t xml:space="preserve"> įmokėtas įmokas</w:t>
                </w:r>
                <w:r>
                  <w:rPr>
                    <w:rFonts w:eastAsia="Andale Sans UI"/>
                    <w:color w:val="000000"/>
                    <w:szCs w:val="24"/>
                    <w:shd w:val="clear" w:color="auto" w:fill="FFFFFF"/>
                    <w:lang w:bidi="en-US"/>
                  </w:rPr>
                  <w:t xml:space="preserve">  naudoti, kai jiems panaikinama </w:t>
                </w:r>
                <w:r>
                  <w:rPr>
                    <w:rFonts w:eastAsia="Andale Sans UI" w:cs="Tahoma"/>
                    <w:szCs w:val="24"/>
                    <w:lang w:bidi="en-US"/>
                  </w:rPr>
                  <w:t xml:space="preserve">geriamojo vandens tiekimo ir (arba) nuotekų tvarkymo licencija </w:t>
                </w:r>
                <w:r>
                  <w:rPr>
                    <w:rFonts w:eastAsia="Andale Sans UI"/>
                    <w:color w:val="000000"/>
                    <w:szCs w:val="24"/>
                    <w:lang w:eastAsia="lt-LT" w:bidi="en-US"/>
                  </w:rPr>
                  <w:t>ir garantinis vandens tiekėjas vykdo garantinį vandens tiekimą jo veiklos teritorijoje</w:t>
                </w:r>
                <w:r>
                  <w:rPr>
                    <w:rFonts w:eastAsia="Andale Sans UI"/>
                    <w:color w:val="000000"/>
                    <w:szCs w:val="24"/>
                    <w:shd w:val="clear" w:color="auto" w:fill="FFFFFF"/>
                    <w:lang w:bidi="en-US"/>
                  </w:rPr>
                  <w:t>.</w:t>
                </w:r>
              </w:p>
              <w:p>
                <w:pPr>
                  <w:ind w:firstLine="620"/>
                  <w:jc w:val="both"/>
                  <w:rPr>
                    <w:szCs w:val="24"/>
                    <w:lang w:eastAsia="lt-LT"/>
                  </w:rPr>
                </w:pPr>
                <w:r>
                  <w:rPr>
                    <w:szCs w:val="24"/>
                    <w:lang w:eastAsia="lt-LT"/>
                  </w:rPr>
                  <w:t>Įsakymo projektui įtraukti į teisės sistemą kitų teisės aktų priimti nereikės.</w:t>
                </w:r>
              </w:p>
              <w:p>
                <w:pPr>
                  <w:widowControl w:val="0"/>
                  <w:suppressAutoHyphens/>
                  <w:ind w:firstLine="567"/>
                  <w:jc w:val="both"/>
                  <w:rPr>
                    <w:rFonts w:eastAsia="Andale Sans UI" w:cs="Tahoma"/>
                    <w:szCs w:val="24"/>
                    <w:lang w:bidi="en-US"/>
                  </w:rPr>
                </w:pPr>
                <w:r>
                  <w:rPr>
                    <w:rFonts w:eastAsia="Andale Sans UI" w:cs="Tahoma"/>
                    <w:szCs w:val="24"/>
                    <w:lang w:bidi="en-US"/>
                  </w:rPr>
                  <w:t>Įsakymo projektas parengtas laikantis Lietuvos Respublikos valstybinės kalbos, Lietuvos Respublikos teisėkūros pagrindų įstatymų reikalavimų ir atitinka bendrinės lietuvių kalbos normas.</w:t>
                </w:r>
              </w:p>
              <w:p>
                <w:pPr>
                  <w:widowControl w:val="0"/>
                  <w:suppressAutoHyphens/>
                  <w:ind w:firstLine="567"/>
                  <w:jc w:val="both"/>
                  <w:rPr>
                    <w:rFonts w:eastAsia="Andale Sans UI" w:cs="Tahoma"/>
                    <w:szCs w:val="24"/>
                    <w:lang w:eastAsia="zh-CN" w:bidi="en-US"/>
                  </w:rPr>
                </w:pPr>
                <w:r>
                  <w:rPr>
                    <w:rFonts w:eastAsia="Andale Sans UI" w:cs="Tahoma"/>
                    <w:szCs w:val="24"/>
                    <w:lang w:bidi="en-US"/>
                  </w:rPr>
                  <w:t>Įsakymo</w:t>
                </w:r>
                <w:r>
                  <w:rPr>
                    <w:rFonts w:eastAsia="Andale Sans UI" w:cs="Tahoma"/>
                    <w:szCs w:val="24"/>
                    <w:lang w:eastAsia="zh-CN" w:bidi="en-US"/>
                  </w:rPr>
                  <w:t xml:space="preserve"> projektu neperkeliamos ir neįgyvendinamos Europos Sąjungos teisės aktų nuostatos.</w:t>
                </w:r>
              </w:p>
              <w:p>
                <w:pPr>
                  <w:widowControl w:val="0"/>
                  <w:suppressAutoHyphens/>
                  <w:ind w:firstLine="567"/>
                  <w:jc w:val="both"/>
                  <w:rPr>
                    <w:rFonts w:eastAsia="Andale Sans UI"/>
                    <w:szCs w:val="24"/>
                    <w:lang w:eastAsia="zh-CN" w:bidi="en-US"/>
                  </w:rPr>
                </w:pPr>
                <w:r>
                  <w:rPr>
                    <w:rFonts w:eastAsia="Andale Sans UI" w:cs="Tahoma"/>
                    <w:szCs w:val="24"/>
                    <w:lang w:bidi="en-US"/>
                  </w:rPr>
                  <w:t>Įsakymo</w:t>
                </w:r>
                <w:r>
                  <w:rPr>
                    <w:rFonts w:eastAsia="Andale Sans UI" w:cs="Tahoma"/>
                    <w:szCs w:val="24"/>
                    <w:lang w:eastAsia="zh-CN" w:bidi="en-US"/>
                  </w:rPr>
                  <w:t xml:space="preserve"> projektas padeda įgyvendinti Aštuonioliktosios Lietuvos Respublikos Vyriausybės programos, kuriai pritarta Lietuvos Respublikos Seimo 2020 m. gruodžio 11 d. nutarimu Nr. XIV-72 „Dėl Aštuonioliktosios Lietuvos Respublikos Vyriausybės programos“ </w:t>
                </w:r>
                <w:r>
                  <w:rPr>
                    <w:rFonts w:eastAsia="Andale Sans UI" w:cs="Tahoma"/>
                    <w:szCs w:val="24"/>
                    <w:lang w:val="en-US" w:eastAsia="zh-CN" w:bidi="en-US"/>
                  </w:rPr>
                  <w:t xml:space="preserve">161 punktą: </w:t>
                </w:r>
                <w:r>
                  <w:rPr>
                    <w:rFonts w:eastAsia="Andale Sans UI"/>
                    <w:szCs w:val="24"/>
                    <w:lang w:bidi="en-US"/>
                  </w:rPr>
                  <w:t>„</w:t>
                </w:r>
                <w:r>
                  <w:rPr>
                    <w:rFonts w:eastAsia="Andale Sans UI"/>
                    <w:color w:val="000000"/>
                    <w:szCs w:val="24"/>
                    <w:shd w:val="clear" w:color="auto" w:fill="FFFFFF"/>
                    <w:lang w:bidi="en-US"/>
                  </w:rPr>
                  <w:t xml:space="preserve">Siekdami užtikrinti tvarų gamtos išteklių naudojimą, turime įvertinti ir tausoti ekosistemų, </w:t>
                </w:r>
                <w:r>
                  <w:rPr>
                    <w:rFonts w:eastAsia="Andale Sans UI"/>
                    <w:i/>
                    <w:iCs/>
                    <w:color w:val="000000"/>
                    <w:szCs w:val="24"/>
                    <w:shd w:val="clear" w:color="auto" w:fill="FFFFFF"/>
                    <w:lang w:bidi="en-US"/>
                  </w:rPr>
                  <w:t>tokių kaip dirvožemis, švarus oras, vanduo ir biologinė įvairovė</w:t>
                </w:r>
                <w:r>
                  <w:rPr>
                    <w:rFonts w:eastAsia="Andale Sans UI"/>
                    <w:color w:val="000000"/>
                    <w:szCs w:val="24"/>
                    <w:shd w:val="clear" w:color="auto" w:fill="FFFFFF"/>
                    <w:lang w:bidi="en-US"/>
                  </w:rPr>
                  <w:t xml:space="preserve">, teikiamas paslaugas. </w:t>
                </w:r>
              </w:p>
              <w:p>
                <w:pPr>
                  <w:widowControl w:val="0"/>
                  <w:suppressAutoHyphens/>
                  <w:ind w:firstLine="567"/>
                  <w:jc w:val="both"/>
                  <w:rPr>
                    <w:rFonts w:eastAsia="Andale Sans UI" w:cs="Tahoma"/>
                    <w:szCs w:val="24"/>
                    <w:lang w:eastAsia="zh-CN" w:bidi="en-US"/>
                  </w:rPr>
                </w:pPr>
                <w:r>
                  <w:rPr>
                    <w:rFonts w:eastAsia="Andale Sans UI" w:cs="Tahoma"/>
                    <w:szCs w:val="24"/>
                    <w:lang w:eastAsia="zh-CN" w:bidi="en-US"/>
                  </w:rPr>
                  <w:t xml:space="preserve">Įsakymo </w:t>
                </w:r>
                <w:r>
                  <w:rPr>
                    <w:rFonts w:eastAsia="Andale Sans UI" w:cs="Tahoma"/>
                    <w:szCs w:val="24"/>
                    <w:lang w:bidi="en-US"/>
                  </w:rPr>
                  <w:t>projektas 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p>
                <w:pPr>
                  <w:ind w:firstLine="567"/>
                  <w:jc w:val="both"/>
                  <w:rPr>
                    <w:rFonts w:eastAsia="Andale Sans UI" w:cs="Tahoma"/>
                    <w:color w:val="000000"/>
                    <w:szCs w:val="24"/>
                    <w:lang w:eastAsia="lt-LT" w:bidi="en-US"/>
                  </w:rPr>
                </w:pPr>
                <w:r>
                  <w:rPr>
                    <w:rFonts w:eastAsia="Andale Sans UI" w:cs="Tahoma"/>
                    <w:color w:val="000000"/>
                    <w:szCs w:val="24"/>
                    <w:lang w:bidi="en-US"/>
                  </w:rPr>
                  <w:t xml:space="preserve">Priėmus </w:t>
                </w:r>
                <w:r>
                  <w:rPr>
                    <w:rFonts w:eastAsia="Andale Sans UI" w:cs="Tahoma"/>
                    <w:szCs w:val="24"/>
                    <w:lang w:bidi="en-US"/>
                  </w:rPr>
                  <w:t>Įsakymo</w:t>
                </w:r>
                <w:r>
                  <w:rPr>
                    <w:rFonts w:eastAsia="Andale Sans UI" w:cs="Tahoma"/>
                    <w:color w:val="000000"/>
                    <w:szCs w:val="24"/>
                    <w:lang w:bidi="en-US"/>
                  </w:rPr>
                  <w:t xml:space="preserve"> projektą, neigiamų pasekmių nenumatoma.</w:t>
                </w:r>
              </w:p>
              <w:p>
                <w:pPr>
                  <w:ind w:firstLine="558"/>
                  <w:jc w:val="both"/>
                  <w:rPr>
                    <w:szCs w:val="24"/>
                    <w:lang w:eastAsia="lt-LT"/>
                  </w:rPr>
                </w:pPr>
                <w:r>
                  <w:rPr>
                    <w:szCs w:val="24"/>
                    <w:lang w:eastAsia="lt-LT"/>
                  </w:rPr>
                  <w:t>Įsakymo projekte naujų sąvokų, vertintinų Lietuvos Respublikos terminų banko įstatymo ir jo įgyvendinamųjų teisės aktų nustatyta tvarka, nėra.</w:t>
                </w:r>
              </w:p>
              <w:p>
                <w:pPr>
                  <w:ind w:firstLine="558"/>
                  <w:jc w:val="both"/>
                  <w:rPr>
                    <w:szCs w:val="24"/>
                    <w:lang w:eastAsia="lt-LT"/>
                  </w:rPr>
                </w:pPr>
                <w:r>
                  <w:rPr>
                    <w:szCs w:val="24"/>
                    <w:lang w:eastAsia="lt-LT"/>
                  </w:rPr>
                  <w:t>Vyksta konsultacijos su socialiniais partneriais.</w:t>
                </w:r>
              </w:p>
              <w:p>
                <w:pPr>
                  <w:jc w:val="both"/>
                  <w:rPr>
                    <w:szCs w:val="24"/>
                    <w:lang w:eastAsia="lt-LT"/>
                  </w:rPr>
                </w:pPr>
                <w:r>
                  <w:rPr>
                    <w:szCs w:val="24"/>
                    <w:lang w:eastAsia="lt-LT"/>
                  </w:rPr>
                  <w:t>Vadovaujantis Numatomo teisinio reguliavimo poveikio vertinimo metodikos, patvirtintos Lietuvos Respublikos Vyriausybės 2003 m. vasario 26 d. nutarimu Nr. 276 „Dėl Numatomo teisinio reguliavimo poveikio vertinimo metodikos patvirtinimo“, 4 punktu, atliktas Įsakymo projekto numatomo teisinio reguliavimo poveikio vertinimas.</w:t>
                </w:r>
              </w:p>
              <w:p>
                <w:pPr>
                  <w:ind w:firstLine="853"/>
                  <w:jc w:val="both"/>
                  <w:rPr>
                    <w:szCs w:val="24"/>
                    <w:lang w:eastAsia="lt-LT"/>
                  </w:rPr>
                </w:pPr>
                <w:r>
                  <w:rPr>
                    <w:szCs w:val="24"/>
                    <w:lang w:eastAsia="lt-LT"/>
                  </w:rPr>
                  <w:t>Įsakymo projektas suderintas su Aplinkos ministerijos duomenų apsaugos pareigūnu</w:t>
                </w:r>
              </w:p>
              <w:p>
                <w:pPr>
                  <w:ind w:firstLine="868"/>
                  <w:jc w:val="both"/>
                  <w:rPr>
                    <w:szCs w:val="24"/>
                    <w:lang w:eastAsia="lt-LT"/>
                  </w:rPr>
                </w:pPr>
                <w:r>
                  <w:rPr>
                    <w:szCs w:val="24"/>
                    <w:lang w:eastAsia="lt-LT"/>
                  </w:rPr>
                  <w:t xml:space="preserve">Įsakymo projektas skelbiamas Lietuvos Respublikos Seimo kanceliarijos teisės aktų informacinėje sistemoje (TAIS). </w:t>
                </w:r>
              </w:p>
              <w:p>
                <w:pPr>
                  <w:ind w:firstLine="791"/>
                  <w:jc w:val="both"/>
                  <w:rPr>
                    <w:szCs w:val="24"/>
                    <w:lang w:eastAsia="lt-LT"/>
                  </w:rPr>
                </w:pPr>
                <w:r>
                  <w:rPr>
                    <w:szCs w:val="24"/>
                    <w:shd w:val="clear" w:color="auto" w:fill="FFFFFF"/>
                    <w:lang w:eastAsia="lt-LT"/>
                  </w:rPr>
                  <w:t xml:space="preserve">Išvadą dėl Įsakymo projekto prašome pateikti per </w:t>
                </w:r>
                <w:r>
                  <w:rPr>
                    <w:szCs w:val="24"/>
                    <w:shd w:val="clear" w:color="auto" w:fill="FFFFFF"/>
                    <w:lang w:val="en-US" w:eastAsia="lt-LT"/>
                  </w:rPr>
                  <w:t>5</w:t>
                </w:r>
                <w:r>
                  <w:rPr>
                    <w:szCs w:val="24"/>
                    <w:shd w:val="clear" w:color="auto" w:fill="FFFFFF"/>
                    <w:lang w:eastAsia="lt-LT"/>
                  </w:rPr>
                  <w:t xml:space="preserve"> darbo dienų nuo jo paskelbimo TAIS. Per nurodytą terminą negavę pastabų ir pasiūlymų, laikysime, kad Įsakymo projektui pritariate.</w:t>
                </w:r>
              </w:p>
              <w:p>
                <w:pPr>
                  <w:ind w:firstLine="806"/>
                  <w:jc w:val="both"/>
                  <w:rPr>
                    <w:rFonts w:eastAsia="Andale Sans UI" w:cs="Tahoma"/>
                    <w:color w:val="000000"/>
                    <w:szCs w:val="24"/>
                    <w:lang w:bidi="en-US"/>
                  </w:rPr>
                </w:pPr>
                <w:r>
                  <w:rPr>
                    <w:rFonts w:eastAsia="Andale Sans UI" w:cs="Tahoma"/>
                    <w:color w:val="000000"/>
                    <w:szCs w:val="24"/>
                    <w:lang w:bidi="en-US"/>
                  </w:rPr>
                  <w:t xml:space="preserve">Įsakymo  projektą parengė Aplinkos ministerijos Taršos prevencijos politikos grupės (</w:t>
                </w:r>
                <w:r>
                  <w:rPr>
                    <w:rFonts w:eastAsia="Andale Sans UI" w:cs="Tahoma"/>
                    <w:szCs w:val="24"/>
                    <w:lang w:eastAsia="zh-CN" w:bidi="en-US"/>
                  </w:rPr>
                  <w:t>vadovas – Vitalijus Auglys,</w:t>
                </w:r>
                <w:r>
                  <w:rPr>
                    <w:rFonts w:eastAsia="Andale Sans UI" w:cs="Tahoma"/>
                    <w:color w:val="000000"/>
                    <w:szCs w:val="24"/>
                    <w:lang w:bidi="en-US"/>
                  </w:rPr>
                  <w:t xml:space="preserve"> tel.8 686 46 087, el. p. </w:t>
                </w:r>
                <w:r>
                  <w:rPr>
                    <w:rFonts w:eastAsia="Andale Sans UI" w:cs="Tahoma"/>
                    <w:color w:val="000080"/>
                    <w:szCs w:val="24"/>
                    <w:u w:val="single"/>
                    <w:lang w:bidi="en-US"/>
                  </w:rPr>
                  <w:t>vitalijus.auglys@am.lt</w:t>
                </w:r>
                <w:r>
                  <w:rPr>
                    <w:rFonts w:eastAsia="Andale Sans UI" w:cs="Tahoma"/>
                    <w:color w:val="000000"/>
                    <w:szCs w:val="24"/>
                    <w:lang w:bidi="en-US"/>
                  </w:rPr>
                  <w:t xml:space="preserve">) patarėja Dovilė Navickienė (tel. 8 603 54 457, el. p. dovile.navickiene@am.lt). </w:t>
                </w:r>
              </w:p>
              <w:p>
                <w:pPr>
                  <w:ind w:firstLine="806"/>
                  <w:rPr>
                    <w:szCs w:val="24"/>
                    <w:lang w:eastAsia="lt-LT"/>
                  </w:rPr>
                </w:pPr>
                <w:r>
                  <w:rPr>
                    <w:szCs w:val="24"/>
                    <w:lang w:eastAsia="lt-LT"/>
                  </w:rPr>
                  <w:t xml:space="preserve">PRIDEDAMA: </w:t>
                </w:r>
              </w:p>
              <w:p>
                <w:pPr>
                  <w:ind w:firstLine="791"/>
                  <w:rPr>
                    <w:szCs w:val="24"/>
                    <w:lang w:eastAsia="lt-LT"/>
                  </w:rPr>
                </w:pPr>
                <w:r>
                  <w:rPr>
                    <w:szCs w:val="24"/>
                    <w:lang w:eastAsia="lt-LT"/>
                  </w:rPr>
                  <w:t xml:space="preserve">1. Įsakymo projektas, 4 lapai. </w:t>
                </w:r>
              </w:p>
              <w:p>
                <w:pPr>
                  <w:ind w:firstLine="791"/>
                  <w:rPr>
                    <w:szCs w:val="24"/>
                    <w:lang w:eastAsia="lt-LT"/>
                  </w:rPr>
                </w:pPr>
                <w:r>
                  <w:rPr>
                    <w:szCs w:val="24"/>
                    <w:lang w:eastAsia="lt-LT"/>
                  </w:rPr>
                  <w:t xml:space="preserve">2. Numatomo teisinio reguliavimo poveikio vertinimo pažyma, 2 lapai. </w:t>
                </w:r>
              </w:p>
              <w:p>
                <w:pPr>
                  <w:ind w:firstLine="791"/>
                  <w:rPr>
                    <w:szCs w:val="24"/>
                    <w:lang w:eastAsia="lt-LT"/>
                  </w:rPr>
                </w:pPr>
                <w:r>
                  <w:rPr>
                    <w:szCs w:val="24"/>
                    <w:lang w:eastAsia="lt-LT"/>
                  </w:rPr>
                  <w:t xml:space="preserve">3. Antikorupcinio vertinimo pažyma, 5 lapai. </w:t>
                </w:r>
              </w:p>
              <w:p>
                <w:pPr>
                  <w:rPr>
                    <w:szCs w:val="24"/>
                    <w:lang w:eastAsia="lt-LT"/>
                  </w:rPr>
                </w:pPr>
              </w:p>
              <w:p>
                <w:pPr>
                  <w:rPr>
                    <w:szCs w:val="24"/>
                    <w:lang w:eastAsia="lt-LT"/>
                  </w:rPr>
                </w:pPr>
              </w:p>
              <w:p>
                <w:pPr>
                  <w:rPr>
                    <w:szCs w:val="24"/>
                    <w:lang w:eastAsia="lt-LT"/>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389"/>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Times New Roman" w:cs="Tahoma"/>
                          <w:color w:val="000000"/>
                          <w:szCs w:val="24"/>
                          <w:lang w:eastAsia="zh-CN" w:bidi="en-US"/>
                        </w:rPr>
                        <w:t>Aplinkos viceministras</w:t>
                      </w:r>
                    </w:p>
                  </w:tc>
                  <w:tc>
                    <w:tcPr>
                      <w:tcW w:w="4389" w:type="dxa"/>
                      <w:vAlign w:val="bottom"/>
                    </w:tcPr>
                    <w:p>
                      <w:pPr>
                        <w:spacing w:line="276" w:lineRule="auto"/>
                        <w:ind w:right="34"/>
                        <w:jc w:val="right"/>
                        <w:rPr>
                          <w:rFonts w:eastAsia="Andale Sans UI" w:cs="Tahoma"/>
                          <w:szCs w:val="24"/>
                          <w:lang w:bidi="en-US"/>
                        </w:rPr>
                      </w:pPr>
                      <w:r>
                        <w:rPr>
                          <w:rFonts w:eastAsia="Andale Sans UI" w:cs="Tahoma"/>
                          <w:szCs w:val="24"/>
                          <w:lang w:bidi="en-US"/>
                        </w:rPr>
                        <w:t>Kęstutis Šetkus</w:t>
                      </w:r>
                    </w:p>
                  </w:tc>
                </w:tr>
              </w:tbl>
              <w:p>
                <w:pPr>
                  <w:ind w:firstLine="567"/>
                  <w:jc w:val="both"/>
                  <w:rPr>
                    <w:rFonts w:eastAsia="Andale Sans UI" w:cs="Tahoma"/>
                    <w:szCs w:val="24"/>
                    <w:lang w:bidi="en-US"/>
                  </w:rPr>
                </w:pPr>
              </w:p>
              <w:p>
                <w:pPr>
                  <w:jc w:val="both"/>
                  <w:rPr>
                    <w:szCs w:val="24"/>
                    <w:lang w:eastAsia="lt-LT"/>
                  </w:rPr>
                </w:pPr>
              </w:p>
              <w:p>
                <w:pPr>
                  <w:jc w:val="both"/>
                  <w:rPr>
                    <w:b/>
                    <w:bCs/>
                    <w:szCs w:val="24"/>
                    <w:lang w:eastAsia="lt-LT"/>
                  </w:rPr>
                </w:pPr>
              </w:p>
            </w:tc>
          </w:tr>
          <w:tr>
            <w:trPr>
              <w:trHeight w:val="340"/>
            </w:trPr>
            <w:tc>
              <w:tcPr>
                <w:tcW w:w="9301" w:type="dxa"/>
                <w:gridSpan w:val="5"/>
                <w:tcMar>
                  <w:top w:w="0" w:type="dxa"/>
                  <w:left w:w="0" w:type="dxa"/>
                  <w:bottom w:w="0" w:type="dxa"/>
                  <w:right w:w="0" w:type="dxa"/>
                </w:tcMar>
              </w:tcPr>
              <w:p>
                <w:pPr>
                  <w:rPr>
                    <w:sz w:val="8"/>
                    <w:szCs w:val="8"/>
                  </w:rPr>
                </w:pPr>
              </w:p>
              <w:p>
                <w:pPr>
                  <w:ind w:left="82" w:hanging="568"/>
                  <w:rPr>
                    <w:szCs w:val="24"/>
                    <w:lang w:eastAsia="lt-LT"/>
                  </w:rPr>
                </w:pPr>
              </w:p>
            </w:tc>
          </w:tr>
          <w:tr>
            <w:trPr>
              <w:trHeight w:val="340"/>
            </w:trPr>
            <w:tc>
              <w:tcPr>
                <w:tcW w:w="9301" w:type="dxa"/>
                <w:gridSpan w:val="5"/>
                <w:tcMar>
                  <w:top w:w="0" w:type="dxa"/>
                  <w:left w:w="0" w:type="dxa"/>
                  <w:bottom w:w="0" w:type="dxa"/>
                  <w:right w:w="0" w:type="dxa"/>
                </w:tcMar>
              </w:tcPr>
              <w:p>
                <w:pPr>
                  <w:rPr>
                    <w:sz w:val="8"/>
                    <w:szCs w:val="8"/>
                  </w:rPr>
                </w:pPr>
              </w:p>
              <w:p>
                <w:pPr>
                  <w:rPr>
                    <w:szCs w:val="24"/>
                    <w:lang w:eastAsia="lt-LT"/>
                  </w:rPr>
                </w:pPr>
              </w:p>
            </w:tc>
          </w:tr>
        </w:tbl>
        <w:p>
          <w:pPr>
            <w:suppressLineNumbers/>
            <w:spacing w:line="276" w:lineRule="auto"/>
            <w:jc w:val="both"/>
            <w:rPr>
              <w:rFonts w:eastAsia="Andale Sans UI" w:cs="Tahoma"/>
              <w:bCs/>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sdtContent>
    </w:sdt>
    <w:sdt>
      <w:sdtPr>
        <w:alias w:val="lentele"/>
        <w:tag w:val="part_cc9579186c504987b714cdd65e3e5b0f"/>
        <w:lock w:val="sdtLocked"/>
        <w:richText/>
      </w:sdtPr>
      <w:sdtContent>
        <w:tbl>
          <w:tblPr>
            <w:tblW w:w="11069" w:type="dxa"/>
            <w:tblInd w:w="-1418" w:type="dxa"/>
            <w:tblLayout w:type="fixed"/>
            <w:tblCellMar>
              <w:left w:w="0" w:type="dxa"/>
              <w:right w:w="0" w:type="dxa"/>
            </w:tblCellMar>
            <w:tblLook w:val="0000" w:firstRow="0" w:lastRow="0" w:firstColumn="0" w:lastColumn="0" w:noHBand="0" w:noVBand="0"/>
          </w:tblPr>
          <w:tblGrid>
            <w:gridCol w:w="11069"/>
          </w:tblGrid>
          <w:tr>
            <w:trPr>
              <w:cantSplit/>
              <w:trHeight w:val="340"/>
            </w:trPr>
            <w:tc>
              <w:tcPr>
                <w:tcW w:w="11069" w:type="dxa"/>
              </w:tcPr>
              <w:p>
                <w:pPr>
                  <w:suppressLineNumbers/>
                  <w:ind w:left="1136"/>
                  <w:jc w:val="both"/>
                  <w:rPr>
                    <w:rFonts w:eastAsia="Andale Sans UI" w:cs="Tahoma"/>
                    <w:szCs w:val="24"/>
                    <w:lang w:bidi="en-US"/>
                  </w:rPr>
                </w:pPr>
                <w:r>
                  <w:rPr>
                    <w:rFonts w:eastAsia="Andale Sans UI" w:cs="Tahoma"/>
                    <w:szCs w:val="24"/>
                    <w:lang w:bidi="en-US"/>
                  </w:rPr>
                  <w:t xml:space="preserve">D. Navickienė, </w:t>
                </w:r>
                <w:r>
                  <w:rPr>
                    <w:rFonts w:eastAsia="Andale Sans UI" w:cs="Tahoma"/>
                    <w:color w:val="000000"/>
                    <w:szCs w:val="24"/>
                    <w:lang w:bidi="en-US"/>
                  </w:rPr>
                  <w:t>tel. 8 60</w:t>
                </w:r>
                <w:r>
                  <w:rPr>
                    <w:rFonts w:eastAsia="Andale Sans UI" w:cs="Tahoma"/>
                    <w:color w:val="000000"/>
                    <w:szCs w:val="24"/>
                    <w:lang w:val="en-US" w:bidi="en-US"/>
                  </w:rPr>
                  <w:t>3</w:t>
                </w:r>
                <w:r>
                  <w:rPr>
                    <w:rFonts w:eastAsia="Andale Sans UI" w:cs="Tahoma"/>
                    <w:color w:val="000000"/>
                    <w:szCs w:val="24"/>
                    <w:lang w:bidi="en-US"/>
                  </w:rPr>
                  <w:t xml:space="preserve"> 54 457 </w:t>
                </w:r>
                <w:r>
                  <w:rPr>
                    <w:rFonts w:eastAsia="Andale Sans UI" w:cs="Tahoma"/>
                    <w:szCs w:val="24"/>
                    <w:lang w:bidi="en-US"/>
                  </w:rPr>
                  <w:t xml:space="preserve">el. p. </w:t>
                </w:r>
                <w:r>
                  <w:rPr>
                    <w:rFonts w:eastAsia="Andale Sans UI" w:cs="Tahoma"/>
                    <w:color w:val="000080"/>
                    <w:szCs w:val="24"/>
                    <w:u w:val="single"/>
                    <w:lang w:bidi="en-US"/>
                  </w:rPr>
                  <w:t>dovile.navickiene@am.lt</w:t>
                </w:r>
              </w:p>
              <w:p>
                <w:pPr>
                  <w:suppressLineNumbers/>
                  <w:jc w:val="both"/>
                  <w:rPr>
                    <w:rFonts w:eastAsia="Andale Sans UI" w:cs="Tahoma"/>
                    <w:sz w:val="18"/>
                    <w:szCs w:val="18"/>
                    <w:lang w:bidi="en-US"/>
                  </w:rPr>
                </w:pPr>
              </w:p>
              <w:p>
                <w:pPr>
                  <w:keepLines/>
                  <w:suppressLineNumbers/>
                  <w:jc w:val="both"/>
                  <w:rPr>
                    <w:rFonts w:eastAsia="Andale Sans UI" w:cs="Tahoma"/>
                    <w:szCs w:val="24"/>
                    <w:lang w:bidi="en-US"/>
                  </w:rPr>
                </w:pPr>
                <w:r>
                  <w:rPr>
                    <w:rFonts w:eastAsia="Andale Sans UI" w:cs="Tahoma"/>
                    <w:sz w:val="18"/>
                    <w:szCs w:val="18"/>
                    <w:lang w:bidi="en-US"/>
                  </w:rPr>
                  <w:t>.</w:t>
                </w:r>
              </w:p>
            </w:tc>
          </w:tr>
        </w:tbl>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sdt>
          <w:sdtPr>
            <w:alias w:val="skirsnis"/>
            <w:tag w:val="part_cc1e743b2939402d96dde0281aa6fa2d"/>
            <w:lock w:val="sdtLocked"/>
            <w:richText/>
          </w:sdtPr>
          <w:sdtContent>
            <w:p>
              <w:pPr>
                <w:jc w:val="center"/>
                <w:rPr>
                  <w:rFonts w:eastAsia="Andale Sans UI" w:cs="Tahoma"/>
                  <w:b/>
                  <w:bCs/>
                  <w:szCs w:val="24"/>
                  <w:lang w:bidi="en-US"/>
                </w:rPr>
              </w:pPr>
              <w:sdt>
                <w:sdtPr>
                  <w:alias w:val="Pavadinimas"/>
                  <w:tag w:val="title_cc1e743b2939402d96dde0281aa6fa2d"/>
                  <w:lock w:val="sdtLocked"/>
                  <w:richText/>
                </w:sdtPr>
                <w:sdtContent>
                  <w:r>
                    <w:rPr>
                      <w:rFonts w:eastAsia="Andale Sans UI" w:cs="Tahoma"/>
                      <w:b/>
                      <w:bCs/>
                      <w:szCs w:val="24"/>
                      <w:lang w:bidi="en-US"/>
                    </w:rPr>
                    <w:t>ADRESATŲ SĄRAŠAS</w:t>
                  </w:r>
                </w:sdtContent>
              </w:sdt>
            </w:p>
            <w:p>
              <w:pPr>
                <w:ind w:firstLine="567"/>
                <w:jc w:val="center"/>
                <w:rPr>
                  <w:rFonts w:eastAsia="Andale Sans UI" w:cs="Tahoma"/>
                  <w:szCs w:val="24"/>
                  <w:lang w:bidi="en-US"/>
                </w:rPr>
              </w:pPr>
            </w:p>
          </w:sdtContent>
        </w:sdt>
        <w:sdt>
          <w:sdtPr>
            <w:alias w:val="signatura"/>
            <w:tag w:val="part_f4704332adee454f88cd4500e18a42e5"/>
            <w:lock w:val="sdtLocked"/>
            <w:richText/>
          </w:sdtPr>
          <w:sdtContent>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finansų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specialiųjų tyrimų tarnybai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konkurencijos tarybai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energetikos reguliavimo tarnybai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savivaldybių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vandens tiekėjų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Atsakingai vandentvarkos asociacijai „Vandens jėga“</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„Dzūkijos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„Kauno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AB „Klaipėdos vanduo“</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„Sūduvos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„Aukštaitijos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„Šiaulių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„Tauragės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„Mažeikių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„Utenos vandenys“</w:t>
              </w:r>
            </w:p>
            <w:p>
              <w:pPr>
                <w:widowControl w:val="0"/>
                <w:tabs>
                  <w:tab w:val="left" w:pos="3802"/>
                </w:tabs>
                <w:suppressAutoHyphens/>
                <w:jc w:val="both"/>
                <w:rPr>
                  <w:rFonts w:eastAsia="Andale Sans UI" w:cs="Tahoma"/>
                  <w:szCs w:val="24"/>
                  <w:lang w:eastAsia="zh-CN" w:bidi="en-US"/>
                </w:rPr>
              </w:pPr>
              <w:r>
                <w:rPr>
                  <w:rFonts w:eastAsia="Andale Sans UI" w:cs="Tahoma"/>
                  <w:szCs w:val="24"/>
                  <w:lang w:eastAsia="zh-CN" w:bidi="en-US"/>
                </w:rPr>
                <w:t>UAB „Vilniaus vandenys“</w:t>
              </w:r>
            </w:p>
            <w:p>
              <w:pPr>
                <w:ind w:firstLine="567"/>
                <w:jc w:val="both"/>
                <w:rPr>
                  <w:rFonts w:eastAsia="Andale Sans UI" w:cs="Tahoma"/>
                  <w:szCs w:val="24"/>
                  <w:lang w:bidi="en-US"/>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9396533">
      <w:bodyDiv w:val="1"/>
      <w:marLeft w:val="0"/>
      <w:marRight w:val="0"/>
      <w:marTop w:val="0"/>
      <w:marBottom w:val="0"/>
      <w:divBdr>
        <w:top w:val="none" w:sz="0" w:space="0" w:color="auto"/>
        <w:left w:val="none" w:sz="0" w:space="0" w:color="auto"/>
        <w:bottom w:val="none" w:sz="0" w:space="0" w:color="auto"/>
        <w:right w:val="none" w:sz="0" w:space="0" w:color="auto"/>
      </w:divBdr>
    </w:div>
    <w:div w:id="182401315">
      <w:bodyDiv w:val="1"/>
      <w:marLeft w:val="0"/>
      <w:marRight w:val="0"/>
      <w:marTop w:val="0"/>
      <w:marBottom w:val="0"/>
      <w:divBdr>
        <w:top w:val="none" w:sz="0" w:space="0" w:color="auto"/>
        <w:left w:val="none" w:sz="0" w:space="0" w:color="auto"/>
        <w:bottom w:val="none" w:sz="0" w:space="0" w:color="auto"/>
        <w:right w:val="none" w:sz="0" w:space="0" w:color="auto"/>
      </w:divBdr>
    </w:div>
    <w:div w:id="274093320">
      <w:bodyDiv w:val="1"/>
      <w:marLeft w:val="0"/>
      <w:marRight w:val="0"/>
      <w:marTop w:val="0"/>
      <w:marBottom w:val="0"/>
      <w:divBdr>
        <w:top w:val="none" w:sz="0" w:space="0" w:color="auto"/>
        <w:left w:val="none" w:sz="0" w:space="0" w:color="auto"/>
        <w:bottom w:val="none" w:sz="0" w:space="0" w:color="auto"/>
        <w:right w:val="none" w:sz="0" w:space="0" w:color="auto"/>
      </w:divBdr>
    </w:div>
    <w:div w:id="489372518">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649869646">
      <w:bodyDiv w:val="1"/>
      <w:marLeft w:val="0"/>
      <w:marRight w:val="0"/>
      <w:marTop w:val="0"/>
      <w:marBottom w:val="0"/>
      <w:divBdr>
        <w:top w:val="none" w:sz="0" w:space="0" w:color="auto"/>
        <w:left w:val="none" w:sz="0" w:space="0" w:color="auto"/>
        <w:bottom w:val="none" w:sz="0" w:space="0" w:color="auto"/>
        <w:right w:val="none" w:sz="0" w:space="0" w:color="auto"/>
      </w:divBdr>
    </w:div>
    <w:div w:id="67661743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925503907">
      <w:bodyDiv w:val="1"/>
      <w:marLeft w:val="0"/>
      <w:marRight w:val="0"/>
      <w:marTop w:val="0"/>
      <w:marBottom w:val="0"/>
      <w:divBdr>
        <w:top w:val="none" w:sz="0" w:space="0" w:color="auto"/>
        <w:left w:val="none" w:sz="0" w:space="0" w:color="auto"/>
        <w:bottom w:val="none" w:sz="0" w:space="0" w:color="auto"/>
        <w:right w:val="none" w:sz="0" w:space="0" w:color="auto"/>
      </w:divBdr>
    </w:div>
    <w:div w:id="952907906">
      <w:bodyDiv w:val="1"/>
      <w:marLeft w:val="0"/>
      <w:marRight w:val="0"/>
      <w:marTop w:val="0"/>
      <w:marBottom w:val="0"/>
      <w:divBdr>
        <w:top w:val="none" w:sz="0" w:space="0" w:color="auto"/>
        <w:left w:val="none" w:sz="0" w:space="0" w:color="auto"/>
        <w:bottom w:val="none" w:sz="0" w:space="0" w:color="auto"/>
        <w:right w:val="none" w:sz="0" w:space="0" w:color="auto"/>
      </w:divBdr>
    </w:div>
    <w:div w:id="98061573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 w:id="1339843970">
      <w:bodyDiv w:val="1"/>
      <w:marLeft w:val="0"/>
      <w:marRight w:val="0"/>
      <w:marTop w:val="0"/>
      <w:marBottom w:val="0"/>
      <w:divBdr>
        <w:top w:val="none" w:sz="0" w:space="0" w:color="auto"/>
        <w:left w:val="none" w:sz="0" w:space="0" w:color="auto"/>
        <w:bottom w:val="none" w:sz="0" w:space="0" w:color="auto"/>
        <w:right w:val="none" w:sz="0" w:space="0" w:color="auto"/>
      </w:divBdr>
    </w:div>
    <w:div w:id="1544563962">
      <w:bodyDiv w:val="1"/>
      <w:marLeft w:val="0"/>
      <w:marRight w:val="0"/>
      <w:marTop w:val="0"/>
      <w:marBottom w:val="0"/>
      <w:divBdr>
        <w:top w:val="none" w:sz="0" w:space="0" w:color="auto"/>
        <w:left w:val="none" w:sz="0" w:space="0" w:color="auto"/>
        <w:bottom w:val="none" w:sz="0" w:space="0" w:color="auto"/>
        <w:right w:val="none" w:sz="0" w:space="0" w:color="auto"/>
      </w:divBdr>
    </w:div>
    <w:div w:id="1612593300">
      <w:bodyDiv w:val="1"/>
      <w:marLeft w:val="0"/>
      <w:marRight w:val="0"/>
      <w:marTop w:val="0"/>
      <w:marBottom w:val="0"/>
      <w:divBdr>
        <w:top w:val="none" w:sz="0" w:space="0" w:color="auto"/>
        <w:left w:val="none" w:sz="0" w:space="0" w:color="auto"/>
        <w:bottom w:val="none" w:sz="0" w:space="0" w:color="auto"/>
        <w:right w:val="none" w:sz="0" w:space="0" w:color="auto"/>
      </w:divBdr>
    </w:div>
    <w:div w:id="1626765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05c497f1db884f7d8c443e7839e09650" PartId="16f19f90224b4a3d9492acb5b6b36f43"/>
  <Part Type="lentele" DocPartId="2b6ccbe795f2498d99d5316d9a604912" PartId="cc9579186c504987b714cdd65e3e5b0f">
    <Part Type="skirsnis" Title="ADRESATŲ SĄRAŠAS" DocPartId="93dbcb010bfc44ec9ede7f348177bc97" PartId="cc1e743b2939402d96dde0281aa6fa2d"/>
    <Part Type="signatura" DocPartId="a9691f2f824e4fbfabe5cf6f7d6e5b51" PartId="f4704332adee454f88cd4500e18a42e5"/>
  </Part>
</Parts>
</file>

<file path=customXml/itemProps1.xml><?xml version="1.0" encoding="utf-8"?>
<ds:datastoreItem xmlns:ds="http://schemas.openxmlformats.org/officeDocument/2006/customXml" ds:itemID="{8015CFEE-826C-485C-97AD-6B1DE10D20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553</Words>
  <Characters>4075</Characters>
  <Application>Microsoft Office Word</Application>
  <DocSecurity>4</DocSecurity>
  <Lines>135</Lines>
  <Paragraphs>58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4570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2023-10-30T07:51:00Z</dcterms:created>
  <dcterms:modified xsi:type="dcterms:W3CDTF">2023-10-30T07:51:00Z</dcterms:modified>
  <revision>1</revision>
</coreProperties>
</file>