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eec5dc4327441c39ac7ea2b4d56ca82"/>
        <w:lock w:val="sdtLocked"/>
        <w:richText/>
      </w:sdtPr>
      <w:sdtContent>
        <w:p>
          <w:pPr>
            <w:tabs>
              <w:tab w:val="center" w:pos="4819"/>
              <w:tab w:val="right" w:pos="9638"/>
            </w:tabs>
            <w:suppressAutoHyphens/>
            <w:textAlignment w:val="baseline"/>
            <w:rPr>
              <w:rFonts w:eastAsia="Calibri"/>
              <w:kern w:val="3"/>
              <w:szCs w:val="24"/>
              <w:lang w:eastAsia="zh-CN"/>
            </w:rPr>
          </w:pPr>
        </w:p>
        <w:p>
          <w:pPr>
            <w:tabs>
              <w:tab w:val="left" w:pos="0"/>
            </w:tabs>
            <w:suppressAutoHyphens/>
            <w:jc w:val="center"/>
            <w:textAlignment w:val="baseline"/>
            <w:rPr>
              <w:rFonts w:eastAsia="Calibri"/>
              <w:b/>
              <w:caps/>
              <w:kern w:val="3"/>
              <w:szCs w:val="24"/>
              <w:lang w:eastAsia="zh-CN"/>
            </w:rPr>
          </w:pPr>
          <w:r>
            <w:rPr>
              <w:rFonts w:eastAsia="Calibri"/>
              <w:b/>
              <w:caps/>
              <w:kern w:val="3"/>
              <w:szCs w:val="24"/>
              <w:lang w:eastAsia="zh-CN"/>
            </w:rPr>
            <w:t>AIŠKINAMASIS RAŠTAS</w:t>
          </w:r>
        </w:p>
        <w:p>
          <w:pPr>
            <w:jc w:val="center"/>
            <w:rPr>
              <w:rFonts w:eastAsia="Droid Sans Fallback" w:cs="Lohit Hindi"/>
              <w:b/>
              <w:bCs/>
              <w:caps/>
              <w:color w:val="000000"/>
              <w:spacing w:val="-2"/>
              <w:kern w:val="3"/>
              <w:lang w:eastAsia="zh-CN" w:bidi="hi-IN"/>
            </w:rPr>
          </w:pPr>
          <w:r>
            <w:rPr>
              <w:b/>
              <w:szCs w:val="24"/>
            </w:rPr>
            <w:t>DĖL LIETUVOS RESPUBLIKOS RYŠIŲ REGULIAVIMO TARNYBOS TARYBOS NUTARIMŲ „DĖL LIETUVOS RESPUBLIKOS RYŠIŲ REGULIAVIMO TARNYBOS DIREKTORIAUS 2018 M. RUGPJŪČIO 10 D. ĮSAKYMO NR. 1V-731 „DĖL RADIJO RYŠIO PLĖTROS 470–790 MHz RADIJO DAŽNIŲ JUOSTOJE PLANO PATVIRTINIMO“ PAKEITIMO“ IR „DĖL AUKCIONO SUTEIKTI TEISĘ NAUDOTI RADIJO DAŽNIUS (KANALUS) IŠ 703–733 MHz IR 758–788 MHz SUPORUOTOS RADIJO DAŽNIŲ JUOSTOS, 1432–1472 MHz IR 1492–1512 MHz RADIJO DAŽNIŲ JUOSTŲ, 1920–1980 MHz IR 2110–2170 MHz SUPORUOTOS RADIJO DAŽNIŲ JUOSTOS SĄLYGŲ APRAŠO PATVIRTINIMO“ PROJEKTŲ</w:t>
          </w:r>
        </w:p>
        <w:p>
          <w:pPr>
            <w:suppressAutoHyphens/>
            <w:ind w:firstLine="851"/>
            <w:jc w:val="center"/>
            <w:textAlignment w:val="baseline"/>
            <w:rPr>
              <w:kern w:val="3"/>
              <w:szCs w:val="24"/>
              <w:lang w:eastAsia="zh-CN"/>
            </w:rPr>
          </w:pPr>
        </w:p>
        <w:sdt>
          <w:sdtPr>
            <w:alias w:val="1 p."/>
            <w:tag w:val="part_b77fc0c0570647828fdf0dd47a59eb9c"/>
            <w:lock w:val="sdtLocked"/>
            <w:richText/>
          </w:sdtPr>
          <w:sdtContent>
            <w:p>
              <w:pPr>
                <w:shd w:val="clear" w:color="auto" w:fill="FFFFFF"/>
                <w:tabs>
                  <w:tab w:val="left" w:pos="993"/>
                </w:tabs>
                <w:suppressAutoHyphens/>
                <w:ind w:right="19" w:firstLine="709"/>
                <w:jc w:val="both"/>
                <w:textAlignment w:val="baseline"/>
                <w:rPr>
                  <w:rFonts w:eastAsia="Calibri"/>
                  <w:b/>
                  <w:bCs/>
                  <w:kern w:val="3"/>
                  <w:szCs w:val="24"/>
                  <w:lang w:eastAsia="zh-CN"/>
                </w:rPr>
              </w:pPr>
              <w:sdt>
                <w:sdtPr>
                  <w:alias w:val="Numeris"/>
                  <w:tag w:val="nr_b77fc0c0570647828fdf0dd47a59eb9c"/>
                  <w:lock w:val="sdtLocked"/>
                  <w:richText/>
                </w:sdtPr>
                <w:sdtContent>
                  <w:r>
                    <w:rPr>
                      <w:rFonts w:eastAsia="Calibri"/>
                      <w:b/>
                      <w:bCs/>
                      <w:kern w:val="3"/>
                      <w:szCs w:val="24"/>
                      <w:lang w:eastAsia="zh-CN"/>
                    </w:rPr>
                    <w:t>1</w:t>
                  </w:r>
                </w:sdtContent>
              </w:sdt>
              <w:r>
                <w:rPr>
                  <w:rFonts w:eastAsia="Calibri"/>
                  <w:b/>
                  <w:bCs/>
                  <w:kern w:val="3"/>
                  <w:szCs w:val="24"/>
                  <w:lang w:eastAsia="zh-CN"/>
                </w:rPr>
                <w:t>.</w:t>
                <w:tab/>
                <w:t>Teisės aktų projektų tikslai ir uždaviniai, įgyvendinimo mechanizmas</w:t>
              </w:r>
            </w:p>
            <w:p>
              <w:pPr>
                <w:shd w:val="clear" w:color="auto" w:fill="FFFFFF"/>
                <w:tabs>
                  <w:tab w:val="left" w:pos="0"/>
                </w:tabs>
                <w:suppressAutoHyphens/>
                <w:ind w:right="19" w:firstLine="709"/>
                <w:jc w:val="both"/>
                <w:textAlignment w:val="baseline"/>
                <w:rPr>
                  <w:rFonts w:eastAsia="Calibri"/>
                  <w:kern w:val="3"/>
                  <w:szCs w:val="24"/>
                  <w:lang w:eastAsia="zh-CN"/>
                </w:rPr>
              </w:pPr>
              <w:r>
                <w:rPr>
                  <w:rFonts w:eastAsia="Calibri"/>
                  <w:kern w:val="3"/>
                  <w:szCs w:val="24"/>
                  <w:lang w:eastAsia="zh-CN"/>
                </w:rPr>
                <w:t>Vadovaujantis Lietuvos Respublikos elektroninių ryšių įstatymo 57 straipsnio 1 ir 4 dalimis, Lietuvos Respublikos ryšių reguliavimo tarnyba (toliau – RRT) šio įstatymo nustatyta tvarka ir sąlygomis valdo elektroninių ryšių išteklius, įskaitant radijo dažnius (kanalus). Valdydama radijo dažnius (kanalus), įskaitant sprendimų dėl radijo dažnių (kanalų) skyrimo ir (arba) naudojimo priėmimą, RRT skatina veiksmingą konkurenciją elektroninių ryšių tinklų ir (ar) elektroninių ryšių paslaugų rinkoje ir užtikrina, kad nebūtų jos iškraipymų. Atsižvelgiant į tai:</w:t>
              </w:r>
            </w:p>
            <w:sdt>
              <w:sdtPr>
                <w:alias w:val="1.1 pp."/>
                <w:tag w:val="part_078f979623654d3aafb66068d070fd6c"/>
                <w:lock w:val="sdtLocked"/>
                <w:richText/>
              </w:sdtPr>
              <w:sdtContent>
                <w:p>
                  <w:pPr>
                    <w:shd w:val="clear" w:color="auto" w:fill="FFFFFF"/>
                    <w:tabs>
                      <w:tab w:val="left" w:pos="0"/>
                    </w:tabs>
                    <w:suppressAutoHyphens/>
                    <w:ind w:right="19" w:firstLine="709"/>
                    <w:jc w:val="both"/>
                    <w:textAlignment w:val="baseline"/>
                    <w:rPr>
                      <w:color w:val="000000"/>
                    </w:rPr>
                  </w:pPr>
                  <w:sdt>
                    <w:sdtPr>
                      <w:alias w:val="Numeris"/>
                      <w:tag w:val="nr_078f979623654d3aafb66068d070fd6c"/>
                      <w:lock w:val="sdtLocked"/>
                      <w:richText/>
                    </w:sdtPr>
                    <w:sdtContent>
                      <w:r>
                        <w:rPr>
                          <w:rFonts w:eastAsia="Calibri"/>
                          <w:kern w:val="3"/>
                          <w:szCs w:val="24"/>
                          <w:lang w:eastAsia="zh-CN"/>
                        </w:rPr>
                        <w:t>1.1</w:t>
                      </w:r>
                    </w:sdtContent>
                  </w:sdt>
                  <w:r>
                    <w:rPr>
                      <w:rFonts w:eastAsia="Calibri"/>
                      <w:kern w:val="3"/>
                      <w:szCs w:val="24"/>
                      <w:lang w:eastAsia="zh-CN"/>
                    </w:rPr>
                    <w:t xml:space="preserve">. </w:t>
                  </w:r>
                  <w:r>
                    <w:rPr>
                      <w:rFonts w:eastAsia="Calibri"/>
                      <w:i/>
                      <w:iCs/>
                      <w:kern w:val="3"/>
                      <w:szCs w:val="24"/>
                      <w:lang w:eastAsia="zh-CN"/>
                    </w:rPr>
                    <w:t xml:space="preserve">RRT tarybos nutarimo „Dėl Lietuvos Respublikos ryšių reguliavimo tarnybos direktoriaus 2018 m. rugpjūčio 10 d. įsakymo Nr. 1V-731 „Dėl Radijo ryšio plėtros 470–790 MHz radijo dažnių juostoje plano patvirtinimo“ pakeitimo“ projektu </w:t>
                  </w:r>
                  <w:r>
                    <w:rPr>
                      <w:rFonts w:eastAsia="Calibri"/>
                      <w:kern w:val="3"/>
                      <w:szCs w:val="24"/>
                      <w:lang w:eastAsia="zh-CN"/>
                    </w:rPr>
                    <w:t xml:space="preserve">(toliau – Projektas Nr. 1) </w:t>
                  </w:r>
                  <w:r>
                    <w:rPr>
                      <w:color w:val="000000"/>
                    </w:rPr>
                    <w:t xml:space="preserve">siekiama patikslinti radijo dažnių (kanalų) iš 703–733 MHz ir 758–788 MHz suporuotos radijo dažnių juostos (toliau – 700 MHz juosta) skyrimo sąlygas ir atlikti kitus redakcinio pobūdžio patikslinimus.  </w:t>
                  </w:r>
                </w:p>
                <w:p>
                  <w:pPr>
                    <w:widowControl w:val="0"/>
                    <w:suppressAutoHyphens/>
                    <w:ind w:firstLine="709"/>
                    <w:jc w:val="both"/>
                    <w:textAlignment w:val="baseline"/>
                    <w:rPr>
                      <w:rFonts w:eastAsia="Calibri"/>
                      <w:color w:val="000000"/>
                      <w:kern w:val="3"/>
                      <w:szCs w:val="24"/>
                      <w:lang w:eastAsia="zh-CN"/>
                    </w:rPr>
                  </w:pPr>
                  <w:r>
                    <w:rPr>
                      <w:rFonts w:eastAsia="Droid Sans Fallback" w:cs="Lohit Hindi"/>
                      <w:kern w:val="3"/>
                      <w:szCs w:val="24"/>
                      <w:lang w:eastAsia="zh-CN" w:bidi="hi-IN"/>
                    </w:rPr>
                    <w:t>Plačiajuosčio ryšio plėtra yra strateginės svarbos klausimas. Aukštos kokybės ir tolygaus padengimo mobilusis ryšys yra itin reikšmingas tiek nacionaliniam saugumui, tiek visos šalies ekonominei, socialinei ir technologinei raidai, inovacijų diegimui ir investicijų pritraukimui.</w:t>
                  </w:r>
                  <w:r>
                    <w:t xml:space="preserve"> </w:t>
                  </w:r>
                  <w:r>
                    <w:rPr>
                      <w:rFonts w:eastAsia="Droid Sans Fallback" w:cs="Lohit Hindi"/>
                      <w:kern w:val="3"/>
                      <w:szCs w:val="24"/>
                      <w:lang w:eastAsia="zh-CN" w:bidi="hi-IN"/>
                    </w:rPr>
                    <w:t xml:space="preserve">700 MHz juosta laikoma itin svarbia radijo ryšio aprėpties užtikrinimui dėl palankių šių radijo dažnių signalų sklidimo charakteristikų. Atsižvelgiant į tai, šiuo metu nenaudojamus radijo dažnius (kanalus) iš </w:t>
                  </w:r>
                  <w:r>
                    <w:rPr>
                      <w:color w:val="000000"/>
                    </w:rPr>
                    <w:t>703–713 MHz ir 758–768 MHz suporuotos radijo dažnių juostos</w:t>
                  </w:r>
                  <w:r>
                    <w:rPr>
                      <w:rFonts w:eastAsia="Droid Sans Fallback" w:cs="Lohit Hindi"/>
                      <w:kern w:val="3"/>
                      <w:szCs w:val="24"/>
                      <w:lang w:eastAsia="zh-CN" w:bidi="hi-IN"/>
                    </w:rPr>
                    <w:t xml:space="preserve"> aukciono būdu paskyrus antžeminėms radijo ryšio sistemoms, kuriomis galima teikti belaidžio plačiajuosčio elektroninio ryšio paslaugas (toliau – antžeminės sistemos) diegti, būtų užtikrintas aprėpčiai esminio spektro resurso efektyvus naudojimas, spartesnė antžeminių sistemų plėtra.</w:t>
                  </w:r>
                  <w:r>
                    <w:t xml:space="preserve"> </w:t>
                  </w:r>
                </w:p>
              </w:sdtContent>
            </w:sdt>
            <w:sdt>
              <w:sdtPr>
                <w:alias w:val="1.2 pp."/>
                <w:tag w:val="part_7fa0ed10b188473b9433cd9f58fffe56"/>
                <w:lock w:val="sdtLocked"/>
                <w:richText/>
              </w:sdtPr>
              <w:sdtContent>
                <w:p>
                  <w:pPr>
                    <w:shd w:val="clear" w:color="auto" w:fill="FFFFFF"/>
                    <w:tabs>
                      <w:tab w:val="left" w:pos="0"/>
                    </w:tabs>
                    <w:suppressAutoHyphens/>
                    <w:ind w:right="19" w:firstLine="709"/>
                    <w:jc w:val="both"/>
                    <w:textAlignment w:val="baseline"/>
                    <w:rPr>
                      <w:szCs w:val="24"/>
                    </w:rPr>
                  </w:pPr>
                  <w:sdt>
                    <w:sdtPr>
                      <w:alias w:val="Numeris"/>
                      <w:tag w:val="nr_7fa0ed10b188473b9433cd9f58fffe56"/>
                      <w:lock w:val="sdtLocked"/>
                      <w:richText/>
                    </w:sdtPr>
                    <w:sdtContent>
                      <w:r>
                        <w:rPr>
                          <w:rFonts w:eastAsia="Calibri"/>
                          <w:kern w:val="3"/>
                          <w:szCs w:val="24"/>
                          <w:lang w:eastAsia="zh-CN"/>
                        </w:rPr>
                        <w:t>1.2</w:t>
                      </w:r>
                    </w:sdtContent>
                  </w:sdt>
                  <w:r>
                    <w:rPr>
                      <w:rFonts w:eastAsia="Calibri"/>
                      <w:kern w:val="3"/>
                      <w:szCs w:val="24"/>
                      <w:lang w:eastAsia="zh-CN"/>
                    </w:rPr>
                    <w:t xml:space="preserve">. </w:t>
                  </w:r>
                  <w:r>
                    <w:rPr>
                      <w:rFonts w:eastAsia="Calibri"/>
                      <w:i/>
                      <w:iCs/>
                      <w:kern w:val="3"/>
                      <w:szCs w:val="24"/>
                      <w:lang w:eastAsia="zh-CN"/>
                    </w:rPr>
                    <w:t xml:space="preserve"> </w:t>
                  </w:r>
                  <w:r>
                    <w:rPr>
                      <w:rFonts w:eastAsia="Calibri"/>
                      <w:color w:val="000000"/>
                      <w:kern w:val="3"/>
                      <w:szCs w:val="24"/>
                      <w:lang w:eastAsia="zh-CN"/>
                    </w:rPr>
                    <w:t xml:space="preserve">RRT, vadovaudamasi Elektroninių ryšių įstatymo 62 straipsnio 1 dalies 3 punktu ir 65 straipsniu, numato vykdyti aukcioną suteikti teisę naudoti radijo dažnius (kanalus), skirtus plačiajuosčio ryšio plėtrai. Atitinkamai </w:t>
                  </w:r>
                  <w:r>
                    <w:rPr>
                      <w:rFonts w:eastAsia="Calibri"/>
                      <w:i/>
                      <w:iCs/>
                      <w:kern w:val="3"/>
                      <w:szCs w:val="24"/>
                      <w:lang w:eastAsia="zh-CN"/>
                    </w:rPr>
                    <w:t>RRT tarybos nutarimo</w:t>
                  </w:r>
                  <w:r>
                    <w:rPr>
                      <w:i/>
                      <w:iCs/>
                    </w:rPr>
                    <w:t xml:space="preserve"> „Dėl Aukciono suteikti teisę naudoti radijo dažnius (kanalus) iš </w:t>
                  </w:r>
                  <w:r>
                    <w:rPr>
                      <w:bCs/>
                      <w:i/>
                      <w:iCs/>
                      <w:color w:val="000000"/>
                    </w:rPr>
                    <w:t>703</w:t>
                  </w:r>
                  <w:r>
                    <w:rPr>
                      <w:i/>
                      <w:iCs/>
                      <w:color w:val="000000"/>
                    </w:rPr>
                    <w:t>–</w:t>
                  </w:r>
                  <w:r>
                    <w:rPr>
                      <w:bCs/>
                      <w:i/>
                      <w:iCs/>
                      <w:color w:val="000000"/>
                    </w:rPr>
                    <w:t>733 MHz ir 758</w:t>
                  </w:r>
                  <w:r>
                    <w:rPr>
                      <w:i/>
                      <w:iCs/>
                      <w:color w:val="000000"/>
                    </w:rPr>
                    <w:t>–</w:t>
                  </w:r>
                  <w:r>
                    <w:rPr>
                      <w:bCs/>
                      <w:i/>
                      <w:iCs/>
                      <w:color w:val="000000"/>
                    </w:rPr>
                    <w:t xml:space="preserve">788 MHz </w:t>
                  </w:r>
                  <w:r>
                    <w:rPr>
                      <w:bCs/>
                      <w:i/>
                      <w:iCs/>
                    </w:rPr>
                    <w:t xml:space="preserve">suporuotos radijo dažnių juostos, </w:t>
                  </w:r>
                  <w:r>
                    <w:rPr>
                      <w:bCs/>
                      <w:i/>
                      <w:iCs/>
                      <w:color w:val="000000"/>
                    </w:rPr>
                    <w:t>1432–1472 MHz ir 1492–1512 MHz</w:t>
                  </w:r>
                  <w:r>
                    <w:rPr>
                      <w:bCs/>
                      <w:i/>
                      <w:iCs/>
                    </w:rPr>
                    <w:t xml:space="preserve"> radijo dažnių juostų</w:t>
                  </w:r>
                  <w:r>
                    <w:rPr>
                      <w:bCs/>
                      <w:i/>
                      <w:iCs/>
                      <w:caps/>
                    </w:rPr>
                    <w:t xml:space="preserve">, </w:t>
                  </w:r>
                  <w:r>
                    <w:rPr>
                      <w:i/>
                      <w:iCs/>
                      <w:bdr w:val="none" w:sz="0" w:space="0" w:color="auto" w:frame="1"/>
                      <w:shd w:val="clear" w:color="auto" w:fill="FFFFFF"/>
                    </w:rPr>
                    <w:t>1920–1980 MHz ir 2110–2170 MHz</w:t>
                  </w:r>
                  <w:r>
                    <w:rPr>
                      <w:bCs/>
                      <w:i/>
                      <w:iCs/>
                    </w:rPr>
                    <w:t xml:space="preserve"> suporuotos radijo dažnių juostos sąlygų aprašo patvirtinimo“ projektu </w:t>
                  </w:r>
                  <w:r>
                    <w:rPr>
                      <w:rFonts w:eastAsia="Calibri"/>
                      <w:kern w:val="3"/>
                      <w:szCs w:val="24"/>
                      <w:lang w:eastAsia="zh-CN"/>
                    </w:rPr>
                    <w:t xml:space="preserve">(toliau – Projektas Nr. 2) siekiama patvirtinti </w:t>
                  </w:r>
                  <w:r>
                    <w:t xml:space="preserve">Aukciono suteikti teisę naudoti radijo dažnius (kanalus) iš </w:t>
                  </w:r>
                  <w:r>
                    <w:rPr>
                      <w:bCs/>
                      <w:color w:val="000000"/>
                    </w:rPr>
                    <w:t>703</w:t>
                  </w:r>
                  <w:r>
                    <w:rPr>
                      <w:color w:val="000000"/>
                    </w:rPr>
                    <w:t>–</w:t>
                  </w:r>
                  <w:r>
                    <w:rPr>
                      <w:bCs/>
                      <w:color w:val="000000"/>
                    </w:rPr>
                    <w:t>733 MHz ir 758</w:t>
                  </w:r>
                  <w:r>
                    <w:rPr>
                      <w:color w:val="000000"/>
                    </w:rPr>
                    <w:t>–</w:t>
                  </w:r>
                  <w:r>
                    <w:rPr>
                      <w:bCs/>
                      <w:color w:val="000000"/>
                    </w:rPr>
                    <w:t xml:space="preserve">788 MHz </w:t>
                  </w:r>
                  <w:r>
                    <w:rPr>
                      <w:bCs/>
                    </w:rPr>
                    <w:t xml:space="preserve">suporuotos radijo dažnių juostos, </w:t>
                  </w:r>
                  <w:r>
                    <w:rPr>
                      <w:bCs/>
                      <w:color w:val="000000"/>
                    </w:rPr>
                    <w:t>1432–1472 MHz ir 1492–1512 MHz</w:t>
                  </w:r>
                  <w:r>
                    <w:rPr>
                      <w:bCs/>
                    </w:rPr>
                    <w:t xml:space="preserve"> radijo dažnių juostų</w:t>
                  </w:r>
                  <w:r>
                    <w:rPr>
                      <w:bCs/>
                      <w:caps/>
                    </w:rPr>
                    <w:t xml:space="preserve">, </w:t>
                  </w:r>
                  <w:r>
                    <w:rPr>
                      <w:bdr w:val="none" w:sz="0" w:space="0" w:color="auto" w:frame="1"/>
                      <w:shd w:val="clear" w:color="auto" w:fill="FFFFFF"/>
                    </w:rPr>
                    <w:t>1920–1980 MHz ir 2110–2170 MHz</w:t>
                  </w:r>
                  <w:r>
                    <w:rPr>
                      <w:bCs/>
                    </w:rPr>
                    <w:t xml:space="preserve"> suporuotos radijo dažnių juostos sąlygų aprašą (toliau – Aukciono sąlygų aprašo projektas)</w:t>
                  </w:r>
                  <w:r>
                    <w:rPr>
                      <w:szCs w:val="24"/>
                    </w:rPr>
                    <w:t xml:space="preserve"> ir nustatyti aukciono suteikti teisę naudoti radijo dažnius (kanalus) iš </w:t>
                  </w:r>
                  <w:r>
                    <w:rPr>
                      <w:bCs/>
                      <w:szCs w:val="24"/>
                    </w:rPr>
                    <w:t>700 MHz juostos</w:t>
                  </w:r>
                  <w:r>
                    <w:rPr>
                      <w:szCs w:val="24"/>
                    </w:rPr>
                    <w:t xml:space="preserve">, </w:t>
                  </w:r>
                  <w:r>
                    <w:rPr>
                      <w:color w:val="000000"/>
                      <w:szCs w:val="24"/>
                    </w:rPr>
                    <w:t>1432–1472 MHz ir 1492–1512 MHz</w:t>
                  </w:r>
                  <w:r>
                    <w:rPr>
                      <w:szCs w:val="24"/>
                    </w:rPr>
                    <w:t xml:space="preserve"> radijo dažnių juostų (toliau – 1500 MHz juosta), </w:t>
                  </w:r>
                  <w:r>
                    <w:rPr>
                      <w:color w:val="000000"/>
                      <w:szCs w:val="24"/>
                    </w:rPr>
                    <w:t>1920–1980 MHz</w:t>
                  </w:r>
                  <w:r>
                    <w:rPr>
                      <w:szCs w:val="24"/>
                    </w:rPr>
                    <w:t xml:space="preserve"> ir 2110</w:t>
                  </w:r>
                  <w:r>
                    <w:rPr>
                      <w:color w:val="000000"/>
                      <w:szCs w:val="24"/>
                    </w:rPr>
                    <w:t xml:space="preserve">–2170 MHz suporuotos </w:t>
                  </w:r>
                  <w:r>
                    <w:rPr>
                      <w:szCs w:val="24"/>
                    </w:rPr>
                    <w:t xml:space="preserve">radijo dažnių juostos (toliau – 2100 MHz juosta) (toliau – aukcionas) vykdymo procedūras, pradinės kainos už teisę naudoti radijo dažnius (kanalus) iš šių radijo dažnių juostų dydį, aukciono dalyvių kvalifikacinius ir kitus reikalavimus, radijo dažnių (kanalų) paskirtį, pagrindines naudojimo ir kitas aukciono vykdymo sąlygas. </w:t>
                  </w:r>
                </w:p>
                <w:p>
                  <w:pPr>
                    <w:widowControl w:val="0"/>
                    <w:suppressAutoHyphens/>
                    <w:ind w:firstLine="709"/>
                    <w:jc w:val="both"/>
                    <w:textAlignment w:val="baseline"/>
                    <w:rPr>
                      <w:rFonts w:eastAsia="Droid Sans Fallback"/>
                      <w:kern w:val="3"/>
                      <w:lang w:eastAsia="zh-CN" w:bidi="hi-IN"/>
                    </w:rPr>
                  </w:pPr>
                  <w:r>
                    <w:rPr>
                      <w:szCs w:val="24"/>
                    </w:rPr>
                    <w:t xml:space="preserve">Priėmus Aukciono sąlygų aprašo projektą, bus sudarytos sąlygos vykdyti radijo dažnių (kanalų) iš </w:t>
                  </w:r>
                  <w:r>
                    <w:rPr>
                      <w:bCs/>
                      <w:szCs w:val="24"/>
                    </w:rPr>
                    <w:t>700 MHz juostos,</w:t>
                  </w:r>
                  <w:r>
                    <w:rPr>
                      <w:szCs w:val="24"/>
                    </w:rPr>
                    <w:t xml:space="preserve"> 1500 MHz juostos ir 2100 MHz juostos </w:t>
                  </w:r>
                  <w:r>
                    <w:rPr>
                      <w:bCs/>
                      <w:szCs w:val="24"/>
                    </w:rPr>
                    <w:t xml:space="preserve">aukcioną. </w:t>
                  </w:r>
                  <w:r>
                    <w:rPr>
                      <w:color w:val="000000"/>
                      <w:bdr w:val="none" w:sz="0" w:space="0" w:color="auto" w:frame="1"/>
                    </w:rPr>
                    <w:t>Juo siekiama spartesnio, atsparesnio ir visiems prieinamo mobiliojo ryšio plėtros visoje Lietuvoje. Aukciono rezultatai formuos mobiliojo ryšio plėtros kryptį artimiausius penkerius metus.</w:t>
                  </w:r>
                  <w:r>
                    <w:rPr>
                      <w:rFonts w:ascii="Calibri" w:hAnsi="Calibri" w:cs="Calibri"/>
                      <w:color w:val="000000"/>
                      <w:bdr w:val="none" w:sz="0" w:space="0" w:color="auto" w:frame="1"/>
                    </w:rPr>
                    <w:t xml:space="preserve"> </w:t>
                  </w:r>
                  <w:r>
                    <w:rPr>
                      <w:bCs/>
                      <w:szCs w:val="24"/>
                    </w:rPr>
                    <w:t xml:space="preserve">Aukciono laimėtojams </w:t>
                  </w:r>
                  <w:r>
                    <w:rPr>
                      <w:rFonts w:eastAsia="Droid Sans Fallback"/>
                      <w:kern w:val="3"/>
                      <w:lang w:eastAsia="zh-CN" w:bidi="hi-IN"/>
                    </w:rPr>
                    <w:t>pask</w:t>
                  </w:r>
                  <w:r>
                    <w:rPr>
                      <w:rFonts w:eastAsia="Droid Sans Fallback"/>
                      <w:lang w:eastAsia="zh-CN" w:bidi="hi-IN"/>
                    </w:rPr>
                    <w:t>yrus</w:t>
                  </w:r>
                  <w:r>
                    <w:rPr>
                      <w:rFonts w:eastAsia="Droid Sans Fallback"/>
                      <w:kern w:val="3"/>
                      <w:lang w:eastAsia="zh-CN" w:bidi="hi-IN"/>
                    </w:rPr>
                    <w:t xml:space="preserve"> šiuo metu nenaudoja</w:t>
                  </w:r>
                  <w:r>
                    <w:rPr>
                      <w:rFonts w:eastAsia="Droid Sans Fallback"/>
                      <w:lang w:eastAsia="zh-CN" w:bidi="hi-IN"/>
                    </w:rPr>
                    <w:t>mus</w:t>
                  </w:r>
                  <w:r>
                    <w:rPr>
                      <w:rFonts w:eastAsia="Droid Sans Fallback"/>
                      <w:kern w:val="3"/>
                      <w:lang w:eastAsia="zh-CN" w:bidi="hi-IN"/>
                    </w:rPr>
                    <w:t xml:space="preserve"> radijo dažni</w:t>
                  </w:r>
                  <w:r>
                    <w:rPr>
                      <w:rFonts w:eastAsia="Droid Sans Fallback"/>
                      <w:lang w:eastAsia="zh-CN" w:bidi="hi-IN"/>
                    </w:rPr>
                    <w:t>us</w:t>
                  </w:r>
                  <w:r>
                    <w:rPr>
                      <w:rFonts w:eastAsia="Droid Sans Fallback"/>
                      <w:kern w:val="3"/>
                      <w:lang w:eastAsia="zh-CN" w:bidi="hi-IN"/>
                    </w:rPr>
                    <w:t xml:space="preserve"> (kanalus) iš 1500 MHz ir </w:t>
                  </w:r>
                  <w:r>
                    <w:rPr>
                      <w:color w:val="000000"/>
                    </w:rPr>
                    <w:t>700 MHz juostų, atlikus radijo dažnių (kanalų) iš 700 MHz juostos</w:t>
                  </w:r>
                  <w:r>
                    <w:rPr>
                      <w:rFonts w:eastAsia="Droid Sans Fallback"/>
                      <w:kern w:val="3"/>
                      <w:lang w:eastAsia="zh-CN" w:bidi="hi-IN"/>
                    </w:rPr>
                    <w:t xml:space="preserve"> sukeitimus, paskyrus radijo dažnius (kanalus) iš 2100 MHz juostos (leidimai galioja iki 2026 m. vasario – kovo mėn.), bus užtikrintas aprėpčiai esminio radijo dažnių (kanalų) resurso efektyvus naudojimas, spartesnė antžeminių sistemų plėtra, </w:t>
                  </w:r>
                  <w:r>
                    <w:rPr>
                      <w:color w:val="000000"/>
                      <w:bdr w:val="none" w:sz="0" w:space="0" w:color="auto" w:frame="1"/>
                    </w:rPr>
                    <w:t>investicijos į tinklų plėtrą regionuose,</w:t>
                  </w:r>
                  <w:r>
                    <w:rPr>
                      <w:rFonts w:eastAsia="Droid Sans Fallback"/>
                      <w:kern w:val="3"/>
                      <w:lang w:eastAsia="zh-CN" w:bidi="hi-IN"/>
                    </w:rPr>
                    <w:t xml:space="preserve"> tuo sudarant sąlygas Lietuvoje teikti aukštos kokybės ir spartos belaidžio plačiajuosčio ryšio paslaugas.</w:t>
                  </w:r>
                </w:p>
                <w:p>
                  <w:pPr>
                    <w:widowControl w:val="0"/>
                    <w:suppressAutoHyphens/>
                    <w:ind w:firstLine="709"/>
                    <w:jc w:val="both"/>
                    <w:textAlignment w:val="baseline"/>
                    <w:rPr>
                      <w:rFonts w:eastAsia="Droid Sans Fallback"/>
                      <w:kern w:val="3"/>
                      <w:lang w:eastAsia="zh-CN" w:bidi="hi-IN"/>
                    </w:rPr>
                  </w:pPr>
                </w:p>
              </w:sdtContent>
            </w:sdt>
          </w:sdtContent>
        </w:sdt>
        <w:sdt>
          <w:sdtPr>
            <w:alias w:val="2 p."/>
            <w:tag w:val="part_90dfa6b297ff49ef9c7e108a5ff71200"/>
            <w:lock w:val="sdtLocked"/>
            <w:richText/>
          </w:sdtPr>
          <w:sdtContent>
            <w:p>
              <w:pPr>
                <w:shd w:val="clear" w:color="auto" w:fill="FFFFFF"/>
                <w:tabs>
                  <w:tab w:val="left" w:pos="0"/>
                </w:tabs>
                <w:suppressAutoHyphens/>
                <w:ind w:right="19" w:firstLine="709"/>
                <w:jc w:val="both"/>
                <w:textAlignment w:val="baseline"/>
                <w:rPr>
                  <w:rFonts w:eastAsia="Calibri"/>
                  <w:kern w:val="3"/>
                  <w:szCs w:val="24"/>
                  <w:lang w:eastAsia="zh-CN"/>
                </w:rPr>
              </w:pPr>
              <w:sdt>
                <w:sdtPr>
                  <w:alias w:val="Numeris"/>
                  <w:tag w:val="nr_90dfa6b297ff49ef9c7e108a5ff71200"/>
                  <w:lock w:val="sdtLocked"/>
                  <w:richText/>
                </w:sdtPr>
                <w:sdtContent>
                  <w:r>
                    <w:rPr>
                      <w:rFonts w:eastAsia="Calibri"/>
                      <w:b/>
                      <w:bCs/>
                      <w:kern w:val="3"/>
                      <w:szCs w:val="24"/>
                      <w:lang w:eastAsia="zh-CN"/>
                    </w:rPr>
                    <w:t>2</w:t>
                  </w:r>
                </w:sdtContent>
              </w:sdt>
              <w:r>
                <w:rPr>
                  <w:rFonts w:eastAsia="Calibri"/>
                  <w:b/>
                  <w:bCs/>
                  <w:kern w:val="3"/>
                  <w:szCs w:val="24"/>
                  <w:lang w:eastAsia="zh-CN"/>
                </w:rPr>
                <w:t>. Teisės aktų projektų rengėjai</w:t>
              </w:r>
            </w:p>
            <w:p>
              <w:pPr>
                <w:suppressAutoHyphens/>
                <w:ind w:firstLine="709"/>
                <w:jc w:val="both"/>
                <w:textAlignment w:val="baseline"/>
                <w:rPr>
                  <w:rFonts w:eastAsia="Calibri"/>
                  <w:kern w:val="3"/>
                  <w:szCs w:val="24"/>
                  <w:lang w:eastAsia="zh-CN"/>
                </w:rPr>
              </w:pPr>
              <w:r>
                <w:rPr>
                  <w:rFonts w:eastAsia="Calibri"/>
                  <w:kern w:val="3"/>
                  <w:szCs w:val="24"/>
                  <w:lang w:eastAsia="lt-LT"/>
                </w:rPr>
                <w:t xml:space="preserve">Projekto Nr. 1 ir Projekto Nr. 2 (toliau kartu – projektai) rengimą koordinuoja </w:t>
              </w:r>
              <w:r>
                <w:rPr>
                  <w:rFonts w:eastAsia="Calibri"/>
                  <w:color w:val="000000"/>
                  <w:kern w:val="3"/>
                  <w:szCs w:val="24"/>
                  <w:lang w:eastAsia="zh-CN"/>
                </w:rPr>
                <w:t xml:space="preserve">RRT suformuota aukciono suteikti teisę naudoti radijo dažnius (kanalus) iš </w:t>
              </w:r>
              <w:r>
                <w:rPr>
                  <w:bCs/>
                  <w:szCs w:val="24"/>
                </w:rPr>
                <w:t>700 MHz,</w:t>
              </w:r>
              <w:r>
                <w:rPr>
                  <w:szCs w:val="24"/>
                </w:rPr>
                <w:t xml:space="preserve"> 1500 MHz ir 2100 MHz juostų įgyvendinimo komanda.</w:t>
              </w:r>
              <w:r>
                <w:rPr>
                  <w:rFonts w:eastAsia="Calibri"/>
                  <w:color w:val="000000"/>
                  <w:kern w:val="3"/>
                  <w:szCs w:val="24"/>
                  <w:lang w:eastAsia="zh-CN"/>
                </w:rPr>
                <w:t xml:space="preserve"> Tiesioginiai projektų rengėjai – Elektroninių ryšių išteklių valdymo grupės </w:t>
              </w:r>
              <w:r>
                <w:rPr>
                  <w:rFonts w:eastAsia="Calibri"/>
                  <w:kern w:val="3"/>
                  <w:szCs w:val="24"/>
                  <w:lang w:eastAsia="lt-LT"/>
                </w:rPr>
                <w:t xml:space="preserve">(vadovė Jorūnė Mikulėnaitė-Baušienė, tel. +370 620 81 614, el. paštas jorune.mikulenaite@rrt.lt) vyresnysis patarėjas </w:t>
              </w:r>
              <w:r>
                <w:rPr>
                  <w:rFonts w:eastAsia="Calibri"/>
                  <w:kern w:val="3"/>
                  <w:szCs w:val="24"/>
                  <w:lang w:eastAsia="zh-CN"/>
                </w:rPr>
                <w:t xml:space="preserve">Arvydas Sujeta (tel. +370 658 22 866, el. p. </w:t>
              </w:r>
              <w:r>
                <w:rPr>
                  <w:rFonts w:eastAsia="Calibri"/>
                  <w:kern w:val="3"/>
                  <w:szCs w:val="24"/>
                  <w:lang w:eastAsia="zh-CN"/>
                </w:rPr>
                <w:t>arvydas.sujeta@rrt.lt</w:t>
              </w:r>
              <w:r>
                <w:rPr>
                  <w:rFonts w:eastAsia="Calibri"/>
                  <w:kern w:val="3"/>
                  <w:szCs w:val="24"/>
                  <w:lang w:eastAsia="zh-CN"/>
                </w:rPr>
                <w:t xml:space="preserve">) </w:t>
              </w:r>
              <w:r>
                <w:rPr>
                  <w:bCs/>
                </w:rPr>
                <w:t xml:space="preserve">ir Teisės ir vartotojų teisių apsaugos grupės (vadovė Aridana Jurčiukonienė, tel. +370 660 37433, el. paštas </w:t>
              </w:r>
              <w:r>
                <w:rPr>
                  <w:bCs/>
                </w:rPr>
                <w:t>aridana.jurciukoniene@rrt.lt</w:t>
              </w:r>
              <w:r>
                <w:rPr>
                  <w:bCs/>
                </w:rPr>
                <w:t>) vyriausioji patarėja Kristina Masiulytė (tel. +370  614 45 650, el. paštas kristina.masiulyte</w:t>
              </w:r>
              <w:r>
                <w:rPr>
                  <w:lang w:val="en-US"/>
                </w:rPr>
                <w:t>@rrt.lt</w:t>
              </w:r>
              <w:r>
                <w:rPr>
                  <w:bCs/>
                </w:rPr>
                <w:t>)</w:t>
              </w:r>
              <w:r>
                <w:rPr>
                  <w:rFonts w:eastAsia="Calibri"/>
                  <w:kern w:val="3"/>
                  <w:szCs w:val="24"/>
                  <w:lang w:eastAsia="zh-CN"/>
                </w:rPr>
                <w:t>.</w:t>
              </w:r>
              <w:r>
                <w:t xml:space="preserve"> </w:t>
              </w:r>
            </w:p>
            <w:p>
              <w:pPr>
                <w:suppressAutoHyphens/>
                <w:ind w:firstLine="709"/>
                <w:jc w:val="both"/>
                <w:textAlignment w:val="baseline"/>
                <w:rPr>
                  <w:rFonts w:eastAsia="Calibri"/>
                  <w:kern w:val="3"/>
                  <w:sz w:val="20"/>
                  <w:lang w:eastAsia="zh-CN"/>
                </w:rPr>
              </w:pPr>
            </w:p>
          </w:sdtContent>
        </w:sdt>
        <w:sdt>
          <w:sdtPr>
            <w:alias w:val="3 p."/>
            <w:tag w:val="part_b00237e619b34675bb2ad215efee7b03"/>
            <w:lock w:val="sdtLocked"/>
            <w:richText/>
          </w:sdtPr>
          <w:sdtContent>
            <w:p>
              <w:pPr>
                <w:widowControl w:val="0"/>
                <w:tabs>
                  <w:tab w:val="left" w:pos="993"/>
                </w:tabs>
                <w:suppressAutoHyphens/>
                <w:ind w:firstLine="709"/>
                <w:jc w:val="both"/>
                <w:textAlignment w:val="baseline"/>
                <w:rPr>
                  <w:rFonts w:eastAsia="Droid Sans Fallback"/>
                  <w:kern w:val="3"/>
                  <w:szCs w:val="24"/>
                  <w:lang w:eastAsia="zh-CN" w:bidi="hi-IN"/>
                </w:rPr>
              </w:pPr>
              <w:sdt>
                <w:sdtPr>
                  <w:alias w:val="Numeris"/>
                  <w:tag w:val="nr_b00237e619b34675bb2ad215efee7b03"/>
                  <w:lock w:val="sdtLocked"/>
                  <w:richText/>
                </w:sdtPr>
                <w:sdtContent>
                  <w:r>
                    <w:rPr>
                      <w:rFonts w:eastAsia="Droid Sans Fallback"/>
                      <w:b/>
                      <w:bCs/>
                      <w:kern w:val="3"/>
                      <w:szCs w:val="24"/>
                      <w:lang w:eastAsia="zh-CN" w:bidi="hi-IN"/>
                    </w:rPr>
                    <w:t>3</w:t>
                  </w:r>
                </w:sdtContent>
              </w:sdt>
              <w:r>
                <w:rPr>
                  <w:rFonts w:eastAsia="Droid Sans Fallback"/>
                  <w:b/>
                  <w:bCs/>
                  <w:kern w:val="3"/>
                  <w:szCs w:val="24"/>
                  <w:lang w:eastAsia="zh-CN" w:bidi="hi-IN"/>
                </w:rPr>
                <w:t>.</w:t>
                <w:tab/>
              </w:r>
              <w:r>
                <w:rPr>
                  <w:rFonts w:eastAsia="Droid Sans Fallback" w:cs="Mangal"/>
                  <w:b/>
                  <w:bCs/>
                  <w:color w:val="000000"/>
                  <w:spacing w:val="-1"/>
                  <w:kern w:val="3"/>
                  <w:szCs w:val="24"/>
                  <w:lang w:eastAsia="zh-CN" w:bidi="hi-IN"/>
                </w:rPr>
                <w:t xml:space="preserve">Dabartinis </w:t>
              </w:r>
              <w:r>
                <w:rPr>
                  <w:rFonts w:eastAsia="Droid Sans Fallback" w:cs="Mangal"/>
                  <w:b/>
                  <w:kern w:val="3"/>
                  <w:szCs w:val="24"/>
                  <w:lang w:eastAsia="zh-CN" w:bidi="hi-IN"/>
                </w:rPr>
                <w:t xml:space="preserve">teisės aktų projektuose aptartų </w:t>
              </w:r>
              <w:r>
                <w:rPr>
                  <w:rFonts w:eastAsia="Droid Sans Fallback" w:cs="Mangal"/>
                  <w:b/>
                  <w:bCs/>
                  <w:color w:val="000000"/>
                  <w:spacing w:val="-1"/>
                  <w:kern w:val="3"/>
                  <w:szCs w:val="24"/>
                  <w:lang w:eastAsia="zh-CN" w:bidi="hi-IN"/>
                </w:rPr>
                <w:t xml:space="preserve">teisinių santykių reglamentavimas </w:t>
              </w:r>
              <w:r>
                <w:rPr>
                  <w:rFonts w:eastAsia="Droid Sans Fallback"/>
                  <w:kern w:val="3"/>
                  <w:szCs w:val="24"/>
                  <w:lang w:eastAsia="zh-CN" w:bidi="hi-IN"/>
                </w:rPr>
                <w:t xml:space="preserve"> </w:t>
              </w:r>
            </w:p>
            <w:p>
              <w:pPr>
                <w:widowControl w:val="0"/>
                <w:tabs>
                  <w:tab w:val="left" w:pos="993"/>
                </w:tabs>
                <w:suppressAutoHyphens/>
                <w:ind w:firstLine="709"/>
                <w:jc w:val="both"/>
                <w:textAlignment w:val="baseline"/>
                <w:rPr>
                  <w:color w:val="000000"/>
                  <w:spacing w:val="-1"/>
                  <w:kern w:val="3"/>
                  <w:szCs w:val="24"/>
                  <w:lang w:eastAsia="zh-CN" w:bidi="hi-IN"/>
                </w:rPr>
              </w:pPr>
            </w:p>
            <w:sdt>
              <w:sdtPr>
                <w:alias w:val="3.1 pp."/>
                <w:tag w:val="part_f92f03e127e840f79f35d77c38b23a95"/>
                <w:lock w:val="sdtLocked"/>
                <w:richText/>
              </w:sdtPr>
              <w:sdtContent>
                <w:p>
                  <w:pPr>
                    <w:widowControl w:val="0"/>
                    <w:tabs>
                      <w:tab w:val="left" w:pos="993"/>
                    </w:tabs>
                    <w:suppressAutoHyphens/>
                    <w:ind w:firstLine="709"/>
                    <w:jc w:val="both"/>
                    <w:textAlignment w:val="baseline"/>
                    <w:rPr>
                      <w:kern w:val="3"/>
                      <w:szCs w:val="24"/>
                      <w:u w:val="single"/>
                      <w:lang w:eastAsia="zh-CN" w:bidi="hi-IN"/>
                    </w:rPr>
                  </w:pPr>
                  <w:sdt>
                    <w:sdtPr>
                      <w:alias w:val="Numeris"/>
                      <w:tag w:val="nr_f92f03e127e840f79f35d77c38b23a95"/>
                      <w:lock w:val="sdtLocked"/>
                      <w:richText/>
                    </w:sdtPr>
                    <w:sdtContent>
                      <w:r>
                        <w:rPr>
                          <w:color w:val="000000"/>
                          <w:spacing w:val="-1"/>
                          <w:kern w:val="3"/>
                          <w:szCs w:val="24"/>
                          <w:lang w:eastAsia="zh-CN" w:bidi="hi-IN"/>
                        </w:rPr>
                        <w:t>3.1</w:t>
                      </w:r>
                    </w:sdtContent>
                  </w:sdt>
                  <w:r>
                    <w:rPr>
                      <w:color w:val="000000"/>
                      <w:spacing w:val="-1"/>
                      <w:kern w:val="3"/>
                      <w:szCs w:val="24"/>
                      <w:lang w:eastAsia="zh-CN" w:bidi="hi-IN"/>
                    </w:rPr>
                    <w:t xml:space="preserve">. </w:t>
                  </w:r>
                  <w:r>
                    <w:rPr>
                      <w:i/>
                      <w:iCs/>
                      <w:color w:val="000000"/>
                      <w:spacing w:val="-1"/>
                      <w:kern w:val="3"/>
                      <w:szCs w:val="24"/>
                      <w:lang w:eastAsia="zh-CN" w:bidi="hi-IN"/>
                    </w:rPr>
                    <w:t xml:space="preserve"> Dabartinis P</w:t>
                  </w:r>
                  <w:r>
                    <w:rPr>
                      <w:i/>
                      <w:iCs/>
                      <w:kern w:val="3"/>
                      <w:szCs w:val="24"/>
                      <w:lang w:eastAsia="zh-CN" w:bidi="hi-IN"/>
                    </w:rPr>
                    <w:t xml:space="preserve">rojekte Nr. 1 aptartų </w:t>
                  </w:r>
                  <w:r>
                    <w:rPr>
                      <w:i/>
                      <w:iCs/>
                      <w:color w:val="000000"/>
                      <w:spacing w:val="-1"/>
                      <w:kern w:val="3"/>
                      <w:szCs w:val="24"/>
                      <w:lang w:eastAsia="zh-CN" w:bidi="hi-IN"/>
                    </w:rPr>
                    <w:t>teisinių santykių reglamentavimas.</w:t>
                  </w:r>
                  <w:r>
                    <w:rPr>
                      <w:i/>
                      <w:iCs/>
                      <w:kern w:val="3"/>
                      <w:szCs w:val="24"/>
                      <w:lang w:eastAsia="zh-CN" w:bidi="hi-IN"/>
                    </w:rPr>
                    <w:t xml:space="preserve"> </w:t>
                  </w:r>
                </w:p>
                <w:p>
                  <w:pPr>
                    <w:widowControl w:val="0"/>
                    <w:suppressAutoHyphens/>
                    <w:ind w:firstLine="709"/>
                    <w:jc w:val="both"/>
                    <w:textAlignment w:val="baseline"/>
                    <w:rPr>
                      <w:color w:val="000000"/>
                      <w:szCs w:val="24"/>
                    </w:rPr>
                  </w:pPr>
                  <w:r>
                    <w:rPr>
                      <w:color w:val="000000"/>
                      <w:szCs w:val="24"/>
                    </w:rPr>
                    <w:t xml:space="preserve">Radijo ryšio plėtros 470–790 MHz radijo dažnių juostoje plano, patvirtinto </w:t>
                  </w:r>
                  <w:r>
                    <w:rPr>
                      <w:kern w:val="3"/>
                      <w:szCs w:val="24"/>
                      <w:lang w:eastAsia="zh-CN"/>
                    </w:rPr>
                    <w:t>RRT direktoriaus 2018 m. rugpjūčio 10 d. įsakymu Nr. 1V-731 „Dėl Radijo ryšio plėtros 470–790 MHz radijo dažnių juostoje plano patvirtinimo“</w:t>
                  </w:r>
                  <w:r>
                    <w:rPr>
                      <w:color w:val="000000"/>
                      <w:szCs w:val="24"/>
                    </w:rPr>
                    <w:t xml:space="preserve"> (toliau – Planas) 5.1 papunktis nustato, kad radijo dažniai (kanalai) iš 703–713 MHz ir 758–768 MHz suporuotos radijo dažnių juostos aukciono būdu skiriami naudoti antžeminėms sistemoms, išskyrus šiame papunktyje nurodytu atveju. Plano 5.1 papunktyje nustatyta, kad jeigu nepavyksta išspręsti tarpvalstybinio koordinavimo klausimų su Lietuvos kaimyninėmis valstybėmis dėl radijo dažnių (kanalų), nurodytų Plano 5.4 papunktyje, naudojimo, gavus Lietuvos Respublikos vidaus reikalų ministerijos arba jos įgaliotos institucijos prašymą, radijo dažniai (kanalai) iš Plano 5.1 papunktyje nurodytų radijo dažnių juostų Radijo dažnių (kanalų) skyrimo ir naudojimo taisyklių XI skyriuje nustatyta tvarka gali būti skiriami naudoti PPDR sistemoms.</w:t>
                  </w:r>
                </w:p>
                <w:p>
                  <w:pPr>
                    <w:widowControl w:val="0"/>
                    <w:suppressAutoHyphens/>
                    <w:ind w:firstLine="709"/>
                    <w:jc w:val="both"/>
                    <w:textAlignment w:val="baseline"/>
                    <w:rPr>
                      <w:kern w:val="3"/>
                      <w:szCs w:val="24"/>
                      <w:lang w:eastAsia="zh-CN" w:bidi="hi-IN"/>
                    </w:rPr>
                  </w:pPr>
                  <w:r>
                    <w:rPr>
                      <w:kern w:val="3"/>
                      <w:szCs w:val="24"/>
                      <w:lang w:eastAsia="zh-CN" w:bidi="hi-IN"/>
                    </w:rPr>
                    <w:t>P</w:t>
                  </w:r>
                  <w:r>
                    <w:rPr>
                      <w:color w:val="000000"/>
                      <w:szCs w:val="24"/>
                    </w:rPr>
                    <w:t xml:space="preserve">lano 10 punktas numato, kad kiekvienam aukciono laimėtojui (įskaitant su juo susijusius asmenis) gali būti suteikta teisė naudoti radijo dažnius (kanalus), sudarančius ne didesnio kaip 2x10 MHz pločio suporuotą radijo </w:t>
                  </w:r>
                  <w:r>
                    <w:rPr>
                      <w:szCs w:val="24"/>
                    </w:rPr>
                    <w:t>dažnių juostą, t. y. kiekviena juosta toje poroje negali būti didesnio nei 10 MHz pločio.</w:t>
                  </w:r>
                </w:p>
                <w:p>
                  <w:pPr>
                    <w:widowControl w:val="0"/>
                    <w:suppressAutoHyphens/>
                    <w:ind w:firstLine="709"/>
                    <w:jc w:val="both"/>
                    <w:textAlignment w:val="baseline"/>
                    <w:rPr>
                      <w:kern w:val="3"/>
                      <w:szCs w:val="24"/>
                      <w:lang w:eastAsia="zh-CN" w:bidi="hi-IN"/>
                    </w:rPr>
                  </w:pPr>
                  <w:r>
                    <w:rPr>
                      <w:kern w:val="3"/>
                      <w:szCs w:val="24"/>
                      <w:lang w:eastAsia="zh-CN" w:bidi="hi-IN"/>
                    </w:rPr>
                    <w:t xml:space="preserve">Radijo dažniai (kanalai) iš </w:t>
                  </w:r>
                  <w:r>
                    <w:rPr>
                      <w:color w:val="000000"/>
                      <w:szCs w:val="24"/>
                    </w:rPr>
                    <w:t>703–713 MHz ir 758–768 MHz suporuotos radijo dažnių juostos</w:t>
                  </w:r>
                  <w:r>
                    <w:rPr>
                      <w:kern w:val="3"/>
                      <w:szCs w:val="24"/>
                      <w:lang w:eastAsia="zh-CN" w:bidi="hi-IN"/>
                    </w:rPr>
                    <w:t xml:space="preserve"> šiuo metu nėra naudojami antžeminėms sistemoms diegti.</w:t>
                  </w:r>
                </w:p>
                <w:p>
                  <w:pPr>
                    <w:widowControl w:val="0"/>
                    <w:tabs>
                      <w:tab w:val="left" w:pos="993"/>
                    </w:tabs>
                    <w:suppressAutoHyphens/>
                    <w:ind w:firstLine="709"/>
                    <w:jc w:val="both"/>
                    <w:textAlignment w:val="baseline"/>
                    <w:rPr>
                      <w:rFonts w:eastAsia="Droid Sans Fallback" w:cs="Mangal"/>
                      <w:color w:val="000000"/>
                      <w:spacing w:val="-1"/>
                      <w:kern w:val="3"/>
                      <w:szCs w:val="24"/>
                      <w:lang w:eastAsia="zh-CN" w:bidi="hi-IN"/>
                    </w:rPr>
                  </w:pPr>
                </w:p>
              </w:sdtContent>
            </w:sdt>
            <w:sdt>
              <w:sdtPr>
                <w:alias w:val="3.2 pp."/>
                <w:tag w:val="part_3c5e382204b341c3b1e94a2477a502f5"/>
                <w:lock w:val="sdtLocked"/>
                <w:richText/>
              </w:sdtPr>
              <w:sdtContent>
                <w:p>
                  <w:pPr>
                    <w:widowControl w:val="0"/>
                    <w:tabs>
                      <w:tab w:val="left" w:pos="993"/>
                    </w:tabs>
                    <w:suppressAutoHyphens/>
                    <w:ind w:firstLine="709"/>
                    <w:jc w:val="both"/>
                    <w:textAlignment w:val="baseline"/>
                    <w:rPr>
                      <w:rFonts w:eastAsia="Droid Sans Fallback"/>
                      <w:i/>
                      <w:iCs/>
                      <w:kern w:val="3"/>
                      <w:szCs w:val="24"/>
                      <w:lang w:eastAsia="zh-CN" w:bidi="hi-IN"/>
                    </w:rPr>
                  </w:pPr>
                  <w:sdt>
                    <w:sdtPr>
                      <w:alias w:val="Numeris"/>
                      <w:tag w:val="nr_3c5e382204b341c3b1e94a2477a502f5"/>
                      <w:lock w:val="sdtLocked"/>
                      <w:richText/>
                    </w:sdtPr>
                    <w:sdtContent>
                      <w:r>
                        <w:rPr>
                          <w:rFonts w:eastAsia="Droid Sans Fallback" w:cs="Mangal"/>
                          <w:color w:val="000000"/>
                          <w:spacing w:val="-1"/>
                          <w:kern w:val="3"/>
                          <w:szCs w:val="24"/>
                          <w:lang w:eastAsia="zh-CN" w:bidi="hi-IN"/>
                        </w:rPr>
                        <w:t>3.2</w:t>
                      </w:r>
                    </w:sdtContent>
                  </w:sdt>
                  <w:r>
                    <w:rPr>
                      <w:rFonts w:eastAsia="Droid Sans Fallback" w:cs="Mangal"/>
                      <w:color w:val="000000"/>
                      <w:spacing w:val="-1"/>
                      <w:kern w:val="3"/>
                      <w:szCs w:val="24"/>
                      <w:lang w:eastAsia="zh-CN" w:bidi="hi-IN"/>
                    </w:rPr>
                    <w:t xml:space="preserve">. </w:t>
                  </w:r>
                  <w:r>
                    <w:rPr>
                      <w:rFonts w:eastAsia="Droid Sans Fallback" w:cs="Mangal"/>
                      <w:i/>
                      <w:iCs/>
                      <w:color w:val="000000"/>
                      <w:spacing w:val="-1"/>
                      <w:kern w:val="3"/>
                      <w:szCs w:val="24"/>
                      <w:lang w:eastAsia="zh-CN" w:bidi="hi-IN"/>
                    </w:rPr>
                    <w:t xml:space="preserve"> Dabartinis P</w:t>
                  </w:r>
                  <w:r>
                    <w:rPr>
                      <w:rFonts w:eastAsia="Droid Sans Fallback" w:cs="Mangal"/>
                      <w:i/>
                      <w:iCs/>
                      <w:kern w:val="3"/>
                      <w:szCs w:val="24"/>
                      <w:lang w:eastAsia="zh-CN" w:bidi="hi-IN"/>
                    </w:rPr>
                    <w:t xml:space="preserve">rojekte Nr. 2 aptartų </w:t>
                  </w:r>
                  <w:r>
                    <w:rPr>
                      <w:rFonts w:eastAsia="Droid Sans Fallback" w:cs="Mangal"/>
                      <w:i/>
                      <w:iCs/>
                      <w:color w:val="000000"/>
                      <w:spacing w:val="-1"/>
                      <w:kern w:val="3"/>
                      <w:szCs w:val="24"/>
                      <w:lang w:eastAsia="zh-CN" w:bidi="hi-IN"/>
                    </w:rPr>
                    <w:t xml:space="preserve">teisinių santykių reglamentavimas. </w:t>
                  </w:r>
                  <w:r>
                    <w:rPr>
                      <w:rFonts w:eastAsia="Droid Sans Fallback"/>
                      <w:i/>
                      <w:iCs/>
                      <w:kern w:val="3"/>
                      <w:szCs w:val="24"/>
                      <w:lang w:eastAsia="zh-CN" w:bidi="hi-IN"/>
                    </w:rPr>
                    <w:t xml:space="preserve"> </w:t>
                  </w:r>
                </w:p>
                <w:p>
                  <w:pPr>
                    <w:widowControl w:val="0"/>
                    <w:suppressAutoHyphens/>
                    <w:ind w:firstLine="709"/>
                    <w:jc w:val="both"/>
                    <w:textAlignment w:val="baseline"/>
                    <w:rPr>
                      <w:rFonts w:eastAsia="Calibri"/>
                      <w:szCs w:val="24"/>
                      <w:lang w:bidi="hi-IN"/>
                    </w:rPr>
                  </w:pPr>
                  <w:r>
                    <w:rPr>
                      <w:rFonts w:eastAsia="Calibri"/>
                      <w:szCs w:val="24"/>
                      <w:lang w:bidi="hi-IN"/>
                    </w:rPr>
                    <w:t xml:space="preserve">Vadovaujantis Elektroninių ryšių įstatymo 65 straipsniu, aukcionas organizuojamas Elektroninių ryšių įstatyme, RRT tvirtinamuose Elektroninių ryšių išteklių skyrimo ir naudojimo taisyklėse bei aukciono sąlygų apraše nustatyta tvarka. Aukciono sąlygų apraše turi būti nustatyti dalyvių kvalifikaciniai reikalavimai, apibrėžta rinka, kurioje elektroninių ryšių ištekliai bus naudojami, elektroninių ryšių išteklių naudojimo sąlygos, taip pat minimalus elektroninių ryšių išteklių, kuriuos dalyvis turi pirkti aukcione, kiekis, įmokos, kuri lygi didžiausiai pasiūlytai kainai už aukciono būdu suteikiamą teisę naudoti elektroninių ryšių išteklius, sumokėjimo į valstybės biudžetą tvarka ir sąlygos. </w:t>
                  </w:r>
                </w:p>
                <w:p>
                  <w:pPr>
                    <w:tabs>
                      <w:tab w:val="left" w:pos="993"/>
                    </w:tabs>
                    <w:ind w:firstLine="709"/>
                    <w:jc w:val="both"/>
                    <w:rPr>
                      <w:color w:val="000000"/>
                      <w:szCs w:val="24"/>
                    </w:rPr>
                  </w:pPr>
                  <w:r>
                    <w:rPr>
                      <w:szCs w:val="24"/>
                    </w:rPr>
                    <w:t xml:space="preserve">Elektroninių ryšių išteklių skyrimo ir naudojimo taisyklių, patvirtintų RRT tarybos 2025 m. birželio 3 d. nutarimu Nr. TN-339 „Dėl Elektroninių ryšių išteklių skyrimo ir naudojimo taisyklių patvirtinimo“ (toliau – </w:t>
                  </w:r>
                  <w:r>
                    <w:rPr>
                      <w:rFonts w:eastAsia="Calibri"/>
                      <w:szCs w:val="24"/>
                      <w:lang w:bidi="hi-IN"/>
                    </w:rPr>
                    <w:t xml:space="preserve">Elektroninių ryšių išteklių skyrimo ir naudojimo taisyklės), </w:t>
                  </w:r>
                  <w:r>
                    <w:rPr>
                      <w:szCs w:val="24"/>
                    </w:rPr>
                    <w:t xml:space="preserve">316 punkte nustatyta, kad </w:t>
                  </w:r>
                  <w:r>
                    <w:rPr>
                      <w:color w:val="000000"/>
                      <w:szCs w:val="24"/>
                    </w:rPr>
                    <w:t xml:space="preserve">aukciono sąlygų apraše nurodoma Elektroninių ryšių įstatymo 65 straipsnio 2 dalyje nurodyta informacija, taip pat: ištekliai, kuriems naudoti skelbiamas aukcionas, ir jų naudojimo paskirtis; </w:t>
                  </w:r>
                  <w:r>
                    <w:rPr>
                      <w:color w:val="000000"/>
                      <w:szCs w:val="24"/>
                      <w:lang w:eastAsia="lt-LT"/>
                    </w:rPr>
                    <w:t>išteklių naudojimo</w:t>
                  </w:r>
                  <w:r>
                    <w:rPr>
                      <w:b/>
                      <w:bCs/>
                      <w:color w:val="000000"/>
                      <w:szCs w:val="24"/>
                      <w:lang w:eastAsia="lt-LT"/>
                    </w:rPr>
                    <w:t xml:space="preserve"> </w:t>
                  </w:r>
                  <w:r>
                    <w:rPr>
                      <w:color w:val="000000"/>
                      <w:szCs w:val="24"/>
                      <w:lang w:eastAsia="lt-LT"/>
                    </w:rPr>
                    <w:t>terminas;</w:t>
                  </w:r>
                  <w:r>
                    <w:rPr>
                      <w:szCs w:val="24"/>
                    </w:rPr>
                    <w:t xml:space="preserve"> </w:t>
                  </w:r>
                  <w:r>
                    <w:rPr>
                      <w:color w:val="000000"/>
                      <w:szCs w:val="24"/>
                    </w:rPr>
                    <w:t xml:space="preserve">dokumentai, kuriuos privalo pateikti asmuo, norintis dalyvauti aukcione, (toliau – aukciono dokumentai) ir jų pateikimo RRT reikalavimai, terminai ir būdai; </w:t>
                  </w:r>
                  <w:r>
                    <w:rPr>
                      <w:color w:val="000000"/>
                      <w:szCs w:val="24"/>
                      <w:lang w:eastAsia="lt-LT"/>
                    </w:rPr>
                    <w:t>kainos pasiūlymų teikimo etapo vykdymo būdas ir tvarka;</w:t>
                  </w:r>
                  <w:r>
                    <w:rPr>
                      <w:szCs w:val="24"/>
                    </w:rPr>
                    <w:t xml:space="preserve"> </w:t>
                  </w:r>
                  <w:r>
                    <w:rPr>
                      <w:color w:val="000000"/>
                      <w:szCs w:val="24"/>
                    </w:rPr>
                    <w:t>pradinė kaina už teisę naudoti išteklių ir minimalus jos didinimo žingsnis; aukciono dalyvio registracijos užmokesčio dydis, jei taikoma; informacija, kuri laikoma konfidencialia, ir jos valdymo tvarka; kitos su aukciono vykdymu susijusios sąlygos ir informacija.</w:t>
                  </w:r>
                </w:p>
                <w:p>
                  <w:pPr>
                    <w:widowControl w:val="0"/>
                    <w:suppressAutoHyphens/>
                    <w:jc w:val="both"/>
                    <w:textAlignment w:val="baseline"/>
                    <w:rPr>
                      <w:kern w:val="3"/>
                      <w:szCs w:val="24"/>
                      <w:lang w:eastAsia="zh-CN" w:bidi="hi-IN"/>
                    </w:rPr>
                  </w:pPr>
                </w:p>
              </w:sdtContent>
            </w:sdt>
          </w:sdtContent>
        </w:sdt>
        <w:sdt>
          <w:sdtPr>
            <w:alias w:val="4 p."/>
            <w:tag w:val="part_6616064fd0334fd38829ebec985764df"/>
            <w:lock w:val="sdtLocked"/>
            <w:richText/>
          </w:sdtPr>
          <w:sdtContent>
            <w:p>
              <w:pPr>
                <w:shd w:val="clear" w:color="auto" w:fill="FFFFFF"/>
                <w:tabs>
                  <w:tab w:val="left" w:pos="993"/>
                </w:tabs>
                <w:suppressAutoHyphens/>
                <w:ind w:firstLine="709"/>
                <w:jc w:val="both"/>
                <w:textAlignment w:val="baseline"/>
                <w:rPr>
                  <w:b/>
                  <w:bCs/>
                  <w:color w:val="000000"/>
                  <w:spacing w:val="-1"/>
                  <w:kern w:val="3"/>
                  <w:szCs w:val="24"/>
                  <w:lang w:eastAsia="zh-CN"/>
                </w:rPr>
              </w:pPr>
              <w:sdt>
                <w:sdtPr>
                  <w:alias w:val="Numeris"/>
                  <w:tag w:val="nr_6616064fd0334fd38829ebec985764df"/>
                  <w:lock w:val="sdtLocked"/>
                  <w:richText/>
                </w:sdtPr>
                <w:sdtContent>
                  <w:r>
                    <w:rPr>
                      <w:b/>
                      <w:bCs/>
                      <w:color w:val="000000"/>
                      <w:spacing w:val="-1"/>
                      <w:kern w:val="3"/>
                      <w:szCs w:val="24"/>
                      <w:lang w:eastAsia="zh-CN"/>
                    </w:rPr>
                    <w:t>4</w:t>
                  </w:r>
                </w:sdtContent>
              </w:sdt>
              <w:r>
                <w:rPr>
                  <w:b/>
                  <w:bCs/>
                  <w:color w:val="000000"/>
                  <w:spacing w:val="-1"/>
                  <w:kern w:val="3"/>
                  <w:szCs w:val="24"/>
                  <w:lang w:eastAsia="zh-CN"/>
                </w:rPr>
                <w:t>.</w:t>
              </w:r>
              <w:r>
                <w:rPr>
                  <w:rFonts w:eastAsia="Calibri"/>
                  <w:b/>
                  <w:bCs/>
                  <w:color w:val="000000"/>
                  <w:spacing w:val="-1"/>
                  <w:kern w:val="3"/>
                  <w:szCs w:val="24"/>
                  <w:lang w:eastAsia="zh-CN"/>
                </w:rPr>
                <w:tab/>
              </w:r>
              <w:r>
                <w:rPr>
                  <w:b/>
                  <w:bCs/>
                  <w:color w:val="000000"/>
                  <w:spacing w:val="-1"/>
                  <w:kern w:val="3"/>
                  <w:szCs w:val="24"/>
                  <w:lang w:eastAsia="zh-CN"/>
                </w:rPr>
                <w:t>Siūlomos naujos teisinio reguliavimo nuostatos</w:t>
              </w:r>
              <w:r>
                <w:rPr>
                  <w:b/>
                  <w:bCs/>
                  <w:kern w:val="3"/>
                  <w:szCs w:val="24"/>
                  <w:lang w:eastAsia="zh-CN"/>
                </w:rPr>
                <w:t xml:space="preserve"> ir kokių teigiamų rezultatų laukiama</w:t>
              </w:r>
            </w:p>
            <w:p>
              <w:pPr>
                <w:widowControl w:val="0"/>
                <w:suppressAutoHyphens/>
                <w:ind w:firstLine="709"/>
                <w:jc w:val="both"/>
                <w:textAlignment w:val="baseline"/>
                <w:rPr>
                  <w:rFonts w:eastAsia="Calibri"/>
                  <w:szCs w:val="24"/>
                  <w:lang w:bidi="hi-IN"/>
                </w:rPr>
              </w:pPr>
            </w:p>
            <w:sdt>
              <w:sdtPr>
                <w:alias w:val="4.1 pp."/>
                <w:tag w:val="part_dd7ffb491d074f2d80f5b73f172fdb93"/>
                <w:lock w:val="sdtLocked"/>
                <w:richText/>
              </w:sdtPr>
              <w:sdtContent>
                <w:p>
                  <w:pPr>
                    <w:widowControl w:val="0"/>
                    <w:suppressAutoHyphens/>
                    <w:ind w:firstLine="709"/>
                    <w:jc w:val="both"/>
                    <w:textAlignment w:val="baseline"/>
                    <w:rPr>
                      <w:rFonts w:eastAsia="Calibri"/>
                      <w:i/>
                      <w:iCs/>
                      <w:szCs w:val="24"/>
                      <w:lang w:bidi="hi-IN"/>
                    </w:rPr>
                  </w:pPr>
                  <w:sdt>
                    <w:sdtPr>
                      <w:alias w:val="Numeris"/>
                      <w:tag w:val="nr_dd7ffb491d074f2d80f5b73f172fdb93"/>
                      <w:lock w:val="sdtLocked"/>
                      <w:richText/>
                    </w:sdtPr>
                    <w:sdtContent>
                      <w:r>
                        <w:rPr>
                          <w:rFonts w:eastAsia="Calibri"/>
                          <w:szCs w:val="24"/>
                          <w:lang w:bidi="hi-IN"/>
                        </w:rPr>
                        <w:t>4.1</w:t>
                      </w:r>
                    </w:sdtContent>
                  </w:sdt>
                  <w:r>
                    <w:rPr>
                      <w:rFonts w:eastAsia="Calibri"/>
                      <w:szCs w:val="24"/>
                      <w:lang w:bidi="hi-IN"/>
                    </w:rPr>
                    <w:t>.</w:t>
                  </w:r>
                  <w:r>
                    <w:rPr>
                      <w:rFonts w:eastAsia="Calibri"/>
                      <w:i/>
                      <w:iCs/>
                      <w:szCs w:val="24"/>
                      <w:lang w:bidi="hi-IN"/>
                    </w:rPr>
                    <w:t xml:space="preserve"> Bendra informacija.</w:t>
                  </w:r>
                </w:p>
                <w:p>
                  <w:pPr>
                    <w:widowControl w:val="0"/>
                    <w:suppressAutoHyphens/>
                    <w:ind w:firstLine="709"/>
                    <w:jc w:val="both"/>
                    <w:textAlignment w:val="baseline"/>
                    <w:rPr>
                      <w:rFonts w:eastAsia="Calibri"/>
                      <w:strike/>
                      <w:szCs w:val="24"/>
                      <w:lang w:bidi="hi-IN"/>
                    </w:rPr>
                  </w:pPr>
                  <w:r>
                    <w:rPr>
                      <w:rFonts w:eastAsia="Calibri"/>
                      <w:szCs w:val="24"/>
                      <w:lang w:bidi="hi-IN"/>
                    </w:rPr>
                    <w:t>Priėmus projektus bus sudaryta galimybė</w:t>
                  </w:r>
                  <w:r>
                    <w:t xml:space="preserve"> paskelbti </w:t>
                  </w:r>
                  <w:r>
                    <w:rPr>
                      <w:rFonts w:eastAsia="Calibri"/>
                      <w:szCs w:val="24"/>
                      <w:lang w:bidi="hi-IN"/>
                    </w:rPr>
                    <w:t xml:space="preserve">aukcioną ir suteikti teisę naudoti radijo dažnius (kanalus) iš 700 MHz juostos, 1500 MHz juostos ir 2100 MHz. Šiuo metu nenaudojamus radijo dažnius (kanalus) iš 703–713 MHz ir 758–768 MHz suporuotos radijo dažnių juostos aukciono būdu paskyrus antžeminėms sistemoms diegti, bus užtikrintas aprėpčiai esminio spektro resurso efektyvus naudojimas, spartesnė antžeminių sistemų plėtra. </w:t>
                  </w:r>
                </w:p>
                <w:p>
                  <w:pPr>
                    <w:widowControl w:val="0"/>
                    <w:suppressAutoHyphens/>
                    <w:ind w:firstLine="709"/>
                    <w:jc w:val="both"/>
                    <w:textAlignment w:val="baseline"/>
                    <w:rPr>
                      <w:rFonts w:eastAsia="Calibri"/>
                      <w:szCs w:val="24"/>
                      <w:lang w:bidi="hi-IN"/>
                    </w:rPr>
                  </w:pPr>
                  <w:r>
                    <w:rPr>
                      <w:rFonts w:eastAsia="Calibri"/>
                      <w:szCs w:val="24"/>
                      <w:lang w:bidi="hi-IN"/>
                    </w:rPr>
                    <w:t>Priėmus Projektą Nr. 2 ir patvirtinus Aukciono sąlygų aprašą, bus nustatyti aukciono dalyvių kvalifikaciniai reikalavimai, apibrėžta rinka, kurioje elektroninių ryšių ištekliai bus naudojami, elektroninių ryšių išteklių naudojimo sąlygos, taip pat maksimalus elektroninių ryšių išteklių, kuriuos teisę naudoti aukciono dalyvis turi teisę įgyti aukcione, kiekis, įmokos, kuri lygi didžiausiai pasiūlytai kainai už aukciono būdu suteikiamą teisę naudoti elektroninių ryšių išteklius, sumokėjimo į Lietuvos Respublikos valstybės biudžetą tvarka ir sąlygos ir kitos aukciono vykdymo sąlygos.</w:t>
                  </w:r>
                  <w:r>
                    <w:rPr>
                      <w:szCs w:val="24"/>
                    </w:rPr>
                    <w:t xml:space="preserve"> </w:t>
                  </w:r>
                </w:p>
                <w:p>
                  <w:pPr>
                    <w:suppressAutoHyphens/>
                    <w:ind w:firstLine="709"/>
                    <w:jc w:val="both"/>
                    <w:textAlignment w:val="baseline"/>
                    <w:rPr>
                      <w:rFonts w:eastAsia="Calibri"/>
                      <w:i/>
                      <w:iCs/>
                      <w:szCs w:val="24"/>
                      <w:lang w:bidi="hi-IN"/>
                    </w:rPr>
                  </w:pPr>
                </w:p>
              </w:sdtContent>
            </w:sdt>
            <w:sdt>
              <w:sdtPr>
                <w:alias w:val="4.2 pp."/>
                <w:tag w:val="part_89dcde2c3583432d8e033af75695577b"/>
                <w:lock w:val="sdtLocked"/>
                <w:richText/>
              </w:sdtPr>
              <w:sdtContent>
                <w:p>
                  <w:pPr>
                    <w:suppressAutoHyphens/>
                    <w:ind w:firstLine="709"/>
                    <w:jc w:val="both"/>
                    <w:textAlignment w:val="baseline"/>
                    <w:rPr>
                      <w:i/>
                      <w:iCs/>
                      <w:kern w:val="3"/>
                      <w:szCs w:val="24"/>
                      <w:lang w:eastAsia="zh-CN"/>
                    </w:rPr>
                  </w:pPr>
                  <w:sdt>
                    <w:sdtPr>
                      <w:alias w:val="Numeris"/>
                      <w:tag w:val="nr_89dcde2c3583432d8e033af75695577b"/>
                      <w:lock w:val="sdtLocked"/>
                      <w:richText/>
                    </w:sdtPr>
                    <w:sdtContent>
                      <w:r>
                        <w:rPr>
                          <w:rFonts w:eastAsia="Calibri"/>
                          <w:szCs w:val="24"/>
                          <w:lang w:bidi="hi-IN"/>
                        </w:rPr>
                        <w:t>4.2</w:t>
                      </w:r>
                    </w:sdtContent>
                  </w:sdt>
                  <w:r>
                    <w:rPr>
                      <w:rFonts w:eastAsia="Calibri"/>
                      <w:szCs w:val="24"/>
                      <w:lang w:bidi="hi-IN"/>
                    </w:rPr>
                    <w:t>.</w:t>
                  </w:r>
                  <w:r>
                    <w:rPr>
                      <w:rFonts w:eastAsia="Calibri"/>
                      <w:i/>
                      <w:iCs/>
                      <w:szCs w:val="24"/>
                      <w:lang w:bidi="hi-IN"/>
                    </w:rPr>
                    <w:t xml:space="preserve"> Dėl Aukciono sąlygų aprašo projekto konkrečių nuostatų:</w:t>
                  </w:r>
                </w:p>
                <w:sdt>
                  <w:sdtPr>
                    <w:alias w:val="4.2.1 pp."/>
                    <w:tag w:val="part_b9cc5809f2534cce9d190eca16002527"/>
                    <w:lock w:val="sdtLocked"/>
                    <w:richText/>
                  </w:sdtPr>
                  <w:sdtContent>
                    <w:p>
                      <w:pPr>
                        <w:suppressAutoHyphens/>
                        <w:ind w:firstLine="709"/>
                        <w:jc w:val="both"/>
                        <w:textAlignment w:val="baseline"/>
                        <w:rPr>
                          <w:b/>
                          <w:bCs/>
                          <w:i/>
                          <w:iCs/>
                          <w:kern w:val="3"/>
                          <w:szCs w:val="24"/>
                          <w:lang w:eastAsia="zh-CN"/>
                        </w:rPr>
                      </w:pPr>
                      <w:sdt>
                        <w:sdtPr>
                          <w:alias w:val="Numeris"/>
                          <w:tag w:val="nr_b9cc5809f2534cce9d190eca16002527"/>
                          <w:lock w:val="sdtLocked"/>
                          <w:richText/>
                        </w:sdtPr>
                        <w:sdtContent>
                          <w:r>
                            <w:rPr>
                              <w:bCs/>
                              <w:kern w:val="3"/>
                              <w:szCs w:val="24"/>
                              <w:lang w:eastAsia="zh-CN"/>
                            </w:rPr>
                            <w:t>4.2.1</w:t>
                          </w:r>
                        </w:sdtContent>
                      </w:sdt>
                      <w:r>
                        <w:rPr>
                          <w:bCs/>
                          <w:kern w:val="3"/>
                          <w:szCs w:val="24"/>
                          <w:lang w:eastAsia="zh-CN"/>
                        </w:rPr>
                        <w:t>.</w:t>
                      </w:r>
                      <w:r>
                        <w:rPr>
                          <w:bCs/>
                          <w:i/>
                          <w:iCs/>
                          <w:kern w:val="3"/>
                          <w:szCs w:val="24"/>
                          <w:lang w:eastAsia="zh-CN"/>
                        </w:rPr>
                        <w:t xml:space="preserve"> Dėl pradinės</w:t>
                      </w:r>
                      <w:r>
                        <w:rPr>
                          <w:i/>
                          <w:kern w:val="3"/>
                          <w:szCs w:val="24"/>
                          <w:lang w:eastAsia="zh-CN"/>
                        </w:rPr>
                        <w:t xml:space="preserve"> kainos </w:t>
                      </w:r>
                      <w:r>
                        <w:rPr>
                          <w:i/>
                          <w:color w:val="000000"/>
                          <w:szCs w:val="24"/>
                        </w:rPr>
                        <w:t>už teisę naudoti</w:t>
                      </w:r>
                      <w:r>
                        <w:rPr>
                          <w:i/>
                          <w:kern w:val="3"/>
                          <w:szCs w:val="24"/>
                          <w:lang w:eastAsia="zh-CN"/>
                        </w:rPr>
                        <w:t xml:space="preserve"> radijo dažnius (kanalus) dydžio  </w:t>
                      </w:r>
                    </w:p>
                    <w:p>
                      <w:pPr>
                        <w:ind w:firstLine="709"/>
                        <w:jc w:val="both"/>
                        <w:rPr>
                          <w:rFonts w:eastAsia="Aptos"/>
                        </w:rPr>
                      </w:pPr>
                      <w:r>
                        <w:rPr>
                          <w:rFonts w:eastAsia="Aptos"/>
                        </w:rPr>
                        <w:t xml:space="preserve">Aukciono sąlygų aprašo projekte pradinių kainų už teisę naudoti radijo dažnius (kanalus) (toliau – pradinė kaina) iš 700 MHz, 1500 MHz ir 2100 MHz juostų dydžiai nustatyti remiantis kitų šalių patirtimi, panašių valstybių ekonominiais rodikliais ir būtinų investicijų mastu tinklų plėtrai. RRT vertinimu, kiekvienas leidimo turėtojas, siekdamas užtikrinti, kad 95 proc. Lietuvos gyvenamųjų patalpų </w:t>
                      </w:r>
                      <w:r>
                        <w:rPr>
                          <w:szCs w:val="24"/>
                        </w:rPr>
                        <w:t xml:space="preserve">būtų teikiamos mobiliojo ryšio paslaugos, kurių gaunamojo ryšio sparta ne mažesnė kaip 100 Mbps, </w:t>
                      </w:r>
                      <w:r>
                        <w:rPr>
                          <w:rFonts w:eastAsia="Aptos"/>
                        </w:rPr>
                        <w:t xml:space="preserve">turėtų investuoti apie 72 mln. Eur iki 2030 metų. </w:t>
                      </w:r>
                    </w:p>
                    <w:p>
                      <w:pPr>
                        <w:ind w:firstLine="709"/>
                        <w:jc w:val="both"/>
                        <w:rPr>
                          <w:rFonts w:eastAsia="Aptos"/>
                        </w:rPr>
                      </w:pPr>
                      <w:r>
                        <w:rPr>
                          <w:rFonts w:eastAsia="Aptos"/>
                        </w:rPr>
                        <w:t>Aukciono sąlygų aprašo projekte nustatytos šios pradinės kainos:</w:t>
                      </w:r>
                    </w:p>
                    <w:p>
                      <w:pPr>
                        <w:ind w:left="1080" w:hanging="360"/>
                        <w:jc w:val="both"/>
                        <w:rPr>
                          <w:szCs w:val="24"/>
                        </w:rPr>
                      </w:pPr>
                      <w:r>
                        <w:rPr>
                          <w:szCs w:val="24"/>
                        </w:rPr>
                        <w:t>-</w:t>
                        <w:tab/>
                        <w:t>2x10 MHz pločio radijo dažnių blokas iš 700 MHz juostos – 15 mln. Eur;</w:t>
                      </w:r>
                    </w:p>
                    <w:p>
                      <w:pPr>
                        <w:ind w:left="1080" w:hanging="360"/>
                        <w:jc w:val="both"/>
                        <w:rPr>
                          <w:szCs w:val="24"/>
                        </w:rPr>
                      </w:pPr>
                      <w:r>
                        <w:rPr>
                          <w:szCs w:val="24"/>
                        </w:rPr>
                        <w:t>-</w:t>
                        <w:tab/>
                        <w:t xml:space="preserve">2x5 MHz pločio radijo dažnių blokas iš 700 MHz juostos – </w:t>
                      </w:r>
                      <w:r>
                        <w:rPr>
                          <w:rFonts w:eastAsia="Calibri"/>
                          <w:szCs w:val="24"/>
                        </w:rPr>
                        <w:t xml:space="preserve">7,5 mln. Eur; </w:t>
                      </w:r>
                    </w:p>
                    <w:p>
                      <w:pPr>
                        <w:ind w:left="1069" w:hanging="360"/>
                        <w:jc w:val="both"/>
                        <w:rPr>
                          <w:rFonts w:eastAsia="Aptos"/>
                          <w:bCs/>
                        </w:rPr>
                      </w:pPr>
                      <w:r>
                        <w:rPr>
                          <w:rFonts w:eastAsia="Aptos"/>
                          <w:bCs/>
                        </w:rPr>
                        <w:t>-</w:t>
                        <w:tab/>
                        <w:t xml:space="preserve">20 MHz </w:t>
                      </w:r>
                      <w:r>
                        <w:rPr>
                          <w:bCs/>
                          <w:szCs w:val="24"/>
                        </w:rPr>
                        <w:t>pločio radijo dažnių blokas iš</w:t>
                      </w:r>
                      <w:r>
                        <w:rPr>
                          <w:szCs w:val="24"/>
                        </w:rPr>
                        <w:t xml:space="preserve"> </w:t>
                      </w:r>
                      <w:r>
                        <w:rPr>
                          <w:rFonts w:eastAsia="Aptos"/>
                          <w:bCs/>
                        </w:rPr>
                        <w:t>1500 MHz juostos – 0,3 mln. Eur;</w:t>
                      </w:r>
                    </w:p>
                    <w:p>
                      <w:pPr>
                        <w:ind w:left="1069" w:hanging="360"/>
                        <w:jc w:val="both"/>
                        <w:rPr>
                          <w:rFonts w:eastAsia="Aptos"/>
                          <w:bCs/>
                        </w:rPr>
                      </w:pPr>
                      <w:r>
                        <w:rPr>
                          <w:rFonts w:eastAsia="Aptos"/>
                          <w:bCs/>
                        </w:rPr>
                        <w:t>-</w:t>
                        <w:tab/>
                        <w:t xml:space="preserve">2x20 MHz pločio </w:t>
                      </w:r>
                      <w:r>
                        <w:rPr>
                          <w:bCs/>
                          <w:szCs w:val="24"/>
                        </w:rPr>
                        <w:t>radijo dažnių blokas iš</w:t>
                      </w:r>
                      <w:r>
                        <w:rPr>
                          <w:szCs w:val="24"/>
                        </w:rPr>
                        <w:t xml:space="preserve"> </w:t>
                      </w:r>
                      <w:r>
                        <w:rPr>
                          <w:rFonts w:eastAsia="Aptos"/>
                          <w:bCs/>
                        </w:rPr>
                        <w:t xml:space="preserve">2100 MHz juostos  – 2 mln. Eur.</w:t>
                      </w:r>
                    </w:p>
                    <w:p>
                      <w:pPr>
                        <w:ind w:firstLine="709"/>
                        <w:jc w:val="both"/>
                        <w:rPr>
                          <w:rFonts w:eastAsia="Aptos"/>
                        </w:rPr>
                      </w:pPr>
                      <w:r>
                        <w:rPr>
                          <w:szCs w:val="24"/>
                        </w:rPr>
                        <w:t>Pradinė kaina už teisę naudoti</w:t>
                      </w:r>
                      <w:r>
                        <w:rPr>
                          <w:rFonts w:eastAsia="Aptos"/>
                        </w:rPr>
                        <w:t xml:space="preserve"> </w:t>
                      </w:r>
                      <w:r>
                        <w:rPr>
                          <w:szCs w:val="24"/>
                        </w:rPr>
                        <w:t>radijo dažnių bloką iš</w:t>
                      </w:r>
                      <w:r>
                        <w:rPr>
                          <w:b/>
                          <w:bCs/>
                          <w:szCs w:val="24"/>
                        </w:rPr>
                        <w:t xml:space="preserve"> </w:t>
                      </w:r>
                      <w:r>
                        <w:rPr>
                          <w:rFonts w:eastAsia="Aptos"/>
                        </w:rPr>
                        <w:t>2100 MHz juostos yra reikšmingai mažesnė nei kainos vidurkis kitose Europos valstybėse, tačiau yra proporcinga didesnei įsipareigojimų apimčiai – įgyvendinti išskirtinius plėtros ir atsparumo reikalavimams. Atsižvelgiant į tai, Aukciono sąlygų aprašo projekte numatytos pradinės kainos užtikrina, kad valstybė gautų teisingą grąžą už radijo dažnių (kanalų) naudojimą, o leidimų turėtojai turėtų pakankamai išteklių investicijoms į tinklų plėtrą, ryšio paslaugų kokybės gerinimą ir ryšio atsparumo stiprinimą visoje Lietuvoje. Tokia kainodara atspindi valstybės strateginį tikslą – skatinti ilgalaikes investicijas į pažangaus ryšio plėtrą visoje šalyje, kas kurtų vertę vartotojams, verslui ir valstybei.</w:t>
                      </w:r>
                    </w:p>
                    <w:p>
                      <w:pPr>
                        <w:jc w:val="both"/>
                        <w:rPr>
                          <w:rFonts w:eastAsia="Aptos"/>
                        </w:rPr>
                      </w:pPr>
                    </w:p>
                  </w:sdtContent>
                </w:sdt>
                <w:sdt>
                  <w:sdtPr>
                    <w:alias w:val="4.2.2 pp."/>
                    <w:tag w:val="part_d242c359f33f40eb909eea874a0b4d8e"/>
                    <w:lock w:val="sdtLocked"/>
                    <w:richText/>
                  </w:sdtPr>
                  <w:sdtContent>
                    <w:p>
                      <w:pPr>
                        <w:suppressAutoHyphens/>
                        <w:ind w:firstLine="709"/>
                        <w:jc w:val="both"/>
                        <w:textAlignment w:val="baseline"/>
                        <w:rPr>
                          <w:b/>
                          <w:i/>
                          <w:iCs/>
                          <w:kern w:val="3"/>
                          <w:lang w:eastAsia="zh-CN"/>
                        </w:rPr>
                      </w:pPr>
                      <w:sdt>
                        <w:sdtPr>
                          <w:alias w:val="Numeris"/>
                          <w:tag w:val="nr_d242c359f33f40eb909eea874a0b4d8e"/>
                          <w:lock w:val="sdtLocked"/>
                          <w:richText/>
                        </w:sdtPr>
                        <w:sdtContent>
                          <w:r>
                            <w:rPr>
                              <w:kern w:val="3"/>
                              <w:lang w:eastAsia="zh-CN"/>
                            </w:rPr>
                            <w:t>4.2.2</w:t>
                          </w:r>
                        </w:sdtContent>
                      </w:sdt>
                      <w:r>
                        <w:rPr>
                          <w:kern w:val="3"/>
                          <w:lang w:eastAsia="zh-CN"/>
                        </w:rPr>
                        <w:t>.</w:t>
                      </w:r>
                      <w:r>
                        <w:rPr>
                          <w:i/>
                          <w:iCs/>
                          <w:kern w:val="3"/>
                          <w:lang w:eastAsia="zh-CN"/>
                        </w:rPr>
                        <w:t xml:space="preserve"> Dėl radijo</w:t>
                      </w:r>
                      <w:r>
                        <w:rPr>
                          <w:i/>
                          <w:kern w:val="3"/>
                          <w:lang w:eastAsia="zh-CN"/>
                        </w:rPr>
                        <w:t xml:space="preserve"> dažnių (kanalų) naudojimo </w:t>
                      </w:r>
                      <w:r>
                        <w:rPr>
                          <w:i/>
                          <w:iCs/>
                          <w:kern w:val="3"/>
                          <w:lang w:eastAsia="zh-CN"/>
                        </w:rPr>
                        <w:t>sąlygų</w:t>
                      </w:r>
                    </w:p>
                    <w:p>
                      <w:pPr>
                        <w:suppressAutoHyphens/>
                        <w:ind w:firstLine="709"/>
                        <w:jc w:val="both"/>
                        <w:textAlignment w:val="baseline"/>
                        <w:rPr>
                          <w:kern w:val="3"/>
                          <w:szCs w:val="24"/>
                          <w:lang w:eastAsia="zh-CN"/>
                        </w:rPr>
                      </w:pPr>
                      <w:r>
                        <w:rPr>
                          <w:bCs/>
                        </w:rPr>
                        <w:t xml:space="preserve">Aukciono sąlygų aprašo projekto III skyriuje numatomos radijo dažnių </w:t>
                      </w:r>
                      <w:r>
                        <w:rPr>
                          <w:kern w:val="3"/>
                          <w:szCs w:val="24"/>
                          <w:lang w:eastAsia="zh-CN"/>
                        </w:rPr>
                        <w:t>(kanalų) naudojimo sąlygos</w:t>
                      </w:r>
                      <w:r>
                        <w:rPr>
                          <w:color w:val="000000"/>
                          <w:shd w:val="clear" w:color="auto" w:fill="FFFFFF"/>
                        </w:rPr>
                        <w:t xml:space="preserve"> yra orientuotos į ilgalaikes investicijas</w:t>
                      </w:r>
                      <w:r>
                        <w:rPr>
                          <w:color w:val="000000"/>
                          <w:bdr w:val="none" w:sz="0" w:space="0" w:color="auto" w:frame="1"/>
                        </w:rPr>
                        <w:t xml:space="preserve"> ir siekį, kad visoje Lietuvos teritorijoje būtų užtikrintas spartus, atsparus ir visiems prieinamas mobilusis ryšys</w:t>
                      </w:r>
                      <w:r>
                        <w:rPr>
                          <w:kern w:val="3"/>
                          <w:szCs w:val="24"/>
                          <w:lang w:eastAsia="zh-CN"/>
                        </w:rPr>
                        <w:t xml:space="preserve">. Atkreiptinas dėmesys į šiuos </w:t>
                      </w:r>
                      <w:r>
                        <w:rPr>
                          <w:bCs/>
                        </w:rPr>
                        <w:t>Aukciono sąlygų aprašo projekte nustatytus įpareigojimus</w:t>
                      </w:r>
                      <w:r>
                        <w:rPr>
                          <w:kern w:val="3"/>
                          <w:szCs w:val="24"/>
                          <w:lang w:eastAsia="zh-CN"/>
                        </w:rPr>
                        <w:t xml:space="preserve">, kuriuos leidimo turėtojai turės įgyvendinti </w:t>
                      </w:r>
                      <w:r>
                        <w:t xml:space="preserve">naudodami aukciono būdu skirtus radijo dažnius (kanalus) ir (ar) kitus radijo dažnius (kanalus) iš plačiajuosčio ryšio tinklams skirtų radijo dažnių juostų:   </w:t>
                      </w:r>
                    </w:p>
                    <w:p>
                      <w:pPr>
                        <w:suppressAutoHyphens/>
                        <w:ind w:firstLine="709"/>
                        <w:jc w:val="both"/>
                        <w:textAlignment w:val="baseline"/>
                        <w:rPr>
                          <w:kern w:val="3"/>
                          <w:szCs w:val="24"/>
                          <w:lang w:eastAsia="zh-CN"/>
                        </w:rPr>
                      </w:pPr>
                      <w:r>
                        <w:rPr>
                          <w:kern w:val="3"/>
                          <w:szCs w:val="24"/>
                          <w:lang w:eastAsia="zh-CN"/>
                        </w:rPr>
                        <w:t xml:space="preserve">- </w:t>
                      </w:r>
                      <w:r>
                        <w:t>ne vėliau kaip 2027 m. gruodžio 31 d. sudaryti galimybę Lietuvos teritorijoje esančiuose namų ūkiuose, išskyrus atskirus namų ūkius, nutolusius daugiau kaip 0,5 kilometro atstumu nuo artimiausių kitų namų ūkių, ir ūkio subjektų veiklos vykdymo vietose (toliau – verslo įmonėse) gauti ne mažesnės kaip 30 Mbps gaunamojo ryšio spartos mobiliojo ryšio paslaugas;</w:t>
                      </w:r>
                    </w:p>
                    <w:p>
                      <w:pPr>
                        <w:suppressAutoHyphens/>
                        <w:ind w:firstLine="709"/>
                        <w:jc w:val="both"/>
                        <w:textAlignment w:val="baseline"/>
                        <w:rPr>
                          <w:kern w:val="3"/>
                          <w:szCs w:val="24"/>
                          <w:lang w:eastAsia="zh-CN"/>
                        </w:rPr>
                      </w:pPr>
                      <w:r>
                        <w:rPr>
                          <w:kern w:val="3"/>
                          <w:szCs w:val="24"/>
                          <w:lang w:eastAsia="zh-CN"/>
                        </w:rPr>
                        <w:t xml:space="preserve">- </w:t>
                      </w:r>
                      <w:r>
                        <w:t>ne vėliau kaip 2028 m. gruodžio 31 d. sudaryti galimybę Lietuvos teritorijoje esančiuose namų ūkiuose, išskyrus atskirus namų ūkius, nutolusius daugiau kaip 1 kilometro atstumu nuo artimiausių kitų namų ūkių, ir verslo įmonėse gauti ne mažesnės kaip 30 Mbps gaunamojo ryšio spartos mobiliojo ryšio paslaugas;</w:t>
                      </w:r>
                    </w:p>
                    <w:p>
                      <w:pPr>
                        <w:suppressAutoHyphens/>
                        <w:ind w:firstLine="709"/>
                        <w:jc w:val="both"/>
                        <w:textAlignment w:val="baseline"/>
                        <w:rPr>
                          <w:kern w:val="3"/>
                          <w:szCs w:val="24"/>
                          <w:lang w:eastAsia="zh-CN"/>
                        </w:rPr>
                      </w:pPr>
                      <w:r>
                        <w:rPr>
                          <w:kern w:val="3"/>
                          <w:szCs w:val="24"/>
                          <w:lang w:eastAsia="zh-CN"/>
                        </w:rPr>
                        <w:t xml:space="preserve">- </w:t>
                      </w:r>
                      <w:r>
                        <w:t xml:space="preserve">ne vėliau kaip 2028 m. gruodžio 31 d. užtikrinti, kad ne mažiau kaip 95 procentams gyvenamųjų patalpų, esančių leidimo turėtojui priskirtos Tikslinių seniūnijų grupės seniūnijų baltosiose zonose, būtų teikiamos mobiliojo ryšio paslaugos, kurių gaunamojo ryšio sparta ne mažesnė kaip 100 Mbps. </w:t>
                      </w:r>
                    </w:p>
                    <w:p>
                      <w:pPr>
                        <w:suppressAutoHyphens/>
                        <w:ind w:firstLine="709"/>
                        <w:jc w:val="both"/>
                        <w:textAlignment w:val="baseline"/>
                      </w:pPr>
                      <w:r>
                        <w:rPr>
                          <w:kern w:val="3"/>
                          <w:szCs w:val="24"/>
                          <w:lang w:eastAsia="zh-CN"/>
                        </w:rPr>
                        <w:t xml:space="preserve">- </w:t>
                      </w:r>
                      <w:r>
                        <w:t>ne vėliau kaip 2030 m. gruodžio 31 d. užtikrinti galimybę visuose Lietuvos teritorijoje esančiuose namų ūkiuose ir verslo įmonėse gauti ne mažesnės kaip 30 Mbps gaunamojo ryšio spartos mobiliojo ryšio paslaugas;</w:t>
                      </w:r>
                    </w:p>
                    <w:p>
                      <w:pPr>
                        <w:suppressAutoHyphens/>
                        <w:ind w:firstLine="709"/>
                        <w:jc w:val="both"/>
                        <w:textAlignment w:val="baseline"/>
                      </w:pPr>
                      <w:r>
                        <w:t>- ne vėliau kaip 2030 m. gruodžio 31 d. užtikrinti, kad Lietuvos teritorijoje esančiose gyvenamosiose vietovėse, kurių gyventojų skaičius viršija 200, esančiuose namų ūkiuose, ir verslo įmonėse būtų teikiamos ne mažesnės kaip 100 Mbps gaunamojo ryšio spartos mobiliojo ryšio paslaugos.</w:t>
                      </w:r>
                    </w:p>
                    <w:p>
                      <w:pPr>
                        <w:suppressAutoHyphens/>
                        <w:ind w:firstLine="709"/>
                        <w:jc w:val="both"/>
                        <w:textAlignment w:val="baseline"/>
                        <w:rPr>
                          <w:rFonts w:eastAsia="Calibri"/>
                        </w:rPr>
                      </w:pPr>
                      <w:r>
                        <w:rPr>
                          <w:bCs/>
                        </w:rPr>
                        <w:t xml:space="preserve">- </w:t>
                      </w:r>
                      <w:r>
                        <w:rPr>
                          <w:szCs w:val="24"/>
                        </w:rPr>
                        <w:t xml:space="preserve"> ypatingų aplinkybių atvejais, gavus </w:t>
                      </w:r>
                      <w:r>
                        <w:t>nurodymus pagal Elektroninių ryšių įstatymo 97 straipsnį ir (ar) pagal šį straipsnį nustatyta tvarka ir sąlygomis</w:t>
                      </w:r>
                      <w:r>
                        <w:rPr>
                          <w:szCs w:val="24"/>
                        </w:rPr>
                        <w:t xml:space="preserve"> visoje Lietuvos teritorijoje teikti nacionalinį tarptinklinį ryšį</w:t>
                      </w:r>
                      <w:r>
                        <w:rPr>
                          <w:rFonts w:eastAsia="Calibri"/>
                        </w:rPr>
                        <w:t xml:space="preserve">, taip pat užtikrinti RRT sudaromo ir esant poreikiui atnaujinamo </w:t>
                      </w:r>
                      <w:r>
                        <w:t>pirmenybinio ryšio numerių sąraše nurodytų ryšio numerių abonentų</w:t>
                      </w:r>
                      <w:r>
                        <w:rPr>
                          <w:rFonts w:eastAsia="Calibri"/>
                          <w:shd w:val="clear" w:color="auto" w:fill="FFFFFF"/>
                        </w:rPr>
                        <w:t xml:space="preserve"> </w:t>
                      </w:r>
                      <w:r>
                        <w:rPr>
                          <w:rFonts w:eastAsia="Calibri"/>
                        </w:rPr>
                        <w:t xml:space="preserve">ryšio </w:t>
                      </w:r>
                      <w:r>
                        <w:t>pirmenybę</w:t>
                      </w:r>
                      <w:r>
                        <w:rPr>
                          <w:rFonts w:eastAsia="Calibri"/>
                        </w:rPr>
                        <w:t xml:space="preserve"> kitų abonentų ryšio atžvilgiu. Šie reikalavimai nustatyti siekiant stiprinti </w:t>
                      </w:r>
                      <w:r>
                        <w:rPr>
                          <w:lang w:eastAsia="zh-CN"/>
                        </w:rPr>
                        <w:t>nacionalinį atsparumą</w:t>
                      </w:r>
                      <w:r>
                        <w:rPr>
                          <w:kern w:val="3"/>
                          <w:lang w:eastAsia="zh-CN"/>
                        </w:rPr>
                        <w:t xml:space="preserve">, užtikrinti ryšio paslaugų veikimą ir efektyvią specialiųjų tarnybų veiklą kritinėse situacijose. </w:t>
                      </w:r>
                    </w:p>
                    <w:p>
                      <w:pPr>
                        <w:suppressAutoHyphens/>
                        <w:jc w:val="both"/>
                        <w:textAlignment w:val="baseline"/>
                        <w:rPr>
                          <w:rFonts w:ascii="TimesLT, 'Times New Roman'" w:hAnsi="TimesLT, 'Times New Roman'" w:cs="TimesLT, 'Times New Roman'"/>
                          <w:kern w:val="3"/>
                          <w:sz w:val="20"/>
                          <w:lang w:eastAsia="zh-CN"/>
                        </w:rPr>
                      </w:pPr>
                    </w:p>
                  </w:sdtContent>
                </w:sdt>
                <w:sdt>
                  <w:sdtPr>
                    <w:alias w:val="4.2.3 pp."/>
                    <w:tag w:val="part_ddd96e75c6054a1db58ca3cb3a45826a"/>
                    <w:lock w:val="sdtLocked"/>
                    <w:richText/>
                  </w:sdtPr>
                  <w:sdtContent>
                    <w:p>
                      <w:pPr>
                        <w:shd w:val="clear" w:color="auto" w:fill="FFFFFF"/>
                        <w:tabs>
                          <w:tab w:val="left" w:pos="0"/>
                          <w:tab w:val="left" w:pos="709"/>
                        </w:tabs>
                        <w:suppressAutoHyphens/>
                        <w:ind w:right="19" w:firstLine="709"/>
                        <w:jc w:val="both"/>
                        <w:textAlignment w:val="baseline"/>
                        <w:rPr>
                          <w:rFonts w:eastAsia="Calibri"/>
                          <w:bCs/>
                          <w:i/>
                          <w:iCs/>
                          <w:kern w:val="3"/>
                          <w:szCs w:val="24"/>
                          <w:lang w:eastAsia="zh-CN"/>
                        </w:rPr>
                      </w:pPr>
                      <w:sdt>
                        <w:sdtPr>
                          <w:alias w:val="Numeris"/>
                          <w:tag w:val="nr_ddd96e75c6054a1db58ca3cb3a45826a"/>
                          <w:lock w:val="sdtLocked"/>
                          <w:richText/>
                        </w:sdtPr>
                        <w:sdtContent>
                          <w:r>
                            <w:rPr>
                              <w:rFonts w:eastAsia="Calibri"/>
                              <w:bCs/>
                              <w:kern w:val="3"/>
                              <w:szCs w:val="24"/>
                              <w:lang w:eastAsia="zh-CN"/>
                            </w:rPr>
                            <w:t>4.2.3</w:t>
                          </w:r>
                        </w:sdtContent>
                      </w:sdt>
                      <w:r>
                        <w:rPr>
                          <w:rFonts w:eastAsia="Calibri"/>
                          <w:bCs/>
                          <w:kern w:val="3"/>
                          <w:szCs w:val="24"/>
                          <w:lang w:eastAsia="zh-CN"/>
                        </w:rPr>
                        <w:t>.</w:t>
                      </w:r>
                      <w:r>
                        <w:rPr>
                          <w:rFonts w:eastAsia="Calibri"/>
                          <w:bCs/>
                          <w:i/>
                          <w:iCs/>
                          <w:kern w:val="3"/>
                          <w:szCs w:val="24"/>
                          <w:lang w:eastAsia="zh-CN"/>
                        </w:rPr>
                        <w:t xml:space="preserve"> Dėl aukciono dalyvių kvalifikacinių reikalavimų</w:t>
                      </w:r>
                    </w:p>
                    <w:p>
                      <w:pPr>
                        <w:shd w:val="clear" w:color="auto" w:fill="FFFFFF"/>
                        <w:tabs>
                          <w:tab w:val="left" w:pos="0"/>
                          <w:tab w:val="left" w:pos="709"/>
                        </w:tabs>
                        <w:suppressAutoHyphens/>
                        <w:ind w:right="19" w:firstLine="709"/>
                        <w:jc w:val="both"/>
                        <w:textAlignment w:val="baseline"/>
                        <w:rPr>
                          <w:rFonts w:eastAsia="Calibri"/>
                          <w:bCs/>
                          <w:kern w:val="3"/>
                          <w:szCs w:val="24"/>
                          <w:lang w:eastAsia="zh-CN"/>
                        </w:rPr>
                      </w:pPr>
                      <w:r>
                        <w:rPr>
                          <w:rFonts w:eastAsia="Calibri"/>
                          <w:bCs/>
                          <w:kern w:val="3"/>
                          <w:szCs w:val="24"/>
                          <w:lang w:eastAsia="zh-CN"/>
                        </w:rPr>
                        <w:t xml:space="preserve">ES mastu plačiajuosčio ryšio plėtrai suderinti radijo dažniai (kanalai) yra itin ribotas valstybės išteklius, o plačiajuosčio ryšio plėtra yra strateginės svarbos klausimas, nes aukštos kokybės ir tolygaus padengimo mobilusis ryšys yra itin reikšmingas tiek nacionaliniam saugumui, tiek visos šalies ekonominei, socialinei ir technologinei raidai, inovacijų diegimui ir investicijų pritraukimui. Atsižvelgiant į tai, turi būti užtikrinta, kad šis kritinės svarbos valstybės išteklius bus naudojamas efektyviai. </w:t>
                      </w:r>
                    </w:p>
                    <w:p>
                      <w:pPr>
                        <w:shd w:val="clear" w:color="auto" w:fill="FFFFFF"/>
                        <w:tabs>
                          <w:tab w:val="left" w:pos="0"/>
                          <w:tab w:val="left" w:pos="709"/>
                        </w:tabs>
                        <w:suppressAutoHyphens/>
                        <w:ind w:right="19" w:firstLine="709"/>
                        <w:jc w:val="both"/>
                        <w:textAlignment w:val="baseline"/>
                        <w:rPr>
                          <w:rFonts w:eastAsia="Calibri"/>
                          <w:bCs/>
                          <w:kern w:val="3"/>
                          <w:szCs w:val="24"/>
                          <w:lang w:eastAsia="zh-CN"/>
                        </w:rPr>
                      </w:pPr>
                      <w:r>
                        <w:rPr>
                          <w:rFonts w:eastAsia="Calibri"/>
                          <w:bCs/>
                          <w:kern w:val="3"/>
                          <w:szCs w:val="24"/>
                          <w:lang w:eastAsia="zh-CN"/>
                        </w:rPr>
                        <w:t>Asmenys, kurie pagal Aukciono sąlygų aprašo projektą bus pripažinti aukciono laimėtojais ir įgys teisę naudoti tam tikrus plačiajuosčio ryšio plėtrai skirtus radijo dažius (kanalus), ne tik turės sumokėti reikšmingo dydžio įmokas į Lietuvos Respublikos valstybės biudžetą už įgytą teisę naudoti radijo dažius (kanalus), tačiau prisiims ir reikšmingų investicijų į plačiajuosčio ryšio tinklų plėtrą pareikalausiančius ilgalaikius įsipareigojimus. Atsižvelgiant į tai, Aukciono sąlygų aprašo projekte numatomais aukciono dalyvių kvalifikaciniais reikalavimais yra siekiama užtikrinti, kad aukciono dalyviai turėtų būtiną patirtį, techninę kompetenciją ir finansinį stabilumą efektyviam atitinkamų radijo dažnių (kanalų) naudojimui ir prisiimtų įsipareigojimų įgyvendinimui. Pažymėtina, kad daugelis Aukciono sąlygų aprašo projekte numatomų kvalifikacinių reikalavimų (pavyzdžiui, jog aukciono dalyvis ne mažiau kaip 5 pastaruosius metus nepertraukiamai verstųsi tam tikrų elektroninių ryšių paslaugų teikimu ir turėtų ne mažiau kaip 20 000 abonentų, būtų įvykdęs įsipareigojimus, susijusius su mokesčių ar socialinio draudimo įmokų mokėjimu, nebūtų sustabdęs ar apribojęs savo veiklos, jam nebūtų iškelta bankroto ar restruktūrizavimo byla ir kt.) yra nuosekliai taikomi jau nuo 2015 m. vykdant aukcionus dėl teisės įgyti radijo dažnius (kanalus).</w:t>
                      </w:r>
                    </w:p>
                    <w:p>
                      <w:pPr>
                        <w:shd w:val="clear" w:color="auto" w:fill="FFFFFF"/>
                        <w:tabs>
                          <w:tab w:val="left" w:pos="0"/>
                          <w:tab w:val="left" w:pos="709"/>
                        </w:tabs>
                        <w:suppressAutoHyphens/>
                        <w:ind w:right="19" w:firstLine="709"/>
                        <w:jc w:val="both"/>
                        <w:textAlignment w:val="baseline"/>
                        <w:rPr>
                          <w:rFonts w:eastAsia="Calibri"/>
                          <w:kern w:val="3"/>
                          <w:szCs w:val="24"/>
                          <w:highlight w:val="yellow"/>
                          <w:lang w:eastAsia="zh-CN"/>
                        </w:rPr>
                      </w:pPr>
                      <w:r>
                        <w:rPr>
                          <w:rFonts w:eastAsia="Calibri"/>
                          <w:kern w:val="3"/>
                          <w:szCs w:val="24"/>
                          <w:lang w:eastAsia="zh-CN"/>
                        </w:rPr>
                        <w:t>Pažymėtina, kad Aukciono sąlygų aprašo projekte numatomi kvalifikaciniai reikalavimai, susiję su vertimosi elektroninių ryšių veikla patirtimi ir turimų abonentų skaičiumi, neužkerta kelio mažiau patirties turintiems ūkio subjektams konkuruoti dėl atitinkamų elektroninių ryšių paslaugų teikimo ar naujiems ūkio subjektams pradėti teikti paslaugas šioje rinkoje, nes elektroninių ryšių paslaugos gali būti teikiamos ne tik tiesiogiai įgyjant teisę naudoti tam tikrus radijo dažius (kanalus), bet ir pasinaudojant kitomis Elektroninių ryšių įstatyme numatytomis priemonėmis, pavyzdžiui, sudarant sutartį dėl prieigos ir teikiant elektroninių ryšių paslaugas naudojantis kito operatoriaus elektroninių ryšių tinklu, naudojantis radijo dažniais (kanalais) pasidalijamąja teise, kai du ar daugiau asmenų naudojasi tais pačiais radijo dažniais (kanalais) ir kt.</w:t>
                      </w:r>
                      <w:r>
                        <w:rPr>
                          <w:rFonts w:eastAsia="Calibri"/>
                          <w:bCs/>
                          <w:i/>
                          <w:iCs/>
                          <w:kern w:val="3"/>
                          <w:szCs w:val="24"/>
                          <w:lang w:eastAsia="zh-CN"/>
                        </w:rPr>
                        <w:tab/>
                      </w:r>
                    </w:p>
                  </w:sdtContent>
                </w:sdt>
                <w:sdt>
                  <w:sdtPr>
                    <w:alias w:val="4.2.4 pp."/>
                    <w:tag w:val="part_d22464992ede47cdaf249b58382d12f1"/>
                    <w:lock w:val="sdtLocked"/>
                    <w:richText/>
                  </w:sdtPr>
                  <w:sdtContent>
                    <w:p>
                      <w:pPr>
                        <w:shd w:val="clear" w:color="auto" w:fill="FFFFFF"/>
                        <w:tabs>
                          <w:tab w:val="left" w:pos="0"/>
                          <w:tab w:val="left" w:pos="709"/>
                        </w:tabs>
                        <w:suppressAutoHyphens/>
                        <w:ind w:right="19" w:firstLine="720"/>
                        <w:jc w:val="both"/>
                        <w:textAlignment w:val="baseline"/>
                        <w:rPr>
                          <w:rFonts w:eastAsia="Calibri"/>
                          <w:b/>
                          <w:bCs/>
                          <w:i/>
                          <w:iCs/>
                          <w:kern w:val="3"/>
                          <w:szCs w:val="24"/>
                          <w:lang w:eastAsia="zh-CN"/>
                        </w:rPr>
                      </w:pPr>
                      <w:sdt>
                        <w:sdtPr>
                          <w:alias w:val="Numeris"/>
                          <w:tag w:val="nr_d22464992ede47cdaf249b58382d12f1"/>
                          <w:lock w:val="sdtLocked"/>
                          <w:richText/>
                        </w:sdtPr>
                        <w:sdtContent>
                          <w:r>
                            <w:rPr>
                              <w:rFonts w:eastAsia="Calibri"/>
                              <w:bCs/>
                              <w:kern w:val="3"/>
                              <w:szCs w:val="24"/>
                              <w:lang w:eastAsia="zh-CN"/>
                            </w:rPr>
                            <w:t>4.2.4</w:t>
                          </w:r>
                        </w:sdtContent>
                      </w:sdt>
                      <w:r>
                        <w:rPr>
                          <w:rFonts w:eastAsia="Calibri"/>
                          <w:bCs/>
                          <w:kern w:val="3"/>
                          <w:szCs w:val="24"/>
                          <w:lang w:eastAsia="zh-CN"/>
                        </w:rPr>
                        <w:t>.</w:t>
                      </w:r>
                      <w:r>
                        <w:rPr>
                          <w:rFonts w:eastAsia="Calibri"/>
                          <w:bCs/>
                          <w:i/>
                          <w:iCs/>
                          <w:kern w:val="3"/>
                          <w:szCs w:val="24"/>
                          <w:lang w:eastAsia="zh-CN"/>
                        </w:rPr>
                        <w:t xml:space="preserve"> Dėl aukciono vykdymo tvarkos</w:t>
                      </w:r>
                    </w:p>
                    <w:p>
                      <w:pPr>
                        <w:shd w:val="clear" w:color="auto" w:fill="FFFFFF"/>
                        <w:tabs>
                          <w:tab w:val="left" w:pos="0"/>
                        </w:tabs>
                        <w:suppressAutoHyphens/>
                        <w:ind w:right="19" w:firstLine="709"/>
                        <w:jc w:val="both"/>
                        <w:textAlignment w:val="baseline"/>
                        <w:rPr>
                          <w:rFonts w:eastAsia="Calibri"/>
                          <w:szCs w:val="24"/>
                          <w:lang w:bidi="hi-IN"/>
                        </w:rPr>
                      </w:pPr>
                      <w:r>
                        <w:rPr>
                          <w:rFonts w:eastAsia="Calibri"/>
                          <w:kern w:val="3"/>
                          <w:szCs w:val="24"/>
                          <w:lang w:eastAsia="zh-CN"/>
                        </w:rPr>
                        <w:t xml:space="preserve">Aukciono sąlygų aprašo projektas parengtos vadovaujantis </w:t>
                      </w:r>
                      <w:r>
                        <w:rPr>
                          <w:rFonts w:eastAsia="Calibri"/>
                          <w:szCs w:val="24"/>
                          <w:lang w:bidi="hi-IN"/>
                        </w:rPr>
                        <w:t xml:space="preserve">2025 metais patvirtintomis Elektroninių ryšių išteklių skyrimo ir naudojimo taisyklėmis, kurių VI skyriuje nustatyti bendrieji aukcionų vykdymo reikalavimai. </w:t>
                      </w:r>
                    </w:p>
                    <w:p>
                      <w:pPr>
                        <w:tabs>
                          <w:tab w:val="left" w:pos="426"/>
                        </w:tabs>
                        <w:ind w:firstLine="720"/>
                        <w:jc w:val="both"/>
                        <w:rPr>
                          <w:szCs w:val="24"/>
                        </w:rPr>
                      </w:pPr>
                      <w:r>
                        <w:rPr>
                          <w:rFonts w:eastAsia="Calibri"/>
                          <w:kern w:val="3"/>
                          <w:szCs w:val="24"/>
                          <w:lang w:eastAsia="zh-CN"/>
                        </w:rPr>
                        <w:t xml:space="preserve">Siekiant užtikrinti efektyvų finansinių ir žmogiškųjų išteklių naudojimą bei aplinkai tvarius sprendimus, Aukciono sąlygų aprašo projekte numatytas aukciono vykdymas elektroninėmis priemonėmis. Aukciono dokumentai turės būti pateikiami RRT elektroniniu paštu. Įvertinus kitų valstybės ir savivaldybių institucijų, įskaitant nacionalinių reguliavimo institucijų, patirtį vykdant elektroninius aukcionus, aukciono </w:t>
                      </w:r>
                      <w:r>
                        <w:rPr>
                          <w:szCs w:val="24"/>
                        </w:rPr>
                        <w:t xml:space="preserve">kainos pasiūlymų teikimo etapas bus vykdomas informacinių technologijų priemonėmis Antstolių informacinės sistemos elektroninių aukcionų valdymo posistemėje interneto svetainėje </w:t>
                      </w:r>
                      <w:r>
                        <w:rPr>
                          <w:szCs w:val="24"/>
                        </w:rPr>
                        <w:t>www.evarzytynes.lt</w:t>
                      </w:r>
                      <w:r>
                        <w:rPr>
                          <w:szCs w:val="24"/>
                        </w:rPr>
                        <w:t xml:space="preserve"> (toliau – specialioji interneto svetainė), kurią tvarko valstybės įmonė Registrų centras, ir vadovaujantis Aukcionų organizavimo ir vykdymo informacinių technologijų priemonėmis tvarkos aprašu, patvirtintu valstybės įmonės Registrų centro direktoriaus 2020 m. spalio 15 d. įsakymu Nr. NVE-177 (1.3 E) „Dėl Aukcionų organizavimo ir vykdymo informacinių technologijų priemonėmis tvarkos aprašo patvirtinimo“ nustatyta tvarka, kiek </w:t>
                      </w:r>
                      <w:r>
                        <w:rPr>
                          <w:rFonts w:eastAsia="Calibri"/>
                          <w:kern w:val="3"/>
                          <w:szCs w:val="24"/>
                          <w:lang w:eastAsia="zh-CN"/>
                        </w:rPr>
                        <w:t>Aukciono sąlygų aprašo projektu</w:t>
                      </w:r>
                      <w:r>
                        <w:rPr>
                          <w:szCs w:val="24"/>
                        </w:rPr>
                        <w:t xml:space="preserve"> nenustatyta kitaip. </w:t>
                      </w:r>
                    </w:p>
                    <w:p>
                      <w:pPr>
                        <w:tabs>
                          <w:tab w:val="left" w:pos="142"/>
                          <w:tab w:val="left" w:pos="426"/>
                          <w:tab w:val="left" w:pos="1260"/>
                        </w:tabs>
                        <w:ind w:firstLine="782"/>
                        <w:jc w:val="both"/>
                        <w:rPr>
                          <w:rFonts w:eastAsia="Calibri"/>
                          <w:kern w:val="3"/>
                          <w:lang w:eastAsia="zh-CN"/>
                        </w:rPr>
                      </w:pPr>
                      <w:r>
                        <w:rPr>
                          <w:rFonts w:eastAsia="Calibri"/>
                          <w:kern w:val="3"/>
                          <w:szCs w:val="24"/>
                          <w:lang w:eastAsia="zh-CN"/>
                        </w:rPr>
                        <w:t xml:space="preserve">Numatoma, kad </w:t>
                      </w:r>
                      <w:r>
                        <w:rPr>
                          <w:bCs/>
                        </w:rPr>
                        <w:t xml:space="preserve">kainos pasiūlymų teikimo etapas bus vykdomas dalimis, o kainų pasiūlymai specialiojoje interneto svetainėje teikiami dėl konkretaus radijo dažnių bloko (toliau – elektroninis aukcionas). Atitinkamai numatoma, kad RRT sprendimas dėl laimėtojų bus priimamas po kiekvienos kainos pasiūlymų teikimo etapo dalies pabaigos, t. y. kai baigiasi visi elektroniniai aukcionai dėl tam tikros radijo dažnių juostos visų radijo dažnių blokų. </w:t>
                      </w:r>
                      <w:r>
                        <w:t xml:space="preserve"> </w:t>
                      </w:r>
                    </w:p>
                    <w:p>
                      <w:pPr>
                        <w:shd w:val="clear" w:color="auto" w:fill="FFFFFF"/>
                        <w:tabs>
                          <w:tab w:val="left" w:pos="0"/>
                        </w:tabs>
                        <w:suppressAutoHyphens/>
                        <w:ind w:right="19"/>
                        <w:jc w:val="both"/>
                        <w:textAlignment w:val="baseline"/>
                        <w:rPr>
                          <w:rFonts w:eastAsia="Calibri"/>
                          <w:bCs/>
                          <w:kern w:val="3"/>
                          <w:szCs w:val="24"/>
                          <w:lang w:eastAsia="zh-CN"/>
                        </w:rPr>
                      </w:pPr>
                    </w:p>
                  </w:sdtContent>
                </w:sdt>
                <w:sdt>
                  <w:sdtPr>
                    <w:alias w:val="4.2.5 pp."/>
                    <w:tag w:val="part_ad425f364aca4c4cbda8ee7412a79adb"/>
                    <w:lock w:val="sdtLocked"/>
                    <w:richText/>
                  </w:sdtPr>
                  <w:sdtContent>
                    <w:p>
                      <w:pPr>
                        <w:shd w:val="clear" w:color="auto" w:fill="FFFFFF"/>
                        <w:tabs>
                          <w:tab w:val="left" w:pos="0"/>
                          <w:tab w:val="left" w:pos="709"/>
                        </w:tabs>
                        <w:suppressAutoHyphens/>
                        <w:ind w:right="19" w:firstLine="709"/>
                        <w:jc w:val="both"/>
                        <w:textAlignment w:val="baseline"/>
                        <w:rPr>
                          <w:i/>
                          <w:iCs/>
                          <w:szCs w:val="24"/>
                        </w:rPr>
                      </w:pPr>
                      <w:sdt>
                        <w:sdtPr>
                          <w:alias w:val="Numeris"/>
                          <w:tag w:val="nr_ad425f364aca4c4cbda8ee7412a79adb"/>
                          <w:lock w:val="sdtLocked"/>
                          <w:richText/>
                        </w:sdtPr>
                        <w:sdtContent>
                          <w:r>
                            <w:rPr>
                              <w:rFonts w:eastAsia="Calibri"/>
                              <w:i/>
                              <w:kern w:val="3"/>
                              <w:szCs w:val="24"/>
                              <w:lang w:eastAsia="zh-CN"/>
                            </w:rPr>
                            <w:t>4.2.</w:t>
                          </w:r>
                          <w:r>
                            <w:rPr>
                              <w:rFonts w:eastAsia="Calibri"/>
                              <w:bCs/>
                              <w:i/>
                              <w:iCs/>
                              <w:kern w:val="3"/>
                              <w:szCs w:val="24"/>
                              <w:lang w:eastAsia="zh-CN"/>
                            </w:rPr>
                            <w:t>5</w:t>
                          </w:r>
                        </w:sdtContent>
                      </w:sdt>
                      <w:r>
                        <w:rPr>
                          <w:rFonts w:eastAsia="Calibri"/>
                          <w:bCs/>
                          <w:i/>
                          <w:iCs/>
                          <w:kern w:val="3"/>
                          <w:szCs w:val="24"/>
                          <w:lang w:eastAsia="zh-CN"/>
                        </w:rPr>
                        <w:t xml:space="preserve">. </w:t>
                      </w:r>
                      <w:r>
                        <w:rPr>
                          <w:i/>
                          <w:iCs/>
                          <w:szCs w:val="24"/>
                        </w:rPr>
                        <w:t>Dėl bendros radijo dažnių (kanalų) iš 700 MHz juostos apimties</w:t>
                      </w:r>
                    </w:p>
                    <w:p>
                      <w:pPr>
                        <w:shd w:val="clear" w:color="auto" w:fill="FFFFFF"/>
                        <w:tabs>
                          <w:tab w:val="left" w:pos="0"/>
                          <w:tab w:val="left" w:pos="709"/>
                        </w:tabs>
                        <w:suppressAutoHyphens/>
                        <w:ind w:right="19" w:firstLine="709"/>
                        <w:jc w:val="both"/>
                        <w:textAlignment w:val="baseline"/>
                        <w:rPr>
                          <w:rFonts w:eastAsia="Calibri"/>
                          <w:bCs/>
                          <w:kern w:val="3"/>
                          <w:szCs w:val="24"/>
                          <w:lang w:eastAsia="zh-CN"/>
                        </w:rPr>
                      </w:pPr>
                      <w:r>
                        <w:rPr>
                          <w:rFonts w:eastAsia="Calibri"/>
                          <w:bCs/>
                          <w:kern w:val="3"/>
                          <w:szCs w:val="24"/>
                          <w:lang w:eastAsia="zh-CN"/>
                        </w:rPr>
                        <w:t>Plačiajuosčio ryšio plėtra, kuriai numatoma skirti radijo dažnius (kanalus) iš 700 MHz juostos, yra strateginės svarbos klausimas. Tuo trapu 700 MHz juosta laikoma itin svarbia radijo ryšio aprėpties užtikrinimui dėl palankių šių radijo dažnių signalų sklidimo charakteristikų. Aukciono sąlygų aprašo projekto 17 punkte yra numatyti plačiajuosčio ryšio tinklų plėtros reikalavimai, susiję su tam tikros spartos mobiliojo ryšio paslaugų užtikrinimu visoje Lietuvos teritorijoje. Tolygus radijo dažnių (kanalų) iš 700 MHz juostos paskirstymas, t. y. galimybė įgyti teisę naudoti 2x10 MHz iš suporuotų atitinkamų radijo dažnių juostų, sudarytų palankias sąlygas ir vienodas konkurencines galimybes aukciono laimėtojams įvykdyti Aukciono sąlygų aprašo projekto 17 punkte numatytus plėtros reikalavimus.</w:t>
                      </w:r>
                    </w:p>
                    <w:p>
                      <w:pPr>
                        <w:shd w:val="clear" w:color="auto" w:fill="FFFFFF"/>
                        <w:tabs>
                          <w:tab w:val="left" w:pos="0"/>
                          <w:tab w:val="left" w:pos="709"/>
                        </w:tabs>
                        <w:suppressAutoHyphens/>
                        <w:ind w:right="19" w:firstLine="709"/>
                        <w:jc w:val="both"/>
                        <w:textAlignment w:val="baseline"/>
                        <w:rPr>
                          <w:rFonts w:eastAsia="Calibri"/>
                          <w:bCs/>
                          <w:kern w:val="3"/>
                          <w:szCs w:val="24"/>
                          <w:lang w:eastAsia="zh-CN"/>
                        </w:rPr>
                      </w:pPr>
                      <w:r>
                        <w:rPr>
                          <w:rFonts w:eastAsia="Calibri"/>
                          <w:bCs/>
                          <w:kern w:val="3"/>
                          <w:szCs w:val="24"/>
                          <w:lang w:eastAsia="zh-CN"/>
                        </w:rPr>
                        <w:t xml:space="preserve">Be to, aukštos kokybės mobilusis ryšys ir tolygiai išvystytos antžeminės sistemos gali būti svarbios ir Valstybinio kritinio ryšio tinklo (toliau – VKRT) vystymui. Nepriklausomai nuo to, koks VKRT modelis bus pasirinktas, išliks poreikis užtikrinti papildomą VKRT pasiekiamumą ir patikimumą, sudarant sąlygas VKRT išplėtimui ar dubliavimui naudoti viešųjų mobiliojo ryšio operatorių resursus. Įvertinus tai, yra svarbu, kad visi mobiliojo ryšio operatoriai turėtų vienodas galimybes prisidėti prie VKRT keliamų tikslų, o tam reikalingas tolygus spektro paskirstymas tarp operatorių. Priėmus sprendimą VKRT vystyti MOCN (angl. </w:t>
                      </w:r>
                      <w:r>
                        <w:rPr>
                          <w:rFonts w:eastAsia="Calibri"/>
                          <w:bCs/>
                          <w:i/>
                          <w:iCs/>
                          <w:kern w:val="3"/>
                          <w:szCs w:val="24"/>
                          <w:lang w:eastAsia="zh-CN"/>
                        </w:rPr>
                        <w:t>Multi-Operator Core Network</w:t>
                      </w:r>
                      <w:r>
                        <w:rPr>
                          <w:rFonts w:eastAsia="Calibri"/>
                          <w:bCs/>
                          <w:kern w:val="3"/>
                          <w:szCs w:val="24"/>
                          <w:lang w:eastAsia="zh-CN"/>
                        </w:rPr>
                        <w:t xml:space="preserve">) arba FMVNO (angl. </w:t>
                      </w:r>
                      <w:r>
                        <w:rPr>
                          <w:rFonts w:eastAsia="Calibri"/>
                          <w:bCs/>
                          <w:i/>
                          <w:iCs/>
                          <w:kern w:val="3"/>
                          <w:szCs w:val="24"/>
                          <w:lang w:eastAsia="zh-CN"/>
                        </w:rPr>
                        <w:t>Full Mobile Virtual Network Operator</w:t>
                      </w:r>
                      <w:r>
                        <w:rPr>
                          <w:rFonts w:eastAsia="Calibri"/>
                          <w:bCs/>
                          <w:kern w:val="3"/>
                          <w:szCs w:val="24"/>
                          <w:lang w:eastAsia="zh-CN"/>
                        </w:rPr>
                        <w:t>) modelio pagrindu, visi operatoriai galėtų konkuruoti ir teikti lygiaverčius pasiūlymus dėl savo tinklo ar jo dalių panaudojimo VKRT reikmėms. Vienas iš VKRT tinklo atsparumo užtikrinimo būdų yra nacionalinio tarptinklinio ryšio panaudojimas, kuris yra efektyviausias, kai visų operatorių tinklų ryšio kokybė yra panaši. Galimybė įgyti teisę naudoti 2x10 MHz radijo dažnių blokus 700 MHz juostoje sudarytų galimybes turėti kokybišką ryšį toliau nuo bazinių stočių nutolusiose vietovėse, kur dėl radijo bangų sklidimo savybių aukštesniais radijo dažniais tinkamo ryšio užtikrinti neįmanoma.</w:t>
                      </w:r>
                    </w:p>
                    <w:p>
                      <w:pPr>
                        <w:shd w:val="clear" w:color="auto" w:fill="FFFFFF"/>
                        <w:tabs>
                          <w:tab w:val="left" w:pos="0"/>
                          <w:tab w:val="left" w:pos="709"/>
                        </w:tabs>
                        <w:suppressAutoHyphens/>
                        <w:ind w:right="19" w:firstLine="709"/>
                        <w:jc w:val="both"/>
                        <w:textAlignment w:val="baseline"/>
                        <w:rPr>
                          <w:rFonts w:eastAsia="Calibri"/>
                          <w:bCs/>
                          <w:kern w:val="3"/>
                          <w:szCs w:val="24"/>
                          <w:lang w:eastAsia="zh-CN"/>
                        </w:rPr>
                      </w:pPr>
                      <w:r>
                        <w:rPr>
                          <w:rFonts w:eastAsia="Calibri"/>
                          <w:bCs/>
                          <w:kern w:val="3"/>
                          <w:szCs w:val="24"/>
                          <w:lang w:eastAsia="zh-CN"/>
                        </w:rPr>
                        <w:t xml:space="preserve">Atsižvelgiant į tai, yra tikslinga Aukciono sąlygų aprašo projekte numatyti, kad vienam aukciono dėl 700 MHz juostos radijo dažnių blokų laimėtojui (įskaitant su juo susijusius asmenis) RRT skirta bendra radijo dažnių (kanalų) iš 700 MHz juostos apimtis, t. y. laimėjus elektroninį aukcioną dėl 700 MHz juostos skirti radijo dažniai (kanalai) iš 700 MHz juostos ir RRT anksčiau jam skirti radijo dažniai (kanalai) iš 700 MHz juostos (toliau – 2022 m. skirti radijo dažniai (kanalai) iš 700 MHz juostos), gali sudaryti ne daugiau kaip 2x10 MHz suporuotose radijo dažnių juostose. </w:t>
                      </w:r>
                    </w:p>
                    <w:p>
                      <w:pPr>
                        <w:shd w:val="clear" w:color="auto" w:fill="FFFFFF"/>
                        <w:tabs>
                          <w:tab w:val="left" w:pos="0"/>
                          <w:tab w:val="left" w:pos="709"/>
                        </w:tabs>
                        <w:suppressAutoHyphens/>
                        <w:ind w:right="19" w:firstLine="709"/>
                        <w:jc w:val="both"/>
                        <w:textAlignment w:val="baseline"/>
                        <w:rPr>
                          <w:rFonts w:eastAsia="Calibri"/>
                          <w:bCs/>
                          <w:kern w:val="3"/>
                          <w:szCs w:val="24"/>
                          <w:lang w:eastAsia="zh-CN"/>
                        </w:rPr>
                      </w:pPr>
                      <w:r>
                        <w:rPr>
                          <w:rFonts w:eastAsia="Calibri"/>
                          <w:bCs/>
                          <w:kern w:val="3"/>
                          <w:szCs w:val="24"/>
                          <w:lang w:eastAsia="zh-CN"/>
                        </w:rPr>
                        <w:t xml:space="preserve">Tačiau tuo pačiu turi būti įvertintos ir aplinkybės, kad praktikoje gali susiklostyti situacija, kad kuris nors iš Aukciono sąlygų aprašo projekte numatytų elektroninių aukcionų dėl tam tikro 2x5 MHz pločio radijo dažnių bloko iš 700 MHz juostos gali būti laikomas neįvykusiu, pavyzdžiui, jeigu į tą elektroninį aukcioną neužregistruotas nė vienas aukciono dalyvis arba nė vienas aukciono dalyvis nepasiūlys Aukciono sąlygų apraše nustatytos pradinės arba didesnės kainos ir pan. Tokiu atveju susidarytų situacija, kad liktų laisvų 2x5 MHz pločio radijo dažnių blokų iš 700 MHz juostos ir dėl jų turėtų būti organizuojamas naujas aukcionas (t. y. rengiamas naujo aukciono sąlygų aprašas, dėl jo viešai konsultuojamasi, aukciono dalyviai iš naujo turėtų teikti aukciono dokumentus ir t. t.). Tai lemtų tiek neefektyvias radijo dažnių (kanalų) skyrimo procedūras, tiek neefektyvų atitinkamų radijo dažnių (kanalų) naudojimą. </w:t>
                      </w:r>
                    </w:p>
                    <w:p>
                      <w:pPr>
                        <w:shd w:val="clear" w:color="auto" w:fill="FFFFFF"/>
                        <w:tabs>
                          <w:tab w:val="left" w:pos="0"/>
                          <w:tab w:val="left" w:pos="709"/>
                        </w:tabs>
                        <w:suppressAutoHyphens/>
                        <w:ind w:right="19" w:firstLine="709"/>
                        <w:jc w:val="both"/>
                        <w:textAlignment w:val="baseline"/>
                        <w:rPr>
                          <w:rFonts w:eastAsia="Calibri"/>
                          <w:bCs/>
                          <w:kern w:val="3"/>
                          <w:szCs w:val="24"/>
                          <w:lang w:eastAsia="zh-CN"/>
                        </w:rPr>
                      </w:pPr>
                      <w:r>
                        <w:rPr>
                          <w:rFonts w:eastAsia="Calibri"/>
                          <w:bCs/>
                          <w:kern w:val="3"/>
                          <w:szCs w:val="24"/>
                          <w:lang w:eastAsia="zh-CN"/>
                        </w:rPr>
                        <w:t>Atsižvelgiant į tai, yra tikslinga Aukciono sąlygų aprašo projekte numatyti ir tai, kad jeigu kuris nors iš Aukciono sąlygų aprašo projekte numatytų elektroninių aukcionų dėl 2x5 MHz pločio radijo dažnių blokų iš 700 MHz juostos yra laikomas neįvykusiu ir lieka laisvų 2x5 MHz pločio radijo dažnių blokų iš 700 MHz juostos, RRT pakartotinai vykdo elektroninį (-ius) aukcioną (-us) dėl šių radijo dažnių blokų ir šiuo atveju vienam aukciono dėl 700 MHz juostos radijo dažnių blokų laimėtojui (įskaitant su juo susijusius asmenis) RRT skirta bendra radijo dažnių (kanalų) iš 700 MHz juostos apimtis, t. y. laimėjus elektroninį (-ius) aukcioną (-us) dėl 700 MHz juostos skirti radijo dažniai (kanalai) iš 700 MHz juostos ir 2022 m. skirti radijo dažniai (kanalai) iš 700 MHz juostos, gali sudaryti ne daugiau kaip 2x15 MHz suporuotose radijo dažnių juostose.</w:t>
                      </w:r>
                    </w:p>
                    <w:p>
                      <w:pPr>
                        <w:shd w:val="clear" w:color="auto" w:fill="FFFFFF"/>
                        <w:tabs>
                          <w:tab w:val="left" w:pos="0"/>
                          <w:tab w:val="left" w:pos="709"/>
                        </w:tabs>
                        <w:suppressAutoHyphens/>
                        <w:ind w:right="19" w:firstLine="709"/>
                        <w:jc w:val="both"/>
                        <w:textAlignment w:val="baseline"/>
                        <w:rPr>
                          <w:rFonts w:eastAsia="Calibri"/>
                          <w:bCs/>
                          <w:kern w:val="3"/>
                          <w:szCs w:val="24"/>
                          <w:lang w:eastAsia="zh-CN"/>
                        </w:rPr>
                      </w:pPr>
                      <w:r>
                        <w:rPr>
                          <w:rFonts w:eastAsia="Calibri"/>
                          <w:bCs/>
                          <w:kern w:val="3"/>
                          <w:szCs w:val="24"/>
                          <w:lang w:eastAsia="zh-CN"/>
                        </w:rPr>
                        <w:t xml:space="preserve">Įvertinus aukščiau nurodytas aplinkybes, yra tikslintas ir Projektas Nr. 1, jo 2.4 papunktyje numatant, kad vienam aukciono dalyviui galimų skirti radijo dažnių (kanalų) iš 700 MHz juostos apimtis yra nurodoma konkretaus aukciono (-ų) sąlygų apraše </w:t>
                      </w:r>
                      <w:r>
                        <w:rPr>
                          <w:color w:val="000000"/>
                        </w:rPr>
                        <w:t>(-uose)</w:t>
                      </w:r>
                      <w:r>
                        <w:rPr>
                          <w:rFonts w:eastAsia="Calibri"/>
                          <w:kern w:val="3"/>
                          <w:szCs w:val="24"/>
                          <w:lang w:eastAsia="zh-CN"/>
                        </w:rPr>
                        <w:t>.</w:t>
                      </w:r>
                    </w:p>
                    <w:p>
                      <w:pPr>
                        <w:shd w:val="clear" w:color="auto" w:fill="FFFFFF"/>
                        <w:tabs>
                          <w:tab w:val="left" w:pos="0"/>
                          <w:tab w:val="left" w:pos="709"/>
                        </w:tabs>
                        <w:suppressAutoHyphens/>
                        <w:ind w:right="19" w:firstLine="709"/>
                        <w:jc w:val="both"/>
                        <w:textAlignment w:val="baseline"/>
                        <w:rPr>
                          <w:bCs/>
                          <w:i/>
                          <w:iCs/>
                        </w:rPr>
                      </w:pPr>
                    </w:p>
                  </w:sdtContent>
                </w:sdt>
                <w:sdt>
                  <w:sdtPr>
                    <w:alias w:val="4.2.6 pp."/>
                    <w:tag w:val="part_b579de2c5b52474285f66196f33f5c61"/>
                    <w:lock w:val="sdtLocked"/>
                    <w:richText/>
                  </w:sdtPr>
                  <w:sdtContent>
                    <w:p>
                      <w:pPr>
                        <w:shd w:val="clear" w:color="auto" w:fill="FFFFFF"/>
                        <w:tabs>
                          <w:tab w:val="left" w:pos="0"/>
                          <w:tab w:val="left" w:pos="709"/>
                        </w:tabs>
                        <w:suppressAutoHyphens/>
                        <w:ind w:right="19" w:firstLine="709"/>
                        <w:jc w:val="both"/>
                        <w:textAlignment w:val="baseline"/>
                        <w:rPr>
                          <w:rFonts w:eastAsia="Calibri"/>
                          <w:b/>
                          <w:bCs/>
                          <w:i/>
                          <w:iCs/>
                          <w:kern w:val="3"/>
                          <w:szCs w:val="24"/>
                          <w:lang w:eastAsia="zh-CN"/>
                        </w:rPr>
                      </w:pPr>
                      <w:sdt>
                        <w:sdtPr>
                          <w:alias w:val="Numeris"/>
                          <w:tag w:val="nr_b579de2c5b52474285f66196f33f5c61"/>
                          <w:lock w:val="sdtLocked"/>
                          <w:richText/>
                        </w:sdtPr>
                        <w:sdtContent>
                          <w:r>
                            <w:rPr>
                              <w:bCs/>
                            </w:rPr>
                            <w:t>4.2.6</w:t>
                          </w:r>
                        </w:sdtContent>
                      </w:sdt>
                      <w:r>
                        <w:rPr>
                          <w:bCs/>
                        </w:rPr>
                        <w:t>.</w:t>
                      </w:r>
                      <w:r>
                        <w:rPr>
                          <w:bCs/>
                          <w:i/>
                          <w:iCs/>
                        </w:rPr>
                        <w:t xml:space="preserve"> Dėl </w:t>
                      </w:r>
                      <w:r>
                        <w:rPr>
                          <w:i/>
                        </w:rPr>
                        <w:t>radijo dažnių (kanalų) iš 700 MHz juostos</w:t>
                      </w:r>
                      <w:r>
                        <w:rPr>
                          <w:bCs/>
                          <w:i/>
                          <w:iCs/>
                        </w:rPr>
                        <w:t xml:space="preserve"> keitimo</w:t>
                      </w:r>
                    </w:p>
                    <w:p>
                      <w:pPr>
                        <w:shd w:val="clear" w:color="auto" w:fill="FFFFFF"/>
                        <w:tabs>
                          <w:tab w:val="left" w:pos="0"/>
                          <w:tab w:val="left" w:pos="709"/>
                        </w:tabs>
                        <w:suppressAutoHyphens/>
                        <w:ind w:right="19" w:firstLine="709"/>
                        <w:jc w:val="both"/>
                        <w:textAlignment w:val="baseline"/>
                      </w:pPr>
                      <w:r>
                        <w:t xml:space="preserve">Kaip minėta pirmiau, ES mastu plačiajuosčio ryšio plėtrai suderinti radijo dažniai (kanalai) yra itin ribotas valstybės išteklius, todėl turi būti užtikrinta, kad šis kritinės svarbos valstybės išteklius būtų naudojamas efektyviai. Atsižvelgiant į tai, siekiant </w:t>
                      </w:r>
                      <w:r>
                        <w:rPr>
                          <w:color w:val="000000"/>
                          <w:szCs w:val="24"/>
                          <w:lang w:eastAsia="lt-LT"/>
                        </w:rPr>
                        <w:t xml:space="preserve">efektyvaus radijo dažnių (kanalų) naudojimo ir technologinio suderinamumo, </w:t>
                      </w:r>
                      <w:r>
                        <w:t xml:space="preserve">Aukciono sąlygų aprašo projekto IX skyriuje numatoma </w:t>
                      </w:r>
                      <w:r>
                        <w:rPr>
                          <w:bCs/>
                        </w:rPr>
                        <w:t>radijo dažnių (kanalų) iš 700 MHz juostos keitimo tvarka,</w:t>
                      </w:r>
                      <w:r>
                        <w:rPr>
                          <w:color w:val="000000"/>
                          <w:szCs w:val="24"/>
                          <w:lang w:eastAsia="lt-LT"/>
                        </w:rPr>
                        <w:t xml:space="preserve"> siekiant po aukciono 700 MHz juostoje sudaryti ištisines radijo dažnių (kanalų) juostas</w:t>
                      </w:r>
                      <w:r>
                        <w:rPr>
                          <w:bCs/>
                        </w:rPr>
                        <w:t>.</w:t>
                      </w:r>
                      <w:r>
                        <w:rPr>
                          <w:rFonts w:eastAsia="Calibri"/>
                          <w:bCs/>
                          <w:i/>
                          <w:iCs/>
                          <w:kern w:val="3"/>
                          <w:szCs w:val="24"/>
                          <w:lang w:eastAsia="zh-CN"/>
                        </w:rPr>
                        <w:t xml:space="preserve"> </w:t>
                      </w:r>
                    </w:p>
                    <w:p>
                      <w:pPr>
                        <w:tabs>
                          <w:tab w:val="left" w:pos="142"/>
                        </w:tabs>
                        <w:ind w:firstLine="709"/>
                        <w:jc w:val="both"/>
                        <w:rPr>
                          <w:color w:val="000000"/>
                          <w:szCs w:val="24"/>
                        </w:rPr>
                      </w:pPr>
                      <w:r>
                        <w:t xml:space="preserve">Aukciono sąlygų aprašo projekte numatoma </w:t>
                      </w:r>
                      <w:r>
                        <w:rPr>
                          <w:szCs w:val="24"/>
                        </w:rPr>
                        <w:t>RRT teisė priimti sprendimą</w:t>
                      </w:r>
                      <w:r>
                        <w:rPr>
                          <w:color w:val="000000"/>
                          <w:szCs w:val="24"/>
                        </w:rPr>
                        <w:t xml:space="preserve"> pakeisti aukciono dalyviui radijo dažnius (kanalus) iš 700 MHz juostos, kurių laimėtoju jis buvo pripažintas ir (arba)</w:t>
                      </w:r>
                      <w:r>
                        <w:rPr>
                          <w:color w:val="000000"/>
                          <w:szCs w:val="24"/>
                          <w:lang w:eastAsia="lt-LT"/>
                        </w:rPr>
                        <w:t xml:space="preserve"> Tarnybos jam anksčiau skirtus radijo dažnius (kanalus) iš 700 MHz juostos (toliau – 2022 m. skirti radijo dažniai (kanalai) iš 700 MHz juostos)</w:t>
                      </w:r>
                      <w:r>
                        <w:rPr>
                          <w:color w:val="000000"/>
                          <w:szCs w:val="24"/>
                        </w:rPr>
                        <w:t xml:space="preserve">, kitais tos pačios paskirties radijo dažniais (kanalais) iš </w:t>
                      </w:r>
                      <w:r>
                        <w:rPr>
                          <w:szCs w:val="24"/>
                        </w:rPr>
                        <w:t xml:space="preserve">700 MHz juostos. Taip pat numatoma </w:t>
                      </w:r>
                      <w:r>
                        <w:t xml:space="preserve">radijo dažnių (kanalų) </w:t>
                      </w:r>
                      <w:r>
                        <w:rPr>
                          <w:color w:val="000000"/>
                          <w:szCs w:val="24"/>
                          <w:lang w:eastAsia="lt-LT"/>
                        </w:rPr>
                        <w:t xml:space="preserve">iš 700 MHz juostos laimėtojų teisė per </w:t>
                      </w:r>
                      <w:r>
                        <w:t xml:space="preserve">Aukciono sąlygų aprašo projekte numatytą terminą </w:t>
                      </w:r>
                      <w:r>
                        <w:rPr>
                          <w:color w:val="000000"/>
                          <w:szCs w:val="24"/>
                          <w:lang w:eastAsia="lt-LT"/>
                        </w:rPr>
                        <w:t>pateikti RRT motyvuotus siūlymus dėl radijo dažnių (kanalų) iš 700 MHz juostos, t. y. jų laimėtų radijo dažnių (kanalų) iš 700 MHz juostos ir (ar) 2022 m. skirtų radijo dažnių (kanalų) iš 700 MHz juostos, sukeitimo, taip pat tokių siūlymų vertinimo principai.</w:t>
                      </w:r>
                    </w:p>
                    <w:p>
                      <w:pPr>
                        <w:shd w:val="clear" w:color="auto" w:fill="FFFFFF"/>
                        <w:tabs>
                          <w:tab w:val="left" w:pos="0"/>
                          <w:tab w:val="left" w:pos="709"/>
                        </w:tabs>
                        <w:suppressAutoHyphens/>
                        <w:ind w:right="19" w:firstLine="709"/>
                        <w:jc w:val="both"/>
                        <w:textAlignment w:val="baseline"/>
                        <w:rPr>
                          <w:rFonts w:eastAsia="Calibri"/>
                          <w:i/>
                          <w:iCs/>
                          <w:kern w:val="3"/>
                          <w:lang w:eastAsia="zh-CN"/>
                        </w:rPr>
                      </w:pPr>
                    </w:p>
                  </w:sdtContent>
                </w:sdt>
              </w:sdtContent>
            </w:sdt>
          </w:sdtContent>
        </w:sdt>
        <w:sdt>
          <w:sdtPr>
            <w:alias w:val="5 p."/>
            <w:tag w:val="part_adb7e83cfc774832ab611e8e9b738e8c"/>
            <w:lock w:val="sdtLocked"/>
            <w:richText/>
          </w:sdtPr>
          <w:sdtContent>
            <w:p>
              <w:pPr>
                <w:suppressAutoHyphens/>
                <w:ind w:firstLine="709"/>
                <w:jc w:val="both"/>
                <w:textAlignment w:val="baseline"/>
                <w:rPr>
                  <w:b/>
                  <w:spacing w:val="-2"/>
                  <w:kern w:val="3"/>
                  <w:szCs w:val="24"/>
                  <w:lang w:eastAsia="zh-CN"/>
                </w:rPr>
              </w:pPr>
              <w:sdt>
                <w:sdtPr>
                  <w:alias w:val="Numeris"/>
                  <w:tag w:val="nr_adb7e83cfc774832ab611e8e9b738e8c"/>
                  <w:lock w:val="sdtLocked"/>
                  <w:richText/>
                </w:sdtPr>
                <w:sdtContent>
                  <w:r>
                    <w:rPr>
                      <w:b/>
                      <w:spacing w:val="-2"/>
                      <w:kern w:val="3"/>
                      <w:szCs w:val="24"/>
                      <w:lang w:eastAsia="zh-CN"/>
                    </w:rPr>
                    <w:t>5</w:t>
                  </w:r>
                </w:sdtContent>
              </w:sdt>
              <w:r>
                <w:rPr>
                  <w:b/>
                  <w:spacing w:val="-2"/>
                  <w:kern w:val="3"/>
                  <w:szCs w:val="24"/>
                  <w:lang w:eastAsia="zh-CN"/>
                </w:rPr>
                <w:t>. Galimos neigiamos priimtų teisės aktų projektų pasekmės ir priemonės, kurių reikėtų imtis, kad tokių pasekmių būtų išvengta</w:t>
              </w:r>
            </w:p>
            <w:p>
              <w:pPr>
                <w:suppressAutoHyphens/>
                <w:ind w:firstLine="709"/>
                <w:jc w:val="both"/>
                <w:textAlignment w:val="baseline"/>
                <w:rPr>
                  <w:color w:val="000000"/>
                </w:rPr>
              </w:pPr>
              <w:r>
                <w:rPr>
                  <w:kern w:val="3"/>
                  <w:lang w:eastAsia="zh-CN"/>
                </w:rPr>
                <w:t xml:space="preserve">Neigiamų projektų pasekmių nenumatoma. Projektu Nr. 1 patikslinus Plano 5.1 papunktį, </w:t>
              </w:r>
              <w:r>
                <w:rPr>
                  <w:color w:val="000000"/>
                </w:rPr>
                <w:t xml:space="preserve">civilinės saugos, pagalbos nukentėjusiesiems ir nelaimių padarinių šalinimo radijo ryšio sistemų veiklai užtikrinti būtų naudojami </w:t>
              </w:r>
              <w:r>
                <w:rPr>
                  <w:kern w:val="3"/>
                  <w:lang w:eastAsia="zh-CN"/>
                </w:rPr>
                <w:t xml:space="preserve">Plano 5.4 papunktyje nurodyti </w:t>
              </w:r>
              <w:r>
                <w:rPr>
                  <w:color w:val="000000"/>
                </w:rPr>
                <w:t>radijo dažniai (kanalai) iš 698–703 MHz, 733–736 MHz, 753–758 MHz ir 788–791 MHz radijo dažnių juostų, taip pat kitų</w:t>
              </w:r>
              <w:r>
                <w:rPr>
                  <w:kern w:val="3"/>
                  <w:lang w:eastAsia="zh-CN"/>
                </w:rPr>
                <w:t xml:space="preserve"> </w:t>
              </w:r>
              <w:r>
                <w:rPr>
                  <w:color w:val="000000"/>
                </w:rPr>
                <w:t xml:space="preserve">dažnių (kanalų) juostų. </w:t>
              </w:r>
            </w:p>
            <w:p>
              <w:pPr>
                <w:suppressAutoHyphens/>
                <w:ind w:firstLine="709"/>
                <w:jc w:val="both"/>
                <w:textAlignment w:val="baseline"/>
                <w:rPr>
                  <w:color w:val="000000"/>
                </w:rPr>
              </w:pPr>
            </w:p>
          </w:sdtContent>
        </w:sdt>
        <w:sdt>
          <w:sdtPr>
            <w:alias w:val="6 p."/>
            <w:tag w:val="part_12ea2b0bed4944c4aea0292c5cd88093"/>
            <w:lock w:val="sdtLocked"/>
            <w:richText/>
          </w:sdtPr>
          <w:sdtContent>
            <w:p>
              <w:pPr>
                <w:widowControl w:val="0"/>
                <w:suppressAutoHyphens/>
                <w:ind w:firstLine="709"/>
                <w:jc w:val="both"/>
                <w:textAlignment w:val="baseline"/>
                <w:rPr>
                  <w:rFonts w:eastAsia="Droid Sans Fallback"/>
                  <w:b/>
                  <w:bCs/>
                  <w:kern w:val="3"/>
                  <w:szCs w:val="24"/>
                  <w:lang w:eastAsia="zh-CN" w:bidi="hi-IN"/>
                </w:rPr>
              </w:pPr>
              <w:sdt>
                <w:sdtPr>
                  <w:alias w:val="Numeris"/>
                  <w:tag w:val="nr_12ea2b0bed4944c4aea0292c5cd88093"/>
                  <w:lock w:val="sdtLocked"/>
                  <w:richText/>
                </w:sdtPr>
                <w:sdtContent>
                  <w:r>
                    <w:rPr>
                      <w:rFonts w:eastAsia="Calibri"/>
                      <w:b/>
                      <w:szCs w:val="24"/>
                    </w:rPr>
                    <w:t>6</w:t>
                  </w:r>
                </w:sdtContent>
              </w:sdt>
              <w:r>
                <w:rPr>
                  <w:rFonts w:eastAsia="Calibri"/>
                  <w:b/>
                  <w:szCs w:val="24"/>
                </w:rPr>
                <w:t xml:space="preserve">. Informacija apie tai, ar parengtais teisės aktų projektais yra nustatomas naujas arba keičiamas esamas ūkio subjektų veiklos reglamentavimas ir (ar) priežiūros teisinis reguliavimas (jei taip, informacija apie tai, ar parengtam teisės akto projektui yra taikytina dviejų datų taisyklė) </w:t>
              </w:r>
            </w:p>
            <w:p>
              <w:pPr>
                <w:ind w:right="19" w:firstLine="709"/>
                <w:jc w:val="both"/>
                <w:textAlignment w:val="baseline"/>
                <w:rPr>
                  <w:rFonts w:eastAsia="Calibri"/>
                  <w:szCs w:val="24"/>
                </w:rPr>
              </w:pPr>
              <w:r>
                <w:rPr>
                  <w:rFonts w:eastAsia="Calibri"/>
                  <w:szCs w:val="24"/>
                </w:rPr>
                <w:t>Projektu Nr. 1 įtvirtinamas naujas ūkio subjektams palankesnis veiklos reglamentavimas. Projektas Nr. 2 yra teisės taikymo akto projektas. Įvertinus tai ir vadovaujantis Lietuvos Respublikos teisėkūros pagrindų įstatymo 20 straipsnio 4 dalimi, dviejų datų taisyklė nėra taikytina.</w:t>
              </w:r>
            </w:p>
            <w:p>
              <w:pPr>
                <w:ind w:right="19" w:firstLine="709"/>
                <w:jc w:val="both"/>
                <w:textAlignment w:val="baseline"/>
                <w:rPr>
                  <w:rFonts w:eastAsia="Calibri"/>
                  <w:szCs w:val="24"/>
                </w:rPr>
              </w:pPr>
            </w:p>
          </w:sdtContent>
        </w:sdt>
        <w:sdt>
          <w:sdtPr>
            <w:alias w:val="7 p."/>
            <w:tag w:val="part_0104572210fa4ccba85e154aae933ab9"/>
            <w:lock w:val="sdtLocked"/>
            <w:richText/>
          </w:sdtPr>
          <w:sdtContent>
            <w:p>
              <w:pPr>
                <w:ind w:right="19" w:firstLine="709"/>
                <w:jc w:val="both"/>
                <w:textAlignment w:val="baseline"/>
                <w:rPr>
                  <w:rFonts w:eastAsia="Droid Sans Fallback"/>
                  <w:b/>
                  <w:bCs/>
                  <w:kern w:val="3"/>
                  <w:szCs w:val="24"/>
                  <w:lang w:eastAsia="zh-CN" w:bidi="hi-IN"/>
                </w:rPr>
              </w:pPr>
              <w:sdt>
                <w:sdtPr>
                  <w:alias w:val="Numeris"/>
                  <w:tag w:val="nr_0104572210fa4ccba85e154aae933ab9"/>
                  <w:lock w:val="sdtLocked"/>
                  <w:richText/>
                </w:sdtPr>
                <w:sdtContent>
                  <w:r>
                    <w:rPr>
                      <w:rFonts w:eastAsia="Droid Sans Fallback"/>
                      <w:b/>
                      <w:spacing w:val="3"/>
                      <w:kern w:val="3"/>
                      <w:szCs w:val="24"/>
                      <w:lang w:eastAsia="zh-CN" w:bidi="hi-IN"/>
                    </w:rPr>
                    <w:t>7</w:t>
                  </w:r>
                </w:sdtContent>
              </w:sdt>
              <w:r>
                <w:rPr>
                  <w:rFonts w:eastAsia="Droid Sans Fallback"/>
                  <w:b/>
                  <w:spacing w:val="3"/>
                  <w:kern w:val="3"/>
                  <w:szCs w:val="24"/>
                  <w:lang w:eastAsia="zh-CN" w:bidi="hi-IN"/>
                </w:rPr>
                <w:t xml:space="preserve">. </w:t>
              </w:r>
              <w:r>
                <w:rPr>
                  <w:rFonts w:eastAsia="Droid Sans Fallback"/>
                  <w:b/>
                  <w:bCs/>
                  <w:kern w:val="3"/>
                  <w:szCs w:val="24"/>
                  <w:lang w:eastAsia="zh-CN" w:bidi="hi-IN"/>
                </w:rPr>
                <w:t>Teisės aktų inkorporavimas į teisinę sistemą, galiojantys teisės aktai, kuriuos būtina pakeisti, panaikinti ar priimti, priėmus parengtą teisės akto projektą</w:t>
              </w:r>
            </w:p>
            <w:p>
              <w:pPr>
                <w:suppressAutoHyphens/>
                <w:ind w:right="19" w:firstLine="709"/>
                <w:jc w:val="both"/>
                <w:textAlignment w:val="baseline"/>
                <w:rPr>
                  <w:rFonts w:eastAsia="Calibri"/>
                  <w:szCs w:val="24"/>
                  <w:lang w:bidi="hi-IN"/>
                </w:rPr>
              </w:pPr>
              <w:r>
                <w:rPr>
                  <w:rFonts w:eastAsia="Calibri"/>
                  <w:szCs w:val="24"/>
                  <w:lang w:bidi="hi-IN"/>
                </w:rPr>
                <w:t xml:space="preserve">Priėmus projektus, galiojančių teisės aktų pakeisti ar panaikinti nereikės. </w:t>
              </w:r>
            </w:p>
            <w:p>
              <w:pPr>
                <w:suppressAutoHyphens/>
                <w:ind w:right="19" w:firstLine="709"/>
                <w:jc w:val="both"/>
                <w:textAlignment w:val="baseline"/>
                <w:rPr>
                  <w:rFonts w:eastAsia="Calibri"/>
                  <w:szCs w:val="24"/>
                  <w:lang w:bidi="hi-IN"/>
                </w:rPr>
              </w:pPr>
            </w:p>
          </w:sdtContent>
        </w:sdt>
        <w:sdt>
          <w:sdtPr>
            <w:alias w:val="8 p."/>
            <w:tag w:val="part_0f74c24c468a48f396329a1cfd8657cb"/>
            <w:lock w:val="sdtLocked"/>
            <w:richText/>
          </w:sdtPr>
          <w:sdtContent>
            <w:p>
              <w:pPr>
                <w:suppressAutoHyphens/>
                <w:ind w:right="19" w:firstLine="709"/>
                <w:jc w:val="both"/>
                <w:textAlignment w:val="baseline"/>
                <w:rPr>
                  <w:rFonts w:eastAsia="Calibri"/>
                  <w:b/>
                  <w:spacing w:val="1"/>
                  <w:kern w:val="3"/>
                  <w:szCs w:val="24"/>
                  <w:lang w:eastAsia="zh-CN"/>
                </w:rPr>
              </w:pPr>
              <w:sdt>
                <w:sdtPr>
                  <w:alias w:val="Numeris"/>
                  <w:tag w:val="nr_0f74c24c468a48f396329a1cfd8657cb"/>
                  <w:lock w:val="sdtLocked"/>
                  <w:richText/>
                </w:sdtPr>
                <w:sdtContent>
                  <w:r>
                    <w:rPr>
                      <w:rFonts w:eastAsia="Calibri"/>
                      <w:b/>
                      <w:spacing w:val="1"/>
                      <w:kern w:val="3"/>
                      <w:szCs w:val="24"/>
                      <w:lang w:eastAsia="zh-CN"/>
                    </w:rPr>
                    <w:t>8</w:t>
                  </w:r>
                </w:sdtContent>
              </w:sdt>
              <w:r>
                <w:rPr>
                  <w:rFonts w:eastAsia="Calibri"/>
                  <w:b/>
                  <w:spacing w:val="1"/>
                  <w:kern w:val="3"/>
                  <w:szCs w:val="24"/>
                  <w:lang w:eastAsia="zh-CN"/>
                </w:rPr>
                <w:t>. Parengtų teisės akto projektų santykis su Europos Sąjungos teisės aktais, Lietuvos Respublikos Vyriausybės programa, strateginiais dokumentais ir kitais teisės aktais</w:t>
              </w:r>
            </w:p>
            <w:p>
              <w:pPr>
                <w:ind w:firstLine="709"/>
                <w:jc w:val="both"/>
                <w:rPr>
                  <w:szCs w:val="24"/>
                </w:rPr>
              </w:pPr>
              <w:r>
                <w:rPr>
                  <w:szCs w:val="24"/>
                </w:rPr>
                <w:t>Plačiajuosčio ryšio plėtra yra strateginės svarbos klausimas.</w:t>
              </w:r>
              <w:r>
                <w:t xml:space="preserve"> A</w:t>
              </w:r>
              <w:r>
                <w:rPr>
                  <w:szCs w:val="24"/>
                </w:rPr>
                <w:t>ukštos kokybės ir tolygaus padengimo mobilusis ryšys yra itin reikšmingas tiek nacionaliniam saugumui, tiek visos šalies ekonominei, socialinei ir technologinei raidai, inovacijų diegimui ir investicijų pritraukimui.</w:t>
              </w:r>
              <w:r>
                <w:t xml:space="preserve"> </w:t>
              </w:r>
              <w:r>
                <w:rPr>
                  <w:szCs w:val="24"/>
                </w:rPr>
                <w:t>Lietuvos Respublikos Vyriausybė yra patvirtinusi Lietuvos Respublikos penktosios kartos judriojo ryšio (5G) plėtros 2020–2025 m. gaires</w:t>
              </w:r>
              <w:r>
                <w:rPr>
                  <w:szCs w:val="24"/>
                  <w:vertAlign w:val="superscript"/>
                </w:rPr>
                <w:footnoteReference w:id="2"/>
              </w:r>
              <w:r>
                <w:rPr>
                  <w:szCs w:val="24"/>
                </w:rPr>
                <w:t>, suteikusi 5G mobiliojo ryšio plėtrai valstybei svarbaus projekto statusą</w:t>
              </w:r>
              <w:r>
                <w:rPr>
                  <w:szCs w:val="24"/>
                  <w:vertAlign w:val="superscript"/>
                </w:rPr>
                <w:footnoteReference w:id="3"/>
              </w:r>
              <w:r>
                <w:rPr>
                  <w:szCs w:val="24"/>
                </w:rPr>
                <w:t>, o įmonės, teikiančios 5G paslaugas ar valdančios šioms paslaugoms teikti reikalingą infrastruktūrą yra pripažintos nacionaliniam saugumui užtikrinti svarbiomis įmonėmis</w:t>
              </w:r>
              <w:r>
                <w:rPr>
                  <w:szCs w:val="24"/>
                  <w:vertAlign w:val="superscript"/>
                </w:rPr>
                <w:footnoteReference w:id="4"/>
              </w:r>
              <w:r>
                <w:rPr>
                  <w:szCs w:val="24"/>
                </w:rPr>
                <w:t>. Atitinkamai projektais yra siekiama sudaryti sąlygas užtikrinti nacionalinių ir tarptautinių įpareigojimų, tokių kaip 2021–2030 metų nacionalinio pažangos plano, patvirtinto Vyriausybės 2020 m. rugsėjo 9 d. nutarimu Nr. 998 „Dėl 2021–2030 metų nacionalinio pažangos plano patvirtinimo“, 1 priede nurodyto 5 tikslo „Gerinti transporto, energetinį ir skaitmeninį vidinį ir išorinį junglumą“ planuojamų rodiklių ir ES skaitmeninio dešimtmečio darbotvarkės</w:t>
              </w:r>
              <w:r>
                <w:rPr>
                  <w:szCs w:val="24"/>
                  <w:vertAlign w:val="superscript"/>
                  <w:lang w:eastAsia="lt-LT"/>
                </w:rPr>
                <w:footnoteReference w:id="5"/>
              </w:r>
              <w:r>
                <w:rPr>
                  <w:szCs w:val="24"/>
                </w:rPr>
                <w:t xml:space="preserve"> įsipareigojimų ir siekio, kad iki 2030 m. 5G aprėptų visą Lietuvos Respublikos teritoriją, įgyvendinimui.</w:t>
              </w:r>
            </w:p>
            <w:p>
              <w:pPr>
                <w:ind w:firstLine="771"/>
                <w:jc w:val="both"/>
                <w:rPr>
                  <w:szCs w:val="24"/>
                </w:rPr>
              </w:pPr>
              <w:r>
                <w:rPr>
                  <w:szCs w:val="24"/>
                </w:rPr>
                <w:t xml:space="preserve">Projektu Nr. 1 yra tobulinamas 2017 m. gegužės 17 d. Europos Parlamento ir Tarybos sprendimo </w:t>
              </w:r>
              <w:fldSimple w:instr="HYPERLINK http://eur-lex.europa.eu/legal-content/LIT/TXT/?uri=CELEX:32017D0899&amp;locale=lt \t _blank">
                <w:r>
                  <w:rPr>
                    <w:szCs w:val="24"/>
                    <w:u w:val="single"/>
                    <w:color w:val="0000FF" w:themeColor="hyperlink"/>
                  </w:rPr>
                  <w:t>(ES) 2017/899</w:t>
                </w:r>
              </w:fldSimple>
              <w:r>
                <w:rPr>
                  <w:szCs w:val="24"/>
                </w:rPr>
                <w:t xml:space="preserve"> dėl 470–790 MHz dažnių juostos naudojimo Sąjungoje įgyvendinimas. Atsižvelgiant į tai, Projektas Nr. 1 yra įtrauktas į Sprendimo </w:t>
              </w:r>
              <w:fldSimple w:instr="HYPERLINK http://eur-lex.europa.eu/legal-content/LIT/TXT/?uri=CELEX:32017D0899&amp;locale=lt \t _blank">
                <w:r>
                  <w:rPr>
                    <w:szCs w:val="24"/>
                    <w:u w:val="single"/>
                    <w:color w:val="0000FF" w:themeColor="hyperlink"/>
                  </w:rPr>
                  <w:t>(ES) 2017/899</w:t>
                </w:r>
              </w:fldSimple>
              <w:r>
                <w:rPr>
                  <w:szCs w:val="24"/>
                </w:rPr>
                <w:t xml:space="preserve"> įgyvendinimo planą Lietuvos narystės Europos Sąjungoje informacinėje sistemoje ir parengta Sprendimo </w:t>
              </w:r>
              <w:fldSimple w:instr="HYPERLINK http://eur-lex.europa.eu/legal-content/LIT/TXT/?uri=CELEX:32017D0899&amp;locale=lt \t _blank">
                <w:r>
                  <w:rPr>
                    <w:szCs w:val="24"/>
                    <w:u w:val="single"/>
                    <w:color w:val="0000FF" w:themeColor="hyperlink"/>
                  </w:rPr>
                  <w:t>(ES) 2017/899</w:t>
                </w:r>
              </w:fldSimple>
              <w:r>
                <w:rPr>
                  <w:szCs w:val="24"/>
                </w:rPr>
                <w:t xml:space="preserve"> bei Projekto Nr. 1 atitikties lentelė.</w:t>
              </w:r>
            </w:p>
            <w:p>
              <w:pPr>
                <w:suppressAutoHyphens/>
                <w:ind w:right="19" w:firstLine="709"/>
                <w:jc w:val="both"/>
                <w:textAlignment w:val="baseline"/>
                <w:rPr>
                  <w:rFonts w:eastAsia="Calibri"/>
                  <w:kern w:val="3"/>
                  <w:szCs w:val="24"/>
                  <w:lang w:eastAsia="zh-CN"/>
                </w:rPr>
              </w:pPr>
            </w:p>
          </w:sdtContent>
        </w:sdt>
        <w:sdt>
          <w:sdtPr>
            <w:alias w:val="9 p."/>
            <w:tag w:val="part_e18c890d9e5949eda3b5bb851f149977"/>
            <w:lock w:val="sdtLocked"/>
            <w:richText/>
          </w:sdtPr>
          <w:sdtContent>
            <w:p>
              <w:pPr>
                <w:ind w:right="19" w:firstLine="709"/>
                <w:jc w:val="both"/>
                <w:textAlignment w:val="baseline"/>
                <w:rPr>
                  <w:rFonts w:eastAsia="Droid Sans Fallback"/>
                  <w:b/>
                  <w:bCs/>
                  <w:spacing w:val="-2"/>
                  <w:kern w:val="3"/>
                  <w:szCs w:val="24"/>
                  <w:lang w:eastAsia="zh-CN" w:bidi="hi-IN"/>
                </w:rPr>
              </w:pPr>
              <w:sdt>
                <w:sdtPr>
                  <w:alias w:val="Numeris"/>
                  <w:tag w:val="nr_e18c890d9e5949eda3b5bb851f149977"/>
                  <w:lock w:val="sdtLocked"/>
                  <w:richText/>
                </w:sdtPr>
                <w:sdtContent>
                  <w:r>
                    <w:rPr>
                      <w:rFonts w:eastAsia="Droid Sans Fallback" w:cs="Lohit Hindi"/>
                      <w:b/>
                      <w:bCs/>
                      <w:spacing w:val="-2"/>
                      <w:kern w:val="3"/>
                      <w:szCs w:val="24"/>
                      <w:lang w:eastAsia="zh-CN" w:bidi="hi-IN"/>
                    </w:rPr>
                    <w:t>9</w:t>
                  </w:r>
                </w:sdtContent>
              </w:sdt>
              <w:r>
                <w:rPr>
                  <w:rFonts w:eastAsia="Droid Sans Fallback" w:cs="Lohit Hindi"/>
                  <w:b/>
                  <w:bCs/>
                  <w:spacing w:val="-2"/>
                  <w:kern w:val="3"/>
                  <w:szCs w:val="24"/>
                  <w:lang w:eastAsia="zh-CN" w:bidi="hi-IN"/>
                </w:rPr>
                <w:t xml:space="preserve">. </w:t>
              </w:r>
              <w:r>
                <w:rPr>
                  <w:rFonts w:eastAsia="Droid Sans Fallback"/>
                  <w:b/>
                  <w:bCs/>
                  <w:spacing w:val="-2"/>
                  <w:kern w:val="3"/>
                  <w:szCs w:val="24"/>
                  <w:lang w:eastAsia="zh-CN" w:bidi="hi-IN"/>
                </w:rPr>
                <w:t>Viešosios konsultacijos rezultatai (gautos pastabos ir (ar) pasiūlymai iš kitų institucijų, visuomenės, atsižvelgta į jas ar ne)</w:t>
              </w:r>
            </w:p>
            <w:p>
              <w:pPr>
                <w:tabs>
                  <w:tab w:val="left" w:pos="0"/>
                  <w:tab w:val="left" w:pos="709"/>
                </w:tabs>
                <w:ind w:right="-1" w:firstLine="709"/>
                <w:jc w:val="both"/>
              </w:pPr>
              <w:r>
                <w:rPr>
                  <w:rFonts w:eastAsia="Droid Sans Fallback" w:cs="Lohit Hindi"/>
                  <w:color w:val="000000"/>
                  <w:lang w:eastAsia="zh-CN" w:bidi="hi-IN"/>
                </w:rPr>
                <w:t xml:space="preserve">Projektai nuo 2025 m. spalio 16 d. iki 2025 m. lapkričio 15 d. buvo skelbiami </w:t>
              </w:r>
              <w:r>
                <w:t xml:space="preserve">viešajai konsultacijai (toliau – pirmoji viešoji konsultacija) Lietuvos Respublikos Seimo kanceliarijos teisės aktų informacinėje sistemoje (toliau – TAIS) ir pateikti pastaboms ir (ar) pasiūlymams Lietuvos Respublikos </w:t>
              </w:r>
              <w:r>
                <w:rPr>
                  <w:lang w:eastAsia="lt-LT"/>
                </w:rPr>
                <w:t xml:space="preserve">Vyriausybės kanceliarijai, </w:t>
              </w:r>
              <w:r>
                <w:t xml:space="preserve">Lietuvos Respublikos finansų ministerijai, Lietuvos Respublikos ekonomikos ir inovacijų ministerijai, Lietuvos Respublikos krašto apsaugos ministerijai, Lietuvos Respublikos susisiekimo ministerijai, Lietuvos Respublikos vidaus reikalų ministerijai, Lietuvos Respublikos teisingumo ministerijai, Lietuvos Respublikos konkurencijos tarybai, </w:t>
              </w:r>
              <w:r>
                <w:rPr>
                  <w:shd w:val="clear" w:color="auto" w:fill="FFFFFF"/>
                </w:rPr>
                <w:t>Lietuvos kariuomenės Kibernetinės gynybos valdybos Informacinių technologijų tarnybai</w:t>
              </w:r>
              <w:r>
                <w:t>, Valstybės įmonei Registrų centrui</w:t>
              </w:r>
              <w:r>
                <w:rPr>
                  <w:szCs w:val="24"/>
                </w:rPr>
                <w:t>.</w:t>
              </w:r>
              <w:r>
                <w:t xml:space="preserve"> </w:t>
              </w:r>
            </w:p>
            <w:p>
              <w:pPr>
                <w:tabs>
                  <w:tab w:val="left" w:pos="0"/>
                  <w:tab w:val="left" w:pos="709"/>
                </w:tabs>
                <w:ind w:right="-1" w:firstLine="709"/>
                <w:jc w:val="both"/>
              </w:pPr>
              <w:r>
                <w:t xml:space="preserve">Pirmosios viešosios konsultacijos metu Ekonomikos ir inovacijų ministerija bei Krašto apsaugos ministerija raštu informavo, kad pastabų ir (ar) pasiūlymų projektams neturi. Finansų ministerija ir </w:t>
              </w:r>
              <w:r>
                <w:rPr>
                  <w:shd w:val="clear" w:color="auto" w:fill="FFFFFF"/>
                </w:rPr>
                <w:t>Lietuvos kariuomenės Kibernetinės gynybos valdybos Informacinių technologijų tarnyba per nustatytą terminą pastabų ir (ar) pasiūlymų nepateikė, todėl, vadovaujantis Ministrų, Vyriausybės įstaigų, įstaigų prie ministerijų ir kitų Vyriausybei pavaldžių ir atskaitingų viešojo administravimo subjektų norminių teisės aktų projektų rengimo taisyklių</w:t>
              </w:r>
              <w:r>
                <w:rPr>
                  <w:shd w:val="clear" w:color="auto" w:fill="FFFFFF"/>
                  <w:vertAlign w:val="superscript"/>
                </w:rPr>
                <w:footnoteReference w:id="6"/>
              </w:r>
              <w:r>
                <w:rPr>
                  <w:shd w:val="clear" w:color="auto" w:fill="FFFFFF"/>
                </w:rPr>
                <w:t xml:space="preserve"> 21 punktu, laikoma, kad jie dėl projektų pastabų ir pasiūlymų neturi.</w:t>
              </w:r>
            </w:p>
            <w:p>
              <w:pPr>
                <w:tabs>
                  <w:tab w:val="left" w:pos="0"/>
                  <w:tab w:val="left" w:pos="709"/>
                </w:tabs>
                <w:ind w:right="-1" w:firstLine="709"/>
                <w:jc w:val="both"/>
              </w:pPr>
              <w:r>
                <w:t>Pirmosios viešosios konsultacijos metų pastabų ir (ar) pasiūlymų dėl projektų pateikė Vyriausybės kanceliarija, Susisiekimo ministerija, Vidaus reikalų ministerija, Teisingumo ministerija, Valstybės įmonei Registrų centras Konkurencijos taryba, taip pat UAB „Bitė Lietuva“, UAB „Tele2“, Telia Lietuva, AB, akcinė bendrovė Lietuvos radijo ir televizijos centras, MVNO Europe ir vienas fizinis asmuo. Visos gautos pastabos ir (ar) pasiūlymai buvo įvertinti, o vertinimas yra pateiktas pridedamoje derinimo pažymoje.</w:t>
              </w:r>
            </w:p>
            <w:p>
              <w:pPr>
                <w:tabs>
                  <w:tab w:val="left" w:pos="0"/>
                  <w:tab w:val="left" w:pos="709"/>
                </w:tabs>
                <w:ind w:right="-1" w:firstLine="709"/>
                <w:jc w:val="both"/>
              </w:pPr>
              <w:r>
                <w:t xml:space="preserve">Atsižvelgiant į projektuose atliktus patikslinimus, projektai yra skelbiami TAIS pakartotinei viešajai konsultacija iki </w:t>
              </w:r>
              <w:r>
                <w:rPr>
                  <w:b/>
                  <w:bCs/>
                </w:rPr>
                <w:t>2026 m. sausio 16 d</w:t>
              </w:r>
              <w:r>
                <w:t>. ir teikiami pastaboms ir (ar) pasiūlymams Vyriausybės kanceliarijai, Susisiekimo ministerijai, Vidaus reikalų ministerijai, Teisingumo ministerijai, Konkurencijos tarybai ir Valstybės įmonei Registrų centras. Taip pat visi suinteresuoti asmenys turi teisę iki nurodyto termino pateikti pastabų ir (ar) pasiūlymų dėl projektų. Atskirų konsultacijų su visuomene nenumatoma.</w:t>
              </w:r>
            </w:p>
            <w:p>
              <w:pPr>
                <w:tabs>
                  <w:tab w:val="left" w:pos="0"/>
                  <w:tab w:val="left" w:pos="709"/>
                </w:tabs>
                <w:ind w:right="-1" w:firstLine="709"/>
                <w:jc w:val="both"/>
              </w:pPr>
              <w:r>
                <w:t xml:space="preserve">Pažymėtina, kad pirmosios viešosios konsultacijos metų kartu su projektais viešajai konsultacijai buvo skelbiamas ir RRT tarybos nutarimo „Dėl Radijo ryšio plėtros 1427–1518 MHz radijo dažnių juostoje plano patvirtinimo“ projektas. Pirmosios viešosios konsultacijos metu pastabų ir (ar) pasiūlymų dėl šio projekto nebuvo gauta, todėl pakartotinei viešajai konsultacijai jis nėra skelbiamas. </w:t>
              </w:r>
            </w:p>
            <w:p>
              <w:pPr>
                <w:ind w:right="19" w:firstLine="709"/>
                <w:jc w:val="both"/>
                <w:textAlignment w:val="baseline"/>
                <w:rPr>
                  <w:rFonts w:eastAsia="Droid Sans Fallback" w:cs="Lohit Hindi"/>
                  <w:kern w:val="3"/>
                  <w:szCs w:val="24"/>
                  <w:lang w:eastAsia="zh-CN" w:bidi="hi-IN"/>
                </w:rPr>
              </w:pPr>
            </w:p>
          </w:sdtContent>
        </w:sdt>
        <w:sdt>
          <w:sdtPr>
            <w:alias w:val="10 p."/>
            <w:tag w:val="part_414cc5e32d194f40a322faeb64ad5091"/>
            <w:lock w:val="sdtLocked"/>
            <w:richText/>
          </w:sdtPr>
          <w:sdtContent>
            <w:p>
              <w:pPr>
                <w:tabs>
                  <w:tab w:val="right" w:pos="1418"/>
                </w:tabs>
                <w:ind w:right="19" w:firstLine="709"/>
                <w:jc w:val="both"/>
                <w:textAlignment w:val="baseline"/>
                <w:rPr>
                  <w:rFonts w:eastAsia="Calibri"/>
                  <w:szCs w:val="24"/>
                </w:rPr>
              </w:pPr>
              <w:sdt>
                <w:sdtPr>
                  <w:alias w:val="Numeris"/>
                  <w:tag w:val="nr_414cc5e32d194f40a322faeb64ad5091"/>
                  <w:lock w:val="sdtLocked"/>
                  <w:richText/>
                </w:sdtPr>
                <w:sdtContent>
                  <w:r>
                    <w:rPr>
                      <w:rFonts w:eastAsia="Droid Sans Fallback"/>
                      <w:b/>
                      <w:bCs/>
                      <w:spacing w:val="-2"/>
                      <w:kern w:val="3"/>
                      <w:szCs w:val="24"/>
                      <w:lang w:eastAsia="zh-CN" w:bidi="hi-IN"/>
                    </w:rPr>
                    <w:t>10</w:t>
                  </w:r>
                </w:sdtContent>
              </w:sdt>
              <w:r>
                <w:rPr>
                  <w:rFonts w:eastAsia="Droid Sans Fallback"/>
                  <w:b/>
                  <w:bCs/>
                  <w:spacing w:val="-2"/>
                  <w:kern w:val="3"/>
                  <w:szCs w:val="24"/>
                  <w:lang w:eastAsia="zh-CN" w:bidi="hi-IN"/>
                </w:rPr>
                <w:t xml:space="preserve">. </w:t>
              </w:r>
              <w:r>
                <w:rPr>
                  <w:rFonts w:eastAsia="Droid Sans Fallback" w:cs="Lohit Hindi"/>
                  <w:b/>
                  <w:bCs/>
                  <w:spacing w:val="-2"/>
                  <w:kern w:val="3"/>
                  <w:szCs w:val="24"/>
                  <w:lang w:eastAsia="zh-CN" w:bidi="hi-IN"/>
                </w:rPr>
                <w:t xml:space="preserve">Informacija apie notifikavimą (pranešimą) Europos Komisijai per Lietuvos standartizacijos departamentą </w:t>
              </w:r>
              <w:r>
                <w:rPr>
                  <w:rFonts w:eastAsia="Droid Sans Fallback" w:cs="Lohit Hindi"/>
                  <w:b/>
                  <w:bCs/>
                  <w:kern w:val="3"/>
                  <w:szCs w:val="24"/>
                  <w:lang w:eastAsia="zh-CN" w:bidi="hi-IN"/>
                </w:rPr>
                <w:t>(nurodyti, kada pateikta Lietuvos standartizacijos departamentui, ar buvo gautos pastabos ir (arba) pasiūlymai, atsižvelgta į jas ar ne)</w:t>
              </w:r>
            </w:p>
            <w:p>
              <w:pPr>
                <w:widowControl w:val="0"/>
                <w:suppressAutoHyphens/>
                <w:ind w:firstLine="709"/>
                <w:jc w:val="both"/>
                <w:textAlignment w:val="baseline"/>
                <w:rPr>
                  <w:rFonts w:eastAsia="Droid Sans Fallback" w:cs="Lohit Hindi"/>
                  <w:b/>
                  <w:kern w:val="3"/>
                  <w:szCs w:val="24"/>
                  <w:lang w:eastAsia="lt-LT" w:bidi="hi-IN"/>
                </w:rPr>
              </w:pPr>
              <w:r>
                <w:rPr>
                  <w:rFonts w:eastAsia="Droid Sans Fallback" w:cs="Lohit Hindi"/>
                  <w:kern w:val="3"/>
                  <w:szCs w:val="24"/>
                  <w:lang w:eastAsia="zh-CN" w:bidi="hi-IN"/>
                </w:rPr>
                <w:t>P</w:t>
              </w:r>
              <w:r>
                <w:rPr>
                  <w:rFonts w:eastAsia="Droid Sans Fallback" w:cs="Lohit Hindi"/>
                  <w:kern w:val="3"/>
                  <w:szCs w:val="24"/>
                  <w:lang w:eastAsia="lt-LT" w:bidi="hi-IN"/>
                </w:rPr>
                <w:t>rojektai nenotifikuotini Europos Komisijai pagal Informacijos apie techninius reglamentus ir atitikties įvertinimo procedūras teikimo taisyklių, patvirtintų Lietuvos Respublikos Vyriausybės 1999 m. gegužės 20 d. nutarimu Nr. 617 „Dėl Informacijos apie techninius reglamentus ir atitikties įvertinimo procedūras teikimo taisyklių patvirtinimo“, reikalavimus.</w:t>
              </w:r>
            </w:p>
            <w:p>
              <w:pPr>
                <w:suppressAutoHyphens/>
                <w:snapToGrid w:val="0"/>
                <w:ind w:right="19" w:firstLine="709"/>
                <w:jc w:val="both"/>
                <w:textAlignment w:val="baseline"/>
                <w:rPr>
                  <w:rFonts w:eastAsia="Calibri"/>
                  <w:bCs/>
                  <w:kern w:val="3"/>
                  <w:szCs w:val="24"/>
                  <w:lang w:eastAsia="zh-CN" w:bidi="hi-IN"/>
                </w:rPr>
              </w:pPr>
            </w:p>
          </w:sdtContent>
        </w:sdt>
        <w:sdt>
          <w:sdtPr>
            <w:alias w:val="11 p."/>
            <w:tag w:val="part_0f256f03ce374214bfd65c0345d34844"/>
            <w:lock w:val="sdtLocked"/>
            <w:richText/>
          </w:sdtPr>
          <w:sdtContent>
            <w:p>
              <w:pPr>
                <w:suppressAutoHyphens/>
                <w:snapToGrid w:val="0"/>
                <w:ind w:right="19" w:firstLine="709"/>
                <w:jc w:val="both"/>
                <w:textAlignment w:val="baseline"/>
                <w:rPr>
                  <w:rFonts w:eastAsia="Calibri"/>
                  <w:b/>
                  <w:bCs/>
                  <w:spacing w:val="-2"/>
                  <w:kern w:val="3"/>
                  <w:szCs w:val="24"/>
                  <w:lang w:eastAsia="zh-CN"/>
                </w:rPr>
              </w:pPr>
              <w:sdt>
                <w:sdtPr>
                  <w:alias w:val="Numeris"/>
                  <w:tag w:val="nr_0f256f03ce374214bfd65c0345d34844"/>
                  <w:lock w:val="sdtLocked"/>
                  <w:richText/>
                </w:sdtPr>
                <w:sdtContent>
                  <w:r>
                    <w:rPr>
                      <w:rFonts w:eastAsia="Calibri"/>
                      <w:b/>
                      <w:bCs/>
                      <w:spacing w:val="-2"/>
                      <w:kern w:val="3"/>
                      <w:szCs w:val="24"/>
                      <w:lang w:eastAsia="zh-CN"/>
                    </w:rPr>
                    <w:t>11</w:t>
                  </w:r>
                </w:sdtContent>
              </w:sdt>
              <w:r>
                <w:rPr>
                  <w:rFonts w:eastAsia="Calibri"/>
                  <w:b/>
                  <w:bCs/>
                  <w:spacing w:val="-2"/>
                  <w:kern w:val="3"/>
                  <w:szCs w:val="24"/>
                  <w:lang w:eastAsia="zh-CN"/>
                </w:rPr>
                <w:t>. Išvada apie teisės akto poveikį korupcijos pasireiškimo tikimybei</w:t>
              </w:r>
            </w:p>
            <w:p>
              <w:pPr>
                <w:suppressAutoHyphens/>
                <w:snapToGrid w:val="0"/>
                <w:ind w:right="19" w:firstLine="709"/>
                <w:jc w:val="both"/>
                <w:textAlignment w:val="baseline"/>
                <w:rPr>
                  <w:rFonts w:eastAsia="Calibri"/>
                  <w:kern w:val="3"/>
                  <w:szCs w:val="24"/>
                  <w:lang w:eastAsia="zh-CN" w:bidi="hi-IN"/>
                </w:rPr>
              </w:pPr>
              <w:r>
                <w:rPr>
                  <w:rFonts w:eastAsia="Calibri"/>
                  <w:spacing w:val="-2"/>
                  <w:kern w:val="3"/>
                  <w:szCs w:val="24"/>
                  <w:lang w:eastAsia="zh-CN" w:bidi="hi-IN"/>
                </w:rPr>
                <w:t>Projektai neturės poveikio korupcijos pasireiškimo tikimybei</w:t>
              </w:r>
              <w:r>
                <w:rPr>
                  <w:rFonts w:eastAsia="Calibri"/>
                  <w:kern w:val="3"/>
                  <w:szCs w:val="24"/>
                  <w:lang w:eastAsia="zh-CN" w:bidi="hi-IN"/>
                </w:rPr>
                <w:t>.</w:t>
              </w:r>
            </w:p>
            <w:p>
              <w:pPr>
                <w:suppressAutoHyphens/>
                <w:snapToGrid w:val="0"/>
                <w:ind w:right="19" w:firstLine="709"/>
                <w:jc w:val="both"/>
                <w:textAlignment w:val="baseline"/>
                <w:rPr>
                  <w:rFonts w:eastAsia="Calibri"/>
                  <w:kern w:val="3"/>
                  <w:szCs w:val="24"/>
                  <w:lang w:eastAsia="zh-CN" w:bidi="hi-IN"/>
                </w:rPr>
              </w:pPr>
            </w:p>
          </w:sdtContent>
        </w:sdt>
        <w:sdt>
          <w:sdtPr>
            <w:alias w:val="12 p."/>
            <w:tag w:val="part_5302ed481fc74752b14af35f30ad6f50"/>
            <w:lock w:val="sdtLocked"/>
            <w:richText/>
          </w:sdtPr>
          <w:sdtContent>
            <w:p>
              <w:pPr>
                <w:suppressAutoHyphens/>
                <w:snapToGrid w:val="0"/>
                <w:ind w:right="19" w:firstLine="709"/>
                <w:jc w:val="both"/>
                <w:textAlignment w:val="baseline"/>
                <w:rPr>
                  <w:rFonts w:eastAsia="Calibri"/>
                  <w:b/>
                  <w:bCs/>
                  <w:kern w:val="3"/>
                  <w:szCs w:val="24"/>
                  <w:lang w:eastAsia="zh-CN" w:bidi="hi-IN"/>
                </w:rPr>
              </w:pPr>
              <w:sdt>
                <w:sdtPr>
                  <w:alias w:val="Numeris"/>
                  <w:tag w:val="nr_5302ed481fc74752b14af35f30ad6f50"/>
                  <w:lock w:val="sdtLocked"/>
                  <w:richText/>
                </w:sdtPr>
                <w:sdtContent>
                  <w:r>
                    <w:rPr>
                      <w:rFonts w:eastAsia="Calibri"/>
                      <w:b/>
                      <w:bCs/>
                      <w:kern w:val="3"/>
                      <w:szCs w:val="24"/>
                      <w:lang w:eastAsia="zh-CN" w:bidi="hi-IN"/>
                    </w:rPr>
                    <w:t>12</w:t>
                  </w:r>
                </w:sdtContent>
              </w:sdt>
              <w:r>
                <w:rPr>
                  <w:rFonts w:eastAsia="Calibri"/>
                  <w:b/>
                  <w:bCs/>
                  <w:kern w:val="3"/>
                  <w:szCs w:val="24"/>
                  <w:lang w:eastAsia="zh-CN" w:bidi="hi-IN"/>
                </w:rPr>
                <w:t xml:space="preserve">. Kita su </w:t>
              </w:r>
              <w:r>
                <w:rPr>
                  <w:rFonts w:eastAsia="Calibri"/>
                  <w:b/>
                  <w:bCs/>
                  <w:spacing w:val="1"/>
                  <w:kern w:val="3"/>
                  <w:szCs w:val="24"/>
                  <w:lang w:eastAsia="zh-CN"/>
                </w:rPr>
                <w:t xml:space="preserve">parengtu teisės akto projektu </w:t>
              </w:r>
              <w:r>
                <w:rPr>
                  <w:rFonts w:eastAsia="Calibri"/>
                  <w:b/>
                  <w:bCs/>
                  <w:kern w:val="3"/>
                  <w:szCs w:val="24"/>
                  <w:lang w:eastAsia="zh-CN" w:bidi="hi-IN"/>
                </w:rPr>
                <w:t>susijusi informacija</w:t>
              </w:r>
            </w:p>
            <w:p>
              <w:pPr>
                <w:suppressAutoHyphens/>
                <w:ind w:right="19" w:firstLine="709"/>
                <w:jc w:val="both"/>
                <w:textAlignment w:val="baseline"/>
                <w:rPr>
                  <w:rFonts w:eastAsia="Calibri"/>
                  <w:color w:val="000000"/>
                  <w:kern w:val="3"/>
                  <w:szCs w:val="24"/>
                  <w:lang w:eastAsia="zh-CN"/>
                </w:rPr>
              </w:pPr>
              <w:r>
                <w:rPr>
                  <w:rFonts w:eastAsia="Calibri"/>
                  <w:color w:val="000000"/>
                  <w:kern w:val="3"/>
                  <w:szCs w:val="24"/>
                  <w:lang w:eastAsia="zh-CN"/>
                </w:rPr>
                <w:t xml:space="preserve">Projektai atitinka Lietuvos Respublikos valstybinės kalbos įstatymo, Lietuvos Respublikos teisėkūros pagrindų įstatymo reikalavimus. Projektuose nėra apibrėžiama sąvokų, vertintinų Lietuvos Respublikos terminų banko įstatymo ir jo įgyvendinamųjų teisės aktų nustatyta tvarka. </w:t>
              </w:r>
            </w:p>
            <w:p>
              <w:pPr>
                <w:suppressAutoHyphens/>
                <w:ind w:right="19" w:firstLine="709"/>
                <w:jc w:val="both"/>
                <w:textAlignment w:val="baseline"/>
                <w:rPr>
                  <w:rFonts w:eastAsia="Calibri"/>
                  <w:color w:val="000000"/>
                  <w:kern w:val="3"/>
                  <w:szCs w:val="24"/>
                  <w:lang w:eastAsia="zh-CN"/>
                </w:rPr>
              </w:pPr>
              <w:r>
                <w:rPr>
                  <w:rFonts w:eastAsia="Calibri"/>
                  <w:color w:val="000000"/>
                  <w:kern w:val="3"/>
                  <w:szCs w:val="24"/>
                  <w:lang w:eastAsia="zh-CN"/>
                </w:rPr>
                <w:t>Dėl projektų nereikia teikti pranešimo Europos Komisijai pagal Lietuvos Respublikos paslaugų įstatymo ir Pranešimų ir informacijos apie nustatomus įsisteigimo arba nustatomus ar panaikinamus paslaugų teikimo laisvei taikomus reikalavimus teikimo tvarkos aprašo, patvirtinto Vyriausybės 2011 m. lapkričio 30 d. nutarimu Nr. 1389 „Dėl pranešimų ir informacijos apie nustatomus įsisteigimo arba nustatomus ar panaikinamus paslaugų teikimo laisvei taikomus reikalavimus teikimo“, reikalavimus.</w:t>
              </w:r>
            </w:p>
            <w:p>
              <w:pPr>
                <w:suppressAutoHyphens/>
                <w:ind w:right="19" w:firstLine="709"/>
                <w:jc w:val="both"/>
                <w:textAlignment w:val="baseline"/>
                <w:rPr>
                  <w:rFonts w:eastAsia="Calibri"/>
                  <w:kern w:val="3"/>
                  <w:szCs w:val="24"/>
                  <w:lang w:eastAsia="zh-CN"/>
                </w:rPr>
              </w:pPr>
            </w:p>
          </w:sdtContent>
        </w:sdt>
        <w:sdt>
          <w:sdtPr>
            <w:alias w:val="pabaiga"/>
            <w:tag w:val="part_2f4d411fed1743ac99c5f228b1d5f7c6"/>
            <w:lock w:val="sdtLocked"/>
            <w:richText/>
          </w:sdtPr>
          <w:sdtContent>
            <w:p>
              <w:pPr>
                <w:suppressAutoHyphens/>
                <w:ind w:right="19"/>
                <w:jc w:val="center"/>
                <w:textAlignment w:val="baseline"/>
                <w:rPr>
                  <w:rFonts w:eastAsia="Calibri"/>
                  <w:kern w:val="3"/>
                  <w:szCs w:val="24"/>
                  <w:lang w:eastAsia="zh-CN"/>
                </w:rPr>
              </w:pPr>
              <w:r>
                <w:rPr>
                  <w:rFonts w:eastAsia="Calibri"/>
                  <w:kern w:val="3"/>
                  <w:szCs w:val="24"/>
                  <w:lang w:eastAsia="zh-CN"/>
                </w:rPr>
                <w:t>__________________</w:t>
              </w:r>
            </w:p>
            <w:p>
              <w:pPr>
                <w:widowControl w:val="0"/>
                <w:suppressAutoHyphens/>
                <w:ind w:right="19" w:firstLine="851"/>
                <w:textAlignment w:val="baseline"/>
                <w:rPr>
                  <w:rFonts w:eastAsia="Droid Sans Fallback"/>
                  <w:kern w:val="3"/>
                  <w:szCs w:val="24"/>
                  <w:lang w:eastAsia="zh-CN" w:bidi="hi-IN"/>
                </w:rPr>
              </w:pPr>
            </w:p>
            <w:p>
              <w:pPr>
                <w:suppressAutoHyphens/>
                <w:textAlignment w:val="baseline"/>
                <w:rPr>
                  <w:rFonts w:eastAsia="Calibri"/>
                  <w:kern w:val="3"/>
                  <w:sz w:val="20"/>
                  <w:lang w:eastAsia="zh-CN"/>
                </w:rPr>
              </w:pPr>
            </w:p>
          </w:sdtContent>
        </w:sdt>
      </w:sdtContent>
    </w:sdt>
    <w:sectPr>
      <w:headerReference w:type="even" r:id="rId13"/>
      <w:headerReference w:type="default" r:id="rId14"/>
      <w:footerReference w:type="even" r:id="rId15"/>
      <w:footerReference w:type="default" r:id="rId16"/>
      <w:headerReference w:type="first" r:id="rId17"/>
      <w:footerReference w:type="first" r:id="rId18"/>
      <w:type w:val="continuous"/>
      <w:pgSz w:w="11906" w:h="16838"/>
      <w:pgMar w:top="964" w:right="567" w:bottom="964" w:left="1701" w:header="567" w:footer="567" w:gutter="0"/>
      <w:cols w:space="24"/>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textAlignment w:val="baseline"/>
        <w:rPr>
          <w:rFonts w:eastAsia="Droid Sans Fallback" w:cs="Lohit Hindi"/>
          <w:kern w:val="3"/>
          <w:szCs w:val="24"/>
          <w:lang w:eastAsia="zh-CN" w:bidi="hi-IN"/>
        </w:rPr>
      </w:pPr>
      <w:r>
        <w:rPr>
          <w:rFonts w:eastAsia="Droid Sans Fallback" w:cs="Lohit Hindi"/>
          <w:kern w:val="3"/>
          <w:szCs w:val="24"/>
          <w:lang w:eastAsia="zh-CN" w:bidi="hi-IN"/>
        </w:rPr>
        <w:separator/>
      </w:r>
    </w:p>
  </w:endnote>
  <w:endnote w:type="continuationSeparator" w:id="0">
    <w:p>
      <w:pPr>
        <w:widowControl w:val="0"/>
        <w:suppressAutoHyphens/>
        <w:textAlignment w:val="baseline"/>
        <w:rPr>
          <w:rFonts w:eastAsia="Droid Sans Fallback" w:cs="Lohit Hindi"/>
          <w:kern w:val="3"/>
          <w:szCs w:val="24"/>
          <w:lang w:eastAsia="zh-CN" w:bidi="hi-IN"/>
        </w:rPr>
      </w:pPr>
      <w:r>
        <w:rPr>
          <w:rFonts w:eastAsia="Droid Sans Fallback" w:cs="Lohit Hindi"/>
          <w:kern w:val="3"/>
          <w:szCs w:val="24"/>
          <w:lang w:eastAsia="zh-CN" w:bidi="hi-IN"/>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Droid Sans Fallback">
    <w:altName w:val="Yu Gothic"/>
    <w:charset w:val="80"/>
    <w:family w:val="auto"/>
    <w:pitch w:val="variable"/>
  </w:font>
  <w:font w:name="Lohit Hindi">
    <w:altName w:val="Yu Gothic"/>
    <w:charset w:val="80"/>
    <w:family w:val="auto"/>
    <w:pitch w:val="default"/>
  </w:font>
  <w:font w:name="Calibri">
    <w:panose1 w:val="020F0502020204030204"/>
    <w:charset w:val="BA"/>
    <w:family w:val="swiss"/>
    <w:pitch w:val="variable"/>
    <w:sig w:usb0="E00002FF" w:usb1="4000ACFF" w:usb2="00000001" w:usb3="00000000" w:csb0="0000019F" w:csb1="00000000"/>
  </w:font>
  <w:font w:name="Mangal">
    <w:panose1 w:val="02040503050203030202"/>
    <w:charset w:val="00"/>
    <w:family w:val="roman"/>
    <w:pitch w:val="variable"/>
    <w:sig w:usb0="00008003" w:usb1="00000000" w:usb2="00000000" w:usb3="00000000" w:csb0="00000001" w:csb1="00000000"/>
  </w:font>
  <w:font w:name="Aptos">
    <w:altName w:val="Arial Unicode MS"/>
    <w:charset w:val="00"/>
    <w:family w:val="swiss"/>
    <w:pitch w:val="variable"/>
    <w:sig w:usb0="20000287" w:usb1="00000003" w:usb2="00000000" w:usb3="00000000" w:csb0="0000019F" w:csb1="00000000"/>
  </w:font>
  <w:font w:name="TimesLT, 'Times New Roman'">
    <w:altName w:val="Times New Roman"/>
    <w:charset w:val="00"/>
    <w:family w:val="roman"/>
    <w:pitch w:val="variable"/>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textAlignment w:val="baseline"/>
      <w:rPr>
        <w:rFonts w:eastAsia="Calibri"/>
        <w:kern w:val="3"/>
        <w:szCs w:val="24"/>
        <w:lang w:eastAsia="zh-CN"/>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textAlignment w:val="baseline"/>
      <w:rPr>
        <w:rFonts w:eastAsia="Calibri"/>
        <w:kern w:val="3"/>
        <w:szCs w:val="24"/>
        <w:lang w:eastAsia="zh-CN"/>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textAlignment w:val="baseline"/>
      <w:rPr>
        <w:rFonts w:eastAsia="Calibri"/>
        <w:kern w:val="3"/>
        <w:szCs w:val="24"/>
        <w:lang w:eastAsia="zh-CN"/>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textAlignment w:val="baseline"/>
        <w:rPr>
          <w:rFonts w:eastAsia="Droid Sans Fallback" w:cs="Lohit Hindi"/>
          <w:kern w:val="3"/>
          <w:szCs w:val="24"/>
          <w:lang w:eastAsia="zh-CN" w:bidi="hi-IN"/>
        </w:rPr>
      </w:pPr>
      <w:r>
        <w:rPr>
          <w:rFonts w:eastAsia="Droid Sans Fallback" w:cs="Lohit Hindi"/>
          <w:color w:val="000000"/>
          <w:kern w:val="3"/>
          <w:szCs w:val="24"/>
          <w:lang w:eastAsia="zh-CN" w:bidi="hi-IN"/>
        </w:rPr>
        <w:separator/>
      </w:r>
    </w:p>
  </w:footnote>
  <w:footnote w:type="continuationSeparator" w:id="0">
    <w:p>
      <w:pPr>
        <w:widowControl w:val="0"/>
        <w:suppressAutoHyphens/>
        <w:textAlignment w:val="baseline"/>
        <w:rPr>
          <w:rFonts w:eastAsia="Droid Sans Fallback" w:cs="Lohit Hindi"/>
          <w:kern w:val="3"/>
          <w:szCs w:val="24"/>
          <w:lang w:eastAsia="zh-CN" w:bidi="hi-IN"/>
        </w:rPr>
      </w:pPr>
      <w:r>
        <w:rPr>
          <w:rFonts w:eastAsia="Droid Sans Fallback" w:cs="Lohit Hindi"/>
          <w:kern w:val="3"/>
          <w:szCs w:val="24"/>
          <w:lang w:eastAsia="zh-CN" w:bidi="hi-IN"/>
        </w:rPr>
        <w:continuationSeparator/>
      </w:r>
    </w:p>
  </w:footnote>
  <w:footnote w:type="continuationNotice" w:id="1">
    <w:p/>
  </w:footnote>
  <w:footnote w:id="2">
    <w:p>
      <w:pPr>
        <w:rPr>
          <w:kern w:val="2"/>
          <w:sz w:val="20"/>
        </w:rPr>
      </w:pPr>
      <w:r>
        <w:rPr>
          <w:kern w:val="2"/>
          <w:sz w:val="20"/>
          <w:vertAlign w:val="superscript"/>
        </w:rPr>
        <w:footnoteRef/>
      </w:r>
      <w:r>
        <w:rPr>
          <w:kern w:val="2"/>
          <w:sz w:val="20"/>
        </w:rPr>
        <w:t xml:space="preserve"> https://www.e-tar.lt/portal/lt/legalAct/77c1dd30aa5411eab9d9cd0c85e0b745</w:t>
      </w:r>
    </w:p>
  </w:footnote>
  <w:footnote w:id="3">
    <w:p>
      <w:pPr>
        <w:rPr>
          <w:kern w:val="2"/>
          <w:sz w:val="20"/>
        </w:rPr>
      </w:pPr>
      <w:r>
        <w:rPr>
          <w:kern w:val="2"/>
          <w:sz w:val="20"/>
          <w:vertAlign w:val="superscript"/>
        </w:rPr>
        <w:footnoteRef/>
      </w:r>
      <w:r>
        <w:rPr>
          <w:kern w:val="2"/>
          <w:sz w:val="20"/>
        </w:rPr>
        <w:t xml:space="preserve"> https://www.e-tar.lt/portal/lt/legalAct/cc7f4de010ee11ee9f7ec2ffce8b47bc</w:t>
      </w:r>
    </w:p>
  </w:footnote>
  <w:footnote w:id="4">
    <w:p>
      <w:pPr>
        <w:rPr>
          <w:kern w:val="2"/>
          <w:sz w:val="20"/>
        </w:rPr>
      </w:pPr>
      <w:r>
        <w:rPr>
          <w:kern w:val="2"/>
          <w:sz w:val="20"/>
          <w:vertAlign w:val="superscript"/>
        </w:rPr>
        <w:footnoteRef/>
      </w:r>
      <w:r>
        <w:rPr>
          <w:kern w:val="2"/>
          <w:sz w:val="20"/>
        </w:rPr>
        <w:t xml:space="preserve"> Lietuvos Respublikos nacionaliniam saugumui užtikrinti svarbių objektų apsaugos įstatymo 3 priedas</w:t>
      </w:r>
    </w:p>
  </w:footnote>
  <w:footnote w:id="5">
    <w:p>
      <w:pPr>
        <w:rPr>
          <w:sz w:val="20"/>
        </w:rPr>
      </w:pPr>
      <w:r>
        <w:rPr>
          <w:sz w:val="20"/>
          <w:vertAlign w:val="superscript"/>
        </w:rPr>
        <w:footnoteRef/>
      </w:r>
      <w:r>
        <w:rPr>
          <w:sz w:val="20"/>
        </w:rPr>
        <w:t xml:space="preserve"> </w:t>
      </w:r>
      <w:r>
        <w:rPr>
          <w:color w:val="000000"/>
          <w:sz w:val="20"/>
          <w:lang w:val="lt"/>
        </w:rPr>
        <w:t xml:space="preserve">2021 m. kovo 9 d. EK komunikatu Europos Parlamentui, Tarybai, Europos ekonomikos ir socialinių reikalų komitetui ir Regionų komitetui „2030 m. skaitmeninės politikos kelrodis: Europos skaitmeninio dešimtmečio kelias“: </w:t>
      </w:r>
      <w:r>
        <w:rPr>
          <w:color w:val="0000FF"/>
          <w:sz w:val="20"/>
          <w:u w:val="single"/>
          <w:lang w:val="lt"/>
        </w:rPr>
        <w:t>https://eur-lex.europa.eu/legal-content/LT/TXT/HTML/?uri=CELEX:52021DC0118</w:t>
      </w:r>
    </w:p>
    <w:p>
      <w:pPr>
        <w:jc w:val="both"/>
        <w:rPr>
          <w:kern w:val="2"/>
          <w:sz w:val="20"/>
        </w:rPr>
      </w:pPr>
    </w:p>
  </w:footnote>
  <w:footnote w:id="6">
    <w:p>
      <w:pPr>
        <w:tabs>
          <w:tab w:val="left" w:pos="0"/>
          <w:tab w:val="left" w:pos="709"/>
        </w:tabs>
        <w:ind w:right="-1"/>
        <w:jc w:val="both"/>
        <w:rPr>
          <w:sz w:val="20"/>
        </w:rPr>
      </w:pPr>
      <w:r>
        <w:rPr>
          <w:sz w:val="20"/>
          <w:vertAlign w:val="superscript"/>
        </w:rPr>
        <w:footnoteRef/>
      </w:r>
      <w:r>
        <w:rPr>
          <w:sz w:val="20"/>
        </w:rPr>
        <w:t xml:space="preserve"> </w:t>
      </w:r>
      <w:r>
        <w:rPr>
          <w:sz w:val="20"/>
          <w:shd w:val="clear" w:color="auto" w:fill="FFFFFF"/>
        </w:rPr>
        <w:t>Patvirtintos Vyriausybės 1994 m. rugpjūčio 11 d. nutarimu Nr. 728 „Dėl Lietuvos Respublikos Vyriausybės darbo reglamento ir Ministrų, Vyriausybės įstaigų, įstaigų prie ministerijų ir kitų Vyriausybei pavaldžių ir atskaitingų viešojo administravimo subjektų norminių teisės aktų projektų rengimo taisyklių patvirtinimo“.</w:t>
      </w:r>
    </w:p>
    <w:p>
      <w:pPr>
        <w:rPr>
          <w:kern w:val="2"/>
          <w:sz w:val="20"/>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textAlignment w:val="baseline"/>
      <w:rPr>
        <w:rFonts w:eastAsia="Calibri"/>
        <w:kern w:val="3"/>
        <w:szCs w:val="24"/>
        <w:lang w:eastAsia="zh-CN"/>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textAlignment w:val="baseline"/>
      <w:rPr>
        <w:rFonts w:eastAsia="Calibri"/>
        <w:kern w:val="3"/>
        <w:szCs w:val="24"/>
        <w:lang w:eastAsia="zh-CN"/>
      </w:rPr>
    </w:pPr>
    <w:r>
      <w:rPr>
        <w:rFonts w:eastAsia="Calibri"/>
        <w:kern w:val="3"/>
        <w:szCs w:val="24"/>
        <w:lang w:eastAsia="zh-CN"/>
      </w:rPr>
      <w:fldChar w:fldCharType="begin"/>
    </w:r>
    <w:r>
      <w:rPr>
        <w:rFonts w:eastAsia="Calibri"/>
        <w:kern w:val="3"/>
        <w:szCs w:val="24"/>
        <w:lang w:eastAsia="zh-CN"/>
      </w:rPr>
      <w:instrText xml:space="preserve"> PAGE </w:instrText>
    </w:r>
    <w:r>
      <w:rPr>
        <w:rFonts w:eastAsia="Calibri"/>
        <w:kern w:val="3"/>
        <w:szCs w:val="24"/>
        <w:lang w:eastAsia="zh-CN"/>
      </w:rPr>
      <w:fldChar w:fldCharType="separate"/>
    </w:r>
    <w:r>
      <w:rPr>
        <w:rFonts w:eastAsia="Calibri"/>
        <w:kern w:val="3"/>
        <w:szCs w:val="24"/>
        <w:lang w:eastAsia="zh-CN"/>
      </w:rPr>
      <w:t>3</w:t>
    </w:r>
    <w:r>
      <w:rPr>
        <w:rFonts w:eastAsia="Calibri"/>
        <w:kern w:val="3"/>
        <w:szCs w:val="24"/>
        <w:lang w:eastAsia="zh-CN"/>
      </w:rPr>
      <w:fldChar w:fldCharType="end"/>
    </w:r>
  </w:p>
  <w:p>
    <w:pPr>
      <w:tabs>
        <w:tab w:val="center" w:pos="4819"/>
        <w:tab w:val="right" w:pos="9638"/>
      </w:tabs>
      <w:suppressAutoHyphens/>
      <w:jc w:val="center"/>
      <w:textAlignment w:val="baseline"/>
      <w:rPr>
        <w:rFonts w:eastAsia="Calibri"/>
        <w:kern w:val="3"/>
        <w:szCs w:val="24"/>
        <w:lang w:eastAsia="zh-CN"/>
      </w:rPr>
    </w:pPr>
  </w:p>
  <w:p>
    <w:pPr>
      <w:tabs>
        <w:tab w:val="center" w:pos="4819"/>
        <w:tab w:val="right" w:pos="9638"/>
      </w:tabs>
      <w:suppressAutoHyphens/>
      <w:textAlignment w:val="baseline"/>
      <w:rPr>
        <w:rFonts w:eastAsia="Calibri"/>
        <w:kern w:val="3"/>
        <w:szCs w:val="24"/>
        <w:lang w:eastAsia="zh-CN"/>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eastAsia="Calibri"/>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8"/>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7A73"/>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1520FD6-346E-4A79-B263-0E4856249FE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47407925">
      <w:bodyDiv w:val="1"/>
      <w:marLeft w:val="0"/>
      <w:marRight w:val="0"/>
      <w:marTop w:val="0"/>
      <w:marBottom w:val="0"/>
      <w:divBdr>
        <w:top w:val="none" w:sz="0" w:space="0" w:color="auto"/>
        <w:left w:val="none" w:sz="0" w:space="0" w:color="auto"/>
        <w:bottom w:val="none" w:sz="0" w:space="0" w:color="auto"/>
        <w:right w:val="none" w:sz="0" w:space="0" w:color="auto"/>
      </w:divBdr>
    </w:div>
    <w:div w:id="158466364">
      <w:bodyDiv w:val="1"/>
      <w:marLeft w:val="0"/>
      <w:marRight w:val="0"/>
      <w:marTop w:val="0"/>
      <w:marBottom w:val="0"/>
      <w:divBdr>
        <w:top w:val="none" w:sz="0" w:space="0" w:color="auto"/>
        <w:left w:val="none" w:sz="0" w:space="0" w:color="auto"/>
        <w:bottom w:val="none" w:sz="0" w:space="0" w:color="auto"/>
        <w:right w:val="none" w:sz="0" w:space="0" w:color="auto"/>
      </w:divBdr>
    </w:div>
    <w:div w:id="225578963">
      <w:bodyDiv w:val="1"/>
      <w:marLeft w:val="0"/>
      <w:marRight w:val="0"/>
      <w:marTop w:val="0"/>
      <w:marBottom w:val="0"/>
      <w:divBdr>
        <w:top w:val="none" w:sz="0" w:space="0" w:color="auto"/>
        <w:left w:val="none" w:sz="0" w:space="0" w:color="auto"/>
        <w:bottom w:val="none" w:sz="0" w:space="0" w:color="auto"/>
        <w:right w:val="none" w:sz="0" w:space="0" w:color="auto"/>
      </w:divBdr>
    </w:div>
    <w:div w:id="252401196">
      <w:bodyDiv w:val="1"/>
      <w:marLeft w:val="0"/>
      <w:marRight w:val="0"/>
      <w:marTop w:val="0"/>
      <w:marBottom w:val="0"/>
      <w:divBdr>
        <w:top w:val="none" w:sz="0" w:space="0" w:color="auto"/>
        <w:left w:val="none" w:sz="0" w:space="0" w:color="auto"/>
        <w:bottom w:val="none" w:sz="0" w:space="0" w:color="auto"/>
        <w:right w:val="none" w:sz="0" w:space="0" w:color="auto"/>
      </w:divBdr>
    </w:div>
    <w:div w:id="381683516">
      <w:bodyDiv w:val="1"/>
      <w:marLeft w:val="0"/>
      <w:marRight w:val="0"/>
      <w:marTop w:val="0"/>
      <w:marBottom w:val="0"/>
      <w:divBdr>
        <w:top w:val="none" w:sz="0" w:space="0" w:color="auto"/>
        <w:left w:val="none" w:sz="0" w:space="0" w:color="auto"/>
        <w:bottom w:val="none" w:sz="0" w:space="0" w:color="auto"/>
        <w:right w:val="none" w:sz="0" w:space="0" w:color="auto"/>
      </w:divBdr>
    </w:div>
    <w:div w:id="414589984">
      <w:bodyDiv w:val="1"/>
      <w:marLeft w:val="0"/>
      <w:marRight w:val="0"/>
      <w:marTop w:val="0"/>
      <w:marBottom w:val="0"/>
      <w:divBdr>
        <w:top w:val="none" w:sz="0" w:space="0" w:color="auto"/>
        <w:left w:val="none" w:sz="0" w:space="0" w:color="auto"/>
        <w:bottom w:val="none" w:sz="0" w:space="0" w:color="auto"/>
        <w:right w:val="none" w:sz="0" w:space="0" w:color="auto"/>
      </w:divBdr>
    </w:div>
    <w:div w:id="495195667">
      <w:bodyDiv w:val="1"/>
      <w:marLeft w:val="0"/>
      <w:marRight w:val="0"/>
      <w:marTop w:val="0"/>
      <w:marBottom w:val="0"/>
      <w:divBdr>
        <w:top w:val="none" w:sz="0" w:space="0" w:color="auto"/>
        <w:left w:val="none" w:sz="0" w:space="0" w:color="auto"/>
        <w:bottom w:val="none" w:sz="0" w:space="0" w:color="auto"/>
        <w:right w:val="none" w:sz="0" w:space="0" w:color="auto"/>
      </w:divBdr>
      <w:divsChild>
        <w:div w:id="74670155">
          <w:marLeft w:val="0"/>
          <w:marRight w:val="0"/>
          <w:marTop w:val="0"/>
          <w:marBottom w:val="0"/>
          <w:divBdr>
            <w:top w:val="none" w:sz="0" w:space="0" w:color="auto"/>
            <w:left w:val="none" w:sz="0" w:space="0" w:color="auto"/>
            <w:bottom w:val="none" w:sz="0" w:space="0" w:color="auto"/>
            <w:right w:val="none" w:sz="0" w:space="0" w:color="auto"/>
          </w:divBdr>
        </w:div>
        <w:div w:id="1124038672">
          <w:marLeft w:val="0"/>
          <w:marRight w:val="0"/>
          <w:marTop w:val="0"/>
          <w:marBottom w:val="0"/>
          <w:divBdr>
            <w:top w:val="none" w:sz="0" w:space="0" w:color="auto"/>
            <w:left w:val="none" w:sz="0" w:space="0" w:color="auto"/>
            <w:bottom w:val="none" w:sz="0" w:space="0" w:color="auto"/>
            <w:right w:val="none" w:sz="0" w:space="0" w:color="auto"/>
          </w:divBdr>
        </w:div>
        <w:div w:id="1255627007">
          <w:marLeft w:val="0"/>
          <w:marRight w:val="0"/>
          <w:marTop w:val="0"/>
          <w:marBottom w:val="0"/>
          <w:divBdr>
            <w:top w:val="none" w:sz="0" w:space="0" w:color="auto"/>
            <w:left w:val="none" w:sz="0" w:space="0" w:color="auto"/>
            <w:bottom w:val="none" w:sz="0" w:space="0" w:color="auto"/>
            <w:right w:val="none" w:sz="0" w:space="0" w:color="auto"/>
          </w:divBdr>
        </w:div>
        <w:div w:id="1547790033">
          <w:marLeft w:val="0"/>
          <w:marRight w:val="0"/>
          <w:marTop w:val="0"/>
          <w:marBottom w:val="0"/>
          <w:divBdr>
            <w:top w:val="none" w:sz="0" w:space="0" w:color="auto"/>
            <w:left w:val="none" w:sz="0" w:space="0" w:color="auto"/>
            <w:bottom w:val="none" w:sz="0" w:space="0" w:color="auto"/>
            <w:right w:val="none" w:sz="0" w:space="0" w:color="auto"/>
          </w:divBdr>
        </w:div>
      </w:divsChild>
    </w:div>
    <w:div w:id="525294380">
      <w:bodyDiv w:val="1"/>
      <w:marLeft w:val="225"/>
      <w:marRight w:val="225"/>
      <w:marTop w:val="0"/>
      <w:marBottom w:val="0"/>
      <w:divBdr>
        <w:top w:val="none" w:sz="0" w:space="0" w:color="auto"/>
        <w:left w:val="none" w:sz="0" w:space="0" w:color="auto"/>
        <w:bottom w:val="none" w:sz="0" w:space="0" w:color="auto"/>
        <w:right w:val="none" w:sz="0" w:space="0" w:color="auto"/>
      </w:divBdr>
      <w:divsChild>
        <w:div w:id="1327974139">
          <w:marLeft w:val="0"/>
          <w:marRight w:val="0"/>
          <w:marTop w:val="0"/>
          <w:marBottom w:val="0"/>
          <w:divBdr>
            <w:top w:val="none" w:sz="0" w:space="0" w:color="auto"/>
            <w:left w:val="none" w:sz="0" w:space="0" w:color="auto"/>
            <w:bottom w:val="none" w:sz="0" w:space="0" w:color="auto"/>
            <w:right w:val="none" w:sz="0" w:space="0" w:color="auto"/>
          </w:divBdr>
        </w:div>
      </w:divsChild>
    </w:div>
    <w:div w:id="544147894">
      <w:bodyDiv w:val="1"/>
      <w:marLeft w:val="0"/>
      <w:marRight w:val="0"/>
      <w:marTop w:val="0"/>
      <w:marBottom w:val="0"/>
      <w:divBdr>
        <w:top w:val="none" w:sz="0" w:space="0" w:color="auto"/>
        <w:left w:val="none" w:sz="0" w:space="0" w:color="auto"/>
        <w:bottom w:val="none" w:sz="0" w:space="0" w:color="auto"/>
        <w:right w:val="none" w:sz="0" w:space="0" w:color="auto"/>
      </w:divBdr>
    </w:div>
    <w:div w:id="773086838">
      <w:bodyDiv w:val="1"/>
      <w:marLeft w:val="0"/>
      <w:marRight w:val="0"/>
      <w:marTop w:val="0"/>
      <w:marBottom w:val="0"/>
      <w:divBdr>
        <w:top w:val="none" w:sz="0" w:space="0" w:color="auto"/>
        <w:left w:val="none" w:sz="0" w:space="0" w:color="auto"/>
        <w:bottom w:val="none" w:sz="0" w:space="0" w:color="auto"/>
        <w:right w:val="none" w:sz="0" w:space="0" w:color="auto"/>
      </w:divBdr>
    </w:div>
    <w:div w:id="788402945">
      <w:bodyDiv w:val="1"/>
      <w:marLeft w:val="0"/>
      <w:marRight w:val="0"/>
      <w:marTop w:val="0"/>
      <w:marBottom w:val="0"/>
      <w:divBdr>
        <w:top w:val="none" w:sz="0" w:space="0" w:color="auto"/>
        <w:left w:val="none" w:sz="0" w:space="0" w:color="auto"/>
        <w:bottom w:val="none" w:sz="0" w:space="0" w:color="auto"/>
        <w:right w:val="none" w:sz="0" w:space="0" w:color="auto"/>
      </w:divBdr>
    </w:div>
    <w:div w:id="934365765">
      <w:bodyDiv w:val="1"/>
      <w:marLeft w:val="0"/>
      <w:marRight w:val="0"/>
      <w:marTop w:val="0"/>
      <w:marBottom w:val="0"/>
      <w:divBdr>
        <w:top w:val="none" w:sz="0" w:space="0" w:color="auto"/>
        <w:left w:val="none" w:sz="0" w:space="0" w:color="auto"/>
        <w:bottom w:val="none" w:sz="0" w:space="0" w:color="auto"/>
        <w:right w:val="none" w:sz="0" w:space="0" w:color="auto"/>
      </w:divBdr>
      <w:divsChild>
        <w:div w:id="11080597">
          <w:marLeft w:val="0"/>
          <w:marRight w:val="0"/>
          <w:marTop w:val="0"/>
          <w:marBottom w:val="0"/>
          <w:divBdr>
            <w:top w:val="none" w:sz="0" w:space="0" w:color="auto"/>
            <w:left w:val="none" w:sz="0" w:space="0" w:color="auto"/>
            <w:bottom w:val="none" w:sz="0" w:space="0" w:color="auto"/>
            <w:right w:val="none" w:sz="0" w:space="0" w:color="auto"/>
          </w:divBdr>
        </w:div>
        <w:div w:id="796144932">
          <w:marLeft w:val="0"/>
          <w:marRight w:val="0"/>
          <w:marTop w:val="0"/>
          <w:marBottom w:val="0"/>
          <w:divBdr>
            <w:top w:val="none" w:sz="0" w:space="0" w:color="auto"/>
            <w:left w:val="none" w:sz="0" w:space="0" w:color="auto"/>
            <w:bottom w:val="none" w:sz="0" w:space="0" w:color="auto"/>
            <w:right w:val="none" w:sz="0" w:space="0" w:color="auto"/>
          </w:divBdr>
        </w:div>
        <w:div w:id="1055541992">
          <w:marLeft w:val="0"/>
          <w:marRight w:val="0"/>
          <w:marTop w:val="0"/>
          <w:marBottom w:val="0"/>
          <w:divBdr>
            <w:top w:val="none" w:sz="0" w:space="0" w:color="auto"/>
            <w:left w:val="none" w:sz="0" w:space="0" w:color="auto"/>
            <w:bottom w:val="none" w:sz="0" w:space="0" w:color="auto"/>
            <w:right w:val="none" w:sz="0" w:space="0" w:color="auto"/>
          </w:divBdr>
        </w:div>
        <w:div w:id="1343388434">
          <w:marLeft w:val="0"/>
          <w:marRight w:val="0"/>
          <w:marTop w:val="0"/>
          <w:marBottom w:val="0"/>
          <w:divBdr>
            <w:top w:val="none" w:sz="0" w:space="0" w:color="auto"/>
            <w:left w:val="none" w:sz="0" w:space="0" w:color="auto"/>
            <w:bottom w:val="none" w:sz="0" w:space="0" w:color="auto"/>
            <w:right w:val="none" w:sz="0" w:space="0" w:color="auto"/>
          </w:divBdr>
        </w:div>
      </w:divsChild>
    </w:div>
    <w:div w:id="1178545361">
      <w:bodyDiv w:val="1"/>
      <w:marLeft w:val="0"/>
      <w:marRight w:val="0"/>
      <w:marTop w:val="0"/>
      <w:marBottom w:val="0"/>
      <w:divBdr>
        <w:top w:val="none" w:sz="0" w:space="0" w:color="auto"/>
        <w:left w:val="none" w:sz="0" w:space="0" w:color="auto"/>
        <w:bottom w:val="none" w:sz="0" w:space="0" w:color="auto"/>
        <w:right w:val="none" w:sz="0" w:space="0" w:color="auto"/>
      </w:divBdr>
      <w:divsChild>
        <w:div w:id="1353337904">
          <w:marLeft w:val="0"/>
          <w:marRight w:val="0"/>
          <w:marTop w:val="0"/>
          <w:marBottom w:val="0"/>
          <w:divBdr>
            <w:top w:val="none" w:sz="0" w:space="0" w:color="auto"/>
            <w:left w:val="none" w:sz="0" w:space="0" w:color="auto"/>
            <w:bottom w:val="none" w:sz="0" w:space="0" w:color="auto"/>
            <w:right w:val="none" w:sz="0" w:space="0" w:color="auto"/>
          </w:divBdr>
        </w:div>
        <w:div w:id="1974754746">
          <w:marLeft w:val="0"/>
          <w:marRight w:val="0"/>
          <w:marTop w:val="0"/>
          <w:marBottom w:val="0"/>
          <w:divBdr>
            <w:top w:val="none" w:sz="0" w:space="0" w:color="auto"/>
            <w:left w:val="none" w:sz="0" w:space="0" w:color="auto"/>
            <w:bottom w:val="none" w:sz="0" w:space="0" w:color="auto"/>
            <w:right w:val="none" w:sz="0" w:space="0" w:color="auto"/>
          </w:divBdr>
        </w:div>
      </w:divsChild>
    </w:div>
    <w:div w:id="1197042327">
      <w:bodyDiv w:val="1"/>
      <w:marLeft w:val="225"/>
      <w:marRight w:val="225"/>
      <w:marTop w:val="0"/>
      <w:marBottom w:val="0"/>
      <w:divBdr>
        <w:top w:val="none" w:sz="0" w:space="0" w:color="auto"/>
        <w:left w:val="none" w:sz="0" w:space="0" w:color="auto"/>
        <w:bottom w:val="none" w:sz="0" w:space="0" w:color="auto"/>
        <w:right w:val="none" w:sz="0" w:space="0" w:color="auto"/>
      </w:divBdr>
      <w:divsChild>
        <w:div w:id="485973637">
          <w:marLeft w:val="0"/>
          <w:marRight w:val="0"/>
          <w:marTop w:val="0"/>
          <w:marBottom w:val="0"/>
          <w:divBdr>
            <w:top w:val="none" w:sz="0" w:space="0" w:color="auto"/>
            <w:left w:val="none" w:sz="0" w:space="0" w:color="auto"/>
            <w:bottom w:val="none" w:sz="0" w:space="0" w:color="auto"/>
            <w:right w:val="none" w:sz="0" w:space="0" w:color="auto"/>
          </w:divBdr>
        </w:div>
      </w:divsChild>
    </w:div>
    <w:div w:id="1339041099">
      <w:bodyDiv w:val="1"/>
      <w:marLeft w:val="0"/>
      <w:marRight w:val="0"/>
      <w:marTop w:val="0"/>
      <w:marBottom w:val="0"/>
      <w:divBdr>
        <w:top w:val="none" w:sz="0" w:space="0" w:color="auto"/>
        <w:left w:val="none" w:sz="0" w:space="0" w:color="auto"/>
        <w:bottom w:val="none" w:sz="0" w:space="0" w:color="auto"/>
        <w:right w:val="none" w:sz="0" w:space="0" w:color="auto"/>
      </w:divBdr>
    </w:div>
    <w:div w:id="1348478981">
      <w:bodyDiv w:val="1"/>
      <w:marLeft w:val="225"/>
      <w:marRight w:val="225"/>
      <w:marTop w:val="0"/>
      <w:marBottom w:val="0"/>
      <w:divBdr>
        <w:top w:val="none" w:sz="0" w:space="0" w:color="auto"/>
        <w:left w:val="none" w:sz="0" w:space="0" w:color="auto"/>
        <w:bottom w:val="none" w:sz="0" w:space="0" w:color="auto"/>
        <w:right w:val="none" w:sz="0" w:space="0" w:color="auto"/>
      </w:divBdr>
      <w:divsChild>
        <w:div w:id="213128752">
          <w:marLeft w:val="0"/>
          <w:marRight w:val="0"/>
          <w:marTop w:val="0"/>
          <w:marBottom w:val="0"/>
          <w:divBdr>
            <w:top w:val="none" w:sz="0" w:space="0" w:color="auto"/>
            <w:left w:val="none" w:sz="0" w:space="0" w:color="auto"/>
            <w:bottom w:val="none" w:sz="0" w:space="0" w:color="auto"/>
            <w:right w:val="none" w:sz="0" w:space="0" w:color="auto"/>
          </w:divBdr>
        </w:div>
      </w:divsChild>
    </w:div>
    <w:div w:id="1360010132">
      <w:bodyDiv w:val="1"/>
      <w:marLeft w:val="225"/>
      <w:marRight w:val="225"/>
      <w:marTop w:val="0"/>
      <w:marBottom w:val="0"/>
      <w:divBdr>
        <w:top w:val="none" w:sz="0" w:space="0" w:color="auto"/>
        <w:left w:val="none" w:sz="0" w:space="0" w:color="auto"/>
        <w:bottom w:val="none" w:sz="0" w:space="0" w:color="auto"/>
        <w:right w:val="none" w:sz="0" w:space="0" w:color="auto"/>
      </w:divBdr>
      <w:divsChild>
        <w:div w:id="594941188">
          <w:marLeft w:val="0"/>
          <w:marRight w:val="0"/>
          <w:marTop w:val="0"/>
          <w:marBottom w:val="0"/>
          <w:divBdr>
            <w:top w:val="none" w:sz="0" w:space="0" w:color="auto"/>
            <w:left w:val="none" w:sz="0" w:space="0" w:color="auto"/>
            <w:bottom w:val="none" w:sz="0" w:space="0" w:color="auto"/>
            <w:right w:val="none" w:sz="0" w:space="0" w:color="auto"/>
          </w:divBdr>
        </w:div>
      </w:divsChild>
    </w:div>
    <w:div w:id="1531801489">
      <w:bodyDiv w:val="1"/>
      <w:marLeft w:val="0"/>
      <w:marRight w:val="0"/>
      <w:marTop w:val="0"/>
      <w:marBottom w:val="0"/>
      <w:divBdr>
        <w:top w:val="none" w:sz="0" w:space="0" w:color="auto"/>
        <w:left w:val="none" w:sz="0" w:space="0" w:color="auto"/>
        <w:bottom w:val="none" w:sz="0" w:space="0" w:color="auto"/>
        <w:right w:val="none" w:sz="0" w:space="0" w:color="auto"/>
      </w:divBdr>
    </w:div>
    <w:div w:id="1576351873">
      <w:bodyDiv w:val="1"/>
      <w:marLeft w:val="0"/>
      <w:marRight w:val="0"/>
      <w:marTop w:val="0"/>
      <w:marBottom w:val="0"/>
      <w:divBdr>
        <w:top w:val="none" w:sz="0" w:space="0" w:color="auto"/>
        <w:left w:val="none" w:sz="0" w:space="0" w:color="auto"/>
        <w:bottom w:val="none" w:sz="0" w:space="0" w:color="auto"/>
        <w:right w:val="none" w:sz="0" w:space="0" w:color="auto"/>
      </w:divBdr>
    </w:div>
    <w:div w:id="1588226598">
      <w:bodyDiv w:val="1"/>
      <w:marLeft w:val="0"/>
      <w:marRight w:val="0"/>
      <w:marTop w:val="0"/>
      <w:marBottom w:val="0"/>
      <w:divBdr>
        <w:top w:val="none" w:sz="0" w:space="0" w:color="auto"/>
        <w:left w:val="none" w:sz="0" w:space="0" w:color="auto"/>
        <w:bottom w:val="none" w:sz="0" w:space="0" w:color="auto"/>
        <w:right w:val="none" w:sz="0" w:space="0" w:color="auto"/>
      </w:divBdr>
    </w:div>
    <w:div w:id="1623339971">
      <w:bodyDiv w:val="1"/>
      <w:marLeft w:val="0"/>
      <w:marRight w:val="0"/>
      <w:marTop w:val="0"/>
      <w:marBottom w:val="0"/>
      <w:divBdr>
        <w:top w:val="none" w:sz="0" w:space="0" w:color="auto"/>
        <w:left w:val="none" w:sz="0" w:space="0" w:color="auto"/>
        <w:bottom w:val="none" w:sz="0" w:space="0" w:color="auto"/>
        <w:right w:val="none" w:sz="0" w:space="0" w:color="auto"/>
      </w:divBdr>
    </w:div>
    <w:div w:id="1633443053">
      <w:bodyDiv w:val="1"/>
      <w:marLeft w:val="0"/>
      <w:marRight w:val="0"/>
      <w:marTop w:val="0"/>
      <w:marBottom w:val="0"/>
      <w:divBdr>
        <w:top w:val="none" w:sz="0" w:space="0" w:color="auto"/>
        <w:left w:val="none" w:sz="0" w:space="0" w:color="auto"/>
        <w:bottom w:val="none" w:sz="0" w:space="0" w:color="auto"/>
        <w:right w:val="none" w:sz="0" w:space="0" w:color="auto"/>
      </w:divBdr>
    </w:div>
    <w:div w:id="1786263896">
      <w:bodyDiv w:val="1"/>
      <w:marLeft w:val="0"/>
      <w:marRight w:val="0"/>
      <w:marTop w:val="0"/>
      <w:marBottom w:val="0"/>
      <w:divBdr>
        <w:top w:val="none" w:sz="0" w:space="0" w:color="auto"/>
        <w:left w:val="none" w:sz="0" w:space="0" w:color="auto"/>
        <w:bottom w:val="none" w:sz="0" w:space="0" w:color="auto"/>
        <w:right w:val="none" w:sz="0" w:space="0" w:color="auto"/>
      </w:divBdr>
    </w:div>
    <w:div w:id="1984697172">
      <w:bodyDiv w:val="1"/>
      <w:marLeft w:val="0"/>
      <w:marRight w:val="0"/>
      <w:marTop w:val="0"/>
      <w:marBottom w:val="0"/>
      <w:divBdr>
        <w:top w:val="none" w:sz="0" w:space="0" w:color="auto"/>
        <w:left w:val="none" w:sz="0" w:space="0" w:color="auto"/>
        <w:bottom w:val="none" w:sz="0" w:space="0" w:color="auto"/>
        <w:right w:val="none" w:sz="0" w:space="0" w:color="auto"/>
      </w:divBdr>
    </w:div>
    <w:div w:id="214337848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footer" Target="footer1.xml"/>
  <Relationship Id="rId16" Type="http://schemas.openxmlformats.org/officeDocument/2006/relationships/footer" Target="footer2.xml"/>
  <Relationship Id="rId17" Type="http://schemas.openxmlformats.org/officeDocument/2006/relationships/header" Target="header3.xml"/>
  <Relationship Id="rId18" Type="http://schemas.openxmlformats.org/officeDocument/2006/relationships/footer" Target="footer3.xml"/>
  <Relationship Id="rId19" Type="http://schemas.openxmlformats.org/officeDocument/2006/relationships/fontTable" Target="fontTable.xml"/>
  <Relationship Id="rId2" Type="http://schemas.openxmlformats.org/officeDocument/2006/relationships/customXml" Target="../customXml/item2.xml"/>
  <Relationship Id="rId20" Type="http://schemas.openxmlformats.org/officeDocument/2006/relationships/theme" Target="theme/theme1.xml"/>
  <Relationship Id="rId21"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10AAAE7E49CBA142B67C184B4DE51B6C" ma:contentTypeVersion="3" ma:contentTypeDescription="Kurkite naują dokumentą." ma:contentTypeScope="" ma:versionID="10dc4c59914e281a906f7e7cb191ff32">
  <xsd:schema xmlns:xsd="http://www.w3.org/2001/XMLSchema" xmlns:xs="http://www.w3.org/2001/XMLSchema" xmlns:p="http://schemas.microsoft.com/office/2006/metadata/properties" xmlns:ns2="072dc57d-7f7f-4e52-9c41-9277613a29e7" targetNamespace="http://schemas.microsoft.com/office/2006/metadata/properties" ma:root="true" ma:fieldsID="1dd5db4ebe57c694aa6afbee35398265" ns2:_="">
    <xsd:import namespace="072dc57d-7f7f-4e52-9c41-9277613a29e7"/>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72dc57d-7f7f-4e52-9c41-9277613a29e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c3dbec4709ee48c2aa00b1bd57e2283d" PartId="8eec5dc4327441c39ac7ea2b4d56ca82">
    <Part Type="punktas" Nr="1" Abbr="1 p." DocPartId="e443335b5bca4785b95eca6136d7badb" PartId="b77fc0c0570647828fdf0dd47a59eb9c">
      <Part Type="papunktis" Nr="1.1" Abbr="1.1 pp." DocPartId="fa141b290c5c466c91382dd65c53d415" PartId="078f979623654d3aafb66068d070fd6c"/>
      <Part Type="papunktis" Nr="1.2" Abbr="1.2 pp." DocPartId="2774c8b246e94627b18870f902edcdf5" PartId="7fa0ed10b188473b9433cd9f58fffe56"/>
    </Part>
    <Part Type="punktas" Nr="2" Abbr="2 p." DocPartId="41bea4beab64438395271b83b4470b61" PartId="90dfa6b297ff49ef9c7e108a5ff71200"/>
    <Part Type="punktas" Nr="3" Abbr="3 p." DocPartId="f3e0a57cb08241d28a05a644113d2201" PartId="b00237e619b34675bb2ad215efee7b03">
      <Part Type="papunktis" Nr="3.1" Abbr="3.1 pp." DocPartId="90b75975ccc04e02826b13e89f09d5e0" PartId="f92f03e127e840f79f35d77c38b23a95"/>
      <Part Type="papunktis" Nr="3.2" Abbr="3.2 pp." DocPartId="c2335a325af841618f5926172be5d3a9" PartId="3c5e382204b341c3b1e94a2477a502f5"/>
    </Part>
    <Part Type="punktas" Nr="4" Abbr="4 p." DocPartId="cf95b2e3b41d4c39855551f34660cc8c" PartId="6616064fd0334fd38829ebec985764df">
      <Part Type="papunktis" Nr="4.1" Abbr="4.1 pp." DocPartId="03b0dc6bb05b4a2dabef52a846bbe870" PartId="dd7ffb491d074f2d80f5b73f172fdb93"/>
      <Part Type="papunktis" Nr="4.2" Abbr="4.2 pp." DocPartId="ac27404e5130448192222da8d81bf5de" PartId="89dcde2c3583432d8e033af75695577b">
        <Part Type="papunktis" Nr="4.2.1" Abbr="4.2.1 pp." DocPartId="49ddf5edd0b74c8ea7a07eb293dad285" PartId="b9cc5809f2534cce9d190eca16002527"/>
        <Part Type="papunktis" Nr="4.2.2" Abbr="4.2.2 pp." DocPartId="218be20202ce4bb99f1b27083fb9802e" PartId="d242c359f33f40eb909eea874a0b4d8e"/>
        <Part Type="papunktis" Nr="4.2.3" Abbr="4.2.3 pp." DocPartId="2c930cf905e746ff8f26dc30abf15424" PartId="ddd96e75c6054a1db58ca3cb3a45826a"/>
        <Part Type="papunktis" Nr="4.2.4" Abbr="4.2.4 pp." DocPartId="31587be617d64017b1a8985f2356339e" PartId="d22464992ede47cdaf249b58382d12f1"/>
        <Part Type="papunktis" Nr="4.2.5" Abbr="4.2.5 pp." DocPartId="54e53cb3e8814655ba5a9c57f90b2b1e" PartId="ad425f364aca4c4cbda8ee7412a79adb"/>
        <Part Type="papunktis" Nr="4.2.6" Abbr="4.2.6 pp." DocPartId="dff8231db91e4459a12878867bdde47e" PartId="b579de2c5b52474285f66196f33f5c61"/>
      </Part>
    </Part>
    <Part Type="punktas" Nr="5" Abbr="5 p." DocPartId="215a6c8e64b748528907ebb24f53a5a1" PartId="adb7e83cfc774832ab611e8e9b738e8c"/>
    <Part Type="punktas" Nr="6" Abbr="6 p." DocPartId="79faab6c50d9462ea41eec7462ef8fc0" PartId="12ea2b0bed4944c4aea0292c5cd88093"/>
    <Part Type="punktas" Nr="7" Abbr="7 p." DocPartId="e3f9ffefc4a34d35a260888b461fdf9d" PartId="0104572210fa4ccba85e154aae933ab9"/>
    <Part Type="punktas" Nr="8" Abbr="8 p." DocPartId="7dff2fcf7a8c48b79809f7053599c30b" PartId="0f74c24c468a48f396329a1cfd8657cb"/>
    <Part Type="punktas" Nr="9" Abbr="9 p." DocPartId="77b47dd8da6a4d4391641ccadb4e2706" PartId="e18c890d9e5949eda3b5bb851f149977"/>
    <Part Type="punktas" Nr="10" Abbr="10 p." DocPartId="ea47e4cc3b7c4b508e4fe95cb2c75a13" PartId="414cc5e32d194f40a322faeb64ad5091"/>
    <Part Type="punktas" Nr="11" Abbr="11 p." DocPartId="627f7453e2a74b48ae77c8ff7d28c7f6" PartId="0f256f03ce374214bfd65c0345d34844"/>
    <Part Type="punktas" Nr="12" Abbr="12 p." DocPartId="81d97382d1ec46dda2579b5d81e6320c" PartId="5302ed481fc74752b14af35f30ad6f50"/>
    <Part Type="pabaiga" DocPartId="8726a3821bb04f2c82214ae76d699464" PartId="2f4d411fed1743ac99c5f228b1d5f7c6"/>
  </Part>
</Parts>
</file>

<file path=customXml/itemProps1.xml><?xml version="1.0" encoding="utf-8"?>
<ds:datastoreItem xmlns:ds="http://schemas.openxmlformats.org/officeDocument/2006/customXml" ds:itemID="{D044BACB-1CFF-4602-8207-E6A26697546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72dc57d-7f7f-4e52-9c41-9277613a29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D104C61-DF1F-4719-AF52-CA8706051707}">
  <ds:schemaRefs>
    <ds:schemaRef ds:uri="http://schemas.microsoft.com/sharepoint/v3/contenttype/forms"/>
  </ds:schemaRefs>
</ds:datastoreItem>
</file>

<file path=customXml/itemProps3.xml><?xml version="1.0" encoding="utf-8"?>
<ds:datastoreItem xmlns:ds="http://schemas.openxmlformats.org/officeDocument/2006/customXml" ds:itemID="{74CC1199-826C-4DE0-9642-D6863D23BD1B}">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7089B6F-50F0-4E68-9E55-67909946F404}">
  <ds:schemaRefs>
    <ds:schemaRef ds:uri="http://schemas.openxmlformats.org/officeDocument/2006/bibliography"/>
  </ds:schemaRefs>
</ds:datastoreItem>
</file>

<file path=customXml/itemProps5.xml><?xml version="1.0" encoding="utf-8"?>
<ds:datastoreItem xmlns:ds="http://schemas.openxmlformats.org/officeDocument/2006/customXml" ds:itemID="{4716B31E-7DDA-49E9-A283-A2EF1A97455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4340</Words>
  <Characters>28694</Characters>
  <Application>Microsoft Office Word</Application>
  <DocSecurity>4</DocSecurity>
  <Lines>409</Lines>
  <Paragraphs>92</Paragraphs>
  <ScaleCrop>false</ScaleCrop>
  <Company>CERT</Company>
  <LinksUpToDate>false</LinksUpToDate>
  <CharactersWithSpaces>32942</CharactersWithSpaces>
  <SharedDoc>false</SharedDoc>
  <HyperlinkBase/>
  <HLinks>
    <vt:vector size="54" baseType="variant">
      <vt:variant>
        <vt:i4>8323179</vt:i4>
      </vt:variant>
      <vt:variant>
        <vt:i4>21</vt:i4>
      </vt:variant>
      <vt:variant>
        <vt:i4>0</vt:i4>
      </vt:variant>
      <vt:variant>
        <vt:i4>5</vt:i4>
      </vt:variant>
      <vt:variant>
        <vt:lpwstr>http://www.evarzytynes.lt/</vt:lpwstr>
      </vt:variant>
      <vt:variant>
        <vt:lpwstr/>
      </vt:variant>
      <vt:variant>
        <vt:i4>7602187</vt:i4>
      </vt:variant>
      <vt:variant>
        <vt:i4>9</vt:i4>
      </vt:variant>
      <vt:variant>
        <vt:i4>0</vt:i4>
      </vt:variant>
      <vt:variant>
        <vt:i4>5</vt:i4>
      </vt:variant>
      <vt:variant>
        <vt:lpwstr>mailto:aridana.jurciukoniene@rrt.lt</vt:lpwstr>
      </vt:variant>
      <vt:variant>
        <vt:lpwstr/>
      </vt:variant>
      <vt:variant>
        <vt:i4>6750229</vt:i4>
      </vt:variant>
      <vt:variant>
        <vt:i4>6</vt:i4>
      </vt:variant>
      <vt:variant>
        <vt:i4>0</vt:i4>
      </vt:variant>
      <vt:variant>
        <vt:i4>5</vt:i4>
      </vt:variant>
      <vt:variant>
        <vt:lpwstr>mailto:arvydas.sujeta@rrt.lt</vt:lpwstr>
      </vt:variant>
      <vt:variant>
        <vt:lpwstr/>
      </vt:variant>
      <vt:variant>
        <vt:i4>2818087</vt:i4>
      </vt:variant>
      <vt:variant>
        <vt:i4>0</vt:i4>
      </vt:variant>
      <vt:variant>
        <vt:i4>0</vt:i4>
      </vt:variant>
      <vt:variant>
        <vt:i4>5</vt:i4>
      </vt:variant>
      <vt:variant>
        <vt:lpwstr>https://eur-lex.europa.eu/legal-content/LT/TXT/HTML/?uri=CELEX:52021DC0118</vt:lpwstr>
      </vt:variant>
      <vt:variant>
        <vt:lpwstr/>
      </vt:variant>
      <vt:variant>
        <vt:i4>6750229</vt:i4>
      </vt:variant>
      <vt:variant>
        <vt:i4>12</vt:i4>
      </vt:variant>
      <vt:variant>
        <vt:i4>0</vt:i4>
      </vt:variant>
      <vt:variant>
        <vt:i4>5</vt:i4>
      </vt:variant>
      <vt:variant>
        <vt:lpwstr>mailto:arvydas.sujeta@rrt.lt</vt:lpwstr>
      </vt:variant>
      <vt:variant>
        <vt:lpwstr/>
      </vt:variant>
      <vt:variant>
        <vt:i4>721002</vt:i4>
      </vt:variant>
      <vt:variant>
        <vt:i4>9</vt:i4>
      </vt:variant>
      <vt:variant>
        <vt:i4>0</vt:i4>
      </vt:variant>
      <vt:variant>
        <vt:i4>5</vt:i4>
      </vt:variant>
      <vt:variant>
        <vt:lpwstr>mailto:nerijus.karklas@rrt.lt</vt:lpwstr>
      </vt:variant>
      <vt:variant>
        <vt:lpwstr/>
      </vt:variant>
      <vt:variant>
        <vt:i4>4063319</vt:i4>
      </vt:variant>
      <vt:variant>
        <vt:i4>6</vt:i4>
      </vt:variant>
      <vt:variant>
        <vt:i4>0</vt:i4>
      </vt:variant>
      <vt:variant>
        <vt:i4>5</vt:i4>
      </vt:variant>
      <vt:variant>
        <vt:lpwstr>mailto:jorune.mikulenaite@rrt.lt</vt:lpwstr>
      </vt:variant>
      <vt:variant>
        <vt:lpwstr/>
      </vt:variant>
      <vt:variant>
        <vt:i4>4980790</vt:i4>
      </vt:variant>
      <vt:variant>
        <vt:i4>3</vt:i4>
      </vt:variant>
      <vt:variant>
        <vt:i4>0</vt:i4>
      </vt:variant>
      <vt:variant>
        <vt:i4>5</vt:i4>
      </vt:variant>
      <vt:variant>
        <vt:lpwstr>mailto:martynas.spiliauskas@rrt.lt</vt:lpwstr>
      </vt:variant>
      <vt:variant>
        <vt:lpwstr/>
      </vt:variant>
      <vt:variant>
        <vt:i4>6750229</vt:i4>
      </vt:variant>
      <vt:variant>
        <vt:i4>0</vt:i4>
      </vt:variant>
      <vt:variant>
        <vt:i4>0</vt:i4>
      </vt:variant>
      <vt:variant>
        <vt:i4>5</vt:i4>
      </vt:variant>
      <vt:variant>
        <vt:lpwstr>mailto:arvydas.sujeta@rrt.lt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2025-12-19T09:22:00Z</dcterms:created>
  <dc:creator>A.Čėsna</dc:creator>
  <lastModifiedBy>adlibuser</lastModifiedBy>
  <lastPrinted>2024-06-21T15:31:00Z</lastPrinted>
  <dcterms:modified xsi:type="dcterms:W3CDTF">2025-12-19T09:22:00Z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 1">
    <vt:lpwstr/>
  </property>
  <property fmtid="{D5CDD505-2E9C-101B-9397-08002B2CF9AE}" pid="3" name="Info 2">
    <vt:lpwstr/>
  </property>
  <property fmtid="{D5CDD505-2E9C-101B-9397-08002B2CF9AE}" pid="4" name="Info 3">
    <vt:lpwstr/>
  </property>
  <property fmtid="{D5CDD505-2E9C-101B-9397-08002B2CF9AE}" pid="5" name="Info 4">
    <vt:lpwstr/>
  </property>
  <property fmtid="{D5CDD505-2E9C-101B-9397-08002B2CF9AE}" pid="6" name="ContentTypeId">
    <vt:lpwstr>0x01010010AAAE7E49CBA142B67C184B4DE51B6C</vt:lpwstr>
  </property>
</Properties>
</file>