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f1b8b0ac2649938f451e3041ce4f69"/>
        <w:lock w:val="sdtLocked"/>
        <w:richText/>
      </w:sdtPr>
      <w:sdtContent>
        <w:p>
          <w:pPr>
            <w:spacing w:line="276" w:lineRule="auto"/>
            <w:jc w:val="center"/>
            <w:rPr>
              <w:b/>
              <w:szCs w:val="24"/>
              <w:lang w:eastAsia="pl-PL"/>
            </w:rPr>
          </w:pPr>
          <w:r>
            <w:rPr>
              <w:b/>
              <w:szCs w:val="24"/>
              <w:lang w:eastAsia="pl-PL"/>
            </w:rPr>
            <w:t>AIŠKINAMASIS RAŠTAS</w:t>
          </w:r>
        </w:p>
        <w:p>
          <w:pPr>
            <w:rPr>
              <w:sz w:val="20"/>
            </w:rPr>
          </w:pPr>
        </w:p>
        <w:p>
          <w:pPr>
            <w:jc w:val="center"/>
            <w:rPr>
              <w:b/>
              <w:szCs w:val="24"/>
              <w:lang w:eastAsia="pl-PL"/>
            </w:rPr>
          </w:pPr>
          <w:r>
            <w:rPr>
              <w:b/>
              <w:szCs w:val="24"/>
              <w:lang w:eastAsia="pl-PL"/>
            </w:rPr>
            <w:t xml:space="preserve">DĖL VILNIAUS RAJONO SAVIVALDYBĖS TARYBOS SPRENDIMO </w:t>
          </w:r>
        </w:p>
        <w:p>
          <w:pPr>
            <w:jc w:val="center"/>
            <w:rPr>
              <w:szCs w:val="24"/>
              <w:lang w:eastAsia="pl-PL"/>
            </w:rPr>
          </w:pPr>
          <w:r>
            <w:rPr>
              <w:b/>
              <w:szCs w:val="24"/>
              <w:lang w:eastAsia="pl-PL"/>
            </w:rPr>
            <w:t>„DĖL 2025 METŲ VILNIAUS RAJONO SAVIVALDYBĖS METINIŲ ATASKAITŲ RINKINIO PATVIRTINIMO“ PROJEKTO</w:t>
          </w:r>
        </w:p>
        <w:p>
          <w:pPr>
            <w:rPr>
              <w:sz w:val="20"/>
            </w:rPr>
          </w:pPr>
        </w:p>
        <w:p>
          <w:pPr>
            <w:keepNext/>
            <w:keepLines/>
            <w:jc w:val="center"/>
            <w:outlineLvl w:val="4"/>
            <w:rPr>
              <w:szCs w:val="24"/>
              <w:lang w:val="en-US" w:eastAsia="pl-PL"/>
            </w:rPr>
          </w:pPr>
          <w:r>
            <w:rPr>
              <w:szCs w:val="24"/>
              <w:lang w:val="en-US" w:eastAsia="pl-PL"/>
            </w:rPr>
            <w:t xml:space="preserve">2026 m.                     d.</w:t>
          </w:r>
        </w:p>
        <w:p>
          <w:pPr>
            <w:rPr>
              <w:sz w:val="6"/>
              <w:szCs w:val="6"/>
            </w:rPr>
          </w:pPr>
        </w:p>
        <w:p>
          <w:pPr>
            <w:keepNext/>
            <w:keepLines/>
            <w:jc w:val="center"/>
            <w:outlineLvl w:val="4"/>
            <w:rPr>
              <w:szCs w:val="24"/>
              <w:lang w:val="en-US" w:eastAsia="pl-PL"/>
            </w:rPr>
          </w:pPr>
          <w:r>
            <w:rPr>
              <w:szCs w:val="24"/>
              <w:lang w:val="en-US" w:eastAsia="pl-PL"/>
            </w:rPr>
            <w:t>Vilnius</w:t>
          </w:r>
        </w:p>
        <w:p>
          <w:pPr>
            <w:rPr>
              <w:sz w:val="4"/>
              <w:szCs w:val="4"/>
            </w:rPr>
          </w:pPr>
        </w:p>
        <w:p>
          <w:pPr>
            <w:tabs>
              <w:tab w:val="left" w:pos="1134"/>
            </w:tabs>
            <w:ind w:firstLine="851"/>
            <w:rPr>
              <w:szCs w:val="24"/>
              <w:lang w:eastAsia="pl-PL"/>
            </w:rPr>
          </w:pPr>
        </w:p>
        <w:sdt>
          <w:sdtPr>
            <w:alias w:val="1 p."/>
            <w:tag w:val="part_93a1d4f57ea4434287ffd67ae05591ca"/>
            <w:lock w:val="sdtLocked"/>
            <w:richText/>
          </w:sdtPr>
          <w:sdtContent>
            <w:p>
              <w:pPr>
                <w:tabs>
                  <w:tab w:val="left" w:pos="993"/>
                </w:tabs>
                <w:ind w:firstLine="709"/>
                <w:jc w:val="both"/>
                <w:rPr>
                  <w:b/>
                  <w:szCs w:val="24"/>
                  <w:lang w:eastAsia="pl-PL"/>
                </w:rPr>
              </w:pPr>
              <w:sdt>
                <w:sdtPr>
                  <w:alias w:val="Numeris"/>
                  <w:tag w:val="nr_93a1d4f57ea4434287ffd67ae05591ca"/>
                  <w:lock w:val="sdtLocked"/>
                  <w:richText/>
                </w:sdtPr>
                <w:sdtContent>
                  <w:r>
                    <w:rPr>
                      <w:b/>
                      <w:bCs/>
                      <w:szCs w:val="24"/>
                      <w:lang w:eastAsia="pl-PL"/>
                    </w:rPr>
                    <w:t>1</w:t>
                  </w:r>
                </w:sdtContent>
              </w:sdt>
              <w:r>
                <w:rPr>
                  <w:b/>
                  <w:bCs/>
                  <w:szCs w:val="24"/>
                  <w:lang w:eastAsia="pl-PL"/>
                </w:rPr>
                <w:t>.</w:t>
                <w:tab/>
              </w:r>
              <w:r>
                <w:rPr>
                  <w:b/>
                  <w:szCs w:val="24"/>
                  <w:lang w:eastAsia="pl-PL"/>
                </w:rPr>
                <w:t>Projekto rengimą paskatinusios priežastys, parengto projekto tikslai ir uždaviniai:</w:t>
              </w:r>
            </w:p>
            <w:p>
              <w:pPr>
                <w:ind w:firstLine="709"/>
                <w:jc w:val="both"/>
                <w:rPr>
                  <w:szCs w:val="24"/>
                  <w:lang w:eastAsia="pl-PL"/>
                </w:rPr>
              </w:pPr>
              <w:r>
                <w:rPr>
                  <w:szCs w:val="24"/>
                  <w:lang w:eastAsia="pl-PL"/>
                </w:rPr>
                <w:t>Projekto rengimą paskatinusios priežastys – Lietuvos Respublikos vietos savivaldos įstatyme (toliau – VSĮ) nustatyta, kad savivaldybės meras atskaitingas tarybai ir savivaldybės bendruomenei už savo ir savivaldybės veiklą. Meras rengia savivaldybės metinių ataskaitų rinkinį ir jį teikia savivaldybės tarybai svarstyti ir tvirtinti. Ataskaitų rinkinį sudaro metinė veiklos ataskaita, metinių biudžeto vykdymo ataskaitų rinkinys ir metinių finansinių ataskaitų rinkinys.</w:t>
              </w:r>
            </w:p>
            <w:p>
              <w:pPr>
                <w:ind w:firstLine="709"/>
                <w:jc w:val="both"/>
                <w:rPr>
                  <w:szCs w:val="24"/>
                  <w:lang w:eastAsia="pl-PL"/>
                </w:rPr>
              </w:pPr>
              <w:r>
                <w:rPr>
                  <w:szCs w:val="24"/>
                  <w:lang w:eastAsia="pl-PL"/>
                </w:rPr>
                <w:t xml:space="preserve">Sprendimo projekto tikslas ir uždaviniai – patvirtinti 2025 metų Vilniaus  rajono savivaldybės metinių ataskaitų rinkinį.</w:t>
              </w:r>
            </w:p>
            <w:p>
              <w:pPr>
                <w:tabs>
                  <w:tab w:val="left" w:pos="1134"/>
                </w:tabs>
                <w:jc w:val="both"/>
                <w:rPr>
                  <w:szCs w:val="24"/>
                  <w:lang w:eastAsia="pl-PL"/>
                </w:rPr>
              </w:pPr>
            </w:p>
          </w:sdtContent>
        </w:sdt>
        <w:sdt>
          <w:sdtPr>
            <w:alias w:val="2 p."/>
            <w:tag w:val="part_4659bc9fa0214da8b1071cadbd23a9ec"/>
            <w:lock w:val="sdtLocked"/>
            <w:richText/>
          </w:sdtPr>
          <w:sdtContent>
            <w:p>
              <w:pPr>
                <w:tabs>
                  <w:tab w:val="left" w:pos="993"/>
                </w:tabs>
                <w:ind w:firstLine="709"/>
                <w:jc w:val="both"/>
                <w:rPr>
                  <w:b/>
                  <w:szCs w:val="24"/>
                  <w:lang w:eastAsia="pl-PL"/>
                </w:rPr>
              </w:pPr>
              <w:sdt>
                <w:sdtPr>
                  <w:alias w:val="Numeris"/>
                  <w:tag w:val="nr_4659bc9fa0214da8b1071cadbd23a9ec"/>
                  <w:lock w:val="sdtLocked"/>
                  <w:richText/>
                </w:sdtPr>
                <w:sdtContent>
                  <w:r>
                    <w:rPr>
                      <w:b/>
                      <w:bCs/>
                      <w:szCs w:val="24"/>
                      <w:lang w:eastAsia="pl-PL"/>
                    </w:rPr>
                    <w:t>2</w:t>
                  </w:r>
                </w:sdtContent>
              </w:sdt>
              <w:r>
                <w:rPr>
                  <w:b/>
                  <w:bCs/>
                  <w:szCs w:val="24"/>
                  <w:lang w:eastAsia="pl-PL"/>
                </w:rPr>
                <w:t>.</w:t>
                <w:tab/>
              </w:r>
              <w:r>
                <w:rPr>
                  <w:b/>
                  <w:szCs w:val="24"/>
                  <w:lang w:eastAsia="pl-PL"/>
                </w:rPr>
                <w:t>Kaip šiuo metu yra reguliuojami projekte aptarti teisiniai santykiai:</w:t>
              </w:r>
            </w:p>
            <w:p>
              <w:pPr>
                <w:tabs>
                  <w:tab w:val="left" w:pos="993"/>
                </w:tabs>
                <w:ind w:firstLine="709"/>
                <w:jc w:val="both"/>
                <w:rPr>
                  <w:szCs w:val="24"/>
                  <w:lang w:eastAsia="pl-PL"/>
                </w:rPr>
              </w:pPr>
              <w:r>
                <w:rPr>
                  <w:szCs w:val="24"/>
                  <w:lang w:eastAsia="pl-PL"/>
                </w:rPr>
                <w:t>Aptarti reguliuojami teisiniai santykiai nustatyti: VSĮ 15 straipsnio 2 dalies 12 punkte, kuris savivaldybės tarybos išimtinei kompetencijai priskiria savivaldybės biudžeto ir savivaldybės metinių ataskaitų rinkinio tvirtinimą; VSĮ 62 straipsnio 1 dalyje – Savivaldybės bendruomenei teikiamas savivaldybės metinių ataskaitų rinkinys, kurį sudaro: savivaldybės veiklos ataskaita, finansinių ataskaitų rinkinys ir biudžeto vykdymo ataskaitų rinkinys; Lietuvos Respublikos viešojo sektoriaus subjekto atskaitomybės įstatymo 6 straipsnio 1 dalis ir 11 straipsnio 5 dalis taip pat detalizuoja metinių ataskaitų rinkinio turinį.</w:t>
              </w:r>
            </w:p>
            <w:p>
              <w:pPr>
                <w:tabs>
                  <w:tab w:val="left" w:pos="993"/>
                </w:tabs>
                <w:ind w:firstLine="709"/>
                <w:jc w:val="both"/>
                <w:rPr>
                  <w:b/>
                  <w:szCs w:val="24"/>
                  <w:lang w:eastAsia="pl-PL"/>
                </w:rPr>
              </w:pPr>
            </w:p>
          </w:sdtContent>
        </w:sdt>
        <w:sdt>
          <w:sdtPr>
            <w:alias w:val="3 p."/>
            <w:tag w:val="part_cfbdc8db9f854b36beaa03f92e42e900"/>
            <w:lock w:val="sdtLocked"/>
            <w:richText/>
          </w:sdtPr>
          <w:sdtContent>
            <w:p>
              <w:pPr>
                <w:tabs>
                  <w:tab w:val="left" w:pos="993"/>
                </w:tabs>
                <w:ind w:right="-44" w:firstLine="709"/>
                <w:jc w:val="both"/>
                <w:rPr>
                  <w:szCs w:val="24"/>
                  <w:lang w:eastAsia="pl-PL"/>
                </w:rPr>
              </w:pPr>
              <w:sdt>
                <w:sdtPr>
                  <w:alias w:val="Numeris"/>
                  <w:tag w:val="nr_cfbdc8db9f854b36beaa03f92e42e900"/>
                  <w:lock w:val="sdtLocked"/>
                  <w:richText/>
                </w:sdtPr>
                <w:sdtContent>
                  <w:r>
                    <w:rPr>
                      <w:b/>
                      <w:bCs/>
                      <w:szCs w:val="24"/>
                      <w:lang w:eastAsia="pl-PL"/>
                    </w:rPr>
                    <w:t>3</w:t>
                  </w:r>
                </w:sdtContent>
              </w:sdt>
              <w:r>
                <w:rPr>
                  <w:b/>
                  <w:bCs/>
                  <w:szCs w:val="24"/>
                  <w:lang w:eastAsia="pl-PL"/>
                </w:rPr>
                <w:t>.</w:t>
                <w:tab/>
                <w:t>Siūlomos naujos teisinio reguliavimo nuostatos ir kokių teigiamų rezultatų laukiama:</w:t>
              </w:r>
            </w:p>
            <w:p>
              <w:pPr>
                <w:tabs>
                  <w:tab w:val="left" w:pos="993"/>
                </w:tabs>
                <w:ind w:right="-44" w:firstLine="709"/>
                <w:jc w:val="both"/>
                <w:rPr>
                  <w:szCs w:val="24"/>
                  <w:lang w:eastAsia="pl-PL"/>
                </w:rPr>
              </w:pPr>
              <w:r>
                <w:rPr>
                  <w:szCs w:val="24"/>
                  <w:lang w:eastAsia="pl-PL"/>
                </w:rPr>
                <w:t>Tarybai pritarus teikiamam sprendimo projektui, bus užtikrintas teisės aktų, aprašytų šio aiškinamojo rašto 2 punkte, įgyvendinimas ir laikymasis.</w:t>
              </w:r>
            </w:p>
            <w:p>
              <w:pPr>
                <w:tabs>
                  <w:tab w:val="left" w:pos="993"/>
                </w:tabs>
                <w:ind w:right="-44" w:firstLine="709"/>
                <w:jc w:val="both"/>
                <w:rPr>
                  <w:szCs w:val="24"/>
                  <w:lang w:eastAsia="pl-PL"/>
                </w:rPr>
              </w:pPr>
            </w:p>
          </w:sdtContent>
        </w:sdt>
        <w:sdt>
          <w:sdtPr>
            <w:alias w:val="4 p."/>
            <w:tag w:val="part_3577bee39e3e46c891f0127c08305565"/>
            <w:lock w:val="sdtLocked"/>
            <w:richText/>
          </w:sdtPr>
          <w:sdtContent>
            <w:p>
              <w:pPr>
                <w:tabs>
                  <w:tab w:val="left" w:pos="993"/>
                </w:tabs>
                <w:ind w:firstLine="720"/>
                <w:jc w:val="both"/>
                <w:rPr>
                  <w:b/>
                  <w:szCs w:val="24"/>
                  <w:lang w:eastAsia="lt-LT"/>
                </w:rPr>
              </w:pPr>
              <w:sdt>
                <w:sdtPr>
                  <w:alias w:val="Numeris"/>
                  <w:tag w:val="nr_3577bee39e3e46c891f0127c08305565"/>
                  <w:lock w:val="sdtLocked"/>
                  <w:richText/>
                </w:sdtPr>
                <w:sdtContent>
                  <w:r>
                    <w:rPr>
                      <w:b/>
                      <w:bCs/>
                      <w:szCs w:val="24"/>
                      <w:lang w:eastAsia="lt-LT"/>
                    </w:rPr>
                    <w:t>4</w:t>
                  </w:r>
                </w:sdtContent>
              </w:sdt>
              <w:r>
                <w:rPr>
                  <w:b/>
                  <w:bCs/>
                  <w:szCs w:val="24"/>
                  <w:lang w:eastAsia="lt-LT"/>
                </w:rPr>
                <w:t>.</w:t>
                <w:tab/>
              </w:r>
              <w:r>
                <w:rPr>
                  <w:b/>
                  <w:szCs w:val="24"/>
                  <w:lang w:eastAsia="lt-LT"/>
                </w:rPr>
                <w:t>Galimos neigiamos priimto sprendimo pasekmės ir kokių priemonių reikėtų imtis, kad tokių pasekmių būtų išvengta:</w:t>
              </w:r>
            </w:p>
            <w:p>
              <w:pPr>
                <w:tabs>
                  <w:tab w:val="left" w:pos="993"/>
                </w:tabs>
                <w:ind w:firstLine="720"/>
                <w:jc w:val="both"/>
                <w:rPr>
                  <w:bCs/>
                  <w:szCs w:val="24"/>
                  <w:lang w:eastAsia="lt-LT"/>
                </w:rPr>
              </w:pPr>
              <w:r>
                <w:rPr>
                  <w:bCs/>
                  <w:szCs w:val="24"/>
                  <w:lang w:eastAsia="lt-LT"/>
                </w:rPr>
                <w:t>Neigiamų pasekmių nenumatoma.</w:t>
              </w:r>
            </w:p>
            <w:p>
              <w:pPr>
                <w:tabs>
                  <w:tab w:val="left" w:pos="993"/>
                </w:tabs>
                <w:ind w:firstLine="720"/>
                <w:jc w:val="both"/>
                <w:rPr>
                  <w:bCs/>
                  <w:szCs w:val="24"/>
                  <w:lang w:eastAsia="lt-LT"/>
                </w:rPr>
              </w:pPr>
            </w:p>
          </w:sdtContent>
        </w:sdt>
        <w:sdt>
          <w:sdtPr>
            <w:alias w:val="5 p."/>
            <w:tag w:val="part_f5a3cfb5d8d0430e8778c0c0ab5f3aac"/>
            <w:lock w:val="sdtLocked"/>
            <w:richText/>
          </w:sdtPr>
          <w:sdtContent>
            <w:p>
              <w:pPr>
                <w:tabs>
                  <w:tab w:val="left" w:pos="993"/>
                </w:tabs>
                <w:ind w:firstLine="720"/>
                <w:jc w:val="both"/>
                <w:rPr>
                  <w:b/>
                  <w:szCs w:val="24"/>
                  <w:lang w:eastAsia="lt-LT"/>
                </w:rPr>
              </w:pPr>
              <w:sdt>
                <w:sdtPr>
                  <w:alias w:val="Numeris"/>
                  <w:tag w:val="nr_f5a3cfb5d8d0430e8778c0c0ab5f3aac"/>
                  <w:lock w:val="sdtLocked"/>
                  <w:richText/>
                </w:sdtPr>
                <w:sdtContent>
                  <w:r>
                    <w:rPr>
                      <w:b/>
                      <w:bCs/>
                      <w:szCs w:val="24"/>
                      <w:lang w:eastAsia="lt-LT"/>
                    </w:rPr>
                    <w:t>5</w:t>
                  </w:r>
                </w:sdtContent>
              </w:sdt>
              <w:r>
                <w:rPr>
                  <w:b/>
                  <w:bCs/>
                  <w:szCs w:val="24"/>
                  <w:lang w:eastAsia="lt-LT"/>
                </w:rPr>
                <w:t>.</w:t>
                <w:tab/>
              </w:r>
              <w:r>
                <w:rPr>
                  <w:b/>
                  <w:szCs w:val="24"/>
                  <w:lang w:eastAsia="lt-LT"/>
                </w:rPr>
                <w:t xml:space="preserve">Lėšų poreikis ir šaltiniai: </w:t>
              </w:r>
            </w:p>
            <w:p>
              <w:pPr>
                <w:tabs>
                  <w:tab w:val="left" w:pos="993"/>
                </w:tabs>
                <w:ind w:firstLine="720"/>
                <w:jc w:val="both"/>
                <w:rPr>
                  <w:bCs/>
                  <w:szCs w:val="24"/>
                  <w:lang w:eastAsia="lt-LT"/>
                </w:rPr>
              </w:pPr>
              <w:r>
                <w:rPr>
                  <w:bCs/>
                  <w:szCs w:val="24"/>
                  <w:lang w:eastAsia="lt-LT"/>
                </w:rPr>
                <w:t>Nenumatytas.</w:t>
              </w:r>
            </w:p>
            <w:p>
              <w:pPr>
                <w:ind w:firstLine="720"/>
                <w:jc w:val="both"/>
                <w:rPr>
                  <w:b/>
                  <w:szCs w:val="24"/>
                  <w:lang w:eastAsia="lt-LT"/>
                </w:rPr>
              </w:pPr>
            </w:p>
          </w:sdtContent>
        </w:sdt>
        <w:sdt>
          <w:sdtPr>
            <w:alias w:val="6 p."/>
            <w:tag w:val="part_721b4664cf644cb9bdcb90638a04b3b1"/>
            <w:lock w:val="sdtLocked"/>
            <w:richText/>
          </w:sdtPr>
          <w:sdtContent>
            <w:p>
              <w:pPr>
                <w:tabs>
                  <w:tab w:val="left" w:pos="993"/>
                </w:tabs>
                <w:ind w:left="1080" w:hanging="360"/>
                <w:jc w:val="both"/>
                <w:rPr>
                  <w:b/>
                  <w:szCs w:val="24"/>
                  <w:lang w:eastAsia="pl-PL"/>
                </w:rPr>
              </w:pPr>
              <w:sdt>
                <w:sdtPr>
                  <w:alias w:val="Numeris"/>
                  <w:tag w:val="nr_721b4664cf644cb9bdcb90638a04b3b1"/>
                  <w:lock w:val="sdtLocked"/>
                  <w:richText/>
                </w:sdtPr>
                <w:sdtContent>
                  <w:r>
                    <w:rPr>
                      <w:b/>
                      <w:bCs/>
                      <w:szCs w:val="24"/>
                      <w:lang w:eastAsia="pl-PL"/>
                    </w:rPr>
                    <w:t>6</w:t>
                  </w:r>
                </w:sdtContent>
              </w:sdt>
              <w:r>
                <w:rPr>
                  <w:b/>
                  <w:bCs/>
                  <w:szCs w:val="24"/>
                  <w:lang w:eastAsia="pl-PL"/>
                </w:rPr>
                <w:t>.</w:t>
                <w:tab/>
              </w:r>
              <w:r>
                <w:rPr>
                  <w:b/>
                  <w:szCs w:val="24"/>
                  <w:lang w:eastAsia="pl-PL"/>
                </w:rPr>
                <w:t>Projekto rengimo metu gauti specialistų vertinimai ir išvados:</w:t>
              </w:r>
            </w:p>
            <w:p>
              <w:pPr>
                <w:ind w:firstLine="709"/>
                <w:jc w:val="both"/>
                <w:rPr>
                  <w:bCs/>
                  <w:szCs w:val="24"/>
                  <w:lang w:eastAsia="pl-PL"/>
                </w:rPr>
              </w:pPr>
              <w:r>
                <w:rPr>
                  <w:bCs/>
                  <w:szCs w:val="24"/>
                  <w:lang w:eastAsia="pl-PL"/>
                </w:rPr>
                <w:t>Teisės akto projekto antikorupcinis vertinimas atliktas suderinus teisės akto projektą viešojo administravimo subjekte. Antikorupcinį vertinimą atliko Savivaldybės korupcijos prevencijos patarėjas. Vilniaus rajono savivaldybės kontrolės ir audito tarnyba pateikė 2026 m. gegužės 13 d. išvadą Nr. VL-96-(4.1E) „Dėl 2025 metų Vilniaus rajono savivaldybės metinių ataskaitų rinkinio“.</w:t>
              </w:r>
            </w:p>
            <w:p>
              <w:pPr>
                <w:tabs>
                  <w:tab w:val="left" w:pos="993"/>
                </w:tabs>
                <w:ind w:left="1080"/>
                <w:jc w:val="both"/>
                <w:rPr>
                  <w:b/>
                  <w:szCs w:val="24"/>
                  <w:lang w:eastAsia="pl-PL"/>
                </w:rPr>
              </w:pPr>
            </w:p>
          </w:sdtContent>
        </w:sdt>
        <w:sdt>
          <w:sdtPr>
            <w:alias w:val="7 p."/>
            <w:tag w:val="part_dcdf665a07b64110b0a5c67c12ec4fca"/>
            <w:lock w:val="sdtLocked"/>
            <w:richText/>
          </w:sdtPr>
          <w:sdtContent>
            <w:p>
              <w:pPr>
                <w:tabs>
                  <w:tab w:val="left" w:pos="993"/>
                </w:tabs>
                <w:ind w:firstLine="709"/>
                <w:jc w:val="both"/>
                <w:rPr>
                  <w:b/>
                  <w:szCs w:val="24"/>
                  <w:lang w:eastAsia="pl-PL"/>
                </w:rPr>
              </w:pPr>
              <w:sdt>
                <w:sdtPr>
                  <w:alias w:val="Numeris"/>
                  <w:tag w:val="nr_dcdf665a07b64110b0a5c67c12ec4fca"/>
                  <w:lock w:val="sdtLocked"/>
                  <w:richText/>
                </w:sdtPr>
                <w:sdtContent>
                  <w:r>
                    <w:rPr>
                      <w:b/>
                      <w:bCs/>
                      <w:szCs w:val="24"/>
                      <w:lang w:eastAsia="pl-PL"/>
                    </w:rPr>
                    <w:t>7</w:t>
                  </w:r>
                </w:sdtContent>
              </w:sdt>
              <w:r>
                <w:rPr>
                  <w:b/>
                  <w:bCs/>
                  <w:szCs w:val="24"/>
                  <w:lang w:eastAsia="pl-PL"/>
                </w:rPr>
                <w:t>.</w:t>
                <w:tab/>
                <w:t>Kiti pagrindimai, skaičiavimai ar paaiškinimai:</w:t>
              </w:r>
            </w:p>
            <w:p>
              <w:pPr>
                <w:tabs>
                  <w:tab w:val="left" w:pos="993"/>
                </w:tabs>
                <w:ind w:firstLine="709"/>
                <w:jc w:val="both"/>
                <w:rPr>
                  <w:szCs w:val="24"/>
                  <w:lang w:eastAsia="pl-PL"/>
                </w:rPr>
              </w:pPr>
              <w:r>
                <w:rPr>
                  <w:szCs w:val="24"/>
                  <w:lang w:eastAsia="pl-PL"/>
                </w:rPr>
                <w:t>-</w:t>
              </w:r>
            </w:p>
            <w:p>
              <w:pPr>
                <w:tabs>
                  <w:tab w:val="left" w:pos="993"/>
                </w:tabs>
                <w:ind w:firstLine="709"/>
                <w:jc w:val="both"/>
                <w:rPr>
                  <w:szCs w:val="24"/>
                  <w:lang w:eastAsia="pl-PL"/>
                </w:rPr>
              </w:pPr>
            </w:p>
          </w:sdtContent>
        </w:sdt>
        <w:sdt>
          <w:sdtPr>
            <w:alias w:val="8 p."/>
            <w:tag w:val="part_81b8345b74d24341bf58e86f0e4e179b"/>
            <w:lock w:val="sdtLocked"/>
            <w:richText/>
          </w:sdtPr>
          <w:sdtContent>
            <w:p>
              <w:pPr>
                <w:tabs>
                  <w:tab w:val="left" w:pos="993"/>
                </w:tabs>
                <w:ind w:firstLine="709"/>
                <w:jc w:val="both"/>
                <w:rPr>
                  <w:szCs w:val="24"/>
                  <w:lang w:eastAsia="pl-PL"/>
                </w:rPr>
              </w:pPr>
              <w:sdt>
                <w:sdtPr>
                  <w:alias w:val="Numeris"/>
                  <w:tag w:val="nr_81b8345b74d24341bf58e86f0e4e179b"/>
                  <w:lock w:val="sdtLocked"/>
                  <w:richText/>
                </w:sdtPr>
                <w:sdtContent>
                  <w:r>
                    <w:rPr>
                      <w:b/>
                      <w:bCs/>
                      <w:szCs w:val="24"/>
                      <w:lang w:eastAsia="pl-PL"/>
                    </w:rPr>
                    <w:t>8</w:t>
                  </w:r>
                </w:sdtContent>
              </w:sdt>
              <w:r>
                <w:rPr>
                  <w:b/>
                  <w:bCs/>
                  <w:szCs w:val="24"/>
                  <w:lang w:eastAsia="pl-PL"/>
                </w:rPr>
                <w:t>.</w:t>
                <w:tab/>
                <w:t>Projektą siūloma svarstyti komitete(-uose):</w:t>
              </w:r>
            </w:p>
            <w:p>
              <w:pPr>
                <w:tabs>
                  <w:tab w:val="left" w:pos="993"/>
                </w:tabs>
                <w:ind w:firstLine="709"/>
                <w:jc w:val="both"/>
                <w:rPr>
                  <w:szCs w:val="24"/>
                  <w:lang w:eastAsia="pl-PL"/>
                </w:rPr>
              </w:pPr>
              <w:r>
                <w:rPr>
                  <w:szCs w:val="24"/>
                  <w:lang w:eastAsia="pl-PL"/>
                </w:rPr>
                <w:t>Ekonomikos ir finansų (pagrindinis), Sveikatos, šeimos ir socialinių reikalų, Teisėtvarkos ir savivaldos plėtros, Kaimo, vietinio ūkio ir teritorijos planavimo, Švietimo, kultūros, sporto ir jaunimo reikalų komitetuose.</w:t>
              </w:r>
            </w:p>
            <w:p>
              <w:pPr>
                <w:tabs>
                  <w:tab w:val="left" w:pos="993"/>
                </w:tabs>
                <w:ind w:firstLine="709"/>
                <w:jc w:val="both"/>
                <w:rPr>
                  <w:szCs w:val="24"/>
                  <w:lang w:eastAsia="pl-PL"/>
                </w:rPr>
              </w:pPr>
            </w:p>
          </w:sdtContent>
        </w:sdt>
        <w:sdt>
          <w:sdtPr>
            <w:alias w:val="9 p."/>
            <w:tag w:val="part_77e7c1732370425d9c6ede8fcbf0fae7"/>
            <w:lock w:val="sdtLocked"/>
            <w:richText/>
          </w:sdtPr>
          <w:sdtContent>
            <w:p>
              <w:pPr>
                <w:tabs>
                  <w:tab w:val="left" w:pos="993"/>
                </w:tabs>
                <w:ind w:left="1080" w:hanging="360"/>
                <w:rPr>
                  <w:b/>
                  <w:bCs/>
                  <w:szCs w:val="24"/>
                  <w:lang w:eastAsia="pl-PL"/>
                </w:rPr>
              </w:pPr>
              <w:sdt>
                <w:sdtPr>
                  <w:alias w:val="Numeris"/>
                  <w:tag w:val="nr_77e7c1732370425d9c6ede8fcbf0fae7"/>
                  <w:lock w:val="sdtLocked"/>
                  <w:richText/>
                </w:sdtPr>
                <w:sdtContent>
                  <w:r>
                    <w:rPr>
                      <w:b/>
                      <w:bCs/>
                      <w:szCs w:val="24"/>
                      <w:lang w:eastAsia="pl-PL"/>
                    </w:rPr>
                    <w:t>9</w:t>
                  </w:r>
                </w:sdtContent>
              </w:sdt>
              <w:r>
                <w:rPr>
                  <w:b/>
                  <w:bCs/>
                  <w:szCs w:val="24"/>
                  <w:lang w:eastAsia="pl-PL"/>
                </w:rPr>
                <w:t>.</w:t>
                <w:tab/>
                <w:t>Projekto lyginamasis variantas, jeigu teikiamas sprendimo pakeitimo projektas.</w:t>
              </w:r>
            </w:p>
            <w:p>
              <w:pPr>
                <w:tabs>
                  <w:tab w:val="left" w:pos="993"/>
                </w:tabs>
                <w:ind w:left="567" w:firstLine="142"/>
                <w:rPr>
                  <w:b/>
                  <w:bCs/>
                  <w:szCs w:val="24"/>
                  <w:lang w:eastAsia="pl-PL"/>
                </w:rPr>
              </w:pPr>
              <w:r>
                <w:rPr>
                  <w:szCs w:val="24"/>
                  <w:lang w:eastAsia="pl-PL"/>
                </w:rPr>
                <w:t>Lyginamasis variantas neteikiamas.</w:t>
              </w:r>
            </w:p>
            <w:p>
              <w:pPr>
                <w:tabs>
                  <w:tab w:val="left" w:pos="993"/>
                </w:tabs>
                <w:ind w:firstLine="709"/>
                <w:jc w:val="both"/>
                <w:rPr>
                  <w:szCs w:val="24"/>
                  <w:lang w:eastAsia="pl-PL"/>
                </w:rPr>
              </w:pPr>
            </w:p>
            <w:p>
              <w:pPr>
                <w:tabs>
                  <w:tab w:val="left" w:pos="993"/>
                </w:tabs>
                <w:ind w:firstLine="709"/>
                <w:jc w:val="both"/>
                <w:rPr>
                  <w:szCs w:val="24"/>
                  <w:lang w:eastAsia="pl-PL"/>
                </w:rPr>
              </w:pPr>
            </w:p>
            <w:p>
              <w:pPr>
                <w:tabs>
                  <w:tab w:val="left" w:pos="993"/>
                </w:tabs>
                <w:ind w:firstLine="709"/>
                <w:jc w:val="both"/>
                <w:rPr>
                  <w:szCs w:val="24"/>
                  <w:lang w:eastAsia="pl-PL"/>
                </w:rPr>
              </w:pPr>
            </w:p>
            <w:tbl>
              <w:tblPr>
                <w:tblW w:w="9639" w:type="dxa"/>
                <w:tblLook w:val="04A0" w:firstRow="1" w:lastRow="0" w:firstColumn="1" w:lastColumn="0" w:noHBand="0" w:noVBand="1"/>
              </w:tblPr>
              <w:tblGrid>
                <w:gridCol w:w="6379"/>
                <w:gridCol w:w="3260"/>
              </w:tblGrid>
              <w:tr>
                <w:tc>
                  <w:tcPr>
                    <w:tcW w:w="6379" w:type="dxa"/>
                  </w:tcPr>
                  <w:p>
                    <w:pPr>
                      <w:tabs>
                        <w:tab w:val="left" w:pos="0"/>
                        <w:tab w:val="left" w:pos="720"/>
                      </w:tabs>
                      <w:rPr>
                        <w:szCs w:val="24"/>
                        <w:lang w:eastAsia="pl-PL"/>
                      </w:rPr>
                    </w:pPr>
                    <w:r>
                      <w:rPr>
                        <w:szCs w:val="24"/>
                        <w:lang w:eastAsia="pl-PL"/>
                      </w:rPr>
                      <w:t>Komunikacijos skyriaus vedėja</w:t>
                    </w:r>
                  </w:p>
                </w:tc>
                <w:tc>
                  <w:tcPr>
                    <w:tcW w:w="3260" w:type="dxa"/>
                  </w:tcPr>
                  <w:p>
                    <w:pPr>
                      <w:jc w:val="right"/>
                      <w:rPr>
                        <w:szCs w:val="24"/>
                        <w:lang w:eastAsia="pl-PL"/>
                      </w:rPr>
                    </w:pPr>
                    <w:r>
                      <w:rPr>
                        <w:szCs w:val="24"/>
                        <w:lang w:eastAsia="pl-PL"/>
                      </w:rPr>
                      <w:t>Jolanta Gulbinovič</w:t>
                    </w:r>
                  </w:p>
                </w:tc>
              </w:tr>
              <w:tr>
                <w:tc>
                  <w:tcPr>
                    <w:tcW w:w="6379" w:type="dxa"/>
                  </w:tcPr>
                  <w:p>
                    <w:pPr>
                      <w:tabs>
                        <w:tab w:val="left" w:pos="0"/>
                        <w:tab w:val="left" w:pos="720"/>
                      </w:tabs>
                      <w:rPr>
                        <w:szCs w:val="24"/>
                        <w:lang w:eastAsia="pl-PL"/>
                      </w:rPr>
                    </w:pPr>
                  </w:p>
                </w:tc>
                <w:tc>
                  <w:tcPr>
                    <w:tcW w:w="3260" w:type="dxa"/>
                  </w:tcPr>
                  <w:p>
                    <w:pPr>
                      <w:jc w:val="right"/>
                      <w:rPr>
                        <w:szCs w:val="24"/>
                        <w:lang w:eastAsia="pl-PL"/>
                      </w:rPr>
                    </w:pPr>
                  </w:p>
                </w:tc>
              </w:tr>
              <w:tr>
                <w:tc>
                  <w:tcPr>
                    <w:tcW w:w="6379" w:type="dxa"/>
                  </w:tcPr>
                  <w:p>
                    <w:pPr>
                      <w:tabs>
                        <w:tab w:val="left" w:pos="0"/>
                        <w:tab w:val="left" w:pos="720"/>
                      </w:tabs>
                      <w:rPr>
                        <w:szCs w:val="24"/>
                        <w:lang w:eastAsia="pl-PL"/>
                      </w:rPr>
                    </w:pPr>
                    <w:r>
                      <w:rPr>
                        <w:szCs w:val="24"/>
                        <w:lang w:eastAsia="pl-PL"/>
                      </w:rPr>
                      <w:t>Finansų apskaitos ir biudžeto skyriaus vedėja</w:t>
                    </w:r>
                  </w:p>
                </w:tc>
                <w:tc>
                  <w:tcPr>
                    <w:tcW w:w="3260" w:type="dxa"/>
                  </w:tcPr>
                  <w:p>
                    <w:pPr>
                      <w:jc w:val="right"/>
                      <w:rPr>
                        <w:szCs w:val="24"/>
                        <w:lang w:eastAsia="pl-PL"/>
                      </w:rPr>
                    </w:pPr>
                    <w:r>
                      <w:rPr>
                        <w:szCs w:val="24"/>
                        <w:lang w:eastAsia="pl-PL"/>
                      </w:rPr>
                      <w:t>Janina Šakevičienė</w:t>
                    </w:r>
                  </w:p>
                </w:tc>
              </w:tr>
              <w:tr>
                <w:tc>
                  <w:tcPr>
                    <w:tcW w:w="6379" w:type="dxa"/>
                  </w:tcPr>
                  <w:p>
                    <w:pPr>
                      <w:tabs>
                        <w:tab w:val="left" w:pos="0"/>
                        <w:tab w:val="left" w:pos="720"/>
                      </w:tabs>
                      <w:rPr>
                        <w:szCs w:val="24"/>
                        <w:lang w:eastAsia="pl-PL"/>
                      </w:rPr>
                    </w:pPr>
                  </w:p>
                </w:tc>
                <w:tc>
                  <w:tcPr>
                    <w:tcW w:w="3260" w:type="dxa"/>
                  </w:tcPr>
                  <w:p>
                    <w:pPr>
                      <w:jc w:val="right"/>
                      <w:rPr>
                        <w:szCs w:val="24"/>
                        <w:lang w:eastAsia="pl-PL"/>
                      </w:rPr>
                    </w:pPr>
                  </w:p>
                </w:tc>
              </w:tr>
              <w:tr>
                <w:tc>
                  <w:tcPr>
                    <w:tcW w:w="6379" w:type="dxa"/>
                  </w:tcPr>
                  <w:p>
                    <w:pPr>
                      <w:tabs>
                        <w:tab w:val="left" w:pos="0"/>
                        <w:tab w:val="left" w:pos="720"/>
                      </w:tabs>
                      <w:rPr>
                        <w:szCs w:val="24"/>
                        <w:lang w:eastAsia="pl-PL"/>
                      </w:rPr>
                    </w:pPr>
                    <w:r>
                      <w:rPr>
                        <w:szCs w:val="24"/>
                        <w:lang w:eastAsia="pl-PL"/>
                      </w:rPr>
                      <w:t>Komunikacijos skyriaus vyr. specialistė</w:t>
                    </w:r>
                  </w:p>
                </w:tc>
                <w:tc>
                  <w:tcPr>
                    <w:tcW w:w="3260" w:type="dxa"/>
                  </w:tcPr>
                  <w:p>
                    <w:pPr>
                      <w:jc w:val="right"/>
                      <w:rPr>
                        <w:szCs w:val="24"/>
                        <w:lang w:eastAsia="pl-PL"/>
                      </w:rPr>
                    </w:pPr>
                    <w:r>
                      <w:rPr>
                        <w:szCs w:val="24"/>
                        <w:lang w:eastAsia="pl-PL"/>
                      </w:rPr>
                      <w:t>Ilona Leganovič</w:t>
                    </w:r>
                  </w:p>
                </w:tc>
              </w:tr>
            </w:tbl>
            <w:p>
              <w:pPr>
                <w:jc w:val="both"/>
                <w:rPr>
                  <w:szCs w:val="24"/>
                  <w:lang w:eastAsia="pl-PL"/>
                </w:rPr>
              </w:pPr>
            </w:p>
            <w:p/>
          </w:sdtContent>
        </w:sdt>
      </w:sdtContent>
    </w:sdt>
    <w:sectPr>
      <w:pgSz w:w="11907" w:h="16840" w:code="9"/>
      <w:pgMar w:top="1134" w:right="567" w:bottom="851" w:left="1701" w:header="709" w:footer="709" w:gutter="0"/>
      <w:cols w:space="1296"/>
      <w:docGrid w:linePitch="212"/>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0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44E53F-936A-4E82-B74F-6B951A9306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1d1d804cf9425590f7e3cb94041149" PartId="c6f1b8b0ac2649938f451e3041ce4f69">
    <Part Type="punktas" Nr="1" Abbr="1 p." DocPartId="13b54b6d83bf43479cdfc452e3845e14" PartId="93a1d4f57ea4434287ffd67ae05591ca"/>
    <Part Type="punktas" Nr="2" Abbr="2 p." DocPartId="7846d243616a4eaebf5bb3eeed815461" PartId="4659bc9fa0214da8b1071cadbd23a9ec"/>
    <Part Type="punktas" Nr="3" Abbr="3 p." DocPartId="3e94baeb1dd64a15a94792424cb0fea5" PartId="cfbdc8db9f854b36beaa03f92e42e900"/>
    <Part Type="punktas" Nr="4" Abbr="4 p." DocPartId="0561c0adfbd847e6aeca060404ec1989" PartId="3577bee39e3e46c891f0127c08305565"/>
    <Part Type="punktas" Nr="5" Abbr="5 p." DocPartId="361e638bc8db46dca6adc6865d3cd375" PartId="f5a3cfb5d8d0430e8778c0c0ab5f3aac"/>
    <Part Type="punktas" Nr="6" Abbr="6 p." DocPartId="5aca3a410cdb46d4841aed662de539b1" PartId="721b4664cf644cb9bdcb90638a04b3b1"/>
    <Part Type="punktas" Nr="7" Abbr="7 p." DocPartId="910ab97502404d38b1e089a9e29a931c" PartId="dcdf665a07b64110b0a5c67c12ec4fca"/>
    <Part Type="punktas" Nr="8" Abbr="8 p." DocPartId="87816182240a40fc8bdedc228a4d3545" PartId="81b8345b74d24341bf58e86f0e4e179b"/>
    <Part Type="punktas" Nr="9" Abbr="9 p." DocPartId="19ca302487254aac97ad50477780f95b" PartId="77e7c1732370425d9c6ede8fcbf0fae7"/>
  </Part>
</Parts>
</file>

<file path=customXml/itemProps1.xml><?xml version="1.0" encoding="utf-8"?>
<ds:datastoreItem xmlns:ds="http://schemas.openxmlformats.org/officeDocument/2006/customXml" ds:itemID="{361D1B71-70DE-4DB8-9240-AFFBC3AF2A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369</Words>
  <Characters>2719</Characters>
  <Application>Microsoft Office Word</Application>
  <DocSecurity>4</DocSecurity>
  <Lines>67</Lines>
  <Paragraphs>34</Paragraphs>
  <ScaleCrop>false</ScaleCrop>
  <Company/>
  <LinksUpToDate>false</LinksUpToDate>
  <CharactersWithSpaces>3054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2026-05-15T05:50:00Z</dcterms:created>
  <dc:creator>Ilona Leganovič</dc:creator>
  <lastModifiedBy>adlibuser</lastModifiedBy>
  <dcterms:modified xsi:type="dcterms:W3CDTF">2026-05-15T05:50:00Z</dcterms:modified>
  <revision>2</revision>
</coreProperties>
</file>