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d6bc6bd1e7544e2906bd87a78b371ac"/>
        <w:lock w:val="sdtLocked"/>
        <w:richText/>
      </w:sdtPr>
      <w:sdtContent>
        <w:p>
          <w:pPr>
            <w:tabs>
              <w:tab w:val="center" w:pos="4819"/>
              <w:tab w:val="right" w:pos="9638"/>
            </w:tabs>
            <w:rPr>
              <w:szCs w:val="24"/>
              <w:lang w:eastAsia="lt-LT"/>
            </w:rPr>
          </w:pPr>
        </w:p>
        <w:p>
          <w:pPr>
            <w:jc w:val="center"/>
            <w:rPr>
              <w:sz w:val="22"/>
              <w:szCs w:val="22"/>
              <w:lang w:eastAsia="lt-LT"/>
            </w:rPr>
          </w:pPr>
          <w:r>
            <w:rPr>
              <w:sz w:val="22"/>
              <w:szCs w:val="22"/>
              <w:lang w:val="en-US"/>
            </w:rPr>
            <w:drawing>
              <wp:inline distT="0" distB="0" distL="0" distR="0" wp14:anchorId="04A0BDC1" wp14:editId="259C4F56">
                <wp:extent cx="1057275" cy="723900"/>
                <wp:effectExtent l="0" t="0" r="952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LOGOnespalv-maz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57275" cy="723900"/>
                        </a:xfrm>
                        <a:prstGeom prst="rect">
                          <a:avLst/>
                        </a:prstGeom>
                        <a:noFill/>
                        <a:ln>
                          <a:noFill/>
                        </a:ln>
                      </pic:spPr>
                    </pic:pic>
                  </a:graphicData>
                </a:graphic>
              </wp:inline>
            </w:drawing>
          </w:r>
        </w:p>
        <w:p>
          <w:pPr>
            <w:rPr>
              <w:sz w:val="20"/>
            </w:rPr>
          </w:pPr>
        </w:p>
        <w:p>
          <w:pPr>
            <w:framePr w:w="9314" w:h="754" w:hSpace="181" w:wrap="notBeside" w:vAnchor="text" w:hAnchor="page" w:x="1959" w:y="1" w:anchorLock="1"/>
            <w:jc w:val="center"/>
            <w:rPr>
              <w:b/>
              <w:sz w:val="26"/>
              <w:szCs w:val="26"/>
              <w:lang w:eastAsia="lt-LT"/>
            </w:rPr>
          </w:pPr>
          <w:r>
            <w:rPr>
              <w:b/>
              <w:sz w:val="26"/>
              <w:szCs w:val="26"/>
              <w:lang w:eastAsia="lt-LT"/>
            </w:rPr>
            <w:t>LIETUVOS RESPUBLIKOS ŽEMĖS ŪKIO MINISTERIJOS</w:t>
          </w:r>
        </w:p>
        <w:p>
          <w:pPr>
            <w:framePr w:w="9314" w:h="754" w:hSpace="181" w:wrap="notBeside" w:vAnchor="text" w:hAnchor="page" w:x="1959" w:y="1" w:anchorLock="1"/>
            <w:jc w:val="center"/>
            <w:rPr>
              <w:b/>
              <w:sz w:val="26"/>
              <w:szCs w:val="26"/>
              <w:lang w:eastAsia="lt-LT"/>
            </w:rPr>
          </w:pPr>
          <w:r>
            <w:rPr>
              <w:b/>
              <w:sz w:val="28"/>
              <w:szCs w:val="24"/>
              <w:lang w:eastAsia="lt-LT"/>
            </w:rPr>
            <w:t>EUROPOS SĄJUNGOS REIKALŲ IR PARAMOS POLITIKOS DEPARTAMENTAS</w:t>
          </w:r>
        </w:p>
        <w:p>
          <w:pPr>
            <w:spacing w:line="312" w:lineRule="auto"/>
            <w:jc w:val="center"/>
            <w:rPr>
              <w:b/>
              <w:szCs w:val="24"/>
              <w:lang w:eastAsia="lt-LT"/>
            </w:rPr>
          </w:pPr>
        </w:p>
        <w:p>
          <w:pPr>
            <w:rPr>
              <w:sz w:val="20"/>
            </w:rPr>
          </w:pPr>
        </w:p>
        <w:p>
          <w:pPr>
            <w:jc w:val="center"/>
            <w:rPr>
              <w:b/>
              <w:szCs w:val="24"/>
              <w:lang w:eastAsia="lt-LT"/>
            </w:rPr>
          </w:pPr>
          <w:r>
            <w:rPr>
              <w:b/>
              <w:szCs w:val="24"/>
              <w:lang w:eastAsia="lt-LT"/>
            </w:rPr>
            <w:t xml:space="preserve">AIŠKINAMASIS RAŠTAS </w:t>
          </w:r>
        </w:p>
        <w:p>
          <w:pPr>
            <w:jc w:val="center"/>
            <w:rPr>
              <w:b/>
              <w:i/>
              <w:iCs/>
              <w:szCs w:val="24"/>
              <w:lang w:eastAsia="lt-LT"/>
            </w:rPr>
          </w:pPr>
          <w:r>
            <w:rPr>
              <w:b/>
              <w:caps/>
              <w:szCs w:val="24"/>
              <w:lang w:eastAsia="lt-LT"/>
            </w:rPr>
            <w:t xml:space="preserve">dėl ŽEMĖS ŪKIO MINISTRO 2015 M. BALANDŽIO 3 D. ĮSAKYMO NR. 3D-254 „DĖL LIETUVOS KAIMO PLĖTROS 2014–2020 METŲ PROGRAMOS PRIEMONĖS „AGRARINĖ APLINKOSAUGA IR KLIMATAS“ ĮGYVENDINIMO TAISYKLIŲ PATVIRTINIMO“ PAKEITIMO </w:t>
          </w:r>
        </w:p>
        <w:p>
          <w:pPr>
            <w:spacing w:line="312" w:lineRule="auto"/>
            <w:jc w:val="center"/>
            <w:rPr>
              <w:b/>
              <w:szCs w:val="24"/>
              <w:lang w:eastAsia="lt-LT"/>
            </w:rPr>
          </w:pPr>
        </w:p>
        <w:p>
          <w:pPr>
            <w:tabs>
              <w:tab w:val="center" w:pos="4819"/>
              <w:tab w:val="left" w:pos="8510"/>
            </w:tabs>
            <w:spacing w:line="312" w:lineRule="auto"/>
            <w:ind w:firstLine="2666"/>
            <w:jc w:val="center"/>
            <w:rPr>
              <w:szCs w:val="24"/>
              <w:u w:val="single"/>
              <w:lang w:eastAsia="lt-LT"/>
            </w:rPr>
          </w:pPr>
          <w:r>
            <w:rPr>
              <w:szCs w:val="24"/>
              <w:lang w:eastAsia="lt-LT"/>
            </w:rPr>
            <w:t>Nr. ___________</w:t>
          </w:r>
        </w:p>
        <w:p>
          <w:pPr>
            <w:rPr>
              <w:sz w:val="20"/>
            </w:rPr>
          </w:pPr>
        </w:p>
        <w:p>
          <w:pPr>
            <w:jc w:val="center"/>
            <w:rPr>
              <w:b/>
              <w:bCs/>
              <w:szCs w:val="24"/>
            </w:rPr>
          </w:pPr>
        </w:p>
        <w:sdt>
          <w:sdtPr>
            <w:alias w:val="1 p."/>
            <w:tag w:val="part_6237964ac09545deb523b6d4115c0b95"/>
            <w:lock w:val="sdtLocked"/>
            <w:richText/>
          </w:sdtPr>
          <w:sdtContent>
            <w:p>
              <w:pPr>
                <w:spacing w:line="360" w:lineRule="auto"/>
                <w:ind w:firstLine="567"/>
                <w:jc w:val="both"/>
                <w:rPr>
                  <w:b/>
                  <w:bCs/>
                  <w:color w:val="000000"/>
                  <w:szCs w:val="24"/>
                  <w:lang w:eastAsia="lt-LT"/>
                </w:rPr>
              </w:pPr>
              <w:sdt>
                <w:sdtPr>
                  <w:alias w:val="Numeris"/>
                  <w:tag w:val="nr_6237964ac09545deb523b6d4115c0b95"/>
                  <w:lock w:val="sdtLocked"/>
                  <w:richText/>
                </w:sdtPr>
                <w:sdtContent>
                  <w:r>
                    <w:rPr>
                      <w:b/>
                      <w:bCs/>
                      <w:color w:val="000000"/>
                      <w:szCs w:val="24"/>
                      <w:lang w:eastAsia="lt-LT"/>
                    </w:rPr>
                    <w:t>1</w:t>
                  </w:r>
                </w:sdtContent>
              </w:sdt>
              <w:r>
                <w:rPr>
                  <w:b/>
                  <w:bCs/>
                  <w:color w:val="000000"/>
                  <w:szCs w:val="24"/>
                  <w:lang w:eastAsia="lt-LT"/>
                </w:rPr>
                <w:t>. Įsakymo projekto rengimą paskatinusios priežastys, įsakymo projekto tikslai ir uždaviniai</w:t>
              </w:r>
            </w:p>
            <w:p>
              <w:pPr>
                <w:spacing w:line="360" w:lineRule="auto"/>
                <w:ind w:firstLine="567"/>
                <w:jc w:val="both"/>
                <w:rPr>
                  <w:szCs w:val="24"/>
                  <w:lang w:eastAsia="lt-LT"/>
                </w:rPr>
              </w:pPr>
              <w:r>
                <w:rPr>
                  <w:szCs w:val="24"/>
                  <w:lang w:eastAsia="lt-LT"/>
                </w:rPr>
                <w:t xml:space="preserve">Žemės ūkio ministro įsakymo „Dėl žemės ūkio ministro 2015 m. balandžio 3 d. įsakymo           Nr. 3D-254 „Dėl Lietuvos kaimo plėtros 2014–2020 metų programos priemonės „Agrarinė aplinkosauga ir klimatas“ įgyvendinimo taisyklių patvirtinimo“ pakeitimo“ projektas parengtas siekiant užtikrinti teisingą paramos pagal KPP priemonę „Agrarinė aplinkosauga ir klimatas“ (toliau – Priemonė) administravimo procesą:</w:t>
              </w:r>
            </w:p>
          </w:sdtContent>
        </w:sdt>
        <w:sdt>
          <w:sdtPr>
            <w:alias w:val="1 p."/>
            <w:tag w:val="part_7974cb25cc804c63aa68bff21bd2662f"/>
            <w:lock w:val="sdtLocked"/>
            <w:richText/>
          </w:sdtPr>
          <w:sdtContent>
            <w:p>
              <w:pPr>
                <w:spacing w:line="360" w:lineRule="auto"/>
                <w:ind w:firstLine="567"/>
                <w:jc w:val="both"/>
                <w:rPr>
                  <w:szCs w:val="24"/>
                  <w:lang w:eastAsia="lt-LT"/>
                </w:rPr>
              </w:pPr>
              <w:sdt>
                <w:sdtPr>
                  <w:alias w:val="Numeris"/>
                  <w:tag w:val="nr_7974cb25cc804c63aa68bff21bd2662f"/>
                  <w:lock w:val="sdtLocked"/>
                  <w:richText/>
                </w:sdtPr>
                <w:sdtContent>
                  <w:r>
                    <w:rPr>
                      <w:szCs w:val="24"/>
                      <w:lang w:eastAsia="lt-LT"/>
                    </w:rPr>
                    <w:t>1</w:t>
                  </w:r>
                </w:sdtContent>
              </w:sdt>
              <w:r>
                <w:rPr>
                  <w:szCs w:val="24"/>
                  <w:lang w:eastAsia="lt-LT"/>
                </w:rPr>
                <w:t>. Siekiant išsaugoti esamus daugiamečių pievų (ganyklų) plotus, taip pat skatinant gyvulininkystės plėtotę šiose pievose ekstensyviai ganant, padidintas iki 192 Eur/ha kompensacinės išmokos dydis pagal priemonės veiklą „Ekstensyvus pievų tvarkymas ganant gyvulius“, tikslinamas priemonės įgyvendinimo taisyklių 8.1 papunktis. Atitinkamai patikslinami ir veiklos reikalavimai: ūkininkas gali nušienauti pievą po birželio 20 d., o po to privalo ganyti (nušienautą žolę privaloma išvežti iki spalio 30 d.); gyvulių ganiavos laikotarpis neribojamas; po nuganymo (kai lauke po spalio 30 d. yra aiškių ganymo požymių (ekskrementų liekanos, išguldyta, ištrypta ir (arba) nuėsta žolė ar kiti požymiai) likusi nenuėsta žolė nebus laikoma neatitikimu reikalavimams.</w:t>
              </w:r>
            </w:p>
          </w:sdtContent>
        </w:sdt>
        <w:sdt>
          <w:sdtPr>
            <w:alias w:val="2 p."/>
            <w:tag w:val="part_4ca3b26a1da14b4997fb049ec6eb2b74"/>
            <w:lock w:val="sdtLocked"/>
            <w:richText/>
          </w:sdtPr>
          <w:sdtContent>
            <w:p>
              <w:pPr>
                <w:spacing w:line="360" w:lineRule="auto"/>
                <w:ind w:firstLine="567"/>
                <w:jc w:val="both"/>
                <w:rPr>
                  <w:szCs w:val="24"/>
                  <w:lang w:eastAsia="lt-LT"/>
                </w:rPr>
              </w:pPr>
              <w:sdt>
                <w:sdtPr>
                  <w:alias w:val="Numeris"/>
                  <w:tag w:val="nr_4ca3b26a1da14b4997fb049ec6eb2b74"/>
                  <w:lock w:val="sdtLocked"/>
                  <w:richText/>
                </w:sdtPr>
                <w:sdtContent>
                  <w:r>
                    <w:rPr>
                      <w:szCs w:val="24"/>
                      <w:lang w:eastAsia="lt-LT"/>
                    </w:rPr>
                    <w:t>2</w:t>
                  </w:r>
                </w:sdtContent>
              </w:sdt>
              <w:r>
                <w:rPr>
                  <w:szCs w:val="24"/>
                  <w:lang w:eastAsia="lt-LT"/>
                </w:rPr>
                <w:t>. Patikslinta 12.8 papunkčio nuostata, nustatant, jog pareiškėjų prisiimamų nuo 2022 m. įsipareigojimų trukmė 3 metai.</w:t>
              </w:r>
            </w:p>
          </w:sdtContent>
        </w:sdt>
        <w:sdt>
          <w:sdtPr>
            <w:alias w:val="3 p."/>
            <w:tag w:val="part_e9815b86b6c64eab8039b1005e85119d"/>
            <w:lock w:val="sdtLocked"/>
            <w:richText/>
          </w:sdtPr>
          <w:sdtContent>
            <w:p>
              <w:pPr>
                <w:spacing w:line="360" w:lineRule="auto"/>
                <w:ind w:firstLine="567"/>
                <w:jc w:val="both"/>
                <w:rPr>
                  <w:szCs w:val="24"/>
                  <w:lang w:eastAsia="lt-LT"/>
                </w:rPr>
              </w:pPr>
              <w:sdt>
                <w:sdtPr>
                  <w:alias w:val="Numeris"/>
                  <w:tag w:val="nr_e9815b86b6c64eab8039b1005e85119d"/>
                  <w:lock w:val="sdtLocked"/>
                  <w:richText/>
                </w:sdtPr>
                <w:sdtContent>
                  <w:r>
                    <w:rPr>
                      <w:szCs w:val="24"/>
                      <w:lang w:eastAsia="lt-LT"/>
                    </w:rPr>
                    <w:t>3</w:t>
                  </w:r>
                </w:sdtContent>
              </w:sdt>
              <w:r>
                <w:rPr>
                  <w:szCs w:val="24"/>
                  <w:lang w:eastAsia="lt-LT"/>
                </w:rPr>
                <w:t>. Priemonės įgyvendinimo taisyklės papildomos nauju 12.12 papunkčiu atsižvelgiant į Europos komisijos išsakytą pastabą, jog už tą patį plotą pagal kitas veiklas, susijusias su pievų priežiūra, parama neturėtų būti mokama, siekiant išvengti dvigubo finansavimo.</w:t>
              </w:r>
            </w:p>
          </w:sdtContent>
        </w:sdt>
        <w:sdt>
          <w:sdtPr>
            <w:alias w:val="4 p."/>
            <w:tag w:val="part_a43f2784021d439fbab15972f3d51e57"/>
            <w:lock w:val="sdtLocked"/>
            <w:richText/>
          </w:sdtPr>
          <w:sdtContent>
            <w:p>
              <w:pPr>
                <w:spacing w:line="360" w:lineRule="auto"/>
                <w:ind w:firstLine="567"/>
                <w:jc w:val="both"/>
                <w:rPr>
                  <w:szCs w:val="24"/>
                  <w:lang w:eastAsia="lt-LT"/>
                </w:rPr>
              </w:pPr>
              <w:sdt>
                <w:sdtPr>
                  <w:alias w:val="Numeris"/>
                  <w:tag w:val="nr_a43f2784021d439fbab15972f3d51e57"/>
                  <w:lock w:val="sdtLocked"/>
                  <w:richText/>
                </w:sdtPr>
                <w:sdtContent>
                  <w:r>
                    <w:rPr>
                      <w:szCs w:val="24"/>
                      <w:lang w:eastAsia="lt-LT"/>
                    </w:rPr>
                    <w:t>4</w:t>
                  </w:r>
                </w:sdtContent>
              </w:sdt>
              <w:r>
                <w:rPr>
                  <w:szCs w:val="24"/>
                  <w:lang w:eastAsia="lt-LT"/>
                </w:rPr>
                <w:t>. Patikslinta 19.7 papunkčio nuostata, kai valdoje naudojami profesionaliajam ir (ar) neprofesionaliajam naudojimui skirti augalų apsaugos produktai, pareiškėjas privalo pildyti Augalų apsaugos produktų naudojimo apskaitos žurnalą Augalų apsaugos produktų saugojimo, tiekimo rinkai, naudojimo taisyklėse, patvirtintose Lietuvos Respublikos žemės ūkio ministro 2003 m. gruodžio 30 d. įsakymu Nr. 3D-564 „Dėl Augalų apsaugos produktų saugojimo, tiekimo rinkai, naudojimo taisyklių patvirtinimo“, nustatytais terminais ir būdais; atitinkamai tikslinamas ir 55.9 papunktis.</w:t>
              </w:r>
            </w:p>
          </w:sdtContent>
        </w:sdt>
        <w:sdt>
          <w:sdtPr>
            <w:alias w:val="5 p."/>
            <w:tag w:val="part_54767f44c1c94124b9df05031f3cc25f"/>
            <w:lock w:val="sdtLocked"/>
            <w:richText/>
          </w:sdtPr>
          <w:sdtContent>
            <w:p>
              <w:pPr>
                <w:spacing w:line="360" w:lineRule="auto"/>
                <w:ind w:firstLine="567"/>
                <w:jc w:val="both"/>
                <w:rPr>
                  <w:szCs w:val="24"/>
                  <w:lang w:eastAsia="lt-LT"/>
                </w:rPr>
              </w:pPr>
              <w:sdt>
                <w:sdtPr>
                  <w:alias w:val="Numeris"/>
                  <w:tag w:val="nr_54767f44c1c94124b9df05031f3cc25f"/>
                  <w:lock w:val="sdtLocked"/>
                  <w:richText/>
                </w:sdtPr>
                <w:sdtContent>
                  <w:r>
                    <w:rPr>
                      <w:szCs w:val="24"/>
                      <w:lang w:eastAsia="lt-LT"/>
                    </w:rPr>
                    <w:t>5</w:t>
                  </w:r>
                </w:sdtContent>
              </w:sdt>
              <w:r>
                <w:rPr>
                  <w:szCs w:val="24"/>
                  <w:lang w:eastAsia="lt-LT"/>
                </w:rPr>
                <w:t xml:space="preserve">. Priemonės įgyvendinimo taisyklių 19.8.2 papunktyje atlikti pakeitimai, nustatant, kad kai tręšiama organinėmis trąšomis  ir (arba) mineralinėmis trąšomis, ir (arba) kalkinimo medžiagomis, duomenys apie panaudotus tręšiamuosius ir kalkinamuosius produktus bus pildomi ne Trąšų ir kalkinimo medžiagų naudojimo apskaitos žurnale (Paraiškų priėmimo informacinės sistemos (PPIS) modulyje), o įvedami į PPIS sukurtą Trąšų naudojimo apskaitos posistemę, atitinkamai patikslintas 55.11 papunktis.</w:t>
              </w:r>
            </w:p>
          </w:sdtContent>
        </w:sdt>
        <w:sdt>
          <w:sdtPr>
            <w:alias w:val="6 p."/>
            <w:tag w:val="part_501f223176bb4b7ab9bbdecf297aa842"/>
            <w:lock w:val="sdtLocked"/>
            <w:richText/>
          </w:sdtPr>
          <w:sdtContent>
            <w:p>
              <w:pPr>
                <w:spacing w:line="360" w:lineRule="auto"/>
                <w:ind w:firstLine="567"/>
                <w:jc w:val="both"/>
                <w:rPr>
                  <w:szCs w:val="24"/>
                  <w:lang w:eastAsia="lt-LT"/>
                </w:rPr>
              </w:pPr>
              <w:sdt>
                <w:sdtPr>
                  <w:alias w:val="Numeris"/>
                  <w:tag w:val="nr_501f223176bb4b7ab9bbdecf297aa842"/>
                  <w:lock w:val="sdtLocked"/>
                  <w:richText/>
                </w:sdtPr>
                <w:sdtContent>
                  <w:r>
                    <w:rPr>
                      <w:szCs w:val="24"/>
                      <w:lang w:eastAsia="lt-LT"/>
                    </w:rPr>
                    <w:t>6</w:t>
                  </w:r>
                </w:sdtContent>
              </w:sdt>
              <w:r>
                <w:rPr>
                  <w:szCs w:val="24"/>
                  <w:lang w:eastAsia="lt-LT"/>
                </w:rPr>
                <w:t>. Priemonės įgyvendinimo taisyklės yra papildomos nauju 2</w:t>
              </w:r>
              <w:r>
                <w:rPr>
                  <w:szCs w:val="24"/>
                  <w:lang w:val="en-US" w:eastAsia="lt-LT"/>
                </w:rPr>
                <w:t>2</w:t>
              </w:r>
              <w:r>
                <w:rPr>
                  <w:szCs w:val="24"/>
                  <w:lang w:eastAsia="lt-LT"/>
                </w:rPr>
                <w:t>.5. papunkčiu, nustatant, jog pareiškėjas iki kitų metų kovo 1 d. privalo informuoti Agentūrą apie atliktus šlapynės sutvarkymo darbus naudojantis mobiliąja programėle „NMA agro“, pateikiant nuotraukas iš skirtingų lauko vietų, kuriose aiškiai matytųsi deklaruotos ir sutvarkytos šlapynės vaizdas. Taip pat įgyvendinimo taisyklės papildomos 56.9 ir 56.10 papunkčiais nustatant sankcijas dėl šlapynių nepriežiūros.</w:t>
              </w:r>
            </w:p>
          </w:sdtContent>
        </w:sdt>
        <w:sdt>
          <w:sdtPr>
            <w:alias w:val="7 p."/>
            <w:tag w:val="part_964b995421bb4530bf66074ad0fcc013"/>
            <w:lock w:val="sdtLocked"/>
            <w:richText/>
          </w:sdtPr>
          <w:sdtContent>
            <w:p>
              <w:pPr>
                <w:spacing w:line="360" w:lineRule="auto"/>
                <w:ind w:firstLine="567"/>
                <w:jc w:val="both"/>
                <w:rPr>
                  <w:szCs w:val="24"/>
                  <w:lang w:eastAsia="lt-LT"/>
                </w:rPr>
              </w:pPr>
              <w:sdt>
                <w:sdtPr>
                  <w:alias w:val="Numeris"/>
                  <w:tag w:val="nr_964b995421bb4530bf66074ad0fcc013"/>
                  <w:lock w:val="sdtLocked"/>
                  <w:richText/>
                </w:sdtPr>
                <w:sdtContent>
                  <w:r>
                    <w:rPr>
                      <w:szCs w:val="24"/>
                      <w:lang w:eastAsia="lt-LT"/>
                    </w:rPr>
                    <w:t>7</w:t>
                  </w:r>
                </w:sdtContent>
              </w:sdt>
              <w:r>
                <w:rPr>
                  <w:szCs w:val="24"/>
                  <w:lang w:eastAsia="lt-LT"/>
                </w:rPr>
                <w:t>. Projekte atlikti techninio ir redakcinio pobūdžio pakeitimai.</w:t>
              </w:r>
            </w:p>
          </w:sdtContent>
        </w:sdt>
        <w:sdt>
          <w:sdtPr>
            <w:alias w:val="2 p."/>
            <w:tag w:val="part_bea3603963904687875a0328afab11a4"/>
            <w:lock w:val="sdtLocked"/>
            <w:richText/>
          </w:sdtPr>
          <w:sdtContent>
            <w:p>
              <w:pPr>
                <w:spacing w:line="360" w:lineRule="auto"/>
                <w:ind w:firstLine="567"/>
                <w:jc w:val="both"/>
                <w:rPr>
                  <w:rFonts w:eastAsia="Calibri"/>
                  <w:b/>
                  <w:bCs/>
                  <w:szCs w:val="24"/>
                </w:rPr>
              </w:pPr>
              <w:sdt>
                <w:sdtPr>
                  <w:alias w:val="Numeris"/>
                  <w:tag w:val="nr_bea3603963904687875a0328afab11a4"/>
                  <w:lock w:val="sdtLocked"/>
                  <w:richText/>
                </w:sdtPr>
                <w:sdtContent>
                  <w:r>
                    <w:rPr>
                      <w:b/>
                      <w:bCs/>
                      <w:szCs w:val="24"/>
                      <w:lang w:eastAsia="lt-LT"/>
                    </w:rPr>
                    <w:t>2</w:t>
                  </w:r>
                </w:sdtContent>
              </w:sdt>
              <w:r>
                <w:rPr>
                  <w:b/>
                  <w:bCs/>
                  <w:szCs w:val="24"/>
                  <w:lang w:eastAsia="lt-LT"/>
                </w:rPr>
                <w:t xml:space="preserve">. </w:t>
              </w:r>
              <w:r>
                <w:rPr>
                  <w:rFonts w:eastAsia="Calibri"/>
                  <w:b/>
                  <w:bCs/>
                  <w:szCs w:val="24"/>
                </w:rPr>
                <w:t>Įsakymo projektui įgyvendinti reikalingi institucijų ir (ar) įstaigų informacinių sistemų pakeitimai</w:t>
              </w:r>
            </w:p>
            <w:p>
              <w:pPr>
                <w:spacing w:line="360" w:lineRule="auto"/>
                <w:ind w:firstLine="567"/>
                <w:jc w:val="both"/>
                <w:rPr>
                  <w:rFonts w:eastAsia="Calibri"/>
                  <w:szCs w:val="24"/>
                </w:rPr>
              </w:pPr>
              <w:r>
                <w:rPr>
                  <w:rFonts w:eastAsia="Calibri"/>
                  <w:szCs w:val="24"/>
                </w:rPr>
                <w:t>Nereikia.</w:t>
              </w:r>
            </w:p>
          </w:sdtContent>
        </w:sdt>
        <w:sdt>
          <w:sdtPr>
            <w:alias w:val="3 p."/>
            <w:tag w:val="part_a67ae73d6c114c7da701385762efcede"/>
            <w:lock w:val="sdtLocked"/>
            <w:richText/>
          </w:sdtPr>
          <w:sdtContent>
            <w:p>
              <w:pPr>
                <w:spacing w:line="360" w:lineRule="auto"/>
                <w:ind w:firstLine="567"/>
                <w:jc w:val="both"/>
                <w:rPr>
                  <w:b/>
                  <w:bCs/>
                  <w:szCs w:val="24"/>
                  <w:lang w:eastAsia="lt-LT"/>
                </w:rPr>
              </w:pPr>
              <w:sdt>
                <w:sdtPr>
                  <w:alias w:val="Numeris"/>
                  <w:tag w:val="nr_a67ae73d6c114c7da701385762efcede"/>
                  <w:lock w:val="sdtLocked"/>
                  <w:richText/>
                </w:sdtPr>
                <w:sdtContent>
                  <w:r>
                    <w:rPr>
                      <w:b/>
                      <w:bCs/>
                      <w:szCs w:val="24"/>
                      <w:lang w:eastAsia="lt-LT"/>
                    </w:rPr>
                    <w:t>3</w:t>
                  </w:r>
                </w:sdtContent>
              </w:sdt>
              <w:r>
                <w:rPr>
                  <w:b/>
                  <w:bCs/>
                  <w:szCs w:val="24"/>
                  <w:lang w:eastAsia="lt-LT"/>
                </w:rPr>
                <w:t xml:space="preserve">. Informacija dėl įsakymo projekto skelbimo Lietuvos Respublikos Seimo kanceliarijos Teisės aktų informacinėje sistemoje (toliau – TAIS) </w:t>
              </w:r>
            </w:p>
            <w:p>
              <w:pPr>
                <w:spacing w:line="360" w:lineRule="auto"/>
                <w:ind w:firstLine="567"/>
                <w:jc w:val="both"/>
                <w:rPr>
                  <w:rFonts w:eastAsia="Calibri"/>
                  <w:szCs w:val="24"/>
                </w:rPr>
              </w:pPr>
              <w:r>
                <w:rPr>
                  <w:color w:val="000000"/>
                  <w:szCs w:val="24"/>
                  <w:lang w:eastAsia="lt-LT"/>
                </w:rPr>
                <w:t>Įsakymo projektas 10 darbo dienų bus skelbiamas Teisės aktų informacinės sistemos projektų registro posistemyje (TAIS).</w:t>
              </w:r>
            </w:p>
          </w:sdtContent>
        </w:sdt>
        <w:sdt>
          <w:sdtPr>
            <w:alias w:val="4 p."/>
            <w:tag w:val="part_77304a37ab4649df83c9a35cda3c58d2"/>
            <w:lock w:val="sdtLocked"/>
            <w:richText/>
          </w:sdtPr>
          <w:sdtContent>
            <w:p>
              <w:pPr>
                <w:spacing w:line="360" w:lineRule="auto"/>
                <w:ind w:firstLine="567"/>
                <w:jc w:val="both"/>
                <w:rPr>
                  <w:b/>
                  <w:bCs/>
                  <w:color w:val="000000"/>
                  <w:szCs w:val="24"/>
                  <w:lang w:eastAsia="lt-LT"/>
                </w:rPr>
              </w:pPr>
              <w:sdt>
                <w:sdtPr>
                  <w:alias w:val="Numeris"/>
                  <w:tag w:val="nr_77304a37ab4649df83c9a35cda3c58d2"/>
                  <w:lock w:val="sdtLocked"/>
                  <w:richText/>
                </w:sdtPr>
                <w:sdtContent>
                  <w:r>
                    <w:rPr>
                      <w:b/>
                      <w:bCs/>
                      <w:color w:val="000000"/>
                      <w:szCs w:val="24"/>
                      <w:lang w:eastAsia="lt-LT"/>
                    </w:rPr>
                    <w:t>4</w:t>
                  </w:r>
                </w:sdtContent>
              </w:sdt>
              <w:r>
                <w:rPr>
                  <w:b/>
                  <w:bCs/>
                  <w:color w:val="000000"/>
                  <w:szCs w:val="24"/>
                  <w:lang w:eastAsia="lt-LT"/>
                </w:rPr>
                <w:t xml:space="preserve">. Informacija dėl įsakymo projekto derinimo su suinteresuotomis valstybės institucijomis ir (ar) įstaigomis </w:t>
              </w:r>
            </w:p>
            <w:p>
              <w:pPr>
                <w:spacing w:line="360" w:lineRule="auto"/>
                <w:ind w:firstLine="567"/>
                <w:jc w:val="both"/>
                <w:rPr>
                  <w:color w:val="000000"/>
                  <w:szCs w:val="24"/>
                  <w:lang w:eastAsia="lt-LT"/>
                </w:rPr>
              </w:pPr>
              <w:r>
                <w:rPr>
                  <w:color w:val="000000"/>
                  <w:szCs w:val="24"/>
                  <w:lang w:eastAsia="lt-LT"/>
                </w:rPr>
                <w:t>Įsakymo projektas bus derinamas su Nacionaline mokėjimo agentūra prie Žemės ūkio ministerijos ir VĮ Žemės ūkio informacijos ir kaimo verslo centru; suinteresuotos institucijos ir visuomenė per šį laikotarpį galės pateikti pastabas bei pasiūlymus.</w:t>
              </w:r>
            </w:p>
          </w:sdtContent>
        </w:sdt>
        <w:sdt>
          <w:sdtPr>
            <w:alias w:val="5 p."/>
            <w:tag w:val="part_fc1f345fa7334cbeac5fabd20b6cb162"/>
            <w:lock w:val="sdtLocked"/>
            <w:richText/>
          </w:sdtPr>
          <w:sdtContent>
            <w:p>
              <w:pPr>
                <w:spacing w:line="360" w:lineRule="auto"/>
                <w:ind w:firstLine="567"/>
                <w:jc w:val="both"/>
                <w:rPr>
                  <w:b/>
                  <w:bCs/>
                  <w:color w:val="000000"/>
                  <w:szCs w:val="24"/>
                  <w:lang w:eastAsia="lt-LT"/>
                </w:rPr>
              </w:pPr>
              <w:sdt>
                <w:sdtPr>
                  <w:alias w:val="Numeris"/>
                  <w:tag w:val="nr_fc1f345fa7334cbeac5fabd20b6cb162"/>
                  <w:lock w:val="sdtLocked"/>
                  <w:richText/>
                </w:sdtPr>
                <w:sdtContent>
                  <w:r>
                    <w:rPr>
                      <w:b/>
                      <w:bCs/>
                      <w:color w:val="000000"/>
                      <w:szCs w:val="24"/>
                      <w:lang w:eastAsia="lt-LT"/>
                    </w:rPr>
                    <w:t>5</w:t>
                  </w:r>
                </w:sdtContent>
              </w:sdt>
              <w:r>
                <w:rPr>
                  <w:b/>
                  <w:bCs/>
                  <w:color w:val="000000"/>
                  <w:szCs w:val="24"/>
                  <w:lang w:eastAsia="lt-LT"/>
                </w:rPr>
                <w:t xml:space="preserve">. Informacija dėl įsakymo projekto antikorupcinio vertinimo </w:t>
              </w:r>
            </w:p>
            <w:p>
              <w:pPr>
                <w:spacing w:line="360" w:lineRule="auto"/>
                <w:ind w:firstLine="567"/>
                <w:jc w:val="both"/>
                <w:rPr>
                  <w:color w:val="000000"/>
                  <w:szCs w:val="24"/>
                  <w:lang w:eastAsia="lt-LT"/>
                </w:rPr>
              </w:pPr>
              <w:r>
                <w:rPr>
                  <w:color w:val="000000"/>
                  <w:szCs w:val="24"/>
                  <w:lang w:eastAsia="lt-LT"/>
                </w:rPr>
                <w:t>Parengta antikorupcinio vertinimo pažyma.</w:t>
              </w:r>
            </w:p>
          </w:sdtContent>
        </w:sdt>
        <w:sdt>
          <w:sdtPr>
            <w:alias w:val="6 p."/>
            <w:tag w:val="part_2428812e85b548dc801c2c85130905d6"/>
            <w:lock w:val="sdtLocked"/>
            <w:richText/>
          </w:sdtPr>
          <w:sdtContent>
            <w:p>
              <w:pPr>
                <w:spacing w:line="360" w:lineRule="auto"/>
                <w:ind w:firstLine="567"/>
                <w:jc w:val="both"/>
                <w:rPr>
                  <w:b/>
                  <w:bCs/>
                  <w:color w:val="000000"/>
                  <w:szCs w:val="24"/>
                  <w:lang w:eastAsia="lt-LT"/>
                </w:rPr>
              </w:pPr>
              <w:sdt>
                <w:sdtPr>
                  <w:alias w:val="Numeris"/>
                  <w:tag w:val="nr_2428812e85b548dc801c2c85130905d6"/>
                  <w:lock w:val="sdtLocked"/>
                  <w:richText/>
                </w:sdtPr>
                <w:sdtContent>
                  <w:r>
                    <w:rPr>
                      <w:b/>
                      <w:bCs/>
                      <w:color w:val="000000"/>
                      <w:szCs w:val="24"/>
                      <w:lang w:eastAsia="lt-LT"/>
                    </w:rPr>
                    <w:t>6</w:t>
                  </w:r>
                </w:sdtContent>
              </w:sdt>
              <w:r>
                <w:rPr>
                  <w:b/>
                  <w:bCs/>
                  <w:color w:val="000000"/>
                  <w:szCs w:val="24"/>
                  <w:lang w:eastAsia="lt-LT"/>
                </w:rPr>
                <w:t>. Informacija dėl ūkio subjektams sukeliamos administracinės naštos vertinimo, numatomo teisinio reguliavimo poveikio vertinimo, įsakymo projekto, perkeliančio ir (ar) įgyvendinančio Europos Sąjungos direktyvų ar kitų Europos Sąjungos teisės aktų nuostatų atitikties</w:t>
              </w:r>
            </w:p>
            <w:p>
              <w:pPr>
                <w:spacing w:line="360" w:lineRule="auto"/>
                <w:ind w:firstLine="567"/>
                <w:jc w:val="both"/>
                <w:rPr>
                  <w:color w:val="000000"/>
                  <w:szCs w:val="24"/>
                  <w:lang w:eastAsia="lt-LT"/>
                </w:rPr>
              </w:pPr>
              <w:r>
                <w:rPr>
                  <w:color w:val="000000"/>
                  <w:szCs w:val="24"/>
                  <w:lang w:eastAsia="lt-LT"/>
                </w:rPr>
                <w:t>Neaktualu.</w:t>
              </w:r>
            </w:p>
          </w:sdtContent>
        </w:sdt>
        <w:sdt>
          <w:sdtPr>
            <w:alias w:val="7 p."/>
            <w:tag w:val="part_866cc5080edf44b3a21a93e5214efb17"/>
            <w:lock w:val="sdtLocked"/>
            <w:richText/>
          </w:sdtPr>
          <w:sdtContent>
            <w:p>
              <w:pPr>
                <w:spacing w:line="360" w:lineRule="auto"/>
                <w:ind w:firstLine="567"/>
                <w:jc w:val="both"/>
                <w:rPr>
                  <w:b/>
                  <w:bCs/>
                  <w:color w:val="000000"/>
                  <w:szCs w:val="24"/>
                  <w:lang w:eastAsia="lt-LT"/>
                </w:rPr>
              </w:pPr>
              <w:sdt>
                <w:sdtPr>
                  <w:alias w:val="Numeris"/>
                  <w:tag w:val="nr_866cc5080edf44b3a21a93e5214efb17"/>
                  <w:lock w:val="sdtLocked"/>
                  <w:richText/>
                </w:sdtPr>
                <w:sdtContent>
                  <w:r>
                    <w:rPr>
                      <w:b/>
                      <w:bCs/>
                      <w:color w:val="000000"/>
                      <w:szCs w:val="24"/>
                      <w:lang w:eastAsia="lt-LT"/>
                    </w:rPr>
                    <w:t>7</w:t>
                  </w:r>
                </w:sdtContent>
              </w:sdt>
              <w:r>
                <w:rPr>
                  <w:b/>
                  <w:bCs/>
                  <w:color w:val="000000"/>
                  <w:szCs w:val="24"/>
                  <w:lang w:eastAsia="lt-LT"/>
                </w:rPr>
                <w:t>. Kita svarbi informacija</w:t>
              </w:r>
            </w:p>
            <w:p>
              <w:pPr>
                <w:tabs>
                  <w:tab w:val="left" w:pos="567"/>
                </w:tabs>
                <w:ind w:firstLine="567"/>
                <w:rPr>
                  <w:bCs/>
                  <w:color w:val="000000"/>
                  <w:szCs w:val="24"/>
                </w:rPr>
              </w:pPr>
              <w:r>
                <w:rPr>
                  <w:bCs/>
                  <w:color w:val="000000"/>
                  <w:szCs w:val="24"/>
                </w:rPr>
                <w:t xml:space="preserve">PRIDEDAMA: </w:t>
              </w:r>
            </w:p>
          </w:sdtContent>
        </w:sdt>
        <w:sdt>
          <w:sdtPr>
            <w:alias w:val="1 p."/>
            <w:tag w:val="part_e13abb9a42a84eb5b2ca9857ce4589e5"/>
            <w:lock w:val="sdtLocked"/>
            <w:richText/>
          </w:sdtPr>
          <w:sdtContent>
            <w:p>
              <w:pPr>
                <w:ind w:firstLine="567"/>
                <w:rPr>
                  <w:bCs/>
                  <w:color w:val="000000"/>
                  <w:szCs w:val="24"/>
                </w:rPr>
              </w:pPr>
              <w:sdt>
                <w:sdtPr>
                  <w:alias w:val="Numeris"/>
                  <w:tag w:val="nr_e13abb9a42a84eb5b2ca9857ce4589e5"/>
                  <w:lock w:val="sdtLocked"/>
                  <w:richText/>
                </w:sdtPr>
                <w:sdtContent>
                  <w:r>
                    <w:rPr>
                      <w:bCs/>
                      <w:color w:val="000000"/>
                      <w:szCs w:val="24"/>
                    </w:rPr>
                    <w:t>1</w:t>
                  </w:r>
                </w:sdtContent>
              </w:sdt>
              <w:r>
                <w:rPr>
                  <w:bCs/>
                  <w:color w:val="000000"/>
                  <w:szCs w:val="24"/>
                </w:rPr>
                <w:t>.</w:t>
                <w:tab/>
                <w:t>Įsakymo projektas, 3 lapai.</w:t>
              </w:r>
            </w:p>
          </w:sdtContent>
        </w:sdt>
        <w:sdt>
          <w:sdtPr>
            <w:alias w:val="2 p."/>
            <w:tag w:val="part_83527ea47e33477caa958189de0dbc20"/>
            <w:lock w:val="sdtLocked"/>
            <w:richText/>
          </w:sdtPr>
          <w:sdtContent>
            <w:p>
              <w:pPr>
                <w:ind w:firstLine="567"/>
                <w:rPr>
                  <w:bCs/>
                  <w:color w:val="000000"/>
                  <w:szCs w:val="24"/>
                </w:rPr>
              </w:pPr>
              <w:sdt>
                <w:sdtPr>
                  <w:alias w:val="Numeris"/>
                  <w:tag w:val="nr_83527ea47e33477caa958189de0dbc20"/>
                  <w:lock w:val="sdtLocked"/>
                  <w:richText/>
                </w:sdtPr>
                <w:sdtContent>
                  <w:r>
                    <w:rPr>
                      <w:bCs/>
                      <w:color w:val="000000"/>
                      <w:szCs w:val="24"/>
                    </w:rPr>
                    <w:t>2</w:t>
                  </w:r>
                </w:sdtContent>
              </w:sdt>
              <w:r>
                <w:rPr>
                  <w:bCs/>
                  <w:color w:val="000000"/>
                  <w:szCs w:val="24"/>
                </w:rPr>
                <w:t>.</w:t>
                <w:tab/>
                <w:t>Įsakymo projekto lyginamasis variantas, 4 lapai.</w:t>
              </w:r>
            </w:p>
          </w:sdtContent>
        </w:sdt>
        <w:sdt>
          <w:sdtPr>
            <w:alias w:val="signatura"/>
            <w:tag w:val="part_18587dca69db487489caf9e529921374"/>
            <w:lock w:val="sdtLocked"/>
            <w:richText/>
          </w:sdtPr>
          <w:sdtContent>
            <w:p>
              <w:pPr>
                <w:spacing w:line="360" w:lineRule="auto"/>
                <w:jc w:val="both"/>
                <w:rPr>
                  <w:szCs w:val="24"/>
                  <w:lang w:val="en-GB"/>
                </w:rPr>
              </w:pPr>
              <w:r>
                <w:rPr>
                  <w:szCs w:val="24"/>
                  <w:lang w:val="en-GB"/>
                </w:rPr>
                <w:t xml:space="preserve">Direktorė </w:t>
                <w:tab/>
                <w:tab/>
                <w:tab/>
                <w:tab/>
                <w:tab/>
                <w:tab/>
                <w:t xml:space="preserve"> Jurgita Stakėnienė</w:t>
              </w:r>
            </w:p>
            <w:p>
              <w:pPr>
                <w:tabs>
                  <w:tab w:val="left" w:pos="2040"/>
                </w:tabs>
                <w:rPr>
                  <w:szCs w:val="24"/>
                </w:rPr>
              </w:pPr>
              <w:r>
                <w:rPr>
                  <w:szCs w:val="24"/>
                  <w:lang w:eastAsia="lt-LT"/>
                </w:rPr>
                <w:t>Agnė Prakapienė, tel. 239 1246 el. p. agne.prakapiene@zum.lt</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7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C8A7A97-6516-4843-83EA-4E649F66CA9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9443745">
      <w:bodyDiv w:val="1"/>
      <w:marLeft w:val="0"/>
      <w:marRight w:val="0"/>
      <w:marTop w:val="0"/>
      <w:marBottom w:val="0"/>
      <w:divBdr>
        <w:top w:val="none" w:sz="0" w:space="0" w:color="auto"/>
        <w:left w:val="none" w:sz="0" w:space="0" w:color="auto"/>
        <w:bottom w:val="none" w:sz="0" w:space="0" w:color="auto"/>
        <w:right w:val="none" w:sz="0" w:space="0" w:color="auto"/>
      </w:divBdr>
    </w:div>
    <w:div w:id="179635678">
      <w:bodyDiv w:val="1"/>
      <w:marLeft w:val="0"/>
      <w:marRight w:val="0"/>
      <w:marTop w:val="0"/>
      <w:marBottom w:val="0"/>
      <w:divBdr>
        <w:top w:val="none" w:sz="0" w:space="0" w:color="auto"/>
        <w:left w:val="none" w:sz="0" w:space="0" w:color="auto"/>
        <w:bottom w:val="none" w:sz="0" w:space="0" w:color="auto"/>
        <w:right w:val="none" w:sz="0" w:space="0" w:color="auto"/>
      </w:divBdr>
    </w:div>
    <w:div w:id="424114746">
      <w:bodyDiv w:val="1"/>
      <w:marLeft w:val="0"/>
      <w:marRight w:val="0"/>
      <w:marTop w:val="0"/>
      <w:marBottom w:val="0"/>
      <w:divBdr>
        <w:top w:val="none" w:sz="0" w:space="0" w:color="auto"/>
        <w:left w:val="none" w:sz="0" w:space="0" w:color="auto"/>
        <w:bottom w:val="none" w:sz="0" w:space="0" w:color="auto"/>
        <w:right w:val="none" w:sz="0" w:space="0" w:color="auto"/>
      </w:divBdr>
    </w:div>
    <w:div w:id="510722316">
      <w:bodyDiv w:val="1"/>
      <w:marLeft w:val="0"/>
      <w:marRight w:val="0"/>
      <w:marTop w:val="0"/>
      <w:marBottom w:val="0"/>
      <w:divBdr>
        <w:top w:val="none" w:sz="0" w:space="0" w:color="auto"/>
        <w:left w:val="none" w:sz="0" w:space="0" w:color="auto"/>
        <w:bottom w:val="none" w:sz="0" w:space="0" w:color="auto"/>
        <w:right w:val="none" w:sz="0" w:space="0" w:color="auto"/>
      </w:divBdr>
    </w:div>
    <w:div w:id="1049258244">
      <w:bodyDiv w:val="1"/>
      <w:marLeft w:val="0"/>
      <w:marRight w:val="0"/>
      <w:marTop w:val="0"/>
      <w:marBottom w:val="0"/>
      <w:divBdr>
        <w:top w:val="none" w:sz="0" w:space="0" w:color="auto"/>
        <w:left w:val="none" w:sz="0" w:space="0" w:color="auto"/>
        <w:bottom w:val="none" w:sz="0" w:space="0" w:color="auto"/>
        <w:right w:val="none" w:sz="0" w:space="0" w:color="auto"/>
      </w:divBdr>
    </w:div>
    <w:div w:id="1373577984">
      <w:bodyDiv w:val="1"/>
      <w:marLeft w:val="0"/>
      <w:marRight w:val="0"/>
      <w:marTop w:val="0"/>
      <w:marBottom w:val="0"/>
      <w:divBdr>
        <w:top w:val="none" w:sz="0" w:space="0" w:color="auto"/>
        <w:left w:val="none" w:sz="0" w:space="0" w:color="auto"/>
        <w:bottom w:val="none" w:sz="0" w:space="0" w:color="auto"/>
        <w:right w:val="none" w:sz="0" w:space="0" w:color="auto"/>
      </w:divBdr>
    </w:div>
    <w:div w:id="1433285310">
      <w:bodyDiv w:val="1"/>
      <w:marLeft w:val="0"/>
      <w:marRight w:val="0"/>
      <w:marTop w:val="0"/>
      <w:marBottom w:val="0"/>
      <w:divBdr>
        <w:top w:val="none" w:sz="0" w:space="0" w:color="auto"/>
        <w:left w:val="none" w:sz="0" w:space="0" w:color="auto"/>
        <w:bottom w:val="none" w:sz="0" w:space="0" w:color="auto"/>
        <w:right w:val="none" w:sz="0" w:space="0" w:color="auto"/>
      </w:divBdr>
    </w:div>
    <w:div w:id="1610117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f1fec0093a04dcbb46037da25df54c0" PartId="4d6bc6bd1e7544e2906bd87a78b371ac">
    <Part Type="punktas" Nr="1" Abbr="1 p." DocPartId="6b7ed3834c994c858b81db75df02ca5b" PartId="6237964ac09545deb523b6d4115c0b95"/>
    <Part Type="punktas" Nr="1" Abbr="1 p." Notes="Numeris ne iš eilės. Trūksta dalių? [DocDalys]" DocPartId="c881266cafd740369bd4c999f01582af" PartId="7974cb25cc804c63aa68bff21bd2662f"/>
    <Part Type="punktas" Nr="2" Abbr="2 p." DocPartId="ff747bfeaf534070914c497ff976d929" PartId="4ca3b26a1da14b4997fb049ec6eb2b74"/>
    <Part Type="punktas" Nr="3" Abbr="3 p." DocPartId="dc92fa5f8e864d2899154f4620632ae5" PartId="e9815b86b6c64eab8039b1005e85119d"/>
    <Part Type="punktas" Nr="4" Abbr="4 p." DocPartId="4a823b0045114350bd198d77c068ddb4" PartId="a43f2784021d439fbab15972f3d51e57"/>
    <Part Type="punktas" Nr="5" Abbr="5 p." DocPartId="4911596dbb614fc1885854ad8ab410e0" PartId="54767f44c1c94124b9df05031f3cc25f"/>
    <Part Type="punktas" Nr="6" Abbr="6 p." DocPartId="15b0dc163d234d728d8abf63ceafc2d6" PartId="501f223176bb4b7ab9bbdecf297aa842"/>
    <Part Type="punktas" Nr="7" Abbr="7 p." DocPartId="d43a564dcc5946a0b9ef8af0c881c528" PartId="964b995421bb4530bf66074ad0fcc013"/>
    <Part Type="punktas" Nr="2" Abbr="2 p." Notes="Numeris ne iš eilės. Trūksta dalių? [DocDalys]" DocPartId="3fa9f8eb946b438086055e75367b776e" PartId="bea3603963904687875a0328afab11a4"/>
    <Part Type="punktas" Nr="3" Abbr="3 p." DocPartId="144a1ae39213474e843d8cd2cb14fc31" PartId="a67ae73d6c114c7da701385762efcede"/>
    <Part Type="punktas" Nr="4" Abbr="4 p." DocPartId="a5acf7625d4749da980093707cbe3965" PartId="77304a37ab4649df83c9a35cda3c58d2"/>
    <Part Type="punktas" Nr="5" Abbr="5 p." DocPartId="a8cf44971918447bb41c9a0a39792876" PartId="fc1f345fa7334cbeac5fabd20b6cb162"/>
    <Part Type="punktas" Nr="6" Abbr="6 p." DocPartId="1e7b8bcaac93459d844b0efdd15d0559" PartId="2428812e85b548dc801c2c85130905d6"/>
    <Part Type="punktas" Nr="7" Abbr="7 p." DocPartId="1a9e52001f4f49c5824378d6a725b118" PartId="866cc5080edf44b3a21a93e5214efb17"/>
    <Part Type="punktas" Nr="1" Abbr="1 p." Notes="Numeris ne iš eilės. Trūksta dalių? [DocDalys]" DocPartId="838bfe4e7d3b49edb7822aa89c83dcff" PartId="e13abb9a42a84eb5b2ca9857ce4589e5"/>
    <Part Type="punktas" Nr="2" Abbr="2 p." DocPartId="552a4c766198464c9fe596dddd281066" PartId="83527ea47e33477caa958189de0dbc20"/>
    <Part Type="signatura" DocPartId="2411a7ec96d04ae5a3182b08aa7d0c7f" PartId="18587dca69db487489caf9e529921374"/>
  </Part>
</Parts>
</file>

<file path=customXml/itemProps1.xml><?xml version="1.0" encoding="utf-8"?>
<ds:datastoreItem xmlns:ds="http://schemas.openxmlformats.org/officeDocument/2006/customXml" ds:itemID="{D1B4C9E3-BA11-475A-9C97-A453276CC170}">
  <ds:schemaRefs>
    <ds:schemaRef ds:uri="http://schemas.openxmlformats.org/officeDocument/2006/bibliography"/>
  </ds:schemaRefs>
</ds:datastoreItem>
</file>

<file path=customXml/itemProps2.xml><?xml version="1.0" encoding="utf-8"?>
<ds:datastoreItem xmlns:ds="http://schemas.openxmlformats.org/officeDocument/2006/customXml" ds:itemID="{997C4CA6-38D8-46C4-B68B-9F7007B4559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611</Words>
  <Characters>4326</Characters>
  <Application>Microsoft Office Word</Application>
  <DocSecurity>4</DocSecurity>
  <Lines>78</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4903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2022-04-13T05:47:00Z</dcterms:created>
  <dc:creator>Lina Pugačiukienė</dc:creator>
  <lastModifiedBy>adlibuser</lastModifiedBy>
  <lastPrinted>2022-04-05T05:12:00Z</lastPrinted>
  <dcterms:modified xsi:type="dcterms:W3CDTF">2022-04-13T05:47:00Z</dcterms:modified>
  <revision>2</revision>
</coreProperties>
</file>