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402f77f61d6442fb53fe56d31d7682a"/>
        <w:lock w:val="sdtLocked"/>
        <w:richText/>
      </w:sdtPr>
      <w:sdtContent>
        <w:p>
          <w:pPr>
            <w:tabs>
              <w:tab w:val="center" w:pos="4320"/>
              <w:tab w:val="right" w:pos="8640"/>
            </w:tabs>
            <w:rPr>
              <w:lang w:val="x-none" w:eastAsia="x-none"/>
            </w:rPr>
          </w:pPr>
        </w:p>
        <w:p>
          <w:pPr>
            <w:jc w:val="center"/>
            <w:rPr>
              <w:b/>
              <w:szCs w:val="24"/>
            </w:rPr>
          </w:pPr>
          <w:r>
            <w:rPr>
              <w:b/>
              <w:szCs w:val="24"/>
            </w:rPr>
            <w:t>ŠIAULIŲ MIESTO SAVIVALDYBĖS ADMINISTRACIJOS</w:t>
          </w:r>
        </w:p>
        <w:sdt>
          <w:sdtPr>
            <w:alias w:val="skyrius"/>
            <w:tag w:val="part_334175e552f848c08811b7d50758e330"/>
            <w:lock w:val="sdtLocked"/>
            <w:richText/>
          </w:sdtPr>
          <w:sdtContent>
            <w:p>
              <w:pPr>
                <w:jc w:val="center"/>
                <w:rPr>
                  <w:b/>
                  <w:szCs w:val="24"/>
                </w:rPr>
              </w:pPr>
              <w:r>
                <w:rPr>
                  <w:b/>
                  <w:szCs w:val="24"/>
                </w:rPr>
                <w:t>EKONOMIKOS IR INVESTICIJŲ SKYRIUS</w:t>
              </w:r>
            </w:p>
            <w:p>
              <w:pPr>
                <w:jc w:val="center"/>
                <w:rPr>
                  <w:szCs w:val="24"/>
                </w:rPr>
              </w:pPr>
            </w:p>
            <w:sdt>
              <w:sdtPr>
                <w:alias w:val="Pavadinimas"/>
                <w:tag w:val="title_334175e552f848c08811b7d50758e330"/>
                <w:lock w:val="sdtLocked"/>
                <w:richText/>
              </w:sdtPr>
              <w:sdtContent>
                <w:p>
                  <w:pPr>
                    <w:jc w:val="center"/>
                    <w:rPr>
                      <w:b/>
                      <w:szCs w:val="24"/>
                    </w:rPr>
                  </w:pPr>
                  <w:r>
                    <w:rPr>
                      <w:b/>
                      <w:szCs w:val="24"/>
                    </w:rPr>
                    <w:t>SPRENDIMO „DĖL ŠIAULIŲ MIESTO SAVIVALDYBĖS TARYBOS 2022 M. GRUODŽIO 22 D. SPRENDIMO NR. T-428 „DĖL KELEIVIŲ VEŽIMO VIETINIO (MIESTO) REGULIARAUS SUSISIEKIMO AUTOBUSŲ MARŠRUTAIS ŠIAULIŲ MIESTO SAVIVALDYBĖJE KAINŲ NUSTATYMO“ PAKEITIMO“ PROJEKTO</w:t>
                  </w:r>
                </w:p>
                <w:p>
                  <w:pPr>
                    <w:jc w:val="center"/>
                    <w:rPr>
                      <w:b/>
                      <w:szCs w:val="24"/>
                    </w:rPr>
                  </w:pPr>
                  <w:r>
                    <w:rPr>
                      <w:b/>
                      <w:szCs w:val="24"/>
                    </w:rPr>
                    <w:t>AIŠKINAMASIS RAŠTAS</w:t>
                  </w:r>
                </w:p>
              </w:sdtContent>
            </w:sdt>
            <w:p>
              <w:pPr>
                <w:jc w:val="center"/>
                <w:rPr>
                  <w:szCs w:val="24"/>
                </w:rPr>
              </w:pPr>
            </w:p>
            <w:p>
              <w:pPr>
                <w:jc w:val="center"/>
                <w:rPr>
                  <w:szCs w:val="24"/>
                </w:rPr>
              </w:pPr>
              <w:r>
                <w:rPr>
                  <w:szCs w:val="24"/>
                </w:rPr>
                <w:t>2024 m. liepos 17 d.</w:t>
              </w:r>
            </w:p>
            <w:p>
              <w:pPr>
                <w:jc w:val="center"/>
                <w:rPr>
                  <w:szCs w:val="24"/>
                </w:rPr>
              </w:pPr>
              <w:r>
                <w:rPr>
                  <w:szCs w:val="24"/>
                </w:rPr>
                <w:t>Šiauliai</w:t>
              </w:r>
            </w:p>
            <w:p>
              <w:pPr>
                <w:rPr>
                  <w:szCs w:val="24"/>
                </w:rPr>
              </w:pPr>
            </w:p>
            <w:p>
              <w:pPr>
                <w:rPr>
                  <w:szCs w:val="24"/>
                </w:rPr>
              </w:pPr>
            </w:p>
            <w:sdt>
              <w:sdtPr>
                <w:alias w:val="poskyris"/>
                <w:tag w:val="part_e3d4caee9b2847719f1baddd3645ec6e"/>
                <w:lock w:val="sdtLocked"/>
                <w:richText/>
              </w:sdtPr>
              <w:sdtContent>
                <w:p>
                  <w:pPr>
                    <w:tabs>
                      <w:tab w:val="left" w:pos="855"/>
                    </w:tabs>
                    <w:ind w:firstLine="680"/>
                    <w:jc w:val="both"/>
                    <w:rPr>
                      <w:szCs w:val="24"/>
                      <w:shd w:val="clear" w:color="auto" w:fill="FFFFFF"/>
                    </w:rPr>
                  </w:pPr>
                  <w:sdt>
                    <w:sdtPr>
                      <w:alias w:val="Pavadinimas"/>
                      <w:tag w:val="title_e3d4caee9b2847719f1baddd3645ec6e"/>
                      <w:lock w:val="sdtLocked"/>
                      <w:richText/>
                    </w:sdtPr>
                    <w:sdtContent>
                      <w:r>
                        <w:rPr>
                          <w:b/>
                          <w:szCs w:val="24"/>
                          <w:shd w:val="clear" w:color="auto" w:fill="FFFFFF"/>
                        </w:rPr>
                        <w:t>Parengto sprendimo projekto tikslai ir uždaviniai</w:t>
                      </w:r>
                      <w:r>
                        <w:rPr>
                          <w:b/>
                          <w:szCs w:val="24"/>
                        </w:rPr>
                        <w:t>.</w:t>
                      </w:r>
                    </w:sdtContent>
                  </w:sdt>
                </w:p>
                <w:p>
                  <w:pPr>
                    <w:tabs>
                      <w:tab w:val="left" w:pos="993"/>
                    </w:tabs>
                    <w:suppressAutoHyphens/>
                    <w:ind w:firstLine="680"/>
                    <w:jc w:val="both"/>
                    <w:rPr>
                      <w:shd w:val="clear" w:color="auto" w:fill="FFFFFF"/>
                      <w:lang w:eastAsia="ar-SA"/>
                    </w:rPr>
                  </w:pPr>
                  <w:r>
                    <w:rPr>
                      <w:shd w:val="clear" w:color="auto" w:fill="FFFFFF"/>
                      <w:lang w:eastAsia="ar-SA"/>
                    </w:rPr>
                    <w:t xml:space="preserve">Parengto sprendimo projekto tikslas: pakeisti </w:t>
                  </w:r>
                  <w:r>
                    <w:rPr>
                      <w:color w:val="000000"/>
                      <w:lang w:eastAsia="ar-SA"/>
                    </w:rPr>
                    <w:t>Keleivių vežimo vietinio (miesto) reguliaraus susisiekimo autobusų maršrutais Šiaulių miesto savivaldybėje kainų (eurais su PVM) sąrašo, patvirtinto Šiaulių miesto savivaldybės tarybos 2022 m. gruodžio 22 d. sprendimo Nr. T-428 „Dėl keleivių vežimo vietinio (miesto) reguliaraus susisiekimo autobusų maršrutais Šiaulių miesto savivaldybėje kainų nustatymo“ 1 punktu, 15 eilutę ir išdėstyti ją nauja redakcija, numatant, kad pradinuko bilietas galioja nuo rugsėjo 1 d. iki rugpjūčio 31 d.</w:t>
                  </w:r>
                </w:p>
              </w:sdtContent>
            </w:sdt>
            <w:sdt>
              <w:sdtPr>
                <w:alias w:val="poskyris"/>
                <w:tag w:val="part_bedf1ea604384f6cbd996d1092eb67be"/>
                <w:lock w:val="sdtLocked"/>
                <w:richText/>
              </w:sdtPr>
              <w:sdtContent>
                <w:p>
                  <w:pPr>
                    <w:tabs>
                      <w:tab w:val="left" w:pos="855"/>
                    </w:tabs>
                    <w:ind w:firstLine="680"/>
                    <w:jc w:val="both"/>
                    <w:rPr>
                      <w:b/>
                      <w:szCs w:val="24"/>
                      <w:shd w:val="clear" w:color="auto" w:fill="FFFFFF"/>
                    </w:rPr>
                  </w:pPr>
                  <w:sdt>
                    <w:sdtPr>
                      <w:alias w:val="Pavadinimas"/>
                      <w:tag w:val="title_bedf1ea604384f6cbd996d1092eb67be"/>
                      <w:lock w:val="sdtLocked"/>
                      <w:richText/>
                    </w:sdtPr>
                    <w:sdtContent>
                      <w:r>
                        <w:rPr>
                          <w:b/>
                          <w:szCs w:val="24"/>
                          <w:shd w:val="clear" w:color="auto" w:fill="FFFFFF"/>
                        </w:rPr>
                        <w:t>Dabartinis sprendimo projekte aptariamų klausimų reguliavimas.</w:t>
                      </w:r>
                    </w:sdtContent>
                  </w:sdt>
                </w:p>
                <w:p>
                  <w:pPr>
                    <w:tabs>
                      <w:tab w:val="right" w:pos="9570"/>
                    </w:tabs>
                    <w:ind w:firstLine="680"/>
                    <w:jc w:val="both"/>
                    <w:rPr>
                      <w:color w:val="000000"/>
                      <w:szCs w:val="24"/>
                      <w:highlight w:val="yellow"/>
                    </w:rPr>
                  </w:pPr>
                  <w:r>
                    <w:rPr>
                      <w:szCs w:val="24"/>
                    </w:rPr>
                    <w:t xml:space="preserve">Lietuvos Respublikos vietos savivaldos įstatymo 15 straipsnio 2 dalies 29 punkte išimtinei savivaldybės tarybos kompetencijai yra priskirta kainų (tarifų) už keleivių vežimą vietiniais maršrutais nustatymas. Lietuvos Respublikos kelių transporto kodekso 16 straipsnio 2 dalyje numatyta, kad keleivių vežimo reguliariais reisais vietinio susisiekimo maršrutais konkrečius tarifų dydžius nustato savivaldybių tarybos. </w:t>
                  </w:r>
                  <w:r>
                    <w:rPr>
                      <w:color w:val="000000"/>
                      <w:szCs w:val="24"/>
                    </w:rPr>
                    <w:t xml:space="preserve">Lietuvos Respublikos transporto lengvatų įstatymo 5 straipsnio 8 dalyje nustatyta, kad </w:t>
                  </w:r>
                  <w:r>
                    <w:rPr>
                      <w:szCs w:val="24"/>
                    </w:rPr>
                    <w:t>Savivaldybės savo nustatyta tvarka gali papildomai leisti įsigyti važiavimo vietinio (miesto ir priemiestinio) reguliaraus susisiekimo autobusais ir troleibusais bilietą su nuolaida ir kitų kategorijų asmenims, taip pat įsigyti važiavimo bilietą su nuolaida tam tikromis savaitės dienomis ar paros valandomis. Su šiomis lengvatomis susijusias išlaidas savivaldybės kompensuoja iš savo biudžeto lėšų.</w:t>
                  </w:r>
                </w:p>
                <w:p>
                  <w:pPr>
                    <w:tabs>
                      <w:tab w:val="left" w:pos="851"/>
                      <w:tab w:val="left" w:pos="1134"/>
                    </w:tabs>
                    <w:ind w:firstLine="680"/>
                    <w:jc w:val="both"/>
                    <w:rPr>
                      <w:color w:val="000000"/>
                      <w:szCs w:val="24"/>
                    </w:rPr>
                  </w:pPr>
                  <w:r>
                    <w:rPr>
                      <w:color w:val="000000"/>
                      <w:szCs w:val="24"/>
                    </w:rPr>
                    <w:t xml:space="preserve">Keleivių vežimo vietinio (miesto) reguliaraus susisiekimo autobusų maršrutais Šiaulių miesto savivaldybėje kainos nustatytos Šiaulių miesto savivaldybės tarybos </w:t>
                  </w:r>
                  <w:r>
                    <w:rPr>
                      <w:szCs w:val="24"/>
                    </w:rPr>
                    <w:t>2022 m. gruodžio 22 d. sprendimu Nr. T-428 „</w:t>
                  </w:r>
                  <w:r>
                    <w:rPr>
                      <w:color w:val="000000"/>
                      <w:szCs w:val="24"/>
                    </w:rPr>
                    <w:t>Dėl keleivių vežimo vietinio (miesto) reguliaraus susisiekimo autobusų maršrutais Šiaulių miesto savivaldybėje kainų nustatymo</w:t>
                  </w:r>
                  <w:r>
                    <w:rPr>
                      <w:szCs w:val="24"/>
                    </w:rPr>
                    <w:t>“</w:t>
                  </w:r>
                  <w:r>
                    <w:rPr>
                      <w:color w:val="000000"/>
                      <w:szCs w:val="24"/>
                    </w:rPr>
                    <w:t xml:space="preserve"> (galiojanti suvestinė redakcija nuo 2024 m. sausio 14 d.).</w:t>
                  </w:r>
                </w:p>
              </w:sdtContent>
            </w:sdt>
            <w:sdt>
              <w:sdtPr>
                <w:alias w:val="poskyris"/>
                <w:tag w:val="part_2879046c294943acb2f12126ea384b20"/>
                <w:lock w:val="sdtLocked"/>
                <w:richText/>
              </w:sdtPr>
              <w:sdtContent>
                <w:p>
                  <w:pPr>
                    <w:tabs>
                      <w:tab w:val="left" w:pos="855"/>
                    </w:tabs>
                    <w:ind w:firstLine="680"/>
                    <w:jc w:val="both"/>
                    <w:rPr>
                      <w:szCs w:val="24"/>
                    </w:rPr>
                  </w:pPr>
                  <w:sdt>
                    <w:sdtPr>
                      <w:alias w:val="Pavadinimas"/>
                      <w:tag w:val="title_2879046c294943acb2f12126ea384b20"/>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1134"/>
                    </w:tabs>
                    <w:ind w:firstLine="680"/>
                    <w:jc w:val="both"/>
                    <w:rPr>
                      <w:color w:val="000000"/>
                      <w:szCs w:val="24"/>
                    </w:rPr>
                  </w:pPr>
                  <w:r>
                    <w:rPr>
                      <w:szCs w:val="24"/>
                    </w:rPr>
                    <w:t>2024 m. liepos 2 d. vykusio pasitarimo dėl keleivių vežimo miesto susisiekimo autobusų maršrutais bilietų kainų peržiūros metu buvo pristatyta, kad pradinuko bilietas galioja – 9 mėn., t. y. nuo rugsėjo 1 d. iki gegužės 31 d., bilieto kaina – 10,00 Eur. Pradinuko bilietas skirtas Šiaulių miesto savivaldybės pirmų–ketvirtų klasių moksleiviams, kurį reikia žymėti kiekvieną kartą važiuojant, ir jis galioja tik su mokinio pažymėjimu. Jeigu mokinio pažymėjimas elektroninis, tai jį galima papildyti bilietu (nereikia atskiros e. bilieto kortelės). P</w:t>
                  </w:r>
                  <w:r>
                    <w:rPr>
                      <w:color w:val="000000"/>
                      <w:szCs w:val="24"/>
                    </w:rPr>
                    <w:t>er 2024 m. sausio–gegužės mėn. pradinuko bilietą įsigijo 523 pradinukai (vidutiniškai kas mėnesį parduota 105 vnt. pradinuko bilietų). Atsižvelgiant į tai, kad yra susidomėjimas pradinuko bilietu, siūloma pradinuko bilieto galiojimo laiką pakeisti iš 9 mėn. į 12 mėn., t. y. nuo rugsėjo 1 d. iki rugpjūčio 31 d. Šio siūlymo tikslas formuoti ir ugdyti pradinių klasių moksleiviams socialinius įgūdžius naudotis viešuoju transportu ne tik mokslo metų laikotarpiu, bet ir vasaros atostogų metu.</w:t>
                  </w:r>
                </w:p>
                <w:p>
                  <w:pPr>
                    <w:tabs>
                      <w:tab w:val="left" w:pos="1134"/>
                    </w:tabs>
                    <w:ind w:firstLine="680"/>
                    <w:jc w:val="both"/>
                    <w:rPr>
                      <w:color w:val="000000"/>
                      <w:szCs w:val="24"/>
                    </w:rPr>
                  </w:pPr>
                  <w:r>
                    <w:rPr>
                      <w:color w:val="000000"/>
                      <w:szCs w:val="24"/>
                    </w:rPr>
                    <w:t xml:space="preserve">Remiantis 2024 m. sausio–gegužės mėn. duomenis, atlikti skaičiavimai: mokinio bilietas kainuoja 5,60 Eur, Šiaulių miesto savivaldybė kompensuoja 22,40 Eur (su PVM) negautas pajamas. </w:t>
                  </w:r>
                </w:p>
                <w:p>
                  <w:pPr>
                    <w:tabs>
                      <w:tab w:val="left" w:pos="1134"/>
                    </w:tabs>
                    <w:ind w:firstLine="680"/>
                    <w:jc w:val="both"/>
                    <w:rPr>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1985"/>
                    <w:gridCol w:w="2126"/>
                    <w:gridCol w:w="2121"/>
                  </w:tblGrid>
                  <w:tr>
                    <w:tc>
                      <w:tcPr>
                        <w:tcW w:w="3397" w:type="dxa"/>
                      </w:tcPr>
                      <w:p>
                        <w:pPr>
                          <w:tabs>
                            <w:tab w:val="left" w:pos="1134"/>
                          </w:tabs>
                          <w:jc w:val="center"/>
                          <w:rPr>
                            <w:b/>
                            <w:color w:val="000000"/>
                            <w:szCs w:val="24"/>
                          </w:rPr>
                        </w:pPr>
                      </w:p>
                    </w:tc>
                    <w:tc>
                      <w:tcPr>
                        <w:tcW w:w="1985" w:type="dxa"/>
                      </w:tcPr>
                      <w:p>
                        <w:pPr>
                          <w:tabs>
                            <w:tab w:val="left" w:pos="1134"/>
                          </w:tabs>
                          <w:jc w:val="center"/>
                          <w:rPr>
                            <w:b/>
                            <w:color w:val="000000"/>
                            <w:szCs w:val="24"/>
                          </w:rPr>
                        </w:pPr>
                        <w:r>
                          <w:rPr>
                            <w:b/>
                            <w:color w:val="000000"/>
                            <w:szCs w:val="24"/>
                          </w:rPr>
                          <w:t>Nuo sausio 1 d. iki gegužės 31 d.</w:t>
                        </w:r>
                      </w:p>
                    </w:tc>
                    <w:tc>
                      <w:tcPr>
                        <w:tcW w:w="2126" w:type="dxa"/>
                      </w:tcPr>
                      <w:p>
                        <w:pPr>
                          <w:tabs>
                            <w:tab w:val="left" w:pos="1134"/>
                          </w:tabs>
                          <w:jc w:val="center"/>
                          <w:rPr>
                            <w:b/>
                            <w:color w:val="000000"/>
                            <w:szCs w:val="24"/>
                          </w:rPr>
                        </w:pPr>
                        <w:r>
                          <w:rPr>
                            <w:b/>
                            <w:color w:val="000000"/>
                            <w:szCs w:val="24"/>
                          </w:rPr>
                          <w:t>Nuo rugsėjo 1 d. iki gegužės 31 d.</w:t>
                        </w:r>
                      </w:p>
                    </w:tc>
                    <w:tc>
                      <w:tcPr>
                        <w:tcW w:w="2121" w:type="dxa"/>
                      </w:tcPr>
                      <w:p>
                        <w:pPr>
                          <w:tabs>
                            <w:tab w:val="left" w:pos="1134"/>
                          </w:tabs>
                          <w:jc w:val="center"/>
                          <w:rPr>
                            <w:b/>
                            <w:color w:val="000000"/>
                            <w:szCs w:val="24"/>
                          </w:rPr>
                        </w:pPr>
                        <w:r>
                          <w:rPr>
                            <w:b/>
                            <w:color w:val="000000"/>
                            <w:szCs w:val="24"/>
                          </w:rPr>
                          <w:t>Nuo rugsėjo 1 d. iki rugpjūčio 31 d.</w:t>
                        </w:r>
                      </w:p>
                    </w:tc>
                  </w:tr>
                  <w:tr>
                    <w:tc>
                      <w:tcPr>
                        <w:tcW w:w="3397" w:type="dxa"/>
                      </w:tcPr>
                      <w:p>
                        <w:pPr>
                          <w:tabs>
                            <w:tab w:val="left" w:pos="1134"/>
                          </w:tabs>
                          <w:rPr>
                            <w:b/>
                            <w:color w:val="000000"/>
                            <w:szCs w:val="24"/>
                          </w:rPr>
                        </w:pPr>
                        <w:r>
                          <w:rPr>
                            <w:b/>
                            <w:color w:val="000000"/>
                            <w:szCs w:val="24"/>
                          </w:rPr>
                          <w:t>Iš keleivių vidutiniškai netenkama pajamų suma, Eur</w:t>
                        </w:r>
                      </w:p>
                    </w:tc>
                    <w:tc>
                      <w:tcPr>
                        <w:tcW w:w="1985" w:type="dxa"/>
                        <w:vAlign w:val="center"/>
                      </w:tcPr>
                      <w:p>
                        <w:pPr>
                          <w:tabs>
                            <w:tab w:val="left" w:pos="1134"/>
                          </w:tabs>
                          <w:jc w:val="center"/>
                          <w:rPr>
                            <w:color w:val="000000"/>
                            <w:szCs w:val="24"/>
                          </w:rPr>
                        </w:pPr>
                        <w:r>
                          <w:rPr>
                            <w:color w:val="000000"/>
                            <w:szCs w:val="24"/>
                          </w:rPr>
                          <w:t>2 940,00</w:t>
                        </w:r>
                      </w:p>
                      <w:p>
                        <w:pPr>
                          <w:tabs>
                            <w:tab w:val="left" w:pos="1134"/>
                          </w:tabs>
                          <w:jc w:val="center"/>
                          <w:rPr>
                            <w:i/>
                            <w:color w:val="000000"/>
                            <w:sz w:val="20"/>
                          </w:rPr>
                        </w:pPr>
                        <w:r>
                          <w:rPr>
                            <w:i/>
                            <w:color w:val="000000"/>
                            <w:sz w:val="20"/>
                          </w:rPr>
                          <w:t>(5,60 Eur × 105 × 5 mėn.)</w:t>
                        </w:r>
                      </w:p>
                    </w:tc>
                    <w:tc>
                      <w:tcPr>
                        <w:tcW w:w="2126" w:type="dxa"/>
                        <w:vAlign w:val="center"/>
                      </w:tcPr>
                      <w:p>
                        <w:pPr>
                          <w:tabs>
                            <w:tab w:val="left" w:pos="1134"/>
                          </w:tabs>
                          <w:jc w:val="center"/>
                          <w:rPr>
                            <w:color w:val="000000"/>
                            <w:szCs w:val="24"/>
                          </w:rPr>
                        </w:pPr>
                        <w:r>
                          <w:rPr>
                            <w:color w:val="000000"/>
                            <w:szCs w:val="24"/>
                          </w:rPr>
                          <w:t>5 292,00</w:t>
                        </w:r>
                      </w:p>
                      <w:p>
                        <w:pPr>
                          <w:tabs>
                            <w:tab w:val="left" w:pos="1134"/>
                          </w:tabs>
                          <w:jc w:val="center"/>
                          <w:rPr>
                            <w:i/>
                            <w:color w:val="000000"/>
                            <w:szCs w:val="24"/>
                          </w:rPr>
                        </w:pPr>
                        <w:r>
                          <w:rPr>
                            <w:i/>
                            <w:color w:val="000000"/>
                            <w:sz w:val="20"/>
                          </w:rPr>
                          <w:t>(5,60 Eur × 105 × 9 mėn.)</w:t>
                        </w:r>
                      </w:p>
                    </w:tc>
                    <w:tc>
                      <w:tcPr>
                        <w:tcW w:w="2121" w:type="dxa"/>
                        <w:vAlign w:val="center"/>
                      </w:tcPr>
                      <w:p>
                        <w:pPr>
                          <w:tabs>
                            <w:tab w:val="left" w:pos="1134"/>
                          </w:tabs>
                          <w:jc w:val="center"/>
                          <w:rPr>
                            <w:color w:val="000000"/>
                            <w:szCs w:val="24"/>
                          </w:rPr>
                        </w:pPr>
                        <w:r>
                          <w:rPr>
                            <w:color w:val="000000"/>
                            <w:szCs w:val="24"/>
                          </w:rPr>
                          <w:t>7 056,00</w:t>
                        </w:r>
                      </w:p>
                      <w:p>
                        <w:pPr>
                          <w:tabs>
                            <w:tab w:val="left" w:pos="1134"/>
                          </w:tabs>
                          <w:jc w:val="center"/>
                          <w:rPr>
                            <w:i/>
                            <w:color w:val="000000"/>
                            <w:szCs w:val="24"/>
                          </w:rPr>
                        </w:pPr>
                        <w:r>
                          <w:rPr>
                            <w:i/>
                            <w:color w:val="000000"/>
                            <w:sz w:val="20"/>
                          </w:rPr>
                          <w:t>(5,60 Eur × 105 × 12 mėn.)</w:t>
                        </w:r>
                      </w:p>
                    </w:tc>
                  </w:tr>
                  <w:tr>
                    <w:tc>
                      <w:tcPr>
                        <w:tcW w:w="3397" w:type="dxa"/>
                      </w:tcPr>
                      <w:p>
                        <w:pPr>
                          <w:tabs>
                            <w:tab w:val="left" w:pos="1134"/>
                          </w:tabs>
                          <w:rPr>
                            <w:b/>
                            <w:color w:val="000000"/>
                            <w:szCs w:val="24"/>
                          </w:rPr>
                        </w:pPr>
                        <w:r>
                          <w:rPr>
                            <w:b/>
                            <w:color w:val="000000"/>
                            <w:szCs w:val="24"/>
                          </w:rPr>
                          <w:t>Vidutiniškai netenkama negautų pajamų suma, Eur</w:t>
                        </w:r>
                      </w:p>
                    </w:tc>
                    <w:tc>
                      <w:tcPr>
                        <w:tcW w:w="1985" w:type="dxa"/>
                        <w:vAlign w:val="center"/>
                      </w:tcPr>
                      <w:p>
                        <w:pPr>
                          <w:tabs>
                            <w:tab w:val="left" w:pos="1134"/>
                          </w:tabs>
                          <w:jc w:val="center"/>
                          <w:rPr>
                            <w:color w:val="000000"/>
                            <w:szCs w:val="24"/>
                          </w:rPr>
                        </w:pPr>
                        <w:r>
                          <w:rPr>
                            <w:color w:val="000000"/>
                            <w:szCs w:val="24"/>
                          </w:rPr>
                          <w:t>11 760,00</w:t>
                        </w:r>
                      </w:p>
                      <w:p>
                        <w:pPr>
                          <w:tabs>
                            <w:tab w:val="left" w:pos="1134"/>
                          </w:tabs>
                          <w:jc w:val="center"/>
                          <w:rPr>
                            <w:i/>
                            <w:color w:val="000000"/>
                            <w:szCs w:val="24"/>
                          </w:rPr>
                        </w:pPr>
                        <w:r>
                          <w:rPr>
                            <w:i/>
                            <w:color w:val="000000"/>
                            <w:sz w:val="20"/>
                          </w:rPr>
                          <w:t>(22,40 Eur × 105 × 5 mėn.)</w:t>
                        </w:r>
                      </w:p>
                    </w:tc>
                    <w:tc>
                      <w:tcPr>
                        <w:tcW w:w="2126" w:type="dxa"/>
                        <w:vAlign w:val="center"/>
                      </w:tcPr>
                      <w:p>
                        <w:pPr>
                          <w:tabs>
                            <w:tab w:val="left" w:pos="1134"/>
                          </w:tabs>
                          <w:jc w:val="center"/>
                          <w:rPr>
                            <w:color w:val="000000"/>
                            <w:szCs w:val="24"/>
                          </w:rPr>
                        </w:pPr>
                        <w:r>
                          <w:rPr>
                            <w:color w:val="000000"/>
                            <w:szCs w:val="24"/>
                          </w:rPr>
                          <w:t>21 168,00</w:t>
                        </w:r>
                      </w:p>
                      <w:p>
                        <w:pPr>
                          <w:tabs>
                            <w:tab w:val="left" w:pos="1134"/>
                          </w:tabs>
                          <w:jc w:val="center"/>
                          <w:rPr>
                            <w:i/>
                            <w:color w:val="000000"/>
                            <w:szCs w:val="24"/>
                          </w:rPr>
                        </w:pPr>
                        <w:r>
                          <w:rPr>
                            <w:i/>
                            <w:color w:val="000000"/>
                            <w:sz w:val="20"/>
                          </w:rPr>
                          <w:t>(22,40 Eur × 105 × 9 mėn.)</w:t>
                        </w:r>
                      </w:p>
                    </w:tc>
                    <w:tc>
                      <w:tcPr>
                        <w:tcW w:w="2121" w:type="dxa"/>
                        <w:vAlign w:val="center"/>
                      </w:tcPr>
                      <w:p>
                        <w:pPr>
                          <w:tabs>
                            <w:tab w:val="left" w:pos="1134"/>
                          </w:tabs>
                          <w:jc w:val="center"/>
                          <w:rPr>
                            <w:color w:val="000000"/>
                            <w:szCs w:val="24"/>
                          </w:rPr>
                        </w:pPr>
                        <w:r>
                          <w:rPr>
                            <w:color w:val="000000"/>
                            <w:szCs w:val="24"/>
                          </w:rPr>
                          <w:t>28 224,00</w:t>
                        </w:r>
                      </w:p>
                      <w:p>
                        <w:pPr>
                          <w:tabs>
                            <w:tab w:val="left" w:pos="1134"/>
                          </w:tabs>
                          <w:jc w:val="center"/>
                          <w:rPr>
                            <w:i/>
                            <w:color w:val="000000"/>
                            <w:szCs w:val="24"/>
                          </w:rPr>
                        </w:pPr>
                        <w:r>
                          <w:rPr>
                            <w:i/>
                            <w:color w:val="000000"/>
                            <w:sz w:val="20"/>
                          </w:rPr>
                          <w:t>(22,40 Eur × 105 × 12 mėn.)</w:t>
                        </w:r>
                      </w:p>
                    </w:tc>
                  </w:tr>
                  <w:tr>
                    <w:tc>
                      <w:tcPr>
                        <w:tcW w:w="3397" w:type="dxa"/>
                      </w:tcPr>
                      <w:p>
                        <w:pPr>
                          <w:tabs>
                            <w:tab w:val="left" w:pos="1134"/>
                          </w:tabs>
                          <w:jc w:val="right"/>
                          <w:rPr>
                            <w:b/>
                            <w:color w:val="000000"/>
                            <w:szCs w:val="24"/>
                          </w:rPr>
                        </w:pPr>
                        <w:r>
                          <w:rPr>
                            <w:b/>
                            <w:color w:val="000000"/>
                            <w:szCs w:val="24"/>
                          </w:rPr>
                          <w:t>Iš viso:</w:t>
                        </w:r>
                      </w:p>
                    </w:tc>
                    <w:tc>
                      <w:tcPr>
                        <w:tcW w:w="1985" w:type="dxa"/>
                      </w:tcPr>
                      <w:p>
                        <w:pPr>
                          <w:tabs>
                            <w:tab w:val="left" w:pos="1134"/>
                          </w:tabs>
                          <w:jc w:val="center"/>
                          <w:rPr>
                            <w:color w:val="000000"/>
                            <w:szCs w:val="24"/>
                          </w:rPr>
                        </w:pPr>
                        <w:r>
                          <w:rPr>
                            <w:color w:val="000000"/>
                            <w:szCs w:val="24"/>
                          </w:rPr>
                          <w:t>14 700,00</w:t>
                        </w:r>
                      </w:p>
                    </w:tc>
                    <w:tc>
                      <w:tcPr>
                        <w:tcW w:w="2126" w:type="dxa"/>
                      </w:tcPr>
                      <w:p>
                        <w:pPr>
                          <w:tabs>
                            <w:tab w:val="left" w:pos="1134"/>
                          </w:tabs>
                          <w:jc w:val="center"/>
                          <w:rPr>
                            <w:color w:val="000000"/>
                            <w:szCs w:val="24"/>
                          </w:rPr>
                        </w:pPr>
                        <w:r>
                          <w:rPr>
                            <w:color w:val="000000"/>
                            <w:szCs w:val="24"/>
                          </w:rPr>
                          <w:t>26 460,00</w:t>
                        </w:r>
                      </w:p>
                    </w:tc>
                    <w:tc>
                      <w:tcPr>
                        <w:tcW w:w="2121" w:type="dxa"/>
                      </w:tcPr>
                      <w:p>
                        <w:pPr>
                          <w:tabs>
                            <w:tab w:val="left" w:pos="1134"/>
                          </w:tabs>
                          <w:jc w:val="center"/>
                          <w:rPr>
                            <w:color w:val="000000"/>
                            <w:szCs w:val="24"/>
                          </w:rPr>
                        </w:pPr>
                        <w:r>
                          <w:rPr>
                            <w:color w:val="000000"/>
                            <w:szCs w:val="24"/>
                          </w:rPr>
                          <w:t>35 280,00</w:t>
                        </w:r>
                      </w:p>
                    </w:tc>
                  </w:tr>
                  <w:tr>
                    <w:tc>
                      <w:tcPr>
                        <w:tcW w:w="3397" w:type="dxa"/>
                      </w:tcPr>
                      <w:p>
                        <w:pPr>
                          <w:tabs>
                            <w:tab w:val="left" w:pos="1134"/>
                          </w:tabs>
                          <w:rPr>
                            <w:b/>
                            <w:color w:val="000000"/>
                            <w:szCs w:val="24"/>
                          </w:rPr>
                        </w:pPr>
                        <w:r>
                          <w:rPr>
                            <w:b/>
                            <w:color w:val="000000"/>
                            <w:szCs w:val="24"/>
                          </w:rPr>
                          <w:t>Vidutinės pajamos už pradinuko bilietą, Eur</w:t>
                        </w:r>
                      </w:p>
                    </w:tc>
                    <w:tc>
                      <w:tcPr>
                        <w:tcW w:w="1985" w:type="dxa"/>
                        <w:vAlign w:val="center"/>
                      </w:tcPr>
                      <w:p>
                        <w:pPr>
                          <w:tabs>
                            <w:tab w:val="left" w:pos="1134"/>
                          </w:tabs>
                          <w:jc w:val="center"/>
                          <w:rPr>
                            <w:color w:val="000000"/>
                            <w:szCs w:val="24"/>
                          </w:rPr>
                        </w:pPr>
                        <w:r>
                          <w:rPr>
                            <w:color w:val="000000"/>
                            <w:szCs w:val="24"/>
                          </w:rPr>
                          <w:t>1 050,00</w:t>
                        </w:r>
                      </w:p>
                      <w:p>
                        <w:pPr>
                          <w:tabs>
                            <w:tab w:val="left" w:pos="1134"/>
                          </w:tabs>
                          <w:jc w:val="center"/>
                          <w:rPr>
                            <w:i/>
                            <w:color w:val="000000"/>
                            <w:sz w:val="20"/>
                          </w:rPr>
                        </w:pPr>
                        <w:r>
                          <w:rPr>
                            <w:i/>
                            <w:color w:val="000000"/>
                            <w:sz w:val="20"/>
                          </w:rPr>
                          <w:t>(10,00 Eur × 105)</w:t>
                        </w:r>
                      </w:p>
                    </w:tc>
                    <w:tc>
                      <w:tcPr>
                        <w:tcW w:w="2126" w:type="dxa"/>
                        <w:vAlign w:val="center"/>
                      </w:tcPr>
                      <w:p>
                        <w:pPr>
                          <w:tabs>
                            <w:tab w:val="left" w:pos="1134"/>
                          </w:tabs>
                          <w:jc w:val="center"/>
                          <w:rPr>
                            <w:color w:val="000000"/>
                            <w:szCs w:val="24"/>
                          </w:rPr>
                        </w:pPr>
                        <w:r>
                          <w:rPr>
                            <w:color w:val="000000"/>
                            <w:szCs w:val="24"/>
                          </w:rPr>
                          <w:t>1 050,00</w:t>
                        </w:r>
                      </w:p>
                      <w:p>
                        <w:pPr>
                          <w:tabs>
                            <w:tab w:val="left" w:pos="1134"/>
                          </w:tabs>
                          <w:jc w:val="center"/>
                          <w:rPr>
                            <w:i/>
                            <w:color w:val="000000"/>
                            <w:szCs w:val="24"/>
                          </w:rPr>
                        </w:pPr>
                        <w:r>
                          <w:rPr>
                            <w:i/>
                            <w:color w:val="000000"/>
                            <w:sz w:val="20"/>
                          </w:rPr>
                          <w:t>(10,00 Eur × 105)</w:t>
                        </w:r>
                      </w:p>
                    </w:tc>
                    <w:tc>
                      <w:tcPr>
                        <w:tcW w:w="2121" w:type="dxa"/>
                        <w:vAlign w:val="center"/>
                      </w:tcPr>
                      <w:p>
                        <w:pPr>
                          <w:tabs>
                            <w:tab w:val="left" w:pos="1134"/>
                          </w:tabs>
                          <w:jc w:val="center"/>
                          <w:rPr>
                            <w:color w:val="000000"/>
                            <w:szCs w:val="24"/>
                          </w:rPr>
                        </w:pPr>
                        <w:r>
                          <w:rPr>
                            <w:color w:val="000000"/>
                            <w:szCs w:val="24"/>
                          </w:rPr>
                          <w:t>1 050,00</w:t>
                        </w:r>
                      </w:p>
                      <w:p>
                        <w:pPr>
                          <w:tabs>
                            <w:tab w:val="left" w:pos="1134"/>
                          </w:tabs>
                          <w:jc w:val="center"/>
                          <w:rPr>
                            <w:i/>
                            <w:color w:val="000000"/>
                            <w:szCs w:val="24"/>
                          </w:rPr>
                        </w:pPr>
                        <w:r>
                          <w:rPr>
                            <w:i/>
                            <w:color w:val="000000"/>
                            <w:sz w:val="20"/>
                          </w:rPr>
                          <w:t>(10,00 Eur × 105)</w:t>
                        </w:r>
                      </w:p>
                    </w:tc>
                  </w:tr>
                </w:tbl>
                <w:p>
                  <w:pPr>
                    <w:tabs>
                      <w:tab w:val="left" w:pos="1134"/>
                    </w:tabs>
                    <w:ind w:firstLine="680"/>
                    <w:jc w:val="both"/>
                    <w:rPr>
                      <w:i/>
                      <w:color w:val="000000"/>
                      <w:szCs w:val="24"/>
                    </w:rPr>
                  </w:pPr>
                  <w:r>
                    <w:rPr>
                      <w:i/>
                      <w:color w:val="000000"/>
                      <w:szCs w:val="24"/>
                    </w:rPr>
                    <w:t>Skaičiavimai atlikti remiantis 2024 m. sausio – gegužės mėn. statistiniais duomenimis, imant, kad vidutiniškai 105 pradinukai per mėn. pasinaudoja paslaugomis.</w:t>
                  </w:r>
                </w:p>
                <w:p>
                  <w:pPr>
                    <w:tabs>
                      <w:tab w:val="left" w:pos="1134"/>
                    </w:tabs>
                    <w:ind w:firstLine="680"/>
                    <w:jc w:val="both"/>
                    <w:rPr>
                      <w:color w:val="000000"/>
                      <w:szCs w:val="24"/>
                    </w:rPr>
                  </w:pPr>
                </w:p>
                <w:p>
                  <w:pPr>
                    <w:tabs>
                      <w:tab w:val="left" w:pos="855"/>
                    </w:tabs>
                    <w:ind w:firstLine="680"/>
                    <w:jc w:val="both"/>
                    <w:rPr>
                      <w:szCs w:val="24"/>
                      <w:shd w:val="clear" w:color="auto" w:fill="FFFFFF"/>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w:t>
                  </w:r>
                </w:p>
                <w:p>
                  <w:pPr>
                    <w:tabs>
                      <w:tab w:val="left" w:pos="1134"/>
                    </w:tabs>
                    <w:ind w:firstLine="680"/>
                    <w:jc w:val="both"/>
                    <w:rPr>
                      <w:color w:val="000000"/>
                      <w:szCs w:val="24"/>
                    </w:rPr>
                  </w:pPr>
                  <w:r>
                    <w:rPr>
                      <w:color w:val="000000"/>
                      <w:szCs w:val="24"/>
                      <w:shd w:val="clear" w:color="auto" w:fill="FFFFFF"/>
                    </w:rPr>
                    <w:t>Galimos t</w:t>
                  </w:r>
                  <w:r>
                    <w:rPr>
                      <w:color w:val="000000"/>
                      <w:szCs w:val="24"/>
                    </w:rPr>
                    <w:t>eigiamos pasekmės: pradinuko bilietas formuotų ir ugdytų pradinių klasių moksleiviams socialinius įgūdžius naudotis viešuoju transportu ne tik mokslo metų laikotarpiu, bet ir vasaros atostogų metu.</w:t>
                  </w:r>
                </w:p>
                <w:p>
                  <w:pPr>
                    <w:ind w:firstLine="680"/>
                    <w:jc w:val="both"/>
                    <w:rPr>
                      <w:color w:val="000000"/>
                      <w:szCs w:val="24"/>
                    </w:rPr>
                  </w:pPr>
                  <w:r>
                    <w:rPr>
                      <w:color w:val="000000"/>
                      <w:szCs w:val="24"/>
                    </w:rPr>
                    <w:t>Galimos neigiamos pasekmės: nenumatyta.</w:t>
                  </w:r>
                </w:p>
              </w:sdtContent>
            </w:sdt>
            <w:sdt>
              <w:sdtPr>
                <w:alias w:val="poskyris"/>
                <w:tag w:val="part_034795c525a04ddcb42920f97f19e999"/>
                <w:lock w:val="sdtLocked"/>
                <w:richText/>
              </w:sdtPr>
              <w:sdtContent>
                <w:p>
                  <w:pPr>
                    <w:tabs>
                      <w:tab w:val="left" w:pos="855"/>
                    </w:tabs>
                    <w:ind w:firstLine="680"/>
                    <w:jc w:val="both"/>
                    <w:rPr>
                      <w:szCs w:val="24"/>
                    </w:rPr>
                  </w:pPr>
                  <w:sdt>
                    <w:sdtPr>
                      <w:alias w:val="Pavadinimas"/>
                      <w:tag w:val="title_034795c525a04ddcb42920f97f19e999"/>
                      <w:lock w:val="sdtLocked"/>
                      <w:richText/>
                    </w:sdtPr>
                    <w:sdtContent>
                      <w:r>
                        <w:rPr>
                          <w:b/>
                          <w:szCs w:val="24"/>
                          <w:shd w:val="clear" w:color="auto" w:fill="FFFFFF"/>
                        </w:rPr>
                        <w:t>Priėmus sprendimą, keičiami ar pripažįstami negaliojančiais teisės aktai</w:t>
                      </w:r>
                      <w:r>
                        <w:rPr>
                          <w:b/>
                          <w:szCs w:val="24"/>
                        </w:rPr>
                        <w:t>.</w:t>
                      </w:r>
                    </w:sdtContent>
                  </w:sdt>
                </w:p>
                <w:p>
                  <w:pPr>
                    <w:tabs>
                      <w:tab w:val="left" w:pos="1200"/>
                    </w:tabs>
                    <w:ind w:firstLine="680"/>
                    <w:jc w:val="both"/>
                    <w:rPr>
                      <w:color w:val="000000"/>
                      <w:szCs w:val="24"/>
                      <w:lang w:val="en-GB"/>
                    </w:rPr>
                  </w:pPr>
                  <w:r>
                    <w:rPr>
                      <w:rFonts w:eastAsia="Lucida Sans Unicode" w:cs="Tahoma"/>
                      <w:color w:val="000000"/>
                      <w:szCs w:val="24"/>
                      <w:shd w:val="clear" w:color="auto" w:fill="FFFFFF"/>
                    </w:rPr>
                    <w:t>Priėmus sprendimą, keičiamas Šiaulių miesto savivaldybės tarybos 2023 m. kovo 2 d. sprendimas Nr. T-67 „Dėl elektroninio bilieto su nuolaida, skirto važiuoti vietinio (miesto) reguliaraus susisiekimo autobusų maršrutais Šiaulių miesto savivaldybėje, įsigijimo ir naudojimo tvarkos aprašo patvirtinimo“.</w:t>
                  </w:r>
                </w:p>
              </w:sdtContent>
            </w:sdt>
            <w:sdt>
              <w:sdtPr>
                <w:alias w:val="poskyris"/>
                <w:tag w:val="part_a997b437eeff4e91949d04a658eb170d"/>
                <w:lock w:val="sdtLocked"/>
                <w:richText/>
              </w:sdtPr>
              <w:sdtContent>
                <w:p>
                  <w:pPr>
                    <w:tabs>
                      <w:tab w:val="left" w:pos="855"/>
                    </w:tabs>
                    <w:ind w:firstLine="680"/>
                    <w:jc w:val="both"/>
                    <w:rPr>
                      <w:szCs w:val="24"/>
                      <w:shd w:val="clear" w:color="auto" w:fill="FFFFFF"/>
                    </w:rPr>
                  </w:pPr>
                  <w:sdt>
                    <w:sdtPr>
                      <w:alias w:val="Pavadinimas"/>
                      <w:tag w:val="title_a997b437eeff4e91949d04a658eb170d"/>
                      <w:lock w:val="sdtLocked"/>
                      <w:richText/>
                    </w:sdtPr>
                    <w:sdtContent>
                      <w:r>
                        <w:rPr>
                          <w:b/>
                          <w:szCs w:val="24"/>
                          <w:shd w:val="clear" w:color="auto" w:fill="FFFFFF"/>
                        </w:rPr>
                        <w:t>Sprendimui įgyvendinti reikalingi priimti papildomi teisės aktai.</w:t>
                      </w:r>
                    </w:sdtContent>
                  </w:sdt>
                </w:p>
                <w:p>
                  <w:pPr>
                    <w:tabs>
                      <w:tab w:val="left" w:pos="855"/>
                    </w:tabs>
                    <w:ind w:firstLine="680"/>
                    <w:jc w:val="both"/>
                    <w:rPr>
                      <w:szCs w:val="24"/>
                      <w:shd w:val="clear" w:color="auto" w:fill="FFFFFF"/>
                    </w:rPr>
                  </w:pPr>
                  <w:r>
                    <w:rPr>
                      <w:szCs w:val="24"/>
                    </w:rPr>
                    <w:t>Sprendimui įgyvendinti papildomų teisės aktų priimti nereikia.</w:t>
                  </w:r>
                </w:p>
              </w:sdtContent>
            </w:sdt>
            <w:sdt>
              <w:sdtPr>
                <w:alias w:val="poskyris"/>
                <w:tag w:val="part_ec7be30f94944d3e98836033e105b5eb"/>
                <w:lock w:val="sdtLocked"/>
                <w:richText/>
              </w:sdtPr>
              <w:sdtContent>
                <w:p>
                  <w:pPr>
                    <w:tabs>
                      <w:tab w:val="left" w:pos="855"/>
                    </w:tabs>
                    <w:ind w:firstLine="680"/>
                    <w:jc w:val="both"/>
                    <w:rPr>
                      <w:szCs w:val="24"/>
                      <w:shd w:val="clear" w:color="auto" w:fill="FFFFFF"/>
                    </w:rPr>
                  </w:pPr>
                  <w:sdt>
                    <w:sdtPr>
                      <w:alias w:val="Pavadinimas"/>
                      <w:tag w:val="title_ec7be30f94944d3e98836033e105b5eb"/>
                      <w:lock w:val="sdtLocked"/>
                      <w:richText/>
                    </w:sdtPr>
                    <w:sdtContent>
                      <w:r>
                        <w:rPr>
                          <w:b/>
                          <w:szCs w:val="24"/>
                          <w:shd w:val="clear" w:color="auto" w:fill="FFFFFF"/>
                        </w:rPr>
                        <w:t>Sprendimui įgyvendinti reikalingos lėšos.</w:t>
                      </w:r>
                    </w:sdtContent>
                  </w:sdt>
                </w:p>
                <w:p>
                  <w:pPr>
                    <w:tabs>
                      <w:tab w:val="left" w:pos="1200"/>
                    </w:tabs>
                    <w:ind w:firstLine="680"/>
                    <w:jc w:val="both"/>
                    <w:rPr>
                      <w:color w:val="000000"/>
                      <w:szCs w:val="24"/>
                      <w:highlight w:val="yellow"/>
                    </w:rPr>
                  </w:pPr>
                  <w:r>
                    <w:rPr>
                      <w:color w:val="000000"/>
                      <w:szCs w:val="24"/>
                      <w:shd w:val="clear" w:color="auto" w:fill="FFFFFF"/>
                    </w:rPr>
                    <w:t>Sprendimui įgyvendinti lėšos nereikalingos.</w:t>
                  </w:r>
                </w:p>
                <w:p>
                  <w:pPr>
                    <w:ind w:firstLine="680"/>
                    <w:jc w:val="both"/>
                    <w:rPr>
                      <w:szCs w:val="24"/>
                      <w:shd w:val="clear" w:color="auto" w:fill="FFFFFF"/>
                    </w:rPr>
                  </w:pPr>
                  <w:r>
                    <w:rPr>
                      <w:b/>
                      <w:szCs w:val="24"/>
                      <w:shd w:val="clear" w:color="auto" w:fill="FFFFFF"/>
                    </w:rPr>
                    <w:t xml:space="preserve">Sprendimo projekto antikorupcinis vertinimas </w:t>
                  </w:r>
                  <w:r>
                    <w:rPr>
                      <w:i/>
                      <w:szCs w:val="24"/>
                      <w:shd w:val="clear" w:color="auto" w:fill="FFFFFF"/>
                    </w:rPr>
                    <w:t>(jei tokį vertinimą reikia atlikti, nurodoma, kad pridedama Antikorupcinio vertinimo pažyma)</w:t>
                  </w:r>
                  <w:r>
                    <w:rPr>
                      <w:szCs w:val="24"/>
                      <w:shd w:val="clear" w:color="auto" w:fill="FFFFFF"/>
                    </w:rPr>
                    <w:t>.</w:t>
                  </w:r>
                </w:p>
                <w:p>
                  <w:pPr>
                    <w:ind w:firstLine="680"/>
                    <w:jc w:val="both"/>
                    <w:rPr>
                      <w:kern w:val="2"/>
                      <w:szCs w:val="24"/>
                      <w:shd w:val="clear" w:color="auto" w:fill="FFFFFF"/>
                    </w:rPr>
                  </w:pPr>
                  <w:r>
                    <w:rPr>
                      <w:szCs w:val="24"/>
                      <w:shd w:val="clear" w:color="auto" w:fill="FFFFFF"/>
                    </w:rPr>
                    <w:t>A</w:t>
                  </w:r>
                  <w:r>
                    <w:rPr>
                      <w:szCs w:val="24"/>
                    </w:rPr>
                    <w:t xml:space="preserve">ntikorupciniu požiūriu sprendimo projektas vertintas, </w:t>
                  </w:r>
                  <w:r>
                    <w:rPr>
                      <w:szCs w:val="24"/>
                      <w:shd w:val="clear" w:color="auto" w:fill="FFFFFF"/>
                    </w:rPr>
                    <w:t>antikorupcinio vertinimo pažyma pridedama.</w:t>
                  </w:r>
                </w:p>
                <w:p>
                  <w:pPr>
                    <w:tabs>
                      <w:tab w:val="left" w:pos="855"/>
                    </w:tabs>
                    <w:ind w:firstLine="68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Ekonomikos ir investicijų skyrius. Ekonomikos ir investicijų skyriaus vedėja – Aistė Petkuvienė. Tiesioginis rengėjas – patarėja, Laura Bračaitė-Štabokienė, tel. (8 41) 383 435. Projekto iniciatoriai: Ekonomikos ir investicijų skyrius.</w:t>
                  </w:r>
                </w:p>
                <w:p>
                  <w:pPr>
                    <w:tabs>
                      <w:tab w:val="left" w:pos="855"/>
                    </w:tabs>
                    <w:ind w:firstLine="680"/>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b/>
                      <w:szCs w:val="24"/>
                      <w:shd w:val="clear" w:color="auto" w:fill="FFFFFF"/>
                    </w:rPr>
                    <w:t xml:space="preserve"> </w:t>
                  </w:r>
                  <w:r>
                    <w:rPr>
                      <w:i/>
                      <w:szCs w:val="24"/>
                      <w:shd w:val="clear" w:color="auto" w:fill="FFFFFF"/>
                    </w:rPr>
                    <w:t>(jei tokį vertinimą reikia atlikti)</w:t>
                  </w:r>
                  <w:r>
                    <w:rPr>
                      <w:szCs w:val="24"/>
                      <w:shd w:val="clear" w:color="auto" w:fill="FFFFFF"/>
                    </w:rPr>
                    <w:t>.</w:t>
                  </w:r>
                </w:p>
                <w:p>
                  <w:pPr>
                    <w:tabs>
                      <w:tab w:val="left" w:pos="855"/>
                    </w:tabs>
                    <w:ind w:firstLine="680"/>
                    <w:jc w:val="both"/>
                    <w:rPr>
                      <w:szCs w:val="24"/>
                      <w:shd w:val="clear" w:color="auto" w:fill="FFFFFF"/>
                    </w:rPr>
                  </w:pPr>
                  <w:r>
                    <w:rPr>
                      <w:szCs w:val="24"/>
                      <w:shd w:val="clear" w:color="auto" w:fill="FFFFFF"/>
                    </w:rPr>
                    <w:t>Neatlikta ir nenumatyta.</w:t>
                  </w:r>
                </w:p>
                <w:p>
                  <w:pPr>
                    <w:rPr>
                      <w:color w:val="000000"/>
                      <w:szCs w:val="24"/>
                    </w:rPr>
                  </w:pPr>
                </w:p>
                <w:p>
                  <w:pPr>
                    <w:rPr>
                      <w:color w:val="000000"/>
                      <w:szCs w:val="24"/>
                    </w:rPr>
                  </w:pPr>
                </w:p>
              </w:sdtContent>
            </w:sdt>
          </w:sdtContent>
        </w:sdt>
        <w:sdt>
          <w:sdtPr>
            <w:alias w:val="signatura"/>
            <w:tag w:val="part_1d6117d0a8d54bada94c255a987f7703"/>
            <w:lock w:val="sdtLocked"/>
            <w:richText/>
          </w:sdtPr>
          <w:sdtContent>
            <w:p>
              <w:pPr>
                <w:widowControl w:val="0"/>
                <w:tabs>
                  <w:tab w:val="right" w:pos="9638"/>
                </w:tabs>
                <w:suppressAutoHyphens/>
                <w:ind w:right="-1"/>
                <w:jc w:val="both"/>
                <w:rPr>
                  <w:rFonts w:eastAsia="Lucida Sans Unicode"/>
                  <w:color w:val="000000"/>
                  <w:szCs w:val="24"/>
                </w:rPr>
              </w:pPr>
              <w:r>
                <w:rPr>
                  <w:rFonts w:eastAsia="Lucida Sans Unicode"/>
                  <w:color w:val="000000"/>
                  <w:szCs w:val="24"/>
                </w:rPr>
                <w:t>Patarėja, pavaduojanti skyriaus vedėją</w:t>
                <w:tab/>
                <w:t>Laura Bračaitė-Štabokienė</w:t>
              </w: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1134" w:right="567" w:bottom="1134"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end"/>
    </w:r>
  </w:p>
  <w:p>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3</w:t>
    </w:r>
    <w:r>
      <w:rPr>
        <w:lang w:val="x-none" w:eastAsia="x-none"/>
      </w:rPr>
      <w:fldChar w:fldCharType="end"/>
    </w:r>
  </w:p>
  <w:p>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E754F4-400A-48C9-B4F9-BB18D744CEF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77990285">
      <w:bodyDiv w:val="1"/>
      <w:marLeft w:val="0"/>
      <w:marRight w:val="0"/>
      <w:marTop w:val="0"/>
      <w:marBottom w:val="0"/>
      <w:divBdr>
        <w:top w:val="none" w:sz="0" w:space="0" w:color="auto"/>
        <w:left w:val="none" w:sz="0" w:space="0" w:color="auto"/>
        <w:bottom w:val="none" w:sz="0" w:space="0" w:color="auto"/>
        <w:right w:val="none" w:sz="0" w:space="0" w:color="auto"/>
      </w:divBdr>
    </w:div>
    <w:div w:id="801506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5a71a3ac276472e81d267f80f49e8af" PartId="5402f77f61d6442fb53fe56d31d7682a">
    <Part Type="skyrius" Nr="999" Title="SPRENDIMO „DĖL ŠIAULIŲ MIESTO SAVIVALDYBĖS TARYBOS 2022 M. GRUODŽIO 22 D. SPRENDIMO NR. T-428 „DĖL KELEIVIŲ VEŽIMO VIETINIO (MIESTO) REGULIARAUS SUSISIEKIMO AUTOBUSŲ MARŠRUTAIS ŠIAULIŲ MIESTO SAVIVALDYBĖJE KAINŲ NUSTATYMO“ PAKEITIMO“ PROJEKTO AIŠKINAMASIS RAŠTAS" DocPartId="0795ee0c027247279e57a9cd46a8cc36" PartId="334175e552f848c08811b7d50758e330">
      <Part Type="poskyris" Title="Parengto sprendimo projekto tikslai ir uždaviniai." DocPartId="68a751646f884117b2eb372f8a83b943" PartId="e3d4caee9b2847719f1baddd3645ec6e"/>
      <Part Type="poskyris" Title="Dabartinis sprendimo projekte aptariamų klausimų reguliavimas." DocPartId="ac1820d033204b00899125c2b5a53470" PartId="bedf1ea604384f6cbd996d1092eb67be"/>
      <Part Type="poskyris" Title="Sprendimo projekte numatytos naujos teisinio reglamentavimo nuostatos." DocPartId="a538e268152f426dbf74184589bf6040" PartId="2879046c294943acb2f12126ea384b20"/>
      <Part Type="poskyris" Title="Priėmus sprendimą, keičiami ar pripažįstami negaliojančiais teisės aktai." DocPartId="922e1d5fb5cb4d2784da373e9d930fa9" PartId="034795c525a04ddcb42920f97f19e999"/>
      <Part Type="poskyris" Title="Sprendimui įgyvendinti reikalingi priimti papildomi teisės aktai." DocPartId="be9abaee48fa4999a0a956864fb17eff" PartId="a997b437eeff4e91949d04a658eb170d"/>
      <Part Type="poskyris" Title="Sprendimui įgyvendinti reikalingos lėšos." DocPartId="a6c5cc1b0a144303b59ce69457b954d0" PartId="ec7be30f94944d3e98836033e105b5eb"/>
    </Part>
    <Part Type="signatura" DocPartId="2b47480227184a48b5037454ec24e555" PartId="1d6117d0a8d54bada94c255a987f7703"/>
  </Part>
</Parts>
</file>

<file path=customXml/itemProps1.xml><?xml version="1.0" encoding="utf-8"?>
<ds:datastoreItem xmlns:ds="http://schemas.openxmlformats.org/officeDocument/2006/customXml" ds:itemID="{4B2962F4-C592-4605-80C5-D771C96B2D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797</Words>
  <Characters>5241</Characters>
  <Application>Microsoft Office Word</Application>
  <DocSecurity>4</DocSecurity>
  <Lines>124</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2024-07-26T16:49:00Z</dcterms:created>
  <dc:creator>Dovilė Žukauskienė</dc:creator>
  <lastModifiedBy>adlibuser</lastModifiedBy>
  <dcterms:modified xsi:type="dcterms:W3CDTF">2024-07-26T16:49:00Z</dcterms:modified>
  <revision>2</revision>
</coreProperties>
</file>