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dc3e81a95c1448699e7010a2701031e"/>
        <w:lock w:val="sdtLocked"/>
        <w:richText/>
      </w:sdtPr>
      <w:sdtContent>
        <w:p w14:paraId="7CF27918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8F9C92B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ANTIKORUPCINIO VERTINIMO PAŽYMA</w:t>
          </w:r>
        </w:p>
        <w:sdt>
          <w:sdtPr>
            <w:alias w:val="preambule"/>
            <w:tag w:val="part_bd786b4cd0074b458bf0bf2377ae531c"/>
            <w:lock w:val="sdtLocked"/>
            <w:richText/>
          </w:sdtPr>
          <w:sdtContent>
            <w:p w14:paraId="464652DA" w14:textId="4C84D735">
              <w:pPr>
                <w:tabs>
                  <w:tab w:val="left" w:pos="42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Teisės akto projekto pavadinimas:</w:t>
              </w:r>
              <w:r>
                <w:rPr>
                  <w:szCs w:val="24"/>
                  <w:lang w:eastAsia="lt-LT"/>
                </w:rPr>
                <w:t xml:space="preserve"> Žemės ūkio ministro įsakymo „</w:t>
              </w:r>
              <w:r>
                <w:rPr>
                  <w:color w:val="000000"/>
                  <w:szCs w:val="24"/>
                  <w:lang w:eastAsia="lt-LT"/>
                </w:rPr>
                <w:t>Dėl Lietuvos žuvininkystės sektoriaus 2021‒2027 metų programos antrojo prioriteto „</w:t>
              </w:r>
              <w:r>
                <w:rPr>
                  <w:szCs w:val="24"/>
                  <w:lang w:eastAsia="lt-LT"/>
                </w:rPr>
                <w:t>darnios akvakultūros veiklos skatinimas ir žvejybos bei akvakultūros produktų perdirbimas ir prekyba jais, taip prisidedant prie aprūpinimo maistu saugumo sąjungoje</w:t>
              </w:r>
              <w:r>
                <w:rPr>
                  <w:color w:val="000000"/>
                  <w:szCs w:val="24"/>
                  <w:lang w:eastAsia="lt-LT"/>
                </w:rPr>
                <w:t>“ priemonės „</w:t>
              </w:r>
              <w:r>
                <w:rPr>
                  <w:szCs w:val="24"/>
                  <w:lang w:eastAsia="lt-LT"/>
                </w:rPr>
                <w:t xml:space="preserve">ekologinė akvakultūros gamyba“ </w:t>
              </w:r>
              <w:r>
                <w:rPr>
                  <w:color w:val="000000"/>
                  <w:szCs w:val="24"/>
                  <w:lang w:eastAsia="lt-LT"/>
                </w:rPr>
                <w:t>kompensacijų skyrimo sąlygų aprašo patvirtinimo</w:t>
              </w:r>
              <w:r>
                <w:rPr>
                  <w:szCs w:val="24"/>
                  <w:lang w:eastAsia="lt-LT"/>
                </w:rPr>
                <w:t xml:space="preserve">“ projektas. </w:t>
              </w:r>
            </w:p>
          </w:sdtContent>
        </w:sdt>
        <w:sdt>
          <w:sdtPr>
            <w:alias w:val="pastraipa"/>
            <w:tag w:val="part_f40b4462ef804ffaae8a908bb41de628"/>
            <w:lock w:val="sdtLocked"/>
            <w:richText/>
          </w:sdtPr>
          <w:sdtContent>
            <w:p w14:paraId="2C5F9C24" w14:textId="40229451">
              <w:pPr>
                <w:tabs>
                  <w:tab w:val="left" w:pos="42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Teisės akto pakeitimo siūlymo projekto tiesioginis rengėjas:</w:t>
              </w:r>
              <w:r>
                <w:rPr>
                  <w:szCs w:val="24"/>
                  <w:lang w:eastAsia="lt-LT"/>
                </w:rPr>
                <w:t xml:space="preserve"> Žemės ūkio ministerijos Europos Sąjungos paramos žuvininkystei skyriaus patarėja Jūratė Masiulienė, tel. 523 91184 el. p. jurate.masiuliene@zum.lt</w:t>
              </w:r>
            </w:p>
            <w:p w14:paraId="6AF5CE24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388b2cfa6ef142f4bbc7514a9e792875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8"/>
                <w:gridCol w:w="1609"/>
                <w:gridCol w:w="1496"/>
                <w:gridCol w:w="3189"/>
                <w:gridCol w:w="1238"/>
                <w:gridCol w:w="3217"/>
                <w:gridCol w:w="2438"/>
              </w:tblGrid>
              <w:tr w14:paraId="2E3AACD3" w14:textId="77777777">
                <w:trPr>
                  <w:trHeight w:val="23"/>
                  <w:tblHeader/>
                </w:trPr>
                <w:tc>
                  <w:tcPr>
                    <w:tcW w:w="698" w:type="dxa"/>
                    <w:shd w:val="clear" w:color="auto" w:fill="auto"/>
                    <w:vAlign w:val="center"/>
                  </w:tcPr>
                  <w:p w14:paraId="72F23CB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  <w:vAlign w:val="center"/>
                  </w:tcPr>
                  <w:p w14:paraId="520FA885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Kriterijus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  <w:vAlign w:val="center"/>
                  </w:tcPr>
                  <w:p w14:paraId="3DC0DC25" w14:textId="77777777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Pagrindimas (nurodomos konkrečios teisės akto projekto ar kitų teisės aktų nuostatos, pagrindžiančios teigiamą atsakymą, arba pateikiamos antikorupcinį teisės akto projekto vertinimą atliekančio specialisto pastabos ir pasiūlymai dėl korupcijos rizikos mažinimo)</w:t>
                    </w:r>
                  </w:p>
                </w:tc>
                <w:tc>
                  <w:tcPr>
                    <w:tcW w:w="3217" w:type="dxa"/>
                    <w:shd w:val="clear" w:color="auto" w:fill="auto"/>
                    <w:vAlign w:val="center"/>
                  </w:tcPr>
                  <w:p w14:paraId="2ACA4B8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projekto pakeitimas, mažinantis korupcijos riziką, arba teisės akto projekto tiesioginio rengėjo argumentai, kodėl neatsižvelgta į pastabą</w:t>
                    </w:r>
                  </w:p>
                </w:tc>
                <w:tc>
                  <w:tcPr>
                    <w:tcW w:w="2438" w:type="dxa"/>
                    <w:shd w:val="clear" w:color="auto" w:fill="auto"/>
                    <w:vAlign w:val="center"/>
                  </w:tcPr>
                  <w:p w14:paraId="2DBFB2CA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Išvada dėl teisės akto projekto pakeitimų arba argumentų, kodėl neatsižvelgta į pastabą</w:t>
                    </w:r>
                  </w:p>
                </w:tc>
              </w:tr>
              <w:tr w14:paraId="31F38446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1C04F265" w14:textId="77777777">
                    <w:pPr>
                      <w:jc w:val="both"/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04D3DB12" w14:textId="77777777">
                    <w:pPr>
                      <w:jc w:val="both"/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  <w:vAlign w:val="center"/>
                  </w:tcPr>
                  <w:p w14:paraId="4E87F4DD" w14:textId="77777777">
                    <w:pPr>
                      <w:jc w:val="both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pildo teisės akto projekto vertintojas</w:t>
                    </w:r>
                  </w:p>
                </w:tc>
                <w:tc>
                  <w:tcPr>
                    <w:tcW w:w="3217" w:type="dxa"/>
                    <w:shd w:val="clear" w:color="auto" w:fill="auto"/>
                    <w:vAlign w:val="center"/>
                  </w:tcPr>
                  <w:p w14:paraId="50C9AC62" w14:textId="77777777">
                    <w:pPr>
                      <w:jc w:val="both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pildo teisės akto projekto tiesioginis rengėjas</w:t>
                    </w:r>
                  </w:p>
                </w:tc>
                <w:tc>
                  <w:tcPr>
                    <w:tcW w:w="2438" w:type="dxa"/>
                    <w:shd w:val="clear" w:color="auto" w:fill="auto"/>
                    <w:vAlign w:val="center"/>
                  </w:tcPr>
                  <w:p w14:paraId="63E70D3B" w14:textId="77777777">
                    <w:pPr>
                      <w:jc w:val="both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pildo teisės akto projekto vertintojas</w:t>
                    </w:r>
                  </w:p>
                </w:tc>
              </w:tr>
              <w:tr w14:paraId="6BF4F51C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6626443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651433E5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nesudaro išskirtinių ar nevienodų sąlygų subjektams, su kuriais susijęs teisės akto įgyvendinimas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5317B55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nesudaro išskirtinių ar nevienodų sąlygų subjektams, su kuriais susijęs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4F9428E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01F1705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266FBEA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27F2E37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2C0D3D4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12F56A1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514CD073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2F6C28D0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63666DEE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nėra spragų ar nuostatų, leisiančių dviprasmiškai aiškinti ir taikyti teisės aktą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6B94306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nėra spragų ar nuostatų, leisiančių dviprasmiškai aiškinti ir taikyti teisės aktą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2F11E3AB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5C57E186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3273B9AE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1CA7268C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537E96A2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3A65B385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6AA4DA05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1B1A5C6C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0AE5B56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296DF4C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nustatyta, kad sprendimą dėl teisių suteikimo, apribojimų nustatymo, sankcijų taikymo ir panašiai priimantis subjektas atskirtas nuo šių sprendimų teisėtumą ir įgyvendinimą kontroliuojančio (prižiūrinčio) subjekto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7A5482DB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34C499A0" w14:textId="0C9CAC09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75465568" w14:textId="53EECE1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□tenkina</w:t>
                    </w:r>
                  </w:p>
                  <w:p w14:paraId="26475F2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36A77233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5D585B5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21B637E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nustatyti subjekto įgaliojimai (teisės) atitinka subjekto atliekamas funkcijas (pareigas)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668C9F4B" w14:textId="2B617F0A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3BC7E76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7F05F8A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2320A6B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59722FE0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50D4D436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0FDDF29D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nustatytas baigtinis sprendimo priėmimo kriterijų (atvejų) sąrašas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50B12017" w14:textId="324B10AA">
                    <w:pPr>
                      <w:jc w:val="both"/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_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3628EEE5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5B61872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478BCE32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6DD475C4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0CA38AC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7910BFE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nustatytas baigtinis sąrašas motyvuotų atvejų, kai priimant sprendimus taikomos išimtys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129FBEB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_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15634CD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1D86B077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532C841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645CDA3F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0AB6D35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22D79E0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 sprendimų priėmimo, įforminimo tvarka ir priimtų sprendimų viešinimas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44D66D6D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- 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7130C43D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76E5499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55457315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12F5D107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592D991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45582C3A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 sprendimų dėl mažareikšmiškumo priėmimo tvarka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62A5917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04CAB816" w14:textId="77777777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7004D165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03E212B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34DAF73A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7B60B06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475BC4AB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Jeigu pagal numatomą reguliavimą sprendimus priima kolegialus subjektas, teisės akto projekte nustatyta kolegialaus sprendimus priimančio subjekto:</w:t>
                    </w:r>
                  </w:p>
                  <w:p w14:paraId="2694B3F5" w14:textId="77777777">
                    <w:pPr>
                      <w:ind w:left="33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9.1. konkretus narių skaičius, užtikrinantis kolegialaus sprendimus priimančio subjekto veiklos objektyvumą;</w:t>
                    </w:r>
                  </w:p>
                  <w:p w14:paraId="31C87DB2" w14:textId="77777777">
                    <w:pPr>
                      <w:ind w:left="33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9.2. jeigu narius skiria keli subjektai, proporcinga kiekvieno subjekto skiriamų narių dalis, užtikrinanti tinkamą atstovavimą valstybės interesams ir kolegialaus sprendimus priimančio subjekto veiklos objektyvumą ir skaidrumą;</w:t>
                    </w:r>
                  </w:p>
                  <w:p w14:paraId="738AD846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9.3</w:t>
                    </w:r>
                    <w:r>
                      <w:rPr>
                        <w:spacing w:val="-4"/>
                        <w:szCs w:val="24"/>
                        <w:lang w:eastAsia="lt-LT"/>
                      </w:rPr>
                      <w:t>. narių skyrimo mechanizmas;</w:t>
                    </w:r>
                  </w:p>
                  <w:p w14:paraId="3097E1A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9.4. narių rotacija ir kadencijų skaičius ir trukmė;</w:t>
                    </w:r>
                  </w:p>
                  <w:p w14:paraId="4DB79C0E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9.5. veiklos pobūdis laiko atžvilgiu;</w:t>
                    </w:r>
                  </w:p>
                  <w:p w14:paraId="17EA924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9.6. individuali narių atsakomybė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1CF9F1A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3BB7666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05E18BF7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38C33BD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3D30E698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4F4B434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156131D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projekto nuostatoms įgyvendinti numatytos administracinės procedūros yra 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būtinos,</w:t>
                    </w:r>
                    <w:r>
                      <w:rPr>
                        <w:szCs w:val="24"/>
                        <w:lang w:eastAsia="lt-LT"/>
                      </w:rPr>
                      <w:t xml:space="preserve"> nustatyta išsami jų taikymo tvarka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4CC1FBA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48DFAA0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478BAF0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54C5A3F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41E2D731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180B2C37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7FABE908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nustatytas baigtinis sąrašas motyvuotų atvejų, kai administracinė procedūra netaikoma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0117DACF" w14:textId="77777777">
                    <w:pPr>
                      <w:keepNext/>
                      <w:jc w:val="both"/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0B31F744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16E7AACC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509010D7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6F7295B6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3666551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0EDBD2A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nustato jo nuostatoms įgyvendinti numatytų administracinių procedūrų ir sprendimo priėmimo konkrečius terminus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222C8B4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21E841B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662DED4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0AF4E14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3F1C81DA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19E6672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3710C6C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nustato motyvuotas terminų sustabdymo ir pratęsimo galimybes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19A7425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- 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40A919B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324B481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0D1A257A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430FBD67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43AE5B7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12F6D05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nustato administracinių procedūrų viešinimo tvarką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21A2C49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7C5B9BEE" w14:textId="77777777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6179EE92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1DC253A6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674F2C52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4DE1F7CD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70EC561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nustato kontrolės (priežiūros) procedūrą ir aiškius jos atlikimo kriterijus (atvejus, dažnį, fiksavimą, kontrolės rezultatų viešinimą ir panašiai)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35AF189B" w14:textId="77777777">
                    <w:pPr>
                      <w:jc w:val="both"/>
                      <w:rPr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194FB5F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2204C5C2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2C23751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0DC9A6E8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63643E7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17BE7FE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nustatytos kontrolės (priežiūros) skaidrumo ir objektyvumo užtikrinimo priemonės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023CAA3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6C5BB54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1546842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4D493D8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3740C6C3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0C14BD5E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12B183A3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nustatyta subjektų, su kuriais susijęs teisės akto projekto nuostatų įgyvendinimas, atsakomybės rūšis (tarnybinė, administracinė, baudžiamoji ir panašiai)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3F13B871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729791AD" w14:textId="77777777">
                    <w:pPr>
                      <w:keepNext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3BBC96C1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tenkina,</w:t>
                    </w:r>
                  </w:p>
                  <w:p w14:paraId="4CF03C29" w14:textId="77777777">
                    <w:pPr>
                      <w:keepNext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509205E7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4B1606D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27109A48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numatytas baigtinis sąrašas kriterijų, pagal kuriuos skiriama nuobauda (sankcija) už teisės akto projekte nustatytų nurodymų nevykdymą, ir nustatyta aiški jos skyrimo procedūra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42FB7687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43FEDFA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23D5DB0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5E3FCC6B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2A6514F5" w14:textId="77777777">
                <w:trPr>
                  <w:trHeight w:val="23"/>
                </w:trPr>
                <w:tc>
                  <w:tcPr>
                    <w:tcW w:w="698" w:type="dxa"/>
                    <w:shd w:val="clear" w:color="auto" w:fill="auto"/>
                  </w:tcPr>
                  <w:p w14:paraId="0CF95161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19.</w:t>
                    </w:r>
                  </w:p>
                </w:tc>
                <w:tc>
                  <w:tcPr>
                    <w:tcW w:w="3105" w:type="dxa"/>
                    <w:gridSpan w:val="2"/>
                    <w:shd w:val="clear" w:color="auto" w:fill="auto"/>
                  </w:tcPr>
                  <w:p w14:paraId="53B39D46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Kiti svarbūs kriterijai</w:t>
                    </w:r>
                  </w:p>
                </w:tc>
                <w:tc>
                  <w:tcPr>
                    <w:tcW w:w="4427" w:type="dxa"/>
                    <w:gridSpan w:val="2"/>
                    <w:shd w:val="clear" w:color="auto" w:fill="auto"/>
                  </w:tcPr>
                  <w:p w14:paraId="2CA5789F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217" w:type="dxa"/>
                    <w:shd w:val="clear" w:color="auto" w:fill="auto"/>
                  </w:tcPr>
                  <w:p w14:paraId="63113EB5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38" w:type="dxa"/>
                    <w:shd w:val="clear" w:color="auto" w:fill="auto"/>
                  </w:tcPr>
                  <w:p w14:paraId="279F8284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14:paraId="2D5ED6D9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14:paraId="08ACF12C" w14:textId="77777777">
                <w:tblPrEx>
                  <w:tblBorders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insideH w:val="none" w:sz="0" w:space="0" w:color="auto"/>
                    <w:insideV w:val="none" w:sz="0" w:space="0" w:color="auto"/>
                  </w:tblBorders>
                </w:tblPrEx>
                <w:trPr>
                  <w:gridAfter w:val="3"/>
                  <w:wAfter w:w="6893" w:type="dxa"/>
                  <w:trHeight w:val="859"/>
                </w:trPr>
                <w:tc>
                  <w:tcPr>
                    <w:tcW w:w="2307" w:type="dxa"/>
                    <w:gridSpan w:val="2"/>
                    <w:shd w:val="clear" w:color="auto" w:fill="auto"/>
                  </w:tcPr>
                  <w:p w14:paraId="693B5D2C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25724192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projekto vertintojas:                      </w:t>
                    </w:r>
                  </w:p>
                </w:tc>
                <w:tc>
                  <w:tcPr>
                    <w:tcW w:w="4685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2B4A36B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5920BDB3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Teisėkūros ir atstovavimo skyriaus </w:t>
                    </w:r>
                  </w:p>
                  <w:p w14:paraId="581A6BF8" w14:textId="7E6D244D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vyr. specialistas Laimonas Žemaitis</w:t>
                    </w:r>
                  </w:p>
                </w:tc>
              </w:tr>
              <w:tr w14:paraId="73AFA261" w14:textId="77777777">
                <w:tblPrEx>
                  <w:tblBorders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insideH w:val="none" w:sz="0" w:space="0" w:color="auto"/>
                    <w:insideV w:val="none" w:sz="0" w:space="0" w:color="auto"/>
                  </w:tblBorders>
                </w:tblPrEx>
                <w:trPr>
                  <w:gridAfter w:val="3"/>
                  <w:wAfter w:w="6893" w:type="dxa"/>
                  <w:trHeight w:val="23"/>
                </w:trPr>
                <w:tc>
                  <w:tcPr>
                    <w:tcW w:w="2307" w:type="dxa"/>
                    <w:gridSpan w:val="2"/>
                    <w:shd w:val="clear" w:color="auto" w:fill="auto"/>
                  </w:tcPr>
                  <w:p w14:paraId="4478E8DE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85" w:type="dxa"/>
                    <w:gridSpan w:val="2"/>
                    <w:tcBorders>
                      <w:top w:val="single" w:sz="4" w:space="0" w:color="auto"/>
                    </w:tcBorders>
                    <w:shd w:val="clear" w:color="auto" w:fill="auto"/>
                  </w:tcPr>
                  <w:p w14:paraId="6D8A74CC" w14:textId="77777777">
                    <w:pPr>
                      <w:ind w:left="-11" w:firstLine="11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(pareigos)                             (vardas ir pavardė)</w:t>
                    </w:r>
                  </w:p>
                </w:tc>
              </w:tr>
            </w:tbl>
            <w:p w14:paraId="33F54F36" w14:textId="77777777">
              <w:pPr>
                <w:tabs>
                  <w:tab w:val="left" w:pos="6237"/>
                </w:tabs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1134" w:bottom="993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B1483A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1916319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FF7710" w14:textId="77777777">
    <w:pPr>
      <w:tabs>
        <w:tab w:val="center" w:pos="4153"/>
        <w:tab w:val="right" w:pos="8306"/>
      </w:tabs>
      <w:rPr>
        <w:sz w:val="20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BE52C0" w14:textId="77777777">
    <w:pPr>
      <w:tabs>
        <w:tab w:val="center" w:pos="4153"/>
        <w:tab w:val="right" w:pos="8306"/>
      </w:tabs>
      <w:rPr>
        <w:sz w:val="20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B278E4" w14:textId="77777777">
    <w:pPr>
      <w:tabs>
        <w:tab w:val="center" w:pos="4153"/>
        <w:tab w:val="right" w:pos="8306"/>
      </w:tabs>
      <w:rPr>
        <w:sz w:val="20"/>
        <w:lang w:val="x-none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7D0638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6B0750E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213871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77F03BF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C4089C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8</w:t>
    </w:r>
    <w:r>
      <w:rPr>
        <w:lang w:eastAsia="lt-LT"/>
      </w:rPr>
      <w:fldChar w:fldCharType="end"/>
    </w:r>
  </w:p>
  <w:p w14:paraId="258B0F55" w14:textId="77777777">
    <w:pPr>
      <w:tabs>
        <w:tab w:val="center" w:pos="4153"/>
        <w:tab w:val="right" w:pos="8306"/>
      </w:tabs>
      <w:rPr>
        <w:lang w:eastAsia="lt-LT"/>
      </w:rPr>
    </w:pPr>
  </w:p>
  <w:p w14:paraId="62D7EE5E" w14:textId="77777777">
    <w:pPr>
      <w:tabs>
        <w:tab w:val="center" w:pos="4153"/>
        <w:tab w:val="right" w:pos="8306"/>
      </w:tabs>
      <w:jc w:val="center"/>
      <w:rPr>
        <w:lang w:eastAsia="lt-LT"/>
      </w:rPr>
    </w:pPr>
  </w:p>
  <w:p w14:paraId="10E078B9" w14:textId="77777777"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C9B8E" w14:textId="7777777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C2AFA6"/>
  <w15:chartTrackingRefBased/>
  <w15:docId w15:val="{9BD2C60B-2418-49A6-85F6-B1B84FD6B91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0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78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99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9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3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58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9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ee81a6ba5744854971887cf762ffbde" PartId="0dc3e81a95c1448699e7010a2701031e">
    <Part Type="preambule" DocPartId="8d2d692719d842b5a12b5fa6f68f2b8f" PartId="bd786b4cd0074b458bf0bf2377ae531c"/>
    <Part Type="pastraipa" DocPartId="e51144bc90754176b37cb2c864759c46" PartId="f40b4462ef804ffaae8a908bb41de628"/>
    <Part Type="lentele" DocPartId="139fcb9c37424b899f8e48fe5aca246c" PartId="388b2cfa6ef142f4bbc7514a9e792875"/>
  </Part>
</Parts>
</file>

<file path=customXml/itemProps1.xml><?xml version="1.0" encoding="utf-8"?>
<ds:datastoreItem xmlns:ds="http://schemas.openxmlformats.org/officeDocument/2006/customXml" ds:itemID="{F6EBA90B-BC08-43B8-BA68-20470FC8B0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CE81BF-32FB-44B6-8AEB-39CD201AA8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645</Words>
  <Characters>4401</Characters>
  <Application>Microsoft Office Word</Application>
  <DocSecurity>4</DocSecurity>
  <Lines>275</Lines>
  <Paragraphs>132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4914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2023-09-26T12:26:00Z</dcterms:created>
  <dc:creator>lrvk</dc:creator>
  <lastModifiedBy>adlibuser</lastModifiedBy>
  <lastPrinted>2018-06-19T12:01:00Z</lastPrinted>
  <dcterms:modified xsi:type="dcterms:W3CDTF">2023-09-26T12:26:00Z</dcterms:modified>
  <revision>2</revision>
</coreProperties>
</file>