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0c73baacb444714936ebccdaeb21648"/>
        <w:lock w:val="sdtLocked"/>
        <w:richText/>
      </w:sdtPr>
      <w:sdtContent>
        <w:p>
          <w:pPr>
            <w:tabs>
              <w:tab w:val="center" w:pos="4819"/>
              <w:tab w:val="right" w:pos="9638"/>
            </w:tabs>
            <w:rPr>
              <w:szCs w:val="24"/>
              <w:lang w:eastAsia="lt-LT"/>
            </w:rPr>
          </w:pPr>
        </w:p>
        <w:p>
          <w:pPr>
            <w:tabs>
              <w:tab w:val="left" w:pos="1276"/>
            </w:tabs>
            <w:jc w:val="center"/>
            <w:rPr>
              <w:sz w:val="22"/>
              <w:szCs w:val="22"/>
              <w:lang w:eastAsia="lt-LT"/>
            </w:rPr>
          </w:pPr>
          <w:r>
            <w:rPr>
              <w:sz w:val="22"/>
              <w:szCs w:val="22"/>
              <w:lang w:val="en-US"/>
            </w:rPr>
            <w:drawing>
              <wp:inline distT="0" distB="0" distL="0" distR="0" wp14:anchorId="24C54917" wp14:editId="3F91B6BF">
                <wp:extent cx="1057275" cy="723900"/>
                <wp:effectExtent l="0" t="0" r="952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nespalv-maz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057275" cy="723900"/>
                        </a:xfrm>
                        <a:prstGeom prst="rect">
                          <a:avLst/>
                        </a:prstGeom>
                        <a:noFill/>
                        <a:ln>
                          <a:noFill/>
                        </a:ln>
                      </pic:spPr>
                    </pic:pic>
                  </a:graphicData>
                </a:graphic>
              </wp:inline>
            </w:drawing>
          </w:r>
        </w:p>
        <w:p>
          <w:pPr>
            <w:rPr>
              <w:sz w:val="20"/>
            </w:rPr>
          </w:pPr>
        </w:p>
        <w:p>
          <w:pPr>
            <w:framePr w:w="9314" w:h="754" w:hSpace="181" w:wrap="notBeside" w:vAnchor="text" w:hAnchor="page" w:x="1959" w:y="1" w:anchorLock="1"/>
            <w:jc w:val="center"/>
            <w:rPr>
              <w:b/>
              <w:sz w:val="26"/>
              <w:szCs w:val="26"/>
              <w:lang w:eastAsia="lt-LT"/>
            </w:rPr>
          </w:pPr>
          <w:r>
            <w:rPr>
              <w:b/>
              <w:sz w:val="26"/>
              <w:szCs w:val="26"/>
              <w:lang w:eastAsia="lt-LT"/>
            </w:rPr>
            <w:t>LIETUVOS RESPUBLIKOS ŽEMĖS ŪKIO MINISTERIJOS</w:t>
          </w:r>
        </w:p>
        <w:p>
          <w:pPr>
            <w:framePr w:w="9314" w:h="754" w:hSpace="181" w:wrap="notBeside" w:vAnchor="text" w:hAnchor="page" w:x="1959" w:y="1" w:anchorLock="1"/>
            <w:jc w:val="center"/>
            <w:rPr>
              <w:b/>
              <w:sz w:val="26"/>
              <w:szCs w:val="26"/>
              <w:lang w:eastAsia="lt-LT"/>
            </w:rPr>
          </w:pPr>
          <w:r>
            <w:rPr>
              <w:b/>
              <w:sz w:val="26"/>
              <w:szCs w:val="26"/>
              <w:lang w:eastAsia="lt-LT"/>
            </w:rPr>
            <w:t>ŽUVININKYSTĖS DEPARTAMENTAS</w:t>
          </w:r>
        </w:p>
        <w:p>
          <w:pPr>
            <w:spacing w:line="312" w:lineRule="auto"/>
            <w:jc w:val="center"/>
            <w:rPr>
              <w:b/>
              <w:szCs w:val="24"/>
              <w:lang w:eastAsia="lt-LT"/>
            </w:rPr>
          </w:pPr>
        </w:p>
        <w:p>
          <w:pPr>
            <w:rPr>
              <w:sz w:val="20"/>
            </w:rPr>
          </w:pPr>
        </w:p>
        <w:p>
          <w:pPr>
            <w:jc w:val="center"/>
            <w:rPr>
              <w:b/>
              <w:szCs w:val="24"/>
              <w:lang w:eastAsia="lt-LT"/>
            </w:rPr>
          </w:pPr>
          <w:r>
            <w:rPr>
              <w:b/>
              <w:szCs w:val="24"/>
              <w:lang w:eastAsia="lt-LT"/>
            </w:rPr>
            <w:t xml:space="preserve">AIŠKINAMASIS RAŠTAS </w:t>
          </w:r>
        </w:p>
        <w:p>
          <w:pPr>
            <w:jc w:val="center"/>
            <w:rPr>
              <w:b/>
              <w:bCs/>
              <w:caps/>
              <w:color w:val="000000"/>
              <w:szCs w:val="24"/>
              <w:lang w:eastAsia="lt-LT"/>
            </w:rPr>
          </w:pPr>
          <w:r>
            <w:rPr>
              <w:b/>
              <w:bCs/>
              <w:caps/>
              <w:color w:val="000000"/>
              <w:szCs w:val="24"/>
              <w:lang w:eastAsia="lt-LT"/>
            </w:rPr>
            <w:t xml:space="preserve">DĖL LIETUVOS ŽUVININKYSTĖS sektoriaus 2021‒2027 METŲ PROGRAMOS </w:t>
          </w:r>
          <w:r>
            <w:rPr>
              <w:b/>
              <w:bCs/>
              <w:color w:val="000000"/>
              <w:szCs w:val="24"/>
              <w:lang w:eastAsia="lt-LT"/>
            </w:rPr>
            <w:t>ANTROJO</w:t>
          </w:r>
          <w:r>
            <w:rPr>
              <w:b/>
              <w:bCs/>
              <w:color w:val="000000"/>
              <w:szCs w:val="24"/>
            </w:rPr>
            <w:t xml:space="preserve"> PRIORITETO </w:t>
          </w:r>
          <w:r>
            <w:rPr>
              <w:b/>
              <w:bCs/>
              <w:caps/>
              <w:color w:val="000000"/>
              <w:szCs w:val="24"/>
              <w:lang w:eastAsia="lt-LT"/>
            </w:rPr>
            <w:t>„</w:t>
          </w:r>
          <w:r>
            <w:rPr>
              <w:b/>
              <w:bCs/>
              <w:caps/>
              <w:szCs w:val="24"/>
            </w:rPr>
            <w:t xml:space="preserve">Darnios akvakultūros veiklos skatinimas ir žvejybos bei akvakultūros produktų perdirbimas ir prekyba jais, taip prisidedant prie aprūpinimo maistu saugumo </w:t>
          </w:r>
          <w:r>
            <w:rPr>
              <w:b/>
              <w:bCs/>
              <w:szCs w:val="24"/>
            </w:rPr>
            <w:t>SĄJUNGOJE</w:t>
          </w:r>
          <w:r>
            <w:rPr>
              <w:b/>
              <w:bCs/>
              <w:color w:val="000000"/>
              <w:szCs w:val="24"/>
              <w:lang w:eastAsia="lt-LT"/>
            </w:rPr>
            <w:t>“</w:t>
          </w:r>
          <w:r>
            <w:rPr>
              <w:b/>
              <w:bCs/>
              <w:color w:val="000000"/>
              <w:szCs w:val="24"/>
            </w:rPr>
            <w:t xml:space="preserve"> </w:t>
          </w:r>
          <w:r>
            <w:rPr>
              <w:b/>
              <w:bCs/>
              <w:color w:val="000000"/>
              <w:szCs w:val="24"/>
              <w:lang w:eastAsia="lt-LT"/>
            </w:rPr>
            <w:t>PRIEMONĖS „</w:t>
          </w:r>
          <w:r>
            <w:rPr>
              <w:b/>
              <w:bCs/>
              <w:szCs w:val="24"/>
            </w:rPr>
            <w:t xml:space="preserve">EKOLOGINĖ AKVAKULTŪROS GAMYBA“ </w:t>
          </w:r>
          <w:r>
            <w:rPr>
              <w:b/>
              <w:bCs/>
              <w:color w:val="000000"/>
              <w:szCs w:val="24"/>
              <w:lang w:eastAsia="lt-LT"/>
            </w:rPr>
            <w:t>KOMPENSACIJŲ SKYRIMO</w:t>
          </w:r>
          <w:r>
            <w:rPr>
              <w:b/>
              <w:bCs/>
              <w:caps/>
              <w:color w:val="000000"/>
              <w:szCs w:val="24"/>
              <w:lang w:eastAsia="lt-LT"/>
            </w:rPr>
            <w:t xml:space="preserve"> SĄLYGŲ APRAŠO PATVIRTINIMO</w:t>
          </w:r>
        </w:p>
        <w:p>
          <w:pPr>
            <w:spacing w:line="312" w:lineRule="auto"/>
            <w:jc w:val="center"/>
            <w:rPr>
              <w:b/>
              <w:szCs w:val="24"/>
              <w:lang w:eastAsia="lt-LT"/>
            </w:rPr>
          </w:pPr>
        </w:p>
        <w:p>
          <w:pPr>
            <w:tabs>
              <w:tab w:val="center" w:pos="4819"/>
              <w:tab w:val="left" w:pos="8510"/>
            </w:tabs>
            <w:spacing w:line="312" w:lineRule="auto"/>
            <w:ind w:firstLine="2666"/>
            <w:jc w:val="center"/>
            <w:rPr>
              <w:szCs w:val="24"/>
              <w:u w:val="single"/>
              <w:lang w:eastAsia="lt-LT"/>
            </w:rPr>
          </w:pPr>
          <w:r>
            <w:rPr>
              <w:szCs w:val="24"/>
              <w:lang w:eastAsia="lt-LT"/>
            </w:rPr>
            <w:t>Nr. ___________</w:t>
          </w:r>
        </w:p>
        <w:p>
          <w:pPr>
            <w:rPr>
              <w:sz w:val="20"/>
            </w:rPr>
          </w:pPr>
        </w:p>
        <w:p>
          <w:pPr>
            <w:jc w:val="center"/>
            <w:rPr>
              <w:b/>
              <w:bCs/>
              <w:szCs w:val="24"/>
            </w:rPr>
          </w:pPr>
        </w:p>
        <w:sdt>
          <w:sdtPr>
            <w:alias w:val="1 p."/>
            <w:tag w:val="part_9d1ea103e21444d79f6ba157fdcc061b"/>
            <w:lock w:val="sdtLocked"/>
            <w:richText/>
          </w:sdtPr>
          <w:sdtContent>
            <w:p>
              <w:pPr>
                <w:tabs>
                  <w:tab w:val="left" w:pos="851"/>
                </w:tabs>
                <w:spacing w:line="360" w:lineRule="auto"/>
                <w:ind w:firstLine="567"/>
                <w:jc w:val="both"/>
                <w:rPr>
                  <w:b/>
                  <w:bCs/>
                  <w:color w:val="000000"/>
                  <w:szCs w:val="24"/>
                  <w:lang w:eastAsia="lt-LT"/>
                </w:rPr>
              </w:pPr>
              <w:sdt>
                <w:sdtPr>
                  <w:alias w:val="Numeris"/>
                  <w:tag w:val="nr_9d1ea103e21444d79f6ba157fdcc061b"/>
                  <w:lock w:val="sdtLocked"/>
                  <w:richText/>
                </w:sdtPr>
                <w:sdtContent>
                  <w:r>
                    <w:rPr>
                      <w:b/>
                      <w:bCs/>
                      <w:color w:val="000000"/>
                      <w:szCs w:val="24"/>
                      <w:lang w:eastAsia="lt-LT"/>
                    </w:rPr>
                    <w:t>1</w:t>
                  </w:r>
                </w:sdtContent>
              </w:sdt>
              <w:r>
                <w:rPr>
                  <w:b/>
                  <w:bCs/>
                  <w:color w:val="000000"/>
                  <w:szCs w:val="24"/>
                  <w:lang w:eastAsia="lt-LT"/>
                </w:rPr>
                <w:t>.</w:t>
                <w:tab/>
                <w:t>Įsakymo projekto rengimą paskatinusios priežastys, įsakymo projekto tikslai ir uždaviniai</w:t>
              </w:r>
            </w:p>
            <w:p>
              <w:pPr>
                <w:shd w:val="clear" w:color="auto" w:fill="FFFFFF"/>
                <w:tabs>
                  <w:tab w:val="left" w:pos="709"/>
                  <w:tab w:val="left" w:pos="851"/>
                  <w:tab w:val="left" w:pos="993"/>
                  <w:tab w:val="left" w:pos="1134"/>
                </w:tabs>
                <w:spacing w:line="360" w:lineRule="auto"/>
                <w:ind w:firstLine="709"/>
                <w:jc w:val="both"/>
                <w:rPr>
                  <w:bCs/>
                  <w:sz w:val="22"/>
                  <w:szCs w:val="22"/>
                  <w:lang w:eastAsia="lt-LT"/>
                </w:rPr>
              </w:pPr>
              <w:r>
                <w:rPr>
                  <w:sz w:val="22"/>
                  <w:szCs w:val="22"/>
                </w:rPr>
                <w:t>Įsakymo dėl Lietuvos žuvininkystės sektoriaus 2021–2027 metų programos</w:t>
              </w:r>
              <w:r>
                <w:rPr>
                  <w:szCs w:val="24"/>
                </w:rPr>
                <w:t xml:space="preserve"> </w:t>
              </w:r>
              <w:r>
                <w:rPr>
                  <w:sz w:val="22"/>
                  <w:szCs w:val="22"/>
                </w:rPr>
                <w:t xml:space="preserve">antrojo prioriteto „Darnios akvakultūros veiklos skatinimas ir žvejybos bei akvakultūros produktų perdirbimas ir prekyba jais, taip prisidedant prie aprūpinimo maistu saugumo Sąjungoje“ priemonės „Ekologinė akvakultūros gamyba“ kompensacijų skyrimo sąlygų </w:t>
              </w:r>
              <w:r>
                <w:rPr>
                  <w:bCs/>
                  <w:sz w:val="22"/>
                  <w:szCs w:val="22"/>
                  <w:lang w:eastAsia="lt-LT"/>
                </w:rPr>
                <w:t xml:space="preserve">aprašo patvirtinimo projektas (toliau – įsakymo projektas) parengtas siekiant užtikrinti tinkamas Lietuvos žuvininkystės sektoriaus 2021–2027 metų programos </w:t>
              </w:r>
              <w:r>
                <w:rPr>
                  <w:sz w:val="22"/>
                  <w:szCs w:val="22"/>
                </w:rPr>
                <w:t>antrojo prioriteto „Darnios akvakultūros veiklos skatinimas ir žvejybos bei akvakultūros produktų perdirbimas ir prekyba jais, taip prisidedant prie aprūpinimo maistu saugumo Sąjungoje“ priemonės „Ekologinė akvakultūros gamyba“ kompensacijų skyrimo sąlygas ir jų administravimą</w:t>
              </w:r>
              <w:r>
                <w:rPr>
                  <w:bCs/>
                  <w:sz w:val="22"/>
                  <w:szCs w:val="22"/>
                  <w:lang w:eastAsia="lt-LT"/>
                </w:rPr>
                <w:t>.</w:t>
              </w:r>
            </w:p>
            <w:p>
              <w:pPr>
                <w:shd w:val="clear" w:color="auto" w:fill="FFFFFF"/>
                <w:tabs>
                  <w:tab w:val="left" w:pos="709"/>
                  <w:tab w:val="left" w:pos="851"/>
                  <w:tab w:val="left" w:pos="993"/>
                  <w:tab w:val="left" w:pos="1134"/>
                </w:tabs>
                <w:spacing w:line="360" w:lineRule="auto"/>
                <w:ind w:firstLine="709"/>
                <w:jc w:val="both"/>
                <w:rPr>
                  <w:rFonts w:eastAsia="Calibri"/>
                  <w:bCs/>
                  <w:sz w:val="22"/>
                  <w:szCs w:val="22"/>
                  <w:lang w:eastAsia="lt-LT"/>
                </w:rPr>
              </w:pPr>
              <w:r>
                <w:rPr>
                  <w:sz w:val="22"/>
                  <w:szCs w:val="22"/>
                  <w:lang w:eastAsia="lt-LT"/>
                </w:rPr>
                <w:t xml:space="preserve">Įsakymo projektu tvirtinamas </w:t>
              </w:r>
              <w:r>
                <w:rPr>
                  <w:sz w:val="22"/>
                  <w:szCs w:val="22"/>
                </w:rPr>
                <w:t>Lietuvos žuvininkystės sektoriaus 2021–2027 metų programos antrojo prioriteto „Darnios akvakultūros veiklos skatinimas ir žvejybos bei akvakultūros produktų perdirbimas ir prekyba jais, taip prisidedant prie aprūpinimo maistu saugumo Sąjungoje“ priemonės „Ekologinė akvakultūros gamyba“ kompensacijų skyrimo sąlygų</w:t>
              </w:r>
              <w:r>
                <w:rPr>
                  <w:sz w:val="22"/>
                  <w:szCs w:val="22"/>
                  <w:lang w:eastAsia="lt-LT"/>
                </w:rPr>
                <w:t xml:space="preserve"> aprašas, kuriame nustatomi </w:t>
              </w:r>
              <w:r>
                <w:rPr>
                  <w:bCs/>
                  <w:sz w:val="22"/>
                  <w:szCs w:val="22"/>
                  <w:lang w:eastAsia="lt-LT"/>
                </w:rPr>
                <w:t xml:space="preserve">specialieji </w:t>
              </w:r>
              <w:r>
                <w:rPr>
                  <w:rFonts w:eastAsia="Calibri"/>
                  <w:sz w:val="22"/>
                  <w:szCs w:val="22"/>
                  <w:lang w:eastAsia="lt-LT"/>
                </w:rPr>
                <w:t xml:space="preserve">projektų atrankos kriterijai, </w:t>
              </w:r>
              <w:r>
                <w:rPr>
                  <w:bCs/>
                  <w:sz w:val="22"/>
                  <w:szCs w:val="22"/>
                  <w:lang w:eastAsia="lt-LT"/>
                </w:rPr>
                <w:t>taikomi priemonei</w:t>
              </w:r>
              <w:r>
                <w:rPr>
                  <w:sz w:val="22"/>
                  <w:szCs w:val="22"/>
                  <w:lang w:eastAsia="lt-LT"/>
                </w:rPr>
                <w:t>,</w:t>
              </w:r>
              <w:r>
                <w:rPr>
                  <w:bCs/>
                  <w:sz w:val="22"/>
                  <w:szCs w:val="22"/>
                  <w:lang w:eastAsia="lt-LT"/>
                </w:rPr>
                <w:t xml:space="preserve"> </w:t>
              </w:r>
              <w:r>
                <w:rPr>
                  <w:sz w:val="22"/>
                  <w:szCs w:val="22"/>
                  <w:lang w:eastAsia="lt-LT"/>
                </w:rPr>
                <w:t xml:space="preserve">reikalavimai projektams, siektini stebėsenos rodikliai, </w:t>
              </w:r>
              <w:r>
                <w:rPr>
                  <w:rFonts w:eastAsia="Calibri"/>
                  <w:sz w:val="22"/>
                  <w:szCs w:val="22"/>
                  <w:lang w:eastAsia="lt-LT"/>
                </w:rPr>
                <w:t xml:space="preserve">horizontaliųjų principų ir su jais susijusių Europos Sąjungos pagrindinių teisių chartijos nuostatų laikymosi reikalavimai, </w:t>
              </w:r>
              <w:r>
                <w:rPr>
                  <w:bCs/>
                  <w:sz w:val="22"/>
                  <w:szCs w:val="22"/>
                  <w:lang w:eastAsia="lt-LT"/>
                </w:rPr>
                <w:t>projektų veiklos įgyvendinimui taikomi supaprastintai apmokamų išlaidų dydžiai,</w:t>
              </w:r>
              <w:r>
                <w:rPr>
                  <w:rFonts w:eastAsia="Calibri"/>
                  <w:sz w:val="22"/>
                  <w:szCs w:val="22"/>
                  <w:lang w:eastAsia="lt-LT"/>
                </w:rPr>
                <w:t xml:space="preserve"> r</w:t>
              </w:r>
              <w:r>
                <w:rPr>
                  <w:sz w:val="22"/>
                  <w:szCs w:val="22"/>
                  <w:lang w:eastAsia="lt-LT"/>
                </w:rPr>
                <w:t>eikalavimai įgyvendinus projektų veiklą</w:t>
              </w:r>
              <w:r>
                <w:rPr>
                  <w:bCs/>
                  <w:sz w:val="22"/>
                  <w:szCs w:val="22"/>
                  <w:lang w:eastAsia="lt-LT"/>
                </w:rPr>
                <w:t xml:space="preserve"> bei kiti reikalavimai</w:t>
              </w:r>
              <w:r>
                <w:rPr>
                  <w:rFonts w:eastAsia="Calibri"/>
                  <w:bCs/>
                  <w:sz w:val="22"/>
                  <w:szCs w:val="22"/>
                  <w:lang w:eastAsia="lt-LT"/>
                </w:rPr>
                <w:t xml:space="preserve">. </w:t>
              </w:r>
            </w:p>
          </w:sdtContent>
        </w:sdt>
        <w:sdt>
          <w:sdtPr>
            <w:alias w:val="2 p."/>
            <w:tag w:val="part_e7dc594123f24c4294b81286b902e679"/>
            <w:lock w:val="sdtLocked"/>
            <w:richText/>
          </w:sdtPr>
          <w:sdtContent>
            <w:p>
              <w:pPr>
                <w:shd w:val="clear" w:color="auto" w:fill="FFFFFF"/>
                <w:tabs>
                  <w:tab w:val="left" w:pos="567"/>
                  <w:tab w:val="left" w:pos="709"/>
                </w:tabs>
                <w:spacing w:line="360" w:lineRule="auto"/>
                <w:ind w:firstLine="709"/>
                <w:jc w:val="both"/>
                <w:rPr>
                  <w:rFonts w:eastAsia="Calibri"/>
                  <w:b/>
                  <w:bCs/>
                  <w:sz w:val="22"/>
                  <w:szCs w:val="22"/>
                </w:rPr>
              </w:pPr>
              <w:sdt>
                <w:sdtPr>
                  <w:alias w:val="Numeris"/>
                  <w:tag w:val="nr_e7dc594123f24c4294b81286b902e679"/>
                  <w:lock w:val="sdtLocked"/>
                  <w:richText/>
                </w:sdtPr>
                <w:sdtContent>
                  <w:r>
                    <w:rPr>
                      <w:rFonts w:eastAsia="Calibri"/>
                      <w:b/>
                      <w:bCs/>
                      <w:sz w:val="22"/>
                      <w:szCs w:val="22"/>
                    </w:rPr>
                    <w:t>2</w:t>
                  </w:r>
                </w:sdtContent>
              </w:sdt>
              <w:r>
                <w:rPr>
                  <w:rFonts w:eastAsia="Calibri"/>
                  <w:b/>
                  <w:bCs/>
                  <w:sz w:val="22"/>
                  <w:szCs w:val="22"/>
                </w:rPr>
                <w:t>.</w:t>
                <w:tab/>
                <w:t>Įsakymo projektui įgyvendinti reikalingi institucijų ir (ar) įstaigų informacinių sistemų pakeitimai</w:t>
              </w:r>
            </w:p>
            <w:p>
              <w:pPr>
                <w:spacing w:line="360" w:lineRule="auto"/>
                <w:ind w:firstLine="709"/>
                <w:jc w:val="both"/>
                <w:rPr>
                  <w:rFonts w:eastAsia="Calibri"/>
                  <w:sz w:val="22"/>
                  <w:szCs w:val="22"/>
                  <w:lang w:eastAsia="lt-LT"/>
                </w:rPr>
              </w:pPr>
              <w:r>
                <w:rPr>
                  <w:rFonts w:eastAsia="Calibri"/>
                  <w:sz w:val="22"/>
                  <w:szCs w:val="22"/>
                  <w:lang w:eastAsia="lt-LT"/>
                </w:rPr>
                <w:t xml:space="preserve">Įsakymo projektui įgyvendinti </w:t>
              </w:r>
              <w:r>
                <w:rPr>
                  <w:rFonts w:eastAsia="Calibri"/>
                  <w:sz w:val="22"/>
                  <w:szCs w:val="22"/>
                </w:rPr>
                <w:t>Nacionalinė mokėjimo agentūra prie Žemės ūkio ministerijos</w:t>
              </w:r>
              <w:r>
                <w:rPr>
                  <w:rFonts w:eastAsia="Calibri"/>
                  <w:sz w:val="22"/>
                  <w:szCs w:val="22"/>
                  <w:lang w:eastAsia="lt-LT"/>
                </w:rPr>
                <w:t xml:space="preserve"> naudos turimas informacines sistemas ir (ar) modulius. </w:t>
              </w:r>
            </w:p>
          </w:sdtContent>
        </w:sdt>
        <w:sdt>
          <w:sdtPr>
            <w:alias w:val="3 p."/>
            <w:tag w:val="part_4f004fa294374169bcfa7b9cd468cfd1"/>
            <w:lock w:val="sdtLocked"/>
            <w:richText/>
          </w:sdtPr>
          <w:sdtContent>
            <w:p>
              <w:pPr>
                <w:tabs>
                  <w:tab w:val="left" w:pos="851"/>
                </w:tabs>
                <w:spacing w:line="360" w:lineRule="auto"/>
                <w:ind w:firstLine="709"/>
                <w:jc w:val="both"/>
                <w:rPr>
                  <w:b/>
                  <w:bCs/>
                  <w:sz w:val="22"/>
                  <w:szCs w:val="22"/>
                  <w:lang w:eastAsia="lt-LT"/>
                </w:rPr>
              </w:pPr>
              <w:sdt>
                <w:sdtPr>
                  <w:alias w:val="Numeris"/>
                  <w:tag w:val="nr_4f004fa294374169bcfa7b9cd468cfd1"/>
                  <w:lock w:val="sdtLocked"/>
                  <w:richText/>
                </w:sdtPr>
                <w:sdtContent>
                  <w:r>
                    <w:rPr>
                      <w:b/>
                      <w:bCs/>
                      <w:sz w:val="22"/>
                      <w:szCs w:val="22"/>
                      <w:lang w:eastAsia="lt-LT"/>
                    </w:rPr>
                    <w:t>3</w:t>
                  </w:r>
                </w:sdtContent>
              </w:sdt>
              <w:r>
                <w:rPr>
                  <w:b/>
                  <w:bCs/>
                  <w:sz w:val="22"/>
                  <w:szCs w:val="22"/>
                  <w:lang w:eastAsia="lt-LT"/>
                </w:rPr>
                <w:t>.</w:t>
                <w:tab/>
                <w:t xml:space="preserve">Informacija dėl įsakymo projekto skelbimo Lietuvos Respublikos Seimo kanceliarijos Teisės aktų informacinėje sistemoje (toliau – TAIS) </w:t>
              </w:r>
            </w:p>
            <w:p>
              <w:pPr>
                <w:spacing w:line="360" w:lineRule="auto"/>
                <w:ind w:firstLine="709"/>
                <w:jc w:val="both"/>
                <w:rPr>
                  <w:sz w:val="22"/>
                  <w:szCs w:val="22"/>
                  <w:lang w:eastAsia="lt-LT"/>
                </w:rPr>
              </w:pPr>
              <w:r>
                <w:rPr>
                  <w:sz w:val="22"/>
                  <w:szCs w:val="22"/>
                  <w:lang w:eastAsia="lt-LT"/>
                </w:rPr>
                <w:t xml:space="preserve">Įsakymo projektas 10 darbo dienų bus skelbiamas TAIS, per šį laikotarpį suinteresuotieji asmenys galės pateikti savo pastabas. </w:t>
              </w:r>
            </w:p>
          </w:sdtContent>
        </w:sdt>
        <w:sdt>
          <w:sdtPr>
            <w:alias w:val="4 p."/>
            <w:tag w:val="part_b9a71566e740471e81f180e3869f4b05"/>
            <w:lock w:val="sdtLocked"/>
            <w:richText/>
          </w:sdtPr>
          <w:sdtContent>
            <w:p>
              <w:pPr>
                <w:spacing w:line="360" w:lineRule="auto"/>
                <w:ind w:firstLine="709"/>
                <w:jc w:val="both"/>
                <w:rPr>
                  <w:b/>
                  <w:bCs/>
                  <w:color w:val="000000"/>
                  <w:sz w:val="22"/>
                  <w:szCs w:val="22"/>
                  <w:lang w:eastAsia="lt-LT"/>
                </w:rPr>
              </w:pPr>
              <w:sdt>
                <w:sdtPr>
                  <w:alias w:val="Numeris"/>
                  <w:tag w:val="nr_b9a71566e740471e81f180e3869f4b05"/>
                  <w:lock w:val="sdtLocked"/>
                  <w:richText/>
                </w:sdtPr>
                <w:sdtContent>
                  <w:r>
                    <w:rPr>
                      <w:b/>
                      <w:bCs/>
                      <w:color w:val="000000"/>
                      <w:sz w:val="22"/>
                      <w:szCs w:val="22"/>
                      <w:lang w:eastAsia="lt-LT"/>
                    </w:rPr>
                    <w:t>4</w:t>
                  </w:r>
                </w:sdtContent>
              </w:sdt>
              <w:r>
                <w:rPr>
                  <w:b/>
                  <w:bCs/>
                  <w:color w:val="000000"/>
                  <w:sz w:val="22"/>
                  <w:szCs w:val="22"/>
                  <w:lang w:eastAsia="lt-LT"/>
                </w:rPr>
                <w:t xml:space="preserve">. Informacija dėl įsakymo projekto derinimo su suinteresuotomis valstybės institucijomis ir (ar) įstaigomis </w:t>
              </w:r>
            </w:p>
            <w:p>
              <w:pPr>
                <w:spacing w:line="360" w:lineRule="auto"/>
                <w:ind w:firstLine="709"/>
                <w:jc w:val="both"/>
                <w:rPr>
                  <w:color w:val="000000"/>
                  <w:sz w:val="22"/>
                  <w:szCs w:val="22"/>
                  <w:lang w:eastAsia="lt-LT"/>
                </w:rPr>
              </w:pPr>
              <w:r>
                <w:rPr>
                  <w:spacing w:val="4"/>
                  <w:sz w:val="22"/>
                  <w:szCs w:val="22"/>
                  <w:lang w:eastAsia="lt-LT"/>
                </w:rPr>
                <w:t>Įsakymo projektas bus skelbiamas konsultavimuisi su visuomene</w:t>
              </w:r>
              <w:r>
                <w:rPr>
                  <w:color w:val="000000"/>
                  <w:sz w:val="22"/>
                  <w:szCs w:val="22"/>
                  <w:lang w:eastAsia="lt-LT"/>
                </w:rPr>
                <w:t>, derinamas su Nacionaline mokėjimo agentūra prie Žemės ūkio ministerijos, VšĮ „Ekoagros“, VĮ Žemės ūkio duomenų centru.</w:t>
              </w:r>
            </w:p>
          </w:sdtContent>
        </w:sdt>
        <w:sdt>
          <w:sdtPr>
            <w:alias w:val="5 p."/>
            <w:tag w:val="part_db45932a07d44030933598d0db0381c8"/>
            <w:lock w:val="sdtLocked"/>
            <w:richText/>
          </w:sdtPr>
          <w:sdtContent>
            <w:p>
              <w:pPr>
                <w:spacing w:line="360" w:lineRule="auto"/>
                <w:ind w:firstLine="709"/>
                <w:jc w:val="both"/>
                <w:rPr>
                  <w:b/>
                  <w:bCs/>
                  <w:color w:val="000000"/>
                  <w:sz w:val="22"/>
                  <w:szCs w:val="22"/>
                  <w:lang w:eastAsia="lt-LT"/>
                </w:rPr>
              </w:pPr>
              <w:sdt>
                <w:sdtPr>
                  <w:alias w:val="Numeris"/>
                  <w:tag w:val="nr_db45932a07d44030933598d0db0381c8"/>
                  <w:lock w:val="sdtLocked"/>
                  <w:richText/>
                </w:sdtPr>
                <w:sdtContent>
                  <w:r>
                    <w:rPr>
                      <w:b/>
                      <w:bCs/>
                      <w:color w:val="000000"/>
                      <w:sz w:val="22"/>
                      <w:szCs w:val="22"/>
                      <w:lang w:eastAsia="lt-LT"/>
                    </w:rPr>
                    <w:t>5</w:t>
                  </w:r>
                </w:sdtContent>
              </w:sdt>
              <w:r>
                <w:rPr>
                  <w:b/>
                  <w:bCs/>
                  <w:color w:val="000000"/>
                  <w:sz w:val="22"/>
                  <w:szCs w:val="22"/>
                  <w:lang w:eastAsia="lt-LT"/>
                </w:rPr>
                <w:t xml:space="preserve">. Informacija dėl įsakymo projekto antikorupcinio vertinimo </w:t>
              </w:r>
            </w:p>
            <w:p>
              <w:pPr>
                <w:spacing w:line="360" w:lineRule="auto"/>
                <w:ind w:firstLine="709"/>
                <w:jc w:val="both"/>
                <w:rPr>
                  <w:sz w:val="22"/>
                  <w:szCs w:val="22"/>
                  <w:lang w:eastAsia="lt-LT"/>
                </w:rPr>
              </w:pPr>
              <w:r>
                <w:rPr>
                  <w:sz w:val="22"/>
                  <w:szCs w:val="22"/>
                  <w:lang w:eastAsia="lt-LT"/>
                </w:rPr>
                <w:t>Atliktas antikorupcinis vertinimas, parengta antikorupcinio vertinimo pažyma.</w:t>
              </w:r>
            </w:p>
          </w:sdtContent>
        </w:sdt>
        <w:sdt>
          <w:sdtPr>
            <w:alias w:val="6 p."/>
            <w:tag w:val="part_ff63a24ca06e4817bddc318b0a15c47d"/>
            <w:lock w:val="sdtLocked"/>
            <w:richText/>
          </w:sdtPr>
          <w:sdtContent>
            <w:p>
              <w:pPr>
                <w:spacing w:line="360" w:lineRule="auto"/>
                <w:ind w:firstLine="709"/>
                <w:jc w:val="both"/>
                <w:rPr>
                  <w:b/>
                  <w:bCs/>
                  <w:color w:val="000000"/>
                  <w:sz w:val="22"/>
                  <w:szCs w:val="22"/>
                  <w:lang w:eastAsia="lt-LT"/>
                </w:rPr>
              </w:pPr>
              <w:sdt>
                <w:sdtPr>
                  <w:alias w:val="Numeris"/>
                  <w:tag w:val="nr_ff63a24ca06e4817bddc318b0a15c47d"/>
                  <w:lock w:val="sdtLocked"/>
                  <w:richText/>
                </w:sdtPr>
                <w:sdtContent>
                  <w:r>
                    <w:rPr>
                      <w:b/>
                      <w:bCs/>
                      <w:color w:val="000000"/>
                      <w:sz w:val="22"/>
                      <w:szCs w:val="22"/>
                      <w:lang w:eastAsia="lt-LT"/>
                    </w:rPr>
                    <w:t>6</w:t>
                  </w:r>
                </w:sdtContent>
              </w:sdt>
              <w:r>
                <w:rPr>
                  <w:b/>
                  <w:bCs/>
                  <w:color w:val="000000"/>
                  <w:sz w:val="22"/>
                  <w:szCs w:val="22"/>
                  <w:lang w:eastAsia="lt-LT"/>
                </w:rPr>
                <w:t xml:space="preserve">. </w:t>
              </w:r>
              <w:r>
                <w:rPr>
                  <w:b/>
                  <w:bCs/>
                  <w:color w:val="000000"/>
                  <w:sz w:val="22"/>
                  <w:szCs w:val="22"/>
                </w:rPr>
                <w:t>Informacija dėl ūkio subjektams sukeliamų prisitaikymo prie reguliavimo išlaidų vertinimo, numatomo teisinio reguliavimo poveikio vertinimo, įsakymo projekto, perkeliančio ir (ar) įgyvendinančio Europos Sąjungos direktyvų ar kitų Europos Sąjungos teisės aktų nuostatų atitikties</w:t>
              </w:r>
            </w:p>
            <w:p>
              <w:pPr>
                <w:spacing w:line="360" w:lineRule="auto"/>
                <w:ind w:firstLine="709"/>
                <w:jc w:val="both"/>
                <w:rPr>
                  <w:color w:val="000000"/>
                  <w:sz w:val="22"/>
                  <w:szCs w:val="22"/>
                  <w:lang w:eastAsia="lt-LT"/>
                </w:rPr>
              </w:pPr>
              <w:r>
                <w:rPr>
                  <w:color w:val="000000"/>
                  <w:sz w:val="22"/>
                  <w:szCs w:val="22"/>
                  <w:lang w:eastAsia="lt-LT"/>
                </w:rPr>
                <w:t>Ū</w:t>
              </w:r>
              <w:r>
                <w:rPr>
                  <w:color w:val="000000"/>
                  <w:sz w:val="22"/>
                  <w:szCs w:val="22"/>
                </w:rPr>
                <w:t xml:space="preserve">kio subjektams sukeliamų prisitaikymo prie reguliavimo išlaidų </w:t>
              </w:r>
              <w:r>
                <w:rPr>
                  <w:color w:val="000000"/>
                  <w:sz w:val="22"/>
                  <w:szCs w:val="22"/>
                  <w:lang w:eastAsia="lt-LT"/>
                </w:rPr>
                <w:t>ir numatomo teisinio reguliavimo poveikio vertinimai nebus atliekami. Įsakymo projektu nėra perkeliamos ir (ar) įgyvendinamos Europos Sąjungos direktyvų ar kitų Europos Sąjungos teisės aktų nuostatos.</w:t>
              </w:r>
            </w:p>
          </w:sdtContent>
        </w:sdt>
        <w:sdt>
          <w:sdtPr>
            <w:alias w:val="7 p."/>
            <w:tag w:val="part_c6b031806d8b4207b820975305792d70"/>
            <w:lock w:val="sdtLocked"/>
            <w:richText/>
          </w:sdtPr>
          <w:sdtContent>
            <w:p>
              <w:pPr>
                <w:spacing w:line="360" w:lineRule="auto"/>
                <w:ind w:firstLine="709"/>
                <w:jc w:val="both"/>
                <w:rPr>
                  <w:b/>
                  <w:bCs/>
                  <w:color w:val="000000"/>
                  <w:sz w:val="22"/>
                  <w:szCs w:val="22"/>
                  <w:lang w:eastAsia="lt-LT"/>
                </w:rPr>
              </w:pPr>
              <w:sdt>
                <w:sdtPr>
                  <w:alias w:val="Numeris"/>
                  <w:tag w:val="nr_c6b031806d8b4207b820975305792d70"/>
                  <w:lock w:val="sdtLocked"/>
                  <w:richText/>
                </w:sdtPr>
                <w:sdtContent>
                  <w:r>
                    <w:rPr>
                      <w:b/>
                      <w:bCs/>
                      <w:color w:val="000000"/>
                      <w:sz w:val="22"/>
                      <w:szCs w:val="22"/>
                      <w:lang w:eastAsia="lt-LT"/>
                    </w:rPr>
                    <w:t>7</w:t>
                  </w:r>
                </w:sdtContent>
              </w:sdt>
              <w:r>
                <w:rPr>
                  <w:b/>
                  <w:bCs/>
                  <w:color w:val="000000"/>
                  <w:sz w:val="22"/>
                  <w:szCs w:val="22"/>
                  <w:lang w:eastAsia="lt-LT"/>
                </w:rPr>
                <w:t>. Kita svarbi informacija</w:t>
              </w:r>
            </w:p>
            <w:p>
              <w:pPr>
                <w:spacing w:line="360" w:lineRule="auto"/>
                <w:ind w:firstLine="709"/>
                <w:rPr>
                  <w:bCs/>
                  <w:color w:val="000000"/>
                  <w:sz w:val="22"/>
                  <w:szCs w:val="22"/>
                </w:rPr>
              </w:pPr>
              <w:r>
                <w:rPr>
                  <w:bCs/>
                  <w:color w:val="000000"/>
                  <w:sz w:val="22"/>
                  <w:szCs w:val="22"/>
                </w:rPr>
                <w:t>Priėmus Įsakymo projektą, neigiamų pasekmių nenumatoma. Įsakymo projekte visiems pareiškėjams nustatytos vienodos sąlygos ir reikalavimai gauti paramą, poveikio konkurencijai prielaidos nesudarytos.</w:t>
              </w:r>
            </w:p>
            <w:p>
              <w:pPr>
                <w:spacing w:line="360" w:lineRule="auto"/>
                <w:ind w:firstLine="709"/>
                <w:rPr>
                  <w:bCs/>
                  <w:color w:val="000000"/>
                  <w:sz w:val="22"/>
                  <w:szCs w:val="22"/>
                </w:rPr>
              </w:pPr>
              <w:r>
                <w:rPr>
                  <w:bCs/>
                  <w:color w:val="000000"/>
                  <w:sz w:val="22"/>
                  <w:szCs w:val="22"/>
                </w:rPr>
                <w:t xml:space="preserve">Patvirtinus Įsakymo projektą, kitų teisės aktų keisti nereikės. </w:t>
              </w:r>
            </w:p>
            <w:p>
              <w:pPr>
                <w:spacing w:line="360" w:lineRule="auto"/>
                <w:ind w:firstLine="709"/>
                <w:rPr>
                  <w:bCs/>
                  <w:color w:val="000000"/>
                  <w:sz w:val="22"/>
                  <w:szCs w:val="22"/>
                </w:rPr>
              </w:pPr>
              <w:r>
                <w:rPr>
                  <w:bCs/>
                  <w:color w:val="000000"/>
                  <w:sz w:val="22"/>
                  <w:szCs w:val="22"/>
                </w:rPr>
                <w:t>Įsakymo projektui įgyvendinti papildomų lėšų nereikės.</w:t>
                <w:tab/>
              </w:r>
            </w:p>
            <w:p>
              <w:pPr>
                <w:spacing w:line="360" w:lineRule="auto"/>
                <w:ind w:firstLine="709"/>
                <w:rPr>
                  <w:bCs/>
                  <w:color w:val="000000"/>
                  <w:sz w:val="22"/>
                  <w:szCs w:val="22"/>
                </w:rPr>
              </w:pPr>
              <w:r>
                <w:rPr>
                  <w:bCs/>
                  <w:color w:val="000000"/>
                  <w:sz w:val="22"/>
                  <w:szCs w:val="22"/>
                </w:rPr>
                <w:t xml:space="preserve">PRIDEDAMA: </w:t>
              </w:r>
            </w:p>
          </w:sdtContent>
        </w:sdt>
        <w:sdt>
          <w:sdtPr>
            <w:alias w:val="1 p."/>
            <w:tag w:val="part_d4d1cfac7bb14bdcb03b9d4d1efb4c09"/>
            <w:lock w:val="sdtLocked"/>
            <w:richText/>
          </w:sdtPr>
          <w:sdtContent>
            <w:p>
              <w:pPr>
                <w:spacing w:line="360" w:lineRule="auto"/>
                <w:ind w:left="927" w:firstLine="709"/>
                <w:rPr>
                  <w:bCs/>
                  <w:color w:val="000000"/>
                  <w:sz w:val="22"/>
                  <w:szCs w:val="22"/>
                </w:rPr>
              </w:pPr>
              <w:sdt>
                <w:sdtPr>
                  <w:alias w:val="Numeris"/>
                  <w:tag w:val="nr_d4d1cfac7bb14bdcb03b9d4d1efb4c09"/>
                  <w:lock w:val="sdtLocked"/>
                  <w:richText/>
                </w:sdtPr>
                <w:sdtContent>
                  <w:r>
                    <w:rPr>
                      <w:bCs/>
                      <w:color w:val="000000"/>
                      <w:sz w:val="22"/>
                      <w:szCs w:val="22"/>
                    </w:rPr>
                    <w:t>1</w:t>
                  </w:r>
                </w:sdtContent>
              </w:sdt>
              <w:r>
                <w:rPr>
                  <w:bCs/>
                  <w:color w:val="000000"/>
                  <w:sz w:val="22"/>
                  <w:szCs w:val="22"/>
                </w:rPr>
                <w:t>.</w:t>
                <w:tab/>
                <w:t>Įsakymo projektas, 33 lapai.</w:t>
              </w:r>
            </w:p>
          </w:sdtContent>
        </w:sdt>
        <w:sdt>
          <w:sdtPr>
            <w:alias w:val="2 p."/>
            <w:tag w:val="part_a9fda39b6bc54114aa7a1ef14ef80c9a"/>
            <w:lock w:val="sdtLocked"/>
            <w:richText/>
          </w:sdtPr>
          <w:sdtContent>
            <w:p>
              <w:pPr>
                <w:spacing w:line="360" w:lineRule="auto"/>
                <w:ind w:left="927" w:firstLine="709"/>
                <w:rPr>
                  <w:bCs/>
                  <w:color w:val="000000"/>
                  <w:sz w:val="22"/>
                  <w:szCs w:val="22"/>
                </w:rPr>
              </w:pPr>
              <w:sdt>
                <w:sdtPr>
                  <w:alias w:val="Numeris"/>
                  <w:tag w:val="nr_a9fda39b6bc54114aa7a1ef14ef80c9a"/>
                  <w:lock w:val="sdtLocked"/>
                  <w:richText/>
                </w:sdtPr>
                <w:sdtContent>
                  <w:r>
                    <w:rPr>
                      <w:bCs/>
                      <w:color w:val="000000"/>
                      <w:sz w:val="22"/>
                      <w:szCs w:val="22"/>
                    </w:rPr>
                    <w:t>2</w:t>
                  </w:r>
                </w:sdtContent>
              </w:sdt>
              <w:r>
                <w:rPr>
                  <w:bCs/>
                  <w:color w:val="000000"/>
                  <w:sz w:val="22"/>
                  <w:szCs w:val="22"/>
                </w:rPr>
                <w:t>.</w:t>
                <w:tab/>
                <w:t>Antikorupcinio vertinimo pažyma, 4 lapai.</w:t>
              </w:r>
            </w:p>
            <w:p>
              <w:pPr>
                <w:spacing w:line="276" w:lineRule="auto"/>
                <w:ind w:left="567"/>
                <w:rPr>
                  <w:bCs/>
                  <w:color w:val="000000"/>
                  <w:szCs w:val="24"/>
                </w:rPr>
              </w:pPr>
            </w:p>
            <w:p>
              <w:pPr>
                <w:spacing w:line="276" w:lineRule="auto"/>
                <w:ind w:left="567"/>
                <w:rPr>
                  <w:bCs/>
                  <w:color w:val="000000"/>
                  <w:szCs w:val="24"/>
                </w:rPr>
              </w:pPr>
            </w:p>
            <w:p>
              <w:pPr>
                <w:tabs>
                  <w:tab w:val="left" w:pos="2040"/>
                </w:tabs>
                <w:rPr>
                  <w:sz w:val="22"/>
                  <w:szCs w:val="22"/>
                </w:rPr>
              </w:pPr>
              <w:r>
                <w:rPr>
                  <w:sz w:val="22"/>
                  <w:szCs w:val="22"/>
                  <w:lang w:eastAsia="lt-LT"/>
                </w:rPr>
                <w:t xml:space="preserve">Departamento direktorė </w:t>
                <w:tab/>
                <w:t xml:space="preserve">                </w:t>
                <w:tab/>
                <w:t xml:space="preserve">         </w:t>
                <w:tab/>
                <w:t xml:space="preserve">                                                   Ieva Žundienė</w:t>
              </w:r>
            </w:p>
            <w:p>
              <w:pPr>
                <w:overflowPunct w:val="0"/>
                <w:jc w:val="both"/>
                <w:textAlignment w:val="baseline"/>
                <w:rPr>
                  <w:rFonts w:eastAsia="SimSun"/>
                  <w:sz w:val="22"/>
                  <w:szCs w:val="22"/>
                  <w:lang w:val="en-US" w:eastAsia="lt-LT"/>
                </w:rPr>
              </w:pPr>
            </w:p>
            <w:p>
              <w:pPr>
                <w:overflowPunct w:val="0"/>
                <w:jc w:val="both"/>
                <w:textAlignment w:val="baseline"/>
                <w:rPr>
                  <w:rFonts w:eastAsia="SimSun"/>
                  <w:sz w:val="22"/>
                  <w:szCs w:val="22"/>
                  <w:lang w:val="en-US" w:eastAsia="lt-LT"/>
                </w:rPr>
              </w:pPr>
            </w:p>
            <w:p>
              <w:pPr>
                <w:overflowPunct w:val="0"/>
                <w:jc w:val="both"/>
                <w:textAlignment w:val="baseline"/>
                <w:rPr>
                  <w:rFonts w:eastAsia="SimSun"/>
                  <w:sz w:val="22"/>
                  <w:szCs w:val="22"/>
                  <w:lang w:val="en-US" w:eastAsia="lt-LT"/>
                </w:rPr>
              </w:pPr>
            </w:p>
            <w:p>
              <w:pPr>
                <w:overflowPunct w:val="0"/>
                <w:jc w:val="both"/>
                <w:textAlignment w:val="baseline"/>
                <w:rPr>
                  <w:rFonts w:eastAsia="SimSun"/>
                  <w:sz w:val="22"/>
                  <w:szCs w:val="22"/>
                  <w:lang w:val="en-US" w:eastAsia="lt-LT"/>
                </w:rPr>
              </w:pPr>
            </w:p>
            <w:p>
              <w:pPr>
                <w:overflowPunct w:val="0"/>
                <w:jc w:val="both"/>
                <w:textAlignment w:val="baseline"/>
                <w:rPr>
                  <w:rFonts w:eastAsia="SimSun"/>
                  <w:sz w:val="22"/>
                  <w:szCs w:val="22"/>
                  <w:lang w:val="en-US" w:eastAsia="lt-LT"/>
                </w:rPr>
              </w:pPr>
            </w:p>
            <w:p>
              <w:pPr>
                <w:overflowPunct w:val="0"/>
                <w:jc w:val="both"/>
                <w:textAlignment w:val="baseline"/>
                <w:rPr>
                  <w:rFonts w:eastAsia="SimSun"/>
                  <w:sz w:val="22"/>
                  <w:szCs w:val="22"/>
                  <w:lang w:val="en-US" w:eastAsia="lt-LT"/>
                </w:rPr>
              </w:pPr>
            </w:p>
            <w:p>
              <w:pPr>
                <w:overflowPunct w:val="0"/>
                <w:jc w:val="both"/>
                <w:textAlignment w:val="baseline"/>
                <w:rPr>
                  <w:rFonts w:eastAsia="SimSun"/>
                  <w:sz w:val="22"/>
                  <w:szCs w:val="22"/>
                  <w:lang w:val="en-US" w:eastAsia="lt-LT"/>
                </w:rPr>
              </w:pPr>
            </w:p>
            <w:p>
              <w:pPr>
                <w:overflowPunct w:val="0"/>
                <w:jc w:val="both"/>
                <w:textAlignment w:val="baseline"/>
                <w:rPr>
                  <w:rFonts w:eastAsia="SimSun"/>
                  <w:sz w:val="22"/>
                  <w:szCs w:val="22"/>
                  <w:lang w:val="en-US" w:eastAsia="lt-LT"/>
                </w:rPr>
              </w:pPr>
            </w:p>
            <w:p>
              <w:pPr>
                <w:overflowPunct w:val="0"/>
                <w:jc w:val="both"/>
                <w:textAlignment w:val="baseline"/>
                <w:rPr>
                  <w:rFonts w:eastAsia="SimSun"/>
                  <w:sz w:val="22"/>
                  <w:szCs w:val="22"/>
                  <w:lang w:val="en-US" w:eastAsia="lt-LT"/>
                </w:rPr>
              </w:pPr>
            </w:p>
            <w:p>
              <w:pPr>
                <w:tabs>
                  <w:tab w:val="left" w:pos="2040"/>
                </w:tabs>
                <w:spacing w:line="276" w:lineRule="auto"/>
                <w:rPr>
                  <w:i/>
                  <w:iCs/>
                  <w:sz w:val="22"/>
                  <w:szCs w:val="22"/>
                </w:rPr>
              </w:pPr>
              <w:r>
                <w:rPr>
                  <w:rFonts w:eastAsia="SimSun"/>
                  <w:color w:val="000000"/>
                  <w:sz w:val="22"/>
                  <w:szCs w:val="22"/>
                  <w:lang w:eastAsia="lt-LT"/>
                </w:rPr>
                <w:t>Jūratė Masiulienė, tel. (8 5) 239 1184, el. p. jurate.masiuliene@zum.lt</w:t>
              </w:r>
            </w:p>
            <w:p>
              <w:pPr>
                <w:tabs>
                  <w:tab w:val="left" w:pos="2040"/>
                </w:tabs>
                <w:rPr>
                  <w:i/>
                  <w:iCs/>
                  <w:sz w:val="22"/>
                  <w:szCs w:val="22"/>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 xml:space="preserve"> PAGE   \* MERGEFORMAT </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1718"/>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1E6E448-F76E-438F-987E-DFAF0973A3A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jpe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8d66e219bec4559b3cb8a0324a40b60" PartId="f0c73baacb444714936ebccdaeb21648">
    <Part Type="punktas" Nr="1" Abbr="1 p." DocPartId="f9b6207c33a94a7cbc14da087a3f42c3" PartId="9d1ea103e21444d79f6ba157fdcc061b"/>
    <Part Type="punktas" Nr="2" Abbr="2 p." DocPartId="914c692fe3ca4698b45ccbc78a7e9163" PartId="e7dc594123f24c4294b81286b902e679"/>
    <Part Type="punktas" Nr="3" Abbr="3 p." DocPartId="c8586216a5bd4bbbba014e850286098a" PartId="4f004fa294374169bcfa7b9cd468cfd1"/>
    <Part Type="punktas" Nr="4" Abbr="4 p." DocPartId="21942c9dbd0343fc8b517c7b311ea267" PartId="b9a71566e740471e81f180e3869f4b05"/>
    <Part Type="punktas" Nr="5" Abbr="5 p." DocPartId="a145ea631e234de08eb8233ca5927be5" PartId="db45932a07d44030933598d0db0381c8"/>
    <Part Type="punktas" Nr="6" Abbr="6 p." DocPartId="5ce9c247f30c4ad1a8325259324c072d" PartId="ff63a24ca06e4817bddc318b0a15c47d"/>
    <Part Type="punktas" Nr="7" Abbr="7 p." DocPartId="847b694dc5b44ef28df80f171622b2c7" PartId="c6b031806d8b4207b820975305792d70"/>
    <Part Type="punktas" Nr="1" Abbr="1 p." Notes="Numeris ne iš eilės. Trūksta dalių? [DocDalys]" DocPartId="9e260fd812be410e86103b1a657f528c" PartId="d4d1cfac7bb14bdcb03b9d4d1efb4c09"/>
    <Part Type="punktas" Nr="2" Abbr="2 p." DocPartId="91f86388bfa74bac8cf4e70e19908c15" PartId="a9fda39b6bc54114aa7a1ef14ef80c9a"/>
  </Part>
</Parts>
</file>

<file path=customXml/itemProps1.xml><?xml version="1.0" encoding="utf-8"?>
<ds:datastoreItem xmlns:ds="http://schemas.openxmlformats.org/officeDocument/2006/customXml" ds:itemID="{DDBCA714-7574-4F86-A0D1-EB9A4A9EE75D}">
  <ds:schemaRefs>
    <ds:schemaRef ds:uri="http://schemas.openxmlformats.org/officeDocument/2006/bibliography"/>
  </ds:schemaRefs>
</ds:datastoreItem>
</file>

<file path=customXml/itemProps2.xml><?xml version="1.0" encoding="utf-8"?>
<ds:datastoreItem xmlns:ds="http://schemas.openxmlformats.org/officeDocument/2006/customXml" ds:itemID="{93523C25-47CC-49FF-B13A-1F24E193B36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483</Words>
  <Characters>3719</Characters>
  <Application>Microsoft Office Word</Application>
  <DocSecurity>4</DocSecurity>
  <Lines>75</Lines>
  <Paragraphs>31</Paragraphs>
  <ScaleCrop>false</ScaleCrop>
  <HeadingPairs>
    <vt:vector size="2" baseType="variant">
      <vt:variant>
        <vt:lpstr>Pavadinimas</vt:lpstr>
      </vt:variant>
      <vt:variant>
        <vt:i4>1</vt:i4>
      </vt:variant>
    </vt:vector>
  </HeadingPairs>
  <TitlesOfParts>
    <vt:vector size="1" baseType="lpstr">
      <vt:lpstr/>
    </vt:vector>
  </TitlesOfParts>
  <Company>Microsoft</Company>
  <LinksUpToDate>false</LinksUpToDate>
  <CharactersWithSpaces>4171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2023-09-26T12:26:00Z</dcterms:created>
  <dc:creator>Lina Pugačiukienė</dc:creator>
  <lastModifiedBy>adlibuser</lastModifiedBy>
  <dcterms:modified xsi:type="dcterms:W3CDTF">2023-09-26T12:26:00Z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1033-11.2.0.11417</vt:lpwstr>
  </property>
  <property fmtid="{D5CDD505-2E9C-101B-9397-08002B2CF9AE}" pid="3" name="ICV">
    <vt:lpwstr>821CE32F90414168AC91EF40CC180288</vt:lpwstr>
  </property>
</Properties>
</file>