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E7" w:rsidRPr="007759BA" w:rsidRDefault="007B3BCF" w:rsidP="007B3B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59BA">
        <w:rPr>
          <w:rFonts w:ascii="Times New Roman" w:eastAsia="Times New Roman" w:hAnsi="Times New Roman"/>
          <w:b/>
          <w:sz w:val="24"/>
          <w:szCs w:val="24"/>
        </w:rPr>
        <w:t>RASEINIŲ RAJONO SAVIVALDYBĖS ADMINISTRACIJOS</w:t>
      </w:r>
    </w:p>
    <w:p w:rsidR="007B3BCF" w:rsidRPr="007759BA" w:rsidRDefault="00B20024" w:rsidP="007B3B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59BA">
        <w:rPr>
          <w:rFonts w:ascii="Times New Roman" w:eastAsia="Times New Roman" w:hAnsi="Times New Roman"/>
          <w:b/>
          <w:sz w:val="24"/>
          <w:szCs w:val="24"/>
        </w:rPr>
        <w:t xml:space="preserve">ŠVIETIMO IR SPORTO  </w:t>
      </w:r>
      <w:r w:rsidR="007B3BCF" w:rsidRPr="007759BA">
        <w:rPr>
          <w:rFonts w:ascii="Times New Roman" w:eastAsia="Times New Roman" w:hAnsi="Times New Roman"/>
          <w:b/>
          <w:sz w:val="24"/>
          <w:szCs w:val="24"/>
        </w:rPr>
        <w:t>SKYRIUS</w:t>
      </w:r>
    </w:p>
    <w:p w:rsidR="007B3BCF" w:rsidRPr="008549A8" w:rsidRDefault="007B3BCF" w:rsidP="007B3B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caps/>
          <w:sz w:val="24"/>
          <w:szCs w:val="24"/>
          <w:u w:val="single"/>
        </w:rPr>
      </w:pPr>
    </w:p>
    <w:p w:rsidR="00A01BE7" w:rsidRPr="008549A8" w:rsidRDefault="00A01BE7" w:rsidP="00A01BE7">
      <w:pPr>
        <w:tabs>
          <w:tab w:val="left" w:pos="567"/>
        </w:tabs>
        <w:spacing w:after="24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49A8">
        <w:rPr>
          <w:rFonts w:ascii="Times New Roman" w:eastAsia="Times New Roman" w:hAnsi="Times New Roman"/>
          <w:b/>
          <w:bCs/>
          <w:sz w:val="24"/>
          <w:szCs w:val="24"/>
        </w:rPr>
        <w:t>AIŠKINAMASIS RAŠTAS</w:t>
      </w:r>
    </w:p>
    <w:p w:rsidR="007B3BCF" w:rsidRDefault="00A01BE7" w:rsidP="005F76CF">
      <w:pPr>
        <w:pStyle w:val="Default"/>
        <w:pBdr>
          <w:right w:val="single" w:sz="4" w:space="8" w:color="auto"/>
        </w:pBdr>
        <w:jc w:val="center"/>
        <w:rPr>
          <w:b/>
          <w:bCs/>
        </w:rPr>
      </w:pPr>
      <w:r w:rsidRPr="008549A8">
        <w:rPr>
          <w:b/>
          <w:bCs/>
          <w:caps/>
          <w:lang w:eastAsia="lt-LT"/>
        </w:rPr>
        <w:t>Dėl TARYBOS sprendimo „</w:t>
      </w:r>
      <w:r w:rsidRPr="008549A8">
        <w:rPr>
          <w:b/>
          <w:bCs/>
          <w:noProof/>
          <w:lang w:eastAsia="lt-LT"/>
        </w:rPr>
        <w:t>DĖL</w:t>
      </w:r>
      <w:r w:rsidR="007B3BCF" w:rsidRPr="007B3BCF">
        <w:rPr>
          <w:b/>
          <w:caps/>
        </w:rPr>
        <w:t xml:space="preserve"> </w:t>
      </w:r>
      <w:r w:rsidR="007B3BCF">
        <w:rPr>
          <w:b/>
          <w:caps/>
        </w:rPr>
        <w:t xml:space="preserve">DIDŽIAUSIO LEISTINO DARBUOTOJŲ, </w:t>
      </w:r>
      <w:r w:rsidR="00630CA8">
        <w:rPr>
          <w:b/>
          <w:caps/>
        </w:rPr>
        <w:t>D</w:t>
      </w:r>
      <w:r w:rsidR="007B3BCF">
        <w:rPr>
          <w:b/>
          <w:caps/>
        </w:rPr>
        <w:t>IRBANČIŲ PAGAL DARBO SUTARTIS, PAREIGYBIŲ SKAIČIAUS RASEINIŲ</w:t>
      </w:r>
      <w:r w:rsidR="00611AF1">
        <w:rPr>
          <w:b/>
          <w:caps/>
        </w:rPr>
        <w:t xml:space="preserve"> </w:t>
      </w:r>
      <w:r w:rsidR="0060779E">
        <w:rPr>
          <w:b/>
          <w:caps/>
        </w:rPr>
        <w:t xml:space="preserve">KŪNO KULTŪROS IR SPORTO CENTRE </w:t>
      </w:r>
      <w:r w:rsidR="007B3BCF">
        <w:rPr>
          <w:b/>
          <w:caps/>
        </w:rPr>
        <w:t>PATVIRTINIMO</w:t>
      </w:r>
      <w:r w:rsidR="007B3BCF">
        <w:rPr>
          <w:b/>
          <w:bCs/>
        </w:rPr>
        <w:t>“</w:t>
      </w:r>
      <w:r w:rsidR="007B3BCF" w:rsidRPr="00EF025A">
        <w:rPr>
          <w:b/>
          <w:bCs/>
        </w:rPr>
        <w:t xml:space="preserve"> PROJEKTO</w:t>
      </w:r>
      <w:r w:rsidR="005F76CF">
        <w:rPr>
          <w:b/>
          <w:bCs/>
        </w:rPr>
        <w:t xml:space="preserve">       </w:t>
      </w:r>
    </w:p>
    <w:p w:rsidR="007B3BCF" w:rsidRPr="00EF025A" w:rsidRDefault="007B3BCF" w:rsidP="005F76CF">
      <w:pPr>
        <w:pStyle w:val="Default"/>
        <w:pBdr>
          <w:right w:val="single" w:sz="4" w:space="8" w:color="auto"/>
        </w:pBdr>
        <w:jc w:val="center"/>
        <w:rPr>
          <w:b/>
          <w:bCs/>
        </w:rPr>
      </w:pPr>
    </w:p>
    <w:p w:rsidR="00A01BE7" w:rsidRPr="000518E5" w:rsidRDefault="00A01BE7" w:rsidP="00A01B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="0060779E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5004F0">
        <w:rPr>
          <w:rFonts w:ascii="Times New Roman" w:eastAsia="Times New Roman" w:hAnsi="Times New Roman"/>
          <w:sz w:val="24"/>
          <w:szCs w:val="24"/>
          <w:lang w:eastAsia="lt-LT"/>
        </w:rPr>
        <w:t>gegužės 28 d.</w:t>
      </w:r>
    </w:p>
    <w:p w:rsidR="00A01BE7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0518E5">
        <w:rPr>
          <w:rFonts w:ascii="Times New Roman" w:eastAsia="Times New Roman" w:hAnsi="Times New Roman"/>
          <w:sz w:val="24"/>
          <w:szCs w:val="24"/>
          <w:lang w:eastAsia="lt-LT"/>
        </w:rPr>
        <w:t>Raseiniai</w:t>
      </w:r>
    </w:p>
    <w:p w:rsidR="00A01BE7" w:rsidRPr="000518E5" w:rsidRDefault="00A01BE7" w:rsidP="00A01B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01BE7" w:rsidRPr="00461700" w:rsidTr="005A4723">
        <w:trPr>
          <w:trHeight w:hRule="exact" w:val="397"/>
        </w:trPr>
        <w:tc>
          <w:tcPr>
            <w:tcW w:w="9628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A01BE7" w:rsidRPr="00461700" w:rsidTr="005A4723">
        <w:tc>
          <w:tcPr>
            <w:tcW w:w="9628" w:type="dxa"/>
          </w:tcPr>
          <w:p w:rsidR="007B3BCF" w:rsidRPr="007759BA" w:rsidRDefault="007B3BCF" w:rsidP="00652CE5">
            <w:pPr>
              <w:tabs>
                <w:tab w:val="left" w:pos="1083"/>
              </w:tabs>
              <w:spacing w:after="0"/>
              <w:ind w:firstLine="627"/>
              <w:jc w:val="both"/>
              <w:rPr>
                <w:rStyle w:val="HTMLspausdinimomainl"/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759BA">
              <w:rPr>
                <w:rStyle w:val="HTMLspausdinimomainl"/>
                <w:rFonts w:ascii="Times New Roman" w:hAnsi="Times New Roman" w:cs="Times New Roman"/>
                <w:sz w:val="24"/>
                <w:szCs w:val="24"/>
              </w:rPr>
              <w:t xml:space="preserve">Parengto projekto tikslas – pakeisti </w:t>
            </w:r>
            <w:r w:rsidR="00C34F04" w:rsidRPr="007759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Raseinių kūno kultūros ir sporto centre </w:t>
            </w:r>
            <w:r w:rsidRPr="007759B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didžiausią leistiną darbuotojų, dirbančių pagal darbo sutartis, pareigybių skaičių, kuris buvo patvirtintas </w:t>
            </w:r>
            <w:r w:rsidRPr="007759BA">
              <w:rPr>
                <w:rFonts w:ascii="Times New Roman" w:hAnsi="Times New Roman"/>
                <w:sz w:val="24"/>
                <w:szCs w:val="24"/>
                <w:lang w:val="pt-BR"/>
              </w:rPr>
              <w:t>Raseinių rajono savivaldyb</w:t>
            </w:r>
            <w:r w:rsidRPr="007759BA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ės tarybos </w:t>
            </w:r>
            <w:r w:rsidR="007759BA" w:rsidRPr="007759BA">
              <w:rPr>
                <w:rFonts w:ascii="Times New Roman" w:hAnsi="Times New Roman"/>
                <w:sz w:val="24"/>
                <w:szCs w:val="24"/>
              </w:rPr>
              <w:t>tarybos 2015 m. vasario 23 d. sprendimą Nr. TS-31 „Dėl didžiausio leistino darbuotojų, dirbančių pagal darbo sutartis, pareigybių skaičiaus Raseinių kūno kultūros ir sporto centre patvirtinimo“</w:t>
            </w:r>
            <w:r w:rsidR="00C34F04" w:rsidRPr="0077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7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3BCF" w:rsidRPr="007759BA" w:rsidRDefault="007B3BCF" w:rsidP="007759BA">
            <w:pPr>
              <w:tabs>
                <w:tab w:val="left" w:pos="1083"/>
              </w:tabs>
              <w:spacing w:after="0"/>
              <w:ind w:firstLine="627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759BA">
              <w:rPr>
                <w:rStyle w:val="HTMLspausdinimomainl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Parengto projekto uždavinys – teikti </w:t>
            </w:r>
            <w:r w:rsidRPr="007759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Raseinių rajono savivaldybės tarybai tvirtinti sprendimo projektą, kuriuo keičiamas Raseinių rajono savivaldybės tarybos </w:t>
            </w:r>
            <w:r w:rsidR="007759BA" w:rsidRPr="007759BA">
              <w:rPr>
                <w:rFonts w:ascii="Times New Roman" w:hAnsi="Times New Roman"/>
                <w:sz w:val="24"/>
                <w:szCs w:val="24"/>
              </w:rPr>
              <w:t xml:space="preserve">2015 m. </w:t>
            </w:r>
            <w:r w:rsidR="007759BA">
              <w:rPr>
                <w:rFonts w:ascii="Times New Roman" w:hAnsi="Times New Roman"/>
                <w:sz w:val="24"/>
                <w:szCs w:val="24"/>
              </w:rPr>
              <w:t>vasario 23 d. sprendimas</w:t>
            </w:r>
            <w:r w:rsidR="007759BA" w:rsidRPr="007759BA">
              <w:rPr>
                <w:rFonts w:ascii="Times New Roman" w:hAnsi="Times New Roman"/>
                <w:sz w:val="24"/>
                <w:szCs w:val="24"/>
              </w:rPr>
              <w:t xml:space="preserve"> Nr. TS-31 „Dėl didžiausio leistino darbuotojų, dirbančių pagal darbo sutartis, pareigybių skaičiaus Raseinių kūno kultūros ir sporto centre patvirtinimo“</w:t>
            </w:r>
            <w:r w:rsidR="007759BA" w:rsidRPr="0077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305E6" w:rsidRPr="007759BA" w:rsidRDefault="00DC5CD1" w:rsidP="00652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9BA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E305E6" w:rsidRPr="007759BA">
              <w:rPr>
                <w:rFonts w:ascii="Times New Roman" w:eastAsiaTheme="minorHAnsi" w:hAnsi="Times New Roman"/>
                <w:sz w:val="24"/>
                <w:szCs w:val="24"/>
              </w:rPr>
              <w:t xml:space="preserve">Vadovaujantis </w:t>
            </w:r>
            <w:r w:rsidR="00AE7AF7" w:rsidRPr="007759BA">
              <w:rPr>
                <w:rFonts w:ascii="Times New Roman" w:eastAsiaTheme="minorHAnsi" w:hAnsi="Times New Roman"/>
                <w:sz w:val="24"/>
                <w:szCs w:val="24"/>
              </w:rPr>
              <w:t xml:space="preserve">Raseinių rajono savivaldybės tarybos </w:t>
            </w:r>
            <w:r w:rsidR="00AE7AF7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m. gegužės 21 d. sprendimo Nr. TS-144  </w:t>
            </w:r>
            <w:r w:rsidR="00AE7AF7" w:rsidRPr="007759BA">
              <w:rPr>
                <w:rFonts w:ascii="Times New Roman" w:hAnsi="Times New Roman"/>
                <w:sz w:val="24"/>
                <w:szCs w:val="24"/>
              </w:rPr>
              <w:t>„</w:t>
            </w:r>
            <w:r w:rsidR="00AE7AF7" w:rsidRPr="007759BA">
              <w:rPr>
                <w:rFonts w:ascii="Times New Roman" w:hAnsi="Times New Roman"/>
                <w:bCs/>
                <w:sz w:val="24"/>
                <w:szCs w:val="24"/>
              </w:rPr>
              <w:t xml:space="preserve">Dėl Raseinių rajono savivaldybės ugdymo įstaigų etatų normatyvų patvirtinimo“ </w:t>
            </w:r>
            <w:r w:rsidR="00AE7AF7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>1.4 papunkčiu, Raseinių kūno kultūros</w:t>
            </w:r>
            <w:r w:rsidR="00865AD3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sporto centrui perduodami 1,</w:t>
            </w:r>
            <w:r w:rsidR="00AE7AF7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>25 sporto specialisto etatai, anksčiau priklausę Raseinių rajono daugiafunkciams centrams (Paupio – 0,5 etato,  Ilgižių– 0,25 etato, Gylių– 0,25 etato, Žaiginio - 0,25 etato).</w:t>
            </w:r>
          </w:p>
          <w:p w:rsidR="00AE7AF7" w:rsidRPr="007759BA" w:rsidRDefault="00AE7AF7" w:rsidP="00652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Raseinių</w:t>
            </w:r>
            <w:r w:rsid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kūno kultūros ir sporto centre šiuo  metu dirba</w:t>
            </w:r>
            <w:r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3,5 </w:t>
            </w:r>
            <w:r w:rsidR="007759BA">
              <w:rPr>
                <w:rFonts w:ascii="Times New Roman" w:hAnsi="Times New Roman"/>
                <w:color w:val="000000"/>
                <w:sz w:val="24"/>
                <w:szCs w:val="24"/>
              </w:rPr>
              <w:t>etato sporto specialistų</w:t>
            </w:r>
            <w:r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Darbuotojai dirba </w:t>
            </w:r>
            <w:r w:rsidR="009B093E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Nemakščių, Viduklės, Raseinių miesto, Girkalnio, Ariogalos miesto, Betygalos, Šiluvos seniūnijose, kur vykdo sportinį darbą. </w:t>
            </w:r>
            <w:r w:rsidR="003D1E5D" w:rsidRPr="007759BA">
              <w:rPr>
                <w:rFonts w:ascii="Times New Roman" w:hAnsi="Times New Roman"/>
                <w:color w:val="000000"/>
                <w:sz w:val="24"/>
                <w:szCs w:val="24"/>
              </w:rPr>
              <w:t>Gavus 1,25 sporto specialisto etato, būtų  galima padidinti Raseinių rajono savivaldybėje sportinio darbo apimtis.</w:t>
            </w:r>
          </w:p>
          <w:p w:rsidR="00A01BE7" w:rsidRPr="000518E5" w:rsidRDefault="007B3BCF" w:rsidP="007759BA">
            <w:pPr>
              <w:spacing w:after="0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759BA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Dėl šios priežasties </w:t>
            </w:r>
            <w:r w:rsidR="0093769B" w:rsidRPr="007759BA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 xml:space="preserve"> Raseinių </w:t>
            </w:r>
            <w:r w:rsidR="003D1E5D" w:rsidRPr="007759BA">
              <w:rPr>
                <w:rFonts w:ascii="Times New Roman" w:hAnsi="Times New Roman"/>
                <w:color w:val="222222"/>
                <w:sz w:val="24"/>
                <w:szCs w:val="24"/>
                <w:lang w:eastAsia="lt-LT"/>
              </w:rPr>
              <w:t>kūno kultūros ir sporto centre</w:t>
            </w:r>
            <w:r w:rsidRPr="00775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E5D" w:rsidRPr="007759BA">
              <w:rPr>
                <w:rFonts w:ascii="Times New Roman" w:hAnsi="Times New Roman"/>
                <w:sz w:val="24"/>
                <w:szCs w:val="24"/>
                <w:lang w:eastAsia="lt-LT"/>
              </w:rPr>
              <w:t>sporto specialistų eta</w:t>
            </w:r>
            <w:r w:rsidR="007759BA">
              <w:rPr>
                <w:rFonts w:ascii="Times New Roman" w:hAnsi="Times New Roman"/>
                <w:sz w:val="24"/>
                <w:szCs w:val="24"/>
                <w:lang w:eastAsia="lt-LT"/>
              </w:rPr>
              <w:t>tų skaičius būtų</w:t>
            </w:r>
            <w:r w:rsidR="003D1E5D" w:rsidRPr="007759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4,75 etato ir  </w:t>
            </w:r>
            <w:r w:rsidRPr="007759B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didžiausias leistinas darbuotojų, dirbančių pagal darbo sutartis, pareigybių </w:t>
            </w:r>
            <w:r w:rsidR="0093769B" w:rsidRPr="007759B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skaičius</w:t>
            </w:r>
            <w:r w:rsidRPr="007759B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nuo </w:t>
            </w:r>
            <w:r w:rsidR="003D1E5D" w:rsidRPr="007759BA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15 etatų  padidėtų  iki 16,25 etato </w:t>
            </w:r>
            <w:r w:rsidR="007435EA" w:rsidRPr="007759BA">
              <w:rPr>
                <w:rFonts w:ascii="Times New Roman" w:hAnsi="Times New Roman"/>
                <w:sz w:val="24"/>
                <w:szCs w:val="24"/>
              </w:rPr>
              <w:t xml:space="preserve">(žr. </w:t>
            </w:r>
            <w:r w:rsidR="007435EA" w:rsidRPr="007759BA">
              <w:rPr>
                <w:rFonts w:ascii="Times New Roman" w:hAnsi="Times New Roman"/>
                <w:bCs/>
                <w:sz w:val="24"/>
                <w:szCs w:val="24"/>
              </w:rPr>
              <w:t>pridedamą pareigybių sąrašą)</w:t>
            </w:r>
            <w:r w:rsidRPr="007759BA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.</w:t>
            </w:r>
          </w:p>
        </w:tc>
      </w:tr>
      <w:tr w:rsidR="00A01BE7" w:rsidRPr="00461700" w:rsidTr="005A4723">
        <w:trPr>
          <w:trHeight w:hRule="exact" w:val="397"/>
        </w:trPr>
        <w:tc>
          <w:tcPr>
            <w:tcW w:w="9628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A01BE7" w:rsidRPr="00461700" w:rsidTr="00351FD9">
        <w:trPr>
          <w:trHeight w:val="597"/>
        </w:trPr>
        <w:tc>
          <w:tcPr>
            <w:tcW w:w="9628" w:type="dxa"/>
          </w:tcPr>
          <w:p w:rsidR="00A01BE7" w:rsidRPr="007B3BCF" w:rsidRDefault="009E2C03" w:rsidP="007759BA">
            <w:pPr>
              <w:spacing w:after="24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Nuo 2020 m. rugsėjo 1 dienos būtų galima padidinti sporto specialistų skaičių  Raseinių rajono </w:t>
            </w:r>
            <w:r w:rsidR="00A1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seniūnijose. </w:t>
            </w:r>
            <w:r w:rsidR="00865AD3">
              <w:rPr>
                <w:rFonts w:ascii="Times New Roman" w:hAnsi="Times New Roman"/>
                <w:sz w:val="24"/>
                <w:szCs w:val="24"/>
              </w:rPr>
              <w:t xml:space="preserve">Pagerės sportinio darbo kokybė, užimtumas seniūnijose. </w:t>
            </w:r>
          </w:p>
        </w:tc>
      </w:tr>
      <w:tr w:rsidR="00A01BE7" w:rsidRPr="00461700" w:rsidTr="005A4723">
        <w:trPr>
          <w:trHeight w:hRule="exact" w:val="567"/>
        </w:trPr>
        <w:tc>
          <w:tcPr>
            <w:tcW w:w="9628" w:type="dxa"/>
            <w:vAlign w:val="center"/>
          </w:tcPr>
          <w:p w:rsidR="00A01BE7" w:rsidRPr="008549A8" w:rsidRDefault="00A01BE7" w:rsidP="00FD64E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A01BE7" w:rsidRPr="00461700" w:rsidTr="005A4723">
        <w:tc>
          <w:tcPr>
            <w:tcW w:w="9628" w:type="dxa"/>
          </w:tcPr>
          <w:p w:rsidR="00A01BE7" w:rsidRPr="007B3BCF" w:rsidRDefault="007B3BCF" w:rsidP="00FD64E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3BCF">
              <w:rPr>
                <w:rFonts w:ascii="Times New Roman" w:hAnsi="Times New Roman"/>
                <w:sz w:val="24"/>
                <w:szCs w:val="24"/>
              </w:rPr>
              <w:t>Neigiamų pasekmių nenumatoma.</w:t>
            </w:r>
          </w:p>
        </w:tc>
      </w:tr>
      <w:tr w:rsidR="00A01BE7" w:rsidRPr="00461700" w:rsidTr="005A4723">
        <w:trPr>
          <w:trHeight w:hRule="exact" w:val="567"/>
        </w:trPr>
        <w:tc>
          <w:tcPr>
            <w:tcW w:w="9628" w:type="dxa"/>
            <w:vAlign w:val="center"/>
          </w:tcPr>
          <w:p w:rsidR="00A01BE7" w:rsidRPr="008549A8" w:rsidRDefault="00A01BE7" w:rsidP="00FD64E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A01BE7" w:rsidRPr="00461700" w:rsidTr="005A4723">
        <w:tc>
          <w:tcPr>
            <w:tcW w:w="9628" w:type="dxa"/>
          </w:tcPr>
          <w:p w:rsidR="00A01BE7" w:rsidRPr="00CB4F42" w:rsidRDefault="00CB4F42" w:rsidP="00FD64E5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B4F42">
              <w:rPr>
                <w:rFonts w:ascii="Times New Roman" w:hAnsi="Times New Roman"/>
                <w:sz w:val="24"/>
                <w:szCs w:val="24"/>
              </w:rPr>
              <w:t>Antikorupcinio vertinimo atlikti nereikia.</w:t>
            </w:r>
          </w:p>
        </w:tc>
      </w:tr>
      <w:tr w:rsidR="00A01BE7" w:rsidRPr="00461700" w:rsidTr="005A4723">
        <w:trPr>
          <w:trHeight w:hRule="exact" w:val="567"/>
        </w:trPr>
        <w:tc>
          <w:tcPr>
            <w:tcW w:w="9628" w:type="dxa"/>
          </w:tcPr>
          <w:p w:rsidR="00A01BE7" w:rsidRPr="008549A8" w:rsidRDefault="00A01BE7" w:rsidP="00FD64E5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konkretūs finansavimo šaltiniai.</w:t>
            </w:r>
          </w:p>
        </w:tc>
      </w:tr>
      <w:tr w:rsidR="00A01BE7" w:rsidRPr="00461700" w:rsidTr="005A4723">
        <w:tc>
          <w:tcPr>
            <w:tcW w:w="9628" w:type="dxa"/>
          </w:tcPr>
          <w:p w:rsidR="00A70C32" w:rsidRDefault="005A4723" w:rsidP="00FD64E5">
            <w:pPr>
              <w:spacing w:after="0"/>
              <w:jc w:val="both"/>
            </w:pPr>
            <w:r>
              <w:lastRenderedPageBreak/>
              <w:t xml:space="preserve">   </w:t>
            </w:r>
          </w:p>
          <w:tbl>
            <w:tblPr>
              <w:tblW w:w="9469" w:type="dxa"/>
              <w:tblLook w:val="04A0" w:firstRow="1" w:lastRow="0" w:firstColumn="1" w:lastColumn="0" w:noHBand="0" w:noVBand="1"/>
            </w:tblPr>
            <w:tblGrid>
              <w:gridCol w:w="1309"/>
              <w:gridCol w:w="753"/>
              <w:gridCol w:w="1152"/>
              <w:gridCol w:w="1053"/>
              <w:gridCol w:w="923"/>
              <w:gridCol w:w="1041"/>
              <w:gridCol w:w="1087"/>
              <w:gridCol w:w="1111"/>
              <w:gridCol w:w="1040"/>
            </w:tblGrid>
            <w:tr w:rsidR="00A70C32" w:rsidRPr="00044898" w:rsidTr="00A70C32">
              <w:trPr>
                <w:trHeight w:val="315"/>
              </w:trPr>
              <w:tc>
                <w:tcPr>
                  <w:tcW w:w="13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Pareigybė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Eta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-</w:t>
                  </w:r>
                </w:p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tas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Koefi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ci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-</w:t>
                  </w:r>
                </w:p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entas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DU</w:t>
                  </w:r>
                </w:p>
              </w:tc>
              <w:tc>
                <w:tcPr>
                  <w:tcW w:w="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Sodra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0C32" w:rsidRPr="00044898" w:rsidRDefault="00FD64E5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Iš v</w:t>
                  </w:r>
                  <w:r w:rsidR="00A70C32"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iso 1 mėn.</w:t>
                  </w:r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  <w:r w:rsidR="00A70C32"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: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DU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Sodra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70C32" w:rsidRPr="00044898" w:rsidRDefault="00FD64E5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Iš v</w:t>
                  </w:r>
                  <w:r w:rsidR="00A70C32"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iso metams:</w:t>
                  </w:r>
                </w:p>
              </w:tc>
            </w:tr>
            <w:tr w:rsidR="00A70C32" w:rsidRPr="00044898" w:rsidTr="00A70C32">
              <w:trPr>
                <w:trHeight w:val="315"/>
              </w:trPr>
              <w:tc>
                <w:tcPr>
                  <w:tcW w:w="130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5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1 mėn.</w:t>
                  </w:r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1 mėn.</w:t>
                  </w:r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FB04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0C32" w:rsidRPr="00044898" w:rsidRDefault="00FB04AD" w:rsidP="00FD6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  <w:r w:rsidR="00A70C32"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mėn.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70C32" w:rsidRPr="00044898" w:rsidRDefault="00FB04AD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4</w:t>
                  </w:r>
                  <w:r w:rsidR="00A70C32" w:rsidRPr="0004489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mėn.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A70C32" w:rsidRPr="00044898" w:rsidRDefault="00A70C32" w:rsidP="00FD64E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A70C32" w:rsidRPr="00044898" w:rsidTr="00A70C32">
              <w:trPr>
                <w:trHeight w:val="585"/>
              </w:trPr>
              <w:tc>
                <w:tcPr>
                  <w:tcW w:w="13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A70C32" w:rsidRPr="00D36EAC" w:rsidRDefault="00865AD3" w:rsidP="00FD64E5">
                  <w:pPr>
                    <w:spacing w:after="0" w:line="240" w:lineRule="auto"/>
                  </w:pPr>
                  <w:r>
                    <w:t>Sporto specialistas</w:t>
                  </w:r>
                </w:p>
              </w:tc>
              <w:tc>
                <w:tcPr>
                  <w:tcW w:w="7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70C32" w:rsidRPr="00A70C32" w:rsidRDefault="00865AD3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 w:rsidR="00A70C32" w:rsidRPr="00A70C3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70C32" w:rsidRPr="00A70C32" w:rsidRDefault="00723BDA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BD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4,06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70C32" w:rsidRPr="00A70C32" w:rsidRDefault="00FB04AD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893,20</w:t>
                  </w:r>
                </w:p>
              </w:tc>
              <w:tc>
                <w:tcPr>
                  <w:tcW w:w="9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70C32" w:rsidRPr="00A70C32" w:rsidRDefault="00FB04AD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12,95</w:t>
                  </w:r>
                </w:p>
              </w:tc>
              <w:tc>
                <w:tcPr>
                  <w:tcW w:w="1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A70C32" w:rsidRPr="00A70C32" w:rsidRDefault="004E2B72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906,15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A70C32" w:rsidRPr="00A70C32" w:rsidRDefault="004E2B72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3572,80</w:t>
                  </w:r>
                </w:p>
              </w:tc>
              <w:tc>
                <w:tcPr>
                  <w:tcW w:w="11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70C32" w:rsidRPr="00A70C32" w:rsidRDefault="004E2B72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51,80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A70C32" w:rsidRPr="00A70C32" w:rsidRDefault="004E2B72" w:rsidP="00FD64E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3624,60</w:t>
                  </w:r>
                </w:p>
              </w:tc>
            </w:tr>
          </w:tbl>
          <w:p w:rsidR="00A01BE7" w:rsidRPr="005A4723" w:rsidRDefault="00A70C32" w:rsidP="00FD64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t xml:space="preserve">              </w:t>
            </w:r>
            <w:r w:rsidR="005A4723" w:rsidRPr="005A4723">
              <w:rPr>
                <w:rFonts w:ascii="Times New Roman" w:hAnsi="Times New Roman"/>
                <w:sz w:val="24"/>
                <w:szCs w:val="24"/>
              </w:rPr>
              <w:t>Sprendimo projektas suderintas su Raseinių rajono savivaldybė administracijos direktoriumi, jo pavaduotoju, Teisės, personalo ir civili</w:t>
            </w:r>
            <w:r w:rsidR="00FD64E5">
              <w:rPr>
                <w:rFonts w:ascii="Times New Roman" w:hAnsi="Times New Roman"/>
                <w:sz w:val="24"/>
                <w:szCs w:val="24"/>
              </w:rPr>
              <w:t>nės metrikacijos skyriaus vedėju</w:t>
            </w:r>
            <w:r w:rsidR="005A4723" w:rsidRPr="005A4723">
              <w:rPr>
                <w:rFonts w:ascii="Times New Roman" w:hAnsi="Times New Roman"/>
                <w:sz w:val="24"/>
                <w:szCs w:val="24"/>
              </w:rPr>
              <w:t xml:space="preserve">, Biudžeto ir finansų analizės skyriaus vedėju, </w:t>
            </w:r>
            <w:r w:rsidR="005A4723" w:rsidRPr="005A4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Bendrųjų reikalų ir informacinių technologijų skyriaus vedėjo pavaduotoju (kalbos tvarkytoju). </w:t>
            </w:r>
            <w:r w:rsidR="005A4723" w:rsidRPr="005A4723">
              <w:rPr>
                <w:rFonts w:ascii="Times New Roman" w:hAnsi="Times New Roman"/>
                <w:sz w:val="24"/>
                <w:szCs w:val="24"/>
              </w:rPr>
              <w:t>Pastabų nėra.</w:t>
            </w:r>
          </w:p>
        </w:tc>
      </w:tr>
      <w:tr w:rsidR="00A01BE7" w:rsidRPr="00461700" w:rsidTr="005A4723">
        <w:trPr>
          <w:trHeight w:hRule="exact" w:val="717"/>
        </w:trPr>
        <w:tc>
          <w:tcPr>
            <w:tcW w:w="9628" w:type="dxa"/>
            <w:vAlign w:val="center"/>
          </w:tcPr>
          <w:p w:rsidR="00A01BE7" w:rsidRPr="008549A8" w:rsidRDefault="00A01BE7" w:rsidP="00A51F26">
            <w:pPr>
              <w:spacing w:after="240" w:line="24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teisės aktams)</w:t>
            </w:r>
            <w:r w:rsidR="00A51F2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404946" w:rsidRPr="00461700" w:rsidTr="005A4723">
        <w:trPr>
          <w:trHeight w:hRule="exact" w:val="397"/>
        </w:trPr>
        <w:tc>
          <w:tcPr>
            <w:tcW w:w="9628" w:type="dxa"/>
            <w:vAlign w:val="center"/>
          </w:tcPr>
          <w:p w:rsidR="00404946" w:rsidRPr="005A4723" w:rsidRDefault="005A4723" w:rsidP="00307270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5A4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2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Parengtas sprendimo projektas neprieštarauja</w:t>
            </w:r>
            <w:r w:rsidR="00307270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0727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norminio pobūdžio teisės aktams.</w:t>
            </w:r>
            <w:bookmarkStart w:id="0" w:name="_GoBack"/>
            <w:bookmarkEnd w:id="0"/>
          </w:p>
        </w:tc>
      </w:tr>
      <w:tr w:rsidR="00A01BE7" w:rsidRPr="00461700" w:rsidTr="005A4723">
        <w:trPr>
          <w:trHeight w:hRule="exact" w:val="397"/>
        </w:trPr>
        <w:tc>
          <w:tcPr>
            <w:tcW w:w="9628" w:type="dxa"/>
            <w:vAlign w:val="center"/>
          </w:tcPr>
          <w:p w:rsidR="00A01BE7" w:rsidRPr="008549A8" w:rsidRDefault="00A01BE7" w:rsidP="00415BBF">
            <w:pPr>
              <w:spacing w:after="240" w:line="360" w:lineRule="auto"/>
              <w:ind w:firstLine="540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8549A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A01BE7" w:rsidRPr="00461700" w:rsidTr="005A4723">
        <w:tc>
          <w:tcPr>
            <w:tcW w:w="9628" w:type="dxa"/>
          </w:tcPr>
          <w:p w:rsidR="00A01BE7" w:rsidRPr="005A4723" w:rsidRDefault="00A70C32" w:rsidP="00351FD9">
            <w:pPr>
              <w:spacing w:after="240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         Raseinių rajono savival</w:t>
            </w:r>
            <w:r w:rsidR="00543981">
              <w:rPr>
                <w:rFonts w:ascii="Times New Roman" w:hAnsi="Times New Roman"/>
                <w:sz w:val="24"/>
                <w:szCs w:val="24"/>
              </w:rPr>
              <w:t xml:space="preserve">dybės administracijos Švietimo ir sporto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skyriaus </w:t>
            </w:r>
            <w:r>
              <w:rPr>
                <w:rFonts w:ascii="Times New Roman" w:hAnsi="Times New Roman"/>
                <w:sz w:val="24"/>
                <w:szCs w:val="24"/>
              </w:rPr>
              <w:t>vyriausiasis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pecialistas Jonas Tamošaitis ir </w:t>
            </w:r>
            <w:r w:rsidRPr="00044898">
              <w:rPr>
                <w:rFonts w:ascii="Times New Roman" w:hAnsi="Times New Roman"/>
                <w:sz w:val="24"/>
                <w:szCs w:val="24"/>
              </w:rPr>
              <w:t xml:space="preserve">Raseinių </w:t>
            </w:r>
            <w:r w:rsidR="00904F93">
              <w:rPr>
                <w:rFonts w:ascii="Times New Roman" w:hAnsi="Times New Roman"/>
                <w:sz w:val="24"/>
                <w:szCs w:val="24"/>
              </w:rPr>
              <w:t xml:space="preserve"> kūno kultūros ir sporto centro  direktoriaus pavaduotojas sportui, l. e. direktoriaus pareigas Gintautas </w:t>
            </w:r>
            <w:proofErr w:type="spellStart"/>
            <w:r w:rsidR="00904F93">
              <w:rPr>
                <w:rFonts w:ascii="Times New Roman" w:hAnsi="Times New Roman"/>
                <w:sz w:val="24"/>
                <w:szCs w:val="24"/>
              </w:rPr>
              <w:t>Balčaitis</w:t>
            </w:r>
            <w:proofErr w:type="spellEnd"/>
            <w:r w:rsidR="00904F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4723" w:rsidRDefault="005A4723" w:rsidP="005A4723">
      <w:pPr>
        <w:rPr>
          <w:rFonts w:ascii="Times New Roman" w:hAnsi="Times New Roman"/>
          <w:sz w:val="24"/>
          <w:szCs w:val="24"/>
        </w:rPr>
      </w:pPr>
    </w:p>
    <w:p w:rsidR="00A01BE7" w:rsidRDefault="00A01BE7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759BA" w:rsidRDefault="008D48B7" w:rsidP="007759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4898">
        <w:rPr>
          <w:rFonts w:ascii="Times New Roman" w:hAnsi="Times New Roman"/>
          <w:sz w:val="24"/>
          <w:szCs w:val="24"/>
        </w:rPr>
        <w:t>Raseinių rajono savival</w:t>
      </w:r>
      <w:r>
        <w:rPr>
          <w:rFonts w:ascii="Times New Roman" w:hAnsi="Times New Roman"/>
          <w:sz w:val="24"/>
          <w:szCs w:val="24"/>
        </w:rPr>
        <w:t xml:space="preserve">dybės administracijos </w:t>
      </w:r>
    </w:p>
    <w:p w:rsidR="00A126B6" w:rsidRPr="007759BA" w:rsidRDefault="008D48B7" w:rsidP="007759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Švietimo ir sporto </w:t>
      </w:r>
      <w:r w:rsidRPr="00044898">
        <w:rPr>
          <w:rFonts w:ascii="Times New Roman" w:hAnsi="Times New Roman"/>
          <w:sz w:val="24"/>
          <w:szCs w:val="24"/>
        </w:rPr>
        <w:t xml:space="preserve">skyriaus </w:t>
      </w:r>
      <w:r w:rsidR="007759BA">
        <w:rPr>
          <w:rFonts w:ascii="Times New Roman" w:hAnsi="Times New Roman"/>
          <w:sz w:val="24"/>
          <w:szCs w:val="24"/>
        </w:rPr>
        <w:t xml:space="preserve">vedėja                                                                Modesta Lukoševičienė </w:t>
      </w:r>
    </w:p>
    <w:p w:rsidR="00A126B6" w:rsidRDefault="00A126B6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126B6" w:rsidRDefault="00A126B6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126B6" w:rsidRDefault="00A126B6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126B6" w:rsidRPr="000518E5" w:rsidRDefault="00A126B6" w:rsidP="00A01BE7">
      <w:pPr>
        <w:spacing w:after="24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D64E5" w:rsidRDefault="00FD64E5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FD64E5" w:rsidRDefault="00FD64E5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1D6A12" w:rsidRDefault="001D6A12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759BA" w:rsidRDefault="007759B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</w:p>
    <w:p w:rsidR="007435EA" w:rsidRPr="00CC0731" w:rsidRDefault="007435EA" w:rsidP="007435EA">
      <w:pPr>
        <w:shd w:val="clear" w:color="auto" w:fill="FFFFFF"/>
        <w:spacing w:after="0" w:line="229" w:lineRule="atLeast"/>
        <w:jc w:val="right"/>
        <w:rPr>
          <w:rFonts w:ascii="Times New Roman" w:hAnsi="Times New Roman"/>
          <w:bCs/>
          <w:color w:val="222222"/>
          <w:sz w:val="24"/>
          <w:szCs w:val="24"/>
          <w:lang w:eastAsia="lt-LT"/>
        </w:rPr>
      </w:pPr>
      <w:r w:rsidRPr="00CC0731">
        <w:rPr>
          <w:rFonts w:ascii="Times New Roman" w:hAnsi="Times New Roman"/>
          <w:bCs/>
          <w:color w:val="222222"/>
          <w:sz w:val="24"/>
          <w:szCs w:val="24"/>
          <w:lang w:eastAsia="lt-LT"/>
        </w:rPr>
        <w:lastRenderedPageBreak/>
        <w:t>Aiškinamojo rašto priedas</w:t>
      </w:r>
    </w:p>
    <w:p w:rsidR="007435EA" w:rsidRPr="00CC0731" w:rsidRDefault="007435EA" w:rsidP="007435EA">
      <w:pPr>
        <w:spacing w:after="0"/>
        <w:rPr>
          <w:rFonts w:ascii="Times New Roman" w:hAnsi="Times New Roman"/>
          <w:sz w:val="24"/>
          <w:szCs w:val="24"/>
        </w:rPr>
      </w:pPr>
    </w:p>
    <w:p w:rsidR="007435EA" w:rsidRPr="00CC0731" w:rsidRDefault="007435EA" w:rsidP="007435EA">
      <w:pPr>
        <w:spacing w:after="0"/>
        <w:rPr>
          <w:rFonts w:ascii="Times New Roman" w:hAnsi="Times New Roman"/>
          <w:sz w:val="24"/>
          <w:szCs w:val="24"/>
        </w:rPr>
      </w:pPr>
    </w:p>
    <w:p w:rsidR="007435EA" w:rsidRPr="00CC0731" w:rsidRDefault="007435EA" w:rsidP="007435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731">
        <w:rPr>
          <w:rFonts w:ascii="Times New Roman" w:hAnsi="Times New Roman"/>
          <w:b/>
          <w:sz w:val="24"/>
          <w:szCs w:val="24"/>
          <w:lang w:eastAsia="lt-LT"/>
        </w:rPr>
        <w:t xml:space="preserve">RASEINIŲ </w:t>
      </w:r>
      <w:r w:rsidR="0060779E">
        <w:rPr>
          <w:rFonts w:ascii="Times New Roman" w:hAnsi="Times New Roman"/>
          <w:b/>
          <w:sz w:val="24"/>
          <w:szCs w:val="24"/>
          <w:lang w:eastAsia="lt-LT"/>
        </w:rPr>
        <w:t>KŪNO KULTŪROS IR SPORTO CENTRO</w:t>
      </w:r>
      <w:r w:rsidRPr="00CC0731">
        <w:rPr>
          <w:rFonts w:ascii="Times New Roman" w:hAnsi="Times New Roman"/>
          <w:b/>
          <w:sz w:val="24"/>
          <w:szCs w:val="24"/>
          <w:lang w:eastAsia="lt-LT"/>
        </w:rPr>
        <w:t xml:space="preserve"> ETATINIŲ PAREIGYBIŲ SĄRAŠAS</w:t>
      </w:r>
      <w:r w:rsidRPr="00CC0731">
        <w:rPr>
          <w:rFonts w:ascii="Times New Roman" w:hAnsi="Times New Roman"/>
          <w:b/>
          <w:sz w:val="24"/>
          <w:szCs w:val="24"/>
        </w:rPr>
        <w:t xml:space="preserve"> IR ETATŲ SKAIČIUS</w:t>
      </w:r>
    </w:p>
    <w:p w:rsidR="007435EA" w:rsidRDefault="007435EA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60779E" w:rsidRPr="00D53C9D" w:rsidRDefault="0060779E" w:rsidP="006077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1417"/>
        <w:gridCol w:w="1418"/>
        <w:gridCol w:w="1559"/>
      </w:tblGrid>
      <w:tr w:rsidR="0060779E" w:rsidRPr="007275E3" w:rsidTr="00904F93">
        <w:tc>
          <w:tcPr>
            <w:tcW w:w="959" w:type="dxa"/>
          </w:tcPr>
          <w:p w:rsidR="0060779E" w:rsidRPr="007275E3" w:rsidRDefault="0060779E" w:rsidP="0086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111" w:type="dxa"/>
          </w:tcPr>
          <w:p w:rsidR="0060779E" w:rsidRPr="007275E3" w:rsidRDefault="0060779E" w:rsidP="0086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417" w:type="dxa"/>
          </w:tcPr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Etatų</w:t>
            </w:r>
          </w:p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skaičius</w:t>
            </w:r>
          </w:p>
          <w:p w:rsidR="0060779E" w:rsidRPr="00855FF3" w:rsidRDefault="005004F0" w:rsidP="005004F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2020-05</w:t>
            </w:r>
            <w:r w:rsidR="00611AFE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Etatų</w:t>
            </w:r>
          </w:p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skaičius</w:t>
            </w:r>
          </w:p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(planuojama</w:t>
            </w:r>
          </w:p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padidinti)</w:t>
            </w:r>
          </w:p>
        </w:tc>
        <w:tc>
          <w:tcPr>
            <w:tcW w:w="1559" w:type="dxa"/>
          </w:tcPr>
          <w:p w:rsidR="0060779E" w:rsidRPr="00855FF3" w:rsidRDefault="0060779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FF3">
              <w:rPr>
                <w:rFonts w:ascii="Times New Roman" w:hAnsi="Times New Roman"/>
                <w:bCs/>
                <w:sz w:val="24"/>
                <w:szCs w:val="24"/>
              </w:rPr>
              <w:t>Etatų</w:t>
            </w:r>
          </w:p>
          <w:p w:rsidR="0060779E" w:rsidRPr="00855FF3" w:rsidRDefault="00611AF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60779E" w:rsidRPr="00855FF3">
              <w:rPr>
                <w:rFonts w:ascii="Times New Roman" w:hAnsi="Times New Roman"/>
                <w:bCs/>
                <w:sz w:val="24"/>
                <w:szCs w:val="24"/>
              </w:rPr>
              <w:t>kaičius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nuo</w:t>
            </w:r>
          </w:p>
          <w:p w:rsidR="0060779E" w:rsidRPr="00855FF3" w:rsidRDefault="00611AFE" w:rsidP="00867F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60779E" w:rsidRPr="00855FF3">
              <w:rPr>
                <w:rFonts w:ascii="Times New Roman" w:hAnsi="Times New Roman"/>
                <w:bCs/>
                <w:sz w:val="24"/>
                <w:szCs w:val="24"/>
              </w:rPr>
              <w:t>-09-01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417" w:type="dxa"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417" w:type="dxa"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Direktoriaus pavaduotojas sportui</w:t>
            </w:r>
          </w:p>
        </w:tc>
        <w:tc>
          <w:tcPr>
            <w:tcW w:w="1417" w:type="dxa"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 xml:space="preserve">Raštvedys </w:t>
            </w:r>
          </w:p>
        </w:tc>
        <w:tc>
          <w:tcPr>
            <w:tcW w:w="1417" w:type="dxa"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1417" w:type="dxa"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Vairuotojas</w:t>
            </w:r>
          </w:p>
        </w:tc>
        <w:tc>
          <w:tcPr>
            <w:tcW w:w="1417" w:type="dxa"/>
            <w:hideMark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Pastatų ir sistemų priežiūros, einamojo remonto darbininkas</w:t>
            </w:r>
          </w:p>
        </w:tc>
        <w:tc>
          <w:tcPr>
            <w:tcW w:w="1417" w:type="dxa"/>
            <w:hideMark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Valytojas</w:t>
            </w:r>
          </w:p>
        </w:tc>
        <w:tc>
          <w:tcPr>
            <w:tcW w:w="1417" w:type="dxa"/>
            <w:hideMark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Ūkvedys</w:t>
            </w:r>
          </w:p>
        </w:tc>
        <w:tc>
          <w:tcPr>
            <w:tcW w:w="1417" w:type="dxa"/>
            <w:hideMark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6077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0779E" w:rsidRPr="007275E3" w:rsidRDefault="0060779E" w:rsidP="00867F58">
            <w:pPr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Sporto specialistas</w:t>
            </w:r>
          </w:p>
        </w:tc>
        <w:tc>
          <w:tcPr>
            <w:tcW w:w="1417" w:type="dxa"/>
            <w:hideMark/>
          </w:tcPr>
          <w:p w:rsidR="0060779E" w:rsidRPr="007275E3" w:rsidRDefault="0060779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559" w:type="dxa"/>
          </w:tcPr>
          <w:p w:rsidR="0060779E" w:rsidRPr="007275E3" w:rsidRDefault="00611AFE" w:rsidP="00607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60779E" w:rsidRPr="007275E3" w:rsidTr="00904F93">
        <w:tc>
          <w:tcPr>
            <w:tcW w:w="959" w:type="dxa"/>
          </w:tcPr>
          <w:p w:rsidR="0060779E" w:rsidRPr="007275E3" w:rsidRDefault="0060779E" w:rsidP="00867F5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79E" w:rsidRPr="007275E3" w:rsidRDefault="0060779E" w:rsidP="00867F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5E3">
              <w:rPr>
                <w:rFonts w:ascii="Times New Roman" w:hAnsi="Times New Roman"/>
                <w:b/>
                <w:sz w:val="24"/>
                <w:szCs w:val="24"/>
              </w:rPr>
              <w:t xml:space="preserve">Iš viso:                   </w:t>
            </w:r>
          </w:p>
        </w:tc>
        <w:tc>
          <w:tcPr>
            <w:tcW w:w="1417" w:type="dxa"/>
          </w:tcPr>
          <w:p w:rsidR="0060779E" w:rsidRPr="0060779E" w:rsidRDefault="0060779E" w:rsidP="00607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79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0779E" w:rsidRPr="0060779E" w:rsidRDefault="005004F0" w:rsidP="00607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559" w:type="dxa"/>
          </w:tcPr>
          <w:p w:rsidR="0060779E" w:rsidRPr="0060779E" w:rsidRDefault="00611AFE" w:rsidP="00607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16,25</w:t>
            </w:r>
          </w:p>
        </w:tc>
      </w:tr>
    </w:tbl>
    <w:p w:rsidR="0060779E" w:rsidRDefault="0060779E" w:rsidP="0060779E"/>
    <w:p w:rsidR="0060779E" w:rsidRDefault="0060779E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60779E" w:rsidRDefault="0060779E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60779E" w:rsidRDefault="0060779E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60779E" w:rsidRDefault="0060779E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904F93" w:rsidRDefault="00904F93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904F93" w:rsidRDefault="00904F93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904F93" w:rsidRDefault="00904F93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904F93" w:rsidRDefault="00904F93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904F93" w:rsidRDefault="00904F93" w:rsidP="007435EA">
      <w:pPr>
        <w:spacing w:after="0" w:line="360" w:lineRule="auto"/>
        <w:rPr>
          <w:rFonts w:ascii="Times New Roman" w:hAnsi="Times New Roman"/>
          <w:b/>
          <w:sz w:val="24"/>
          <w:szCs w:val="24"/>
          <w:lang w:eastAsia="lt-LT"/>
        </w:rPr>
      </w:pPr>
    </w:p>
    <w:sectPr w:rsidR="00904F93" w:rsidSect="00AB6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CA" w:rsidRDefault="00A04DCA" w:rsidP="00C8219F">
      <w:pPr>
        <w:spacing w:after="0" w:line="240" w:lineRule="auto"/>
      </w:pPr>
      <w:r>
        <w:separator/>
      </w:r>
    </w:p>
  </w:endnote>
  <w:endnote w:type="continuationSeparator" w:id="0">
    <w:p w:rsidR="00A04DCA" w:rsidRDefault="00A04DCA" w:rsidP="00C8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F" w:rsidRDefault="00C821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F" w:rsidRDefault="00C821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F" w:rsidRDefault="00C821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CA" w:rsidRDefault="00A04DCA" w:rsidP="00C8219F">
      <w:pPr>
        <w:spacing w:after="0" w:line="240" w:lineRule="auto"/>
      </w:pPr>
      <w:r>
        <w:separator/>
      </w:r>
    </w:p>
  </w:footnote>
  <w:footnote w:type="continuationSeparator" w:id="0">
    <w:p w:rsidR="00A04DCA" w:rsidRDefault="00A04DCA" w:rsidP="00C8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F" w:rsidRDefault="00C821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67612"/>
      <w:docPartObj>
        <w:docPartGallery w:val="Page Numbers (Top of Page)"/>
        <w:docPartUnique/>
      </w:docPartObj>
    </w:sdtPr>
    <w:sdtEndPr/>
    <w:sdtContent>
      <w:p w:rsidR="00C8219F" w:rsidRDefault="00C821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70">
          <w:rPr>
            <w:noProof/>
          </w:rPr>
          <w:t>3</w:t>
        </w:r>
        <w:r>
          <w:fldChar w:fldCharType="end"/>
        </w:r>
      </w:p>
    </w:sdtContent>
  </w:sdt>
  <w:p w:rsidR="00C8219F" w:rsidRDefault="00C8219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9F" w:rsidRDefault="00C821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32D5"/>
    <w:multiLevelType w:val="hybridMultilevel"/>
    <w:tmpl w:val="83EC71C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A650A6"/>
    <w:multiLevelType w:val="hybridMultilevel"/>
    <w:tmpl w:val="7D046F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7"/>
    <w:rsid w:val="001616A7"/>
    <w:rsid w:val="001D6A12"/>
    <w:rsid w:val="00207023"/>
    <w:rsid w:val="00270EF9"/>
    <w:rsid w:val="002C3668"/>
    <w:rsid w:val="002E184A"/>
    <w:rsid w:val="002E5FF7"/>
    <w:rsid w:val="0030597E"/>
    <w:rsid w:val="00307270"/>
    <w:rsid w:val="00351FD9"/>
    <w:rsid w:val="00361240"/>
    <w:rsid w:val="003D1E5D"/>
    <w:rsid w:val="003E102D"/>
    <w:rsid w:val="003E2AE0"/>
    <w:rsid w:val="003E368E"/>
    <w:rsid w:val="00404946"/>
    <w:rsid w:val="00406F93"/>
    <w:rsid w:val="00423D2A"/>
    <w:rsid w:val="004577EF"/>
    <w:rsid w:val="004E26CE"/>
    <w:rsid w:val="004E2B72"/>
    <w:rsid w:val="005004F0"/>
    <w:rsid w:val="0054237B"/>
    <w:rsid w:val="00543981"/>
    <w:rsid w:val="005A4723"/>
    <w:rsid w:val="005A649D"/>
    <w:rsid w:val="005E1782"/>
    <w:rsid w:val="005F76CF"/>
    <w:rsid w:val="0060779E"/>
    <w:rsid w:val="00611AF1"/>
    <w:rsid w:val="00611AFE"/>
    <w:rsid w:val="00630CA8"/>
    <w:rsid w:val="00652CE5"/>
    <w:rsid w:val="0065466D"/>
    <w:rsid w:val="00723BDA"/>
    <w:rsid w:val="0073499A"/>
    <w:rsid w:val="007435EA"/>
    <w:rsid w:val="007759BA"/>
    <w:rsid w:val="007B3BCF"/>
    <w:rsid w:val="00865AD3"/>
    <w:rsid w:val="008D48B7"/>
    <w:rsid w:val="00904F93"/>
    <w:rsid w:val="00914460"/>
    <w:rsid w:val="0093769B"/>
    <w:rsid w:val="009B093E"/>
    <w:rsid w:val="009E2C03"/>
    <w:rsid w:val="00A01BE7"/>
    <w:rsid w:val="00A04DCA"/>
    <w:rsid w:val="00A126B6"/>
    <w:rsid w:val="00A1538E"/>
    <w:rsid w:val="00A51F26"/>
    <w:rsid w:val="00A70C32"/>
    <w:rsid w:val="00AA2D3F"/>
    <w:rsid w:val="00AD708E"/>
    <w:rsid w:val="00AE7AF7"/>
    <w:rsid w:val="00B20024"/>
    <w:rsid w:val="00B332B9"/>
    <w:rsid w:val="00C34F04"/>
    <w:rsid w:val="00C8022F"/>
    <w:rsid w:val="00C8219F"/>
    <w:rsid w:val="00CB4F42"/>
    <w:rsid w:val="00D209F5"/>
    <w:rsid w:val="00DB6054"/>
    <w:rsid w:val="00DC5CD1"/>
    <w:rsid w:val="00E17F17"/>
    <w:rsid w:val="00E305E6"/>
    <w:rsid w:val="00FB04AD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1E704-57B0-4768-AF4A-2CC965B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BE7"/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1BE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B3BC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ar-SA"/>
    </w:rPr>
  </w:style>
  <w:style w:type="character" w:styleId="HTMLspausdinimomainl">
    <w:name w:val="HTML Typewriter"/>
    <w:rsid w:val="007B3BCF"/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C8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219F"/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C8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219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518E-BCED-451C-866C-0203E74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Urbonienė</dc:creator>
  <cp:lastModifiedBy>Jonas Tamošaitis</cp:lastModifiedBy>
  <cp:revision>7</cp:revision>
  <dcterms:created xsi:type="dcterms:W3CDTF">2020-05-28T08:28:00Z</dcterms:created>
  <dcterms:modified xsi:type="dcterms:W3CDTF">2020-05-29T06:41:00Z</dcterms:modified>
</cp:coreProperties>
</file>