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537945104e48a490265042d1599b53"/>
        <w:lock w:val="sdtLocked"/>
        <w:richText/>
      </w:sdtPr>
      <w:sdtContent>
        <w:p w14:paraId="25A6A8C9" w14:textId="77777777">
          <w:pPr>
            <w:suppressAutoHyphens/>
          </w:pPr>
        </w:p>
        <w:p w14:paraId="03E08E46" w14:textId="77777777">
          <w:pPr>
            <w:suppressAutoHyphens/>
            <w:jc w:val="center"/>
            <w:rPr>
              <w:b/>
              <w:sz w:val="22"/>
              <w:szCs w:val="22"/>
            </w:rPr>
          </w:pPr>
          <w:r>
            <w:rPr>
              <w:b/>
              <w:sz w:val="22"/>
              <w:szCs w:val="22"/>
            </w:rPr>
            <w:t xml:space="preserve">ŠIAULIŲ MIESTO SAVIVALDYBĖS ADMINISTRACIJOS </w:t>
          </w:r>
        </w:p>
        <w:sdt>
          <w:sdtPr>
            <w:alias w:val="skyrius"/>
            <w:tag w:val="part_86cedbcab7ad448e970fb12ffa6e4b9d"/>
            <w:lock w:val="sdtLocked"/>
            <w:richText/>
          </w:sdtPr>
          <w:sdtContent>
            <w:p w14:paraId="17BCAA1C" w14:textId="1E5A28EB">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sdt>
              <w:sdtPr>
                <w:alias w:val="Pavadinimas"/>
                <w:tag w:val="title_86cedbcab7ad448e970fb12ffa6e4b9d"/>
                <w:lock w:val="sdtLocked"/>
                <w:richText/>
              </w:sdtPr>
              <w:sdtContent>
                <w:p w14:paraId="61830719" w14:textId="1E01377D">
                  <w:pPr>
                    <w:suppressAutoHyphens/>
                    <w:jc w:val="center"/>
                    <w:rPr>
                      <w:b/>
                      <w:sz w:val="22"/>
                      <w:szCs w:val="22"/>
                    </w:rPr>
                  </w:pPr>
                  <w:r>
                    <w:rPr>
                      <w:b/>
                      <w:bCs/>
                      <w:color w:val="000000"/>
                      <w:sz w:val="22"/>
                      <w:szCs w:val="22"/>
                      <w:shd w:val="clear" w:color="auto" w:fill="FFFFFF"/>
                    </w:rPr>
                    <w:t>SPRENDIMO PROJEKTO „</w:t>
                  </w:r>
                  <w:r>
                    <w:rPr>
                      <w:b/>
                      <w:bCs/>
                      <w:sz w:val="22"/>
                      <w:szCs w:val="22"/>
                      <w:shd w:val="clear" w:color="auto" w:fill="FFFFFF"/>
                    </w:rPr>
                    <w:t>DĖL PRITARIMO PAKEISTI ŽEMĖS SKLYPO AUŠROS AL. 64A, ŠIAULIŲ MIESTE, 2000</w:t>
                  </w:r>
                  <w:r>
                    <w:rPr>
                      <w:b/>
                      <w:bCs/>
                      <w:color w:val="000000"/>
                      <w:sz w:val="22"/>
                      <w:szCs w:val="22"/>
                      <w:shd w:val="clear" w:color="auto" w:fill="FFFFFF"/>
                    </w:rPr>
                    <w:t xml:space="preserve"> M. LAPKRIČIO 27 D. </w:t>
                  </w:r>
                  <w:r>
                    <w:rPr>
                      <w:b/>
                      <w:sz w:val="22"/>
                      <w:szCs w:val="22"/>
                    </w:rPr>
                    <w:t xml:space="preserve">VALSTYBINĖS ŽEMĖS </w:t>
                  </w:r>
                </w:p>
                <w:p w14:paraId="6DA2C66F" w14:textId="71BEF2A3">
                  <w:pPr>
                    <w:suppressAutoHyphens/>
                    <w:jc w:val="center"/>
                    <w:rPr>
                      <w:b/>
                      <w:bCs/>
                      <w:sz w:val="22"/>
                      <w:szCs w:val="22"/>
                    </w:rPr>
                  </w:pPr>
                  <w:r>
                    <w:rPr>
                      <w:b/>
                      <w:sz w:val="22"/>
                      <w:szCs w:val="22"/>
                    </w:rPr>
                    <w:t>NUOMOS SUTARTĮ NR. N29/01-0230</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4f68dcfd0bc64f1aa3b5cd4b00fb3be3"/>
                <w:lock w:val="sdtLocked"/>
                <w:richText/>
              </w:sdtPr>
              <w:sdtContent>
                <w:p w14:paraId="17BCAA1F" w14:textId="77777777">
                  <w:pPr>
                    <w:tabs>
                      <w:tab w:val="left" w:pos="851"/>
                    </w:tabs>
                    <w:suppressAutoHyphens/>
                    <w:jc w:val="center"/>
                    <w:rPr>
                      <w:b/>
                      <w:sz w:val="22"/>
                      <w:szCs w:val="22"/>
                      <w:lang w:eastAsia="lt-LT"/>
                    </w:rPr>
                  </w:pPr>
                  <w:sdt>
                    <w:sdtPr>
                      <w:alias w:val="Pavadinimas"/>
                      <w:tag w:val="title_4f68dcfd0bc64f1aa3b5cd4b00fb3be3"/>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4b57458ca7a24c6e9a16985f9b1e7ec0"/>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4b57458ca7a24c6e9a16985f9b1e7ec0"/>
                      <w:lock w:val="sdtLocked"/>
                      <w:richText/>
                    </w:sdtPr>
                    <w:sdtContent>
                      <w:r>
                        <w:rPr>
                          <w:b/>
                          <w:bCs/>
                          <w:sz w:val="22"/>
                          <w:szCs w:val="22"/>
                          <w:lang w:eastAsia="lt-LT"/>
                        </w:rPr>
                        <w:t>Parengto sprendimo projekto tikslai ir uždaviniai:</w:t>
                      </w:r>
                    </w:sdtContent>
                  </w:sdt>
                </w:p>
                <w:p w14:paraId="25125FC5" w14:textId="18F8BDCA">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2000 m. lapkričio 27 d. nuomos sutartį Nr. N29/01-0230 (toliau – Sutartis) ir pasirašyti susitarimą </w:t>
                  </w:r>
                  <w:r>
                    <w:rPr>
                      <w:rFonts w:eastAsia="HG Mincho Light J"/>
                      <w:color w:val="000000"/>
                      <w:sz w:val="22"/>
                      <w:szCs w:val="22"/>
                      <w:lang w:eastAsia="lt-LT"/>
                    </w:rPr>
                    <w:t xml:space="preserve">dėl 0,2600 ha ploto valstybinės žemės sklypo Aušros al. 64A, Šiaulių mieste </w:t>
                  </w:r>
                  <w:r>
                    <w:rPr>
                      <w:bCs/>
                      <w:sz w:val="22"/>
                      <w:szCs w:val="22"/>
                      <w:lang w:eastAsia="lt-LT"/>
                    </w:rPr>
                    <w:t>(kadastro Nr. 2901/0008:340)</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613955f543114396bb361937df61d219"/>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613955f543114396bb361937df61d219"/>
                      <w:lock w:val="sdtLocked"/>
                      <w:richText/>
                    </w:sdtPr>
                    <w:sdtContent>
                      <w:r>
                        <w:rPr>
                          <w:b/>
                          <w:bCs/>
                          <w:sz w:val="22"/>
                          <w:szCs w:val="22"/>
                          <w:lang w:eastAsia="lt-LT"/>
                        </w:rPr>
                        <w:t>Dabartinis sprendimo projekte aptariamų klausimų reguliavimas:</w:t>
                      </w:r>
                    </w:sdtContent>
                  </w:sdt>
                </w:p>
                <w:p w14:paraId="54F5F5A5" w14:textId="45ECD2A1">
                  <w:pPr>
                    <w:tabs>
                      <w:tab w:val="left" w:pos="851"/>
                    </w:tabs>
                    <w:suppressAutoHyphens/>
                    <w:ind w:firstLine="851"/>
                    <w:jc w:val="both"/>
                    <w:rPr>
                      <w:bCs/>
                      <w:sz w:val="22"/>
                      <w:szCs w:val="22"/>
                      <w:lang w:eastAsia="lt-LT"/>
                    </w:rPr>
                  </w:pPr>
                  <w:r>
                    <w:rPr>
                      <w:bCs/>
                      <w:sz w:val="22"/>
                      <w:szCs w:val="22"/>
                      <w:lang w:eastAsia="lt-LT"/>
                    </w:rPr>
                    <w:t>Žemės sklypas nuomos sutartimi išnuomotas iki 2025-11-27.</w:t>
                  </w:r>
                </w:p>
                <w:p w14:paraId="72910596" w14:textId="0076C085">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4E24DE76" w14:textId="77777777">
                  <w:pPr>
                    <w:suppressAutoHyphens/>
                    <w:ind w:firstLine="851"/>
                    <w:jc w:val="both"/>
                    <w:rPr>
                      <w:bCs/>
                      <w:sz w:val="22"/>
                      <w:szCs w:val="22"/>
                      <w:lang w:eastAsia="lt-LT"/>
                    </w:rPr>
                  </w:pPr>
                  <w:r>
                    <w:rPr>
                      <w:bCs/>
                      <w:sz w:val="22"/>
                      <w:szCs w:val="22"/>
                      <w:lang w:eastAsia="lt-LT"/>
                    </w:rPr>
                    <w:t xml:space="preserve">Taisyklių 39.7 papunktyje nurodyta, kad </w:t>
                  </w:r>
                  <w:r>
                    <w:rPr>
                      <w:bCs/>
                      <w:i/>
                      <w:iCs/>
                      <w:sz w:val="22"/>
                      <w:szCs w:val="22"/>
                      <w:lang w:eastAsia="lt-LT"/>
                    </w:rPr>
                    <w:t>valstybinės žemės nuomotojui nustačius, kad galima sudaryti valstybinės žemės nuomos sutartį Žemės įstatymuose 9 straipsnio 23 ir 26 (</w:t>
                  </w:r>
                  <w:r>
                    <w:rPr>
                      <w:bCs/>
                      <w:sz w:val="22"/>
                      <w:szCs w:val="22"/>
                      <w:lang w:eastAsia="lt-LT"/>
                    </w:rPr>
                    <w:t xml:space="preserve">išnuomojamas valstybinės žemės sklypas statiniams ir (ar) įrenginiams eksploatuoti, kurių paskirtis neatitinka valstybinės žemės sklypo pagrindinės žemės naudojimo paskirties ir (ar) naudojimo būdo) </w:t>
                  </w:r>
                  <w:r>
                    <w:rPr>
                      <w:bCs/>
                      <w:i/>
                      <w:iCs/>
                      <w:sz w:val="22"/>
                      <w:szCs w:val="22"/>
                      <w:lang w:eastAsia="lt-LT"/>
                    </w:rPr>
                    <w:t>dalyse nurodytais atvejais arba pašalinus neatitikimus, – valstybinės žemės nuomotojas užsako pagal šiuos papunkčius pageidaujamo išsinuomoti žemės sklypo individualųjį vertinimą;</w:t>
                  </w:r>
                </w:p>
                <w:p w14:paraId="44D2371C" w14:textId="779DD5B2">
                  <w:pPr>
                    <w:suppressAutoHyphens/>
                    <w:ind w:firstLine="851"/>
                    <w:jc w:val="both"/>
                    <w:rPr>
                      <w:bCs/>
                      <w:i/>
                      <w:iCs/>
                      <w:sz w:val="22"/>
                      <w:szCs w:val="22"/>
                    </w:rPr>
                  </w:pPr>
                  <w:r>
                    <w:rPr>
                      <w:bCs/>
                      <w:sz w:val="22"/>
                      <w:szCs w:val="22"/>
                    </w:rPr>
                    <w:t>VĮ Registrų centro duomenimis asmeniui nuosavybės teise priklauso pastatas – lošimo namai 1H2p (unikalus Nr. 2995-6001-2014), paskirties grupė „pagalbinių“, pagrindinė naudojimo paskirtis „</w:t>
                  </w:r>
                  <w:r>
                    <w:rPr>
                      <w:bCs/>
                      <w:i/>
                      <w:iCs/>
                      <w:sz w:val="22"/>
                      <w:szCs w:val="22"/>
                    </w:rPr>
                    <w:t xml:space="preserve">kitų pagalbinių“. </w:t>
                  </w:r>
                </w:p>
                <w:p w14:paraId="4F98F64D" w14:textId="77777777">
                  <w:pPr>
                    <w:suppressAutoHyphens/>
                    <w:ind w:firstLine="851"/>
                    <w:jc w:val="both"/>
                    <w:rPr>
                      <w:sz w:val="22"/>
                      <w:szCs w:val="22"/>
                      <w:lang w:eastAsia="zh-CN"/>
                    </w:rPr>
                  </w:pPr>
                  <w:r>
                    <w:rPr>
                      <w:sz w:val="22"/>
                      <w:szCs w:val="22"/>
                    </w:rPr>
                    <w:t xml:space="preserve">Statybos techninio reglamento STR 1.12.03:2017 „Statinių ir patalpų klasifikavimas“, patvirtinto Lietuvos Respublikos aplinkos ministro 2016 m. spalio 27 d. įsakymu Nr. D1-713 </w:t>
                  </w:r>
                  <w:r>
                    <w:rPr>
                      <w:sz w:val="22"/>
                      <w:szCs w:val="22"/>
                      <w:lang w:eastAsia="zh-CN"/>
                    </w:rPr>
                    <w:t>„Dėl statybos techninio reglamento STR 1.01.03:2017 „Statinių ir patalpų klasifikavimas“ patvirtinimo“, 1 priede nurodyta, kad lošimo namai priskiriami „</w:t>
                  </w:r>
                  <w:r>
                    <w:rPr>
                      <w:i/>
                      <w:iCs/>
                      <w:sz w:val="22"/>
                      <w:szCs w:val="22"/>
                      <w:lang w:eastAsia="zh-CN"/>
                    </w:rPr>
                    <w:t>specialiųjų paslaugų</w:t>
                  </w:r>
                  <w:r>
                    <w:rPr>
                      <w:sz w:val="22"/>
                      <w:szCs w:val="22"/>
                      <w:lang w:eastAsia="zh-CN"/>
                    </w:rPr>
                    <w:t>“ pastatų paskirties grupei ir „</w:t>
                  </w:r>
                  <w:r>
                    <w:rPr>
                      <w:i/>
                      <w:iCs/>
                      <w:sz w:val="22"/>
                      <w:szCs w:val="22"/>
                      <w:lang w:eastAsia="zh-CN"/>
                    </w:rPr>
                    <w:t>specialiųjų paslaugų</w:t>
                  </w:r>
                  <w:r>
                    <w:rPr>
                      <w:sz w:val="22"/>
                      <w:szCs w:val="22"/>
                      <w:lang w:eastAsia="zh-CN"/>
                    </w:rPr>
                    <w:t xml:space="preserve">“ pastatų paskirčiai. </w:t>
                  </w:r>
                </w:p>
                <w:p w14:paraId="3A2DCC9A" w14:textId="77777777">
                  <w:pPr>
                    <w:suppressAutoHyphens/>
                    <w:ind w:firstLine="851"/>
                    <w:jc w:val="both"/>
                    <w:rPr>
                      <w:sz w:val="22"/>
                      <w:szCs w:val="22"/>
                      <w:lang w:eastAsia="lt-LT"/>
                    </w:rPr>
                  </w:pPr>
                  <w:r>
                    <w:rPr>
                      <w:bCs/>
                      <w:sz w:val="22"/>
                      <w:szCs w:val="22"/>
                    </w:rPr>
                    <w:t>Žemės sklypo naudojimo būdas yra komercinės paskirties objektų teritorijos: ž</w:t>
                  </w:r>
                  <w:r>
                    <w:rPr>
                      <w:sz w:val="22"/>
                      <w:szCs w:val="22"/>
                      <w:lang w:eastAsia="lt-LT"/>
                    </w:rPr>
                    <w:t xml:space="preserve">emės sklypai, skirti komercinės, administracinės, visuomeninės, specialiųjų paslaugų pastatų paskirties grupių pastatams, sporto paskirties inžineriniams statiniams, </w:t>
                  </w:r>
                  <w:r>
                    <w:rPr>
                      <w:rFonts w:eastAsia="Calibri"/>
                      <w:sz w:val="22"/>
                      <w:szCs w:val="22"/>
                      <w:lang w:eastAsia="zh-CN"/>
                    </w:rPr>
                    <w:t xml:space="preserve">įstaigų, teikiančių socialinės globos ar socialinės priežiūros paslaugas su apgyvendinimu </w:t>
                  </w:r>
                  <w:r>
                    <w:rPr>
                      <w:sz w:val="22"/>
                      <w:szCs w:val="22"/>
                      <w:lang w:eastAsia="lt-LT"/>
                    </w:rPr>
                    <w:t>pastatams, degalinėms.</w:t>
                  </w:r>
                </w:p>
                <w:p w14:paraId="7DA3D970" w14:textId="526DA293">
                  <w:pPr>
                    <w:suppressAutoHyphens/>
                    <w:ind w:firstLine="851"/>
                    <w:jc w:val="both"/>
                    <w:rPr>
                      <w:sz w:val="22"/>
                      <w:szCs w:val="22"/>
                      <w:lang w:eastAsia="ar-SA"/>
                    </w:rPr>
                  </w:pPr>
                  <w:r>
                    <w:rPr>
                      <w:sz w:val="22"/>
                      <w:szCs w:val="22"/>
                      <w:lang w:eastAsia="ar-SA"/>
                    </w:rPr>
                    <w:t>Įvertinant minėtas teisės aktų nuostatas, asmuo buvo informuotas, kad gali kreiptis į Šiaulių miesto savivaldybę dėl galimybės rengti statinio paskirties keitimo projektą, kad žemės sklype esantis statinys atitiktų žemės sklypo naudojimo būdą, tačiau nesiėmė jokių</w:t>
                  </w:r>
                  <w:r>
                    <w:rPr>
                      <w:sz w:val="22"/>
                      <w:szCs w:val="22"/>
                    </w:rPr>
                    <w:t xml:space="preserve"> veiksmų dėl pastato paskirties pakeitimo, todėl žemės sklypo nuomos sutartis sudaroma vadovaujantis Taisyklių 39.7 papunkčiu užsakant pageidaujamo išsinuomoti žemės sklypo individualųjį vertinimą. </w:t>
                  </w:r>
                </w:p>
                <w:p w14:paraId="7A5931BD"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AD60C88" w14:textId="3AF9269E">
                  <w:pPr>
                    <w:widowControl w:val="0"/>
                    <w:suppressAutoHyphens/>
                    <w:ind w:firstLine="851"/>
                    <w:jc w:val="both"/>
                    <w:rPr>
                      <w:bCs/>
                      <w:sz w:val="22"/>
                      <w:szCs w:val="22"/>
                      <w:lang w:eastAsia="lt-LT"/>
                    </w:rPr>
                  </w:pPr>
                  <w:r>
                    <w:rPr>
                      <w:sz w:val="22"/>
                      <w:szCs w:val="22"/>
                      <w:lang w:eastAsia="lt-LT"/>
                    </w:rPr>
                    <w:t xml:space="preserve">Žemės sklype esantis pastatas </w:t>
                  </w:r>
                  <w:r>
                    <w:rPr>
                      <w:bCs/>
                      <w:sz w:val="22"/>
                      <w:szCs w:val="22"/>
                      <w:lang w:eastAsia="lt-LT"/>
                    </w:rPr>
                    <w:t>(unikalus Nr. 2995-6001-2014) pastatytas 1956 m.</w:t>
                  </w:r>
                </w:p>
                <w:p w14:paraId="10AB9467" w14:textId="59B4C0BD">
                  <w:pPr>
                    <w:widowControl w:val="0"/>
                    <w:suppressAutoHyphens/>
                    <w:ind w:firstLine="851"/>
                    <w:jc w:val="both"/>
                    <w:rPr>
                      <w:bCs/>
                      <w:sz w:val="22"/>
                      <w:szCs w:val="22"/>
                      <w:lang w:eastAsia="lt-LT"/>
                    </w:rPr>
                  </w:pPr>
                  <w:r>
                    <w:rPr>
                      <w:sz w:val="22"/>
                      <w:szCs w:val="22"/>
                      <w:lang w:eastAsia="lt-LT"/>
                    </w:rPr>
                    <w:t>Vadovaujantis STR 1.12.06:2002 7.1 papunkčiu, plytų mūro pastato, kurio paskirtis – kitų pagalbinių, 65.1 papunkčiu, plytų mūro ir stambiaplokščiai pastatai, kurių paskirtis neįvardinta, ekonomiškai pagrįstas naudojimo terminas yra 80 metų</w:t>
                  </w:r>
                  <w:r>
                    <w:rPr>
                      <w:bCs/>
                      <w:sz w:val="22"/>
                      <w:szCs w:val="22"/>
                      <w:lang w:eastAsia="lt-LT"/>
                    </w:rPr>
                    <w:t>.</w:t>
                  </w:r>
                </w:p>
                <w:p w14:paraId="761ED334" w14:textId="77777777">
                  <w:pPr>
                    <w:suppressAutoHyphens/>
                    <w:ind w:firstLine="851"/>
                    <w:jc w:val="both"/>
                    <w:rPr>
                      <w:sz w:val="22"/>
                      <w:szCs w:val="22"/>
                      <w:lang w:eastAsia="lt-LT"/>
                    </w:rPr>
                  </w:pPr>
                  <w:r>
                    <w:rPr>
                      <w:sz w:val="22"/>
                      <w:szCs w:val="22"/>
                      <w:lang w:eastAsia="lt-LT"/>
                    </w:rPr>
                    <w:t>T = S – (S x (N / 100)) + M</w:t>
                  </w:r>
                </w:p>
                <w:p w14:paraId="17997B63"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61F446D" w14:textId="5FAF0CFD">
                  <w:pPr>
                    <w:suppressAutoHyphens/>
                    <w:ind w:firstLine="851"/>
                    <w:jc w:val="both"/>
                    <w:rPr>
                      <w:sz w:val="22"/>
                      <w:szCs w:val="22"/>
                      <w:lang w:eastAsia="lt-LT"/>
                    </w:rPr>
                  </w:pPr>
                  <w:r>
                    <w:rPr>
                      <w:sz w:val="22"/>
                      <w:szCs w:val="22"/>
                      <w:lang w:eastAsia="lt-LT"/>
                    </w:rPr>
                    <w:t>T = 80 – (80 x (27/100)) +2011 = 2069-2025=44 metai.</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p w14:paraId="28E07253" w14:textId="77777777">
                  <w:pPr>
                    <w:tabs>
                      <w:tab w:val="left" w:pos="851"/>
                    </w:tabs>
                    <w:suppressAutoHyphens/>
                    <w:ind w:firstLine="851"/>
                    <w:jc w:val="both"/>
                    <w:rPr>
                      <w:i/>
                      <w:iCs/>
                      <w:sz w:val="22"/>
                      <w:szCs w:val="22"/>
                      <w:lang w:eastAsia="lt-LT"/>
                    </w:rPr>
                  </w:pPr>
                  <w:r>
                    <w:rPr>
                      <w:sz w:val="22"/>
                      <w:szCs w:val="22"/>
                      <w:lang w:eastAsia="lt-LT"/>
                    </w:rPr>
                    <w:t xml:space="preserve">Taisyklių 50 punkte nurodyta, kad </w:t>
                  </w:r>
                  <w:r>
                    <w:rPr>
                      <w:i/>
                      <w:iCs/>
                      <w:sz w:val="22"/>
                      <w:szCs w:val="22"/>
                      <w:lang w:eastAsia="lt-LT"/>
                    </w:rPr>
                    <w:t xml:space="preserve">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w:t>
                  </w:r>
                </w:p>
                <w:p w14:paraId="706A376F" w14:textId="77777777">
                  <w:pPr>
                    <w:suppressAutoHyphens/>
                    <w:ind w:firstLine="851"/>
                    <w:jc w:val="both"/>
                    <w:rPr>
                      <w:sz w:val="22"/>
                      <w:szCs w:val="22"/>
                    </w:rPr>
                  </w:pPr>
                  <w:r>
                    <w:rPr>
                      <w:bCs/>
                      <w:sz w:val="22"/>
                      <w:szCs w:val="22"/>
                    </w:rPr>
                    <w:t>2025-10-02 atlikus faktinių duomenų patikrinimą vietoje (akto Nr. ŽV-313) nustatyta,</w:t>
                  </w:r>
                  <w:r>
                    <w:rPr>
                      <w:sz w:val="22"/>
                      <w:szCs w:val="22"/>
                    </w:rPr>
                    <w:t xml:space="preserve"> kad statiniai  naudojami ne pagal Nekilnojamojo turto registre įregistruotą pagrindinę naudojimo paskirtį. Žemės sklypas suformuotas reikalingo dydžio statiniams eksploatuoti. </w:t>
                  </w:r>
                </w:p>
              </w:sdtContent>
            </w:sdt>
            <w:sdt>
              <w:sdtPr>
                <w:alias w:val="poskyris"/>
                <w:tag w:val="part_9f5a6edfefa045519fcea14dbd7146dc"/>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9f5a6edfefa045519fcea14dbd7146dc"/>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9f35e6f030144374a389ee0550cef97f"/>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9f35e6f030144374a389ee0550cef97f"/>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94b920e58cf6412582a76f139ddd51a5"/>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94b920e58cf6412582a76f139ddd51a5"/>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c3f7aca046a14268a5fb489c95207667"/>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c3f7aca046a14268a5fb489c95207667"/>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a9b9894485944b1dbb8cf4b616a3e236"/>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a9b9894485944b1dbb8cf4b616a3e236"/>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9efd232d1a3a40088533545cc9127c7b"/>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9efd232d1a3a40088533545cc9127c7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E9CEB4E">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c926e676b1934417abe2b69c01737543"/>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c926e676b1934417abe2b69c01737543"/>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a17b46309258489cb0941e5d37aad834"/>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FD4BF2" w14:textId="77777777">
      <w:pPr>
        <w:suppressAutoHyphens/>
      </w:pPr>
      <w:r>
        <w:separator/>
      </w:r>
    </w:p>
  </w:endnote>
  <w:endnote w:type="continuationSeparator" w:id="0">
    <w:p w14:paraId="09B243B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panose1 w:val="00000000000000000000"/>
    <w:charset w:val="00"/>
    <w:family w:val="roman"/>
    <w:notTrueType/>
    <w:pitch w:val="default"/>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3C0B0"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880F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0764B9" w14:textId="77777777">
      <w:pPr>
        <w:suppressAutoHyphens/>
      </w:pPr>
      <w:r>
        <w:separator/>
      </w:r>
    </w:p>
  </w:footnote>
  <w:footnote w:type="continuationSeparator" w:id="0">
    <w:p w14:paraId="1EC1C84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3FAB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1CE4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d6201c02b974c15bf6b2ae0e6602956" PartId="ea537945104e48a490265042d1599b53">
    <Part Type="skyrius" Nr="999" Title="SPRENDIMO PROJEKTO „DĖL PRITARIMO PAKEISTI ŽEMĖS SKLYPO AUŠROS AL. 64A, ŠIAULIŲ MIESTE, 2000 M. LAPKRIČIO 27 D. VALSTYBINĖS ŽEMĖS NUOMOS SUTARTĮ NR. N29/01-0230“" DocPartId="ea3f3c27f91c45fba84440f881c1b2d6" PartId="86cedbcab7ad448e970fb12ffa6e4b9d">
      <Part Type="poskyris" Title="AIŠKINAMASIS RAŠTAS" DocPartId="c1bc610e9295469699ee8efd9707bcb7" PartId="4f68dcfd0bc64f1aa3b5cd4b00fb3be3"/>
      <Part Type="poskyris" Title="Parengto sprendimo projekto tikslai ir uždaviniai:" DocPartId="65682a97e752427ca9bfef821514efcc" PartId="4b57458ca7a24c6e9a16985f9b1e7ec0"/>
      <Part Type="poskyris" Title="Dabartinis sprendimo projekte aptariamų klausimų reguliavimas:" DocPartId="ca3222067e984766bc13214c7f283311" PartId="613955f543114396bb361937df61d219"/>
      <Part Type="poskyris" Title="Sprendimo projekte numatytos naujos teisinio reglamentavimo nuostatos:" DocPartId="06bab6160494460588f3106232994a21" PartId="9f5a6edfefa045519fcea14dbd7146dc"/>
      <Part Type="poskyris" Title="Priėmus sprendimą, galimos pasekmės (tiek teigiamos, tiek neigiamos)." DocPartId="30f10b61432a4da2ac6307c99c1fd5c0" PartId="9f35e6f030144374a389ee0550cef97f"/>
      <Part Type="poskyris" Title="Priėmus sprendimą, keičiami ar pripažįstami negaliojančiais teisės aktai." DocPartId="2298efcccb9144bfbee909997270696b" PartId="94b920e58cf6412582a76f139ddd51a5"/>
      <Part Type="poskyris" Title="Sprendimui įgyvendinti reikalingi priimti papildomi teisės aktai." DocPartId="75ec73c370da4f3a963d0e7bc65840b4" PartId="c3f7aca046a14268a5fb489c95207667"/>
      <Part Type="poskyris" Title="Sprendimui įgyvendinti reikalingos lėšos." DocPartId="6ef2607daf8248aebf0340d78be19e23" PartId="a9b9894485944b1dbb8cf4b616a3e236"/>
      <Part Type="poskyris" Title="Sprendimo projekto antikorupcinis vertinimas." DocPartId="94c7e09c3697400698c08e0f73b55faf" PartId="9efd232d1a3a40088533545cc9127c7b"/>
      <Part Type="poskyris" Title="Numatomo teisinio reguliavimo poveikio vertinimo rezultatai." DocPartId="49d424d8042648f28d09ea22d2a2a064" PartId="c926e676b1934417abe2b69c01737543"/>
    </Part>
    <Part Type="signatura" DocPartId="edb7748567e74fce96aefb0b7f3d2f60" PartId="a17b46309258489cb0941e5d37aad834"/>
  </Part>
</Parts>
</file>

<file path=customXml/itemProps1.xml><?xml version="1.0" encoding="utf-8"?>
<ds:datastoreItem xmlns:ds="http://schemas.openxmlformats.org/officeDocument/2006/customXml" ds:itemID="{16F29642-379C-4E21-8095-3901F07CDE2D}">
  <ds:schemaRefs>
    <ds:schemaRef ds:uri="http://schemas.openxmlformats.org/officeDocument/2006/bibliography"/>
  </ds:schemaRefs>
</ds:datastoreItem>
</file>

<file path=customXml/itemProps2.xml><?xml version="1.0" encoding="utf-8"?>
<ds:datastoreItem xmlns:ds="http://schemas.openxmlformats.org/officeDocument/2006/customXml" ds:itemID="{6159D7CF-E212-40D0-AC52-D5397FEB3B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844</Words>
  <Characters>6170</Characters>
  <Application>Microsoft Office Word</Application>
  <DocSecurity>4</DocSecurity>
  <Lines>99</Lines>
  <Paragraphs>50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6964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2025-10-14T07:18:00Z</dcterms:created>
  <dc:creator>Žyvilė Rimšienė</dc:creator>
  <dc:language>en-GB</dc:language>
  <lastModifiedBy>adlibuser</lastModifiedBy>
  <lastPrinted>2024-02-07T14:40:00Z</lastPrinted>
  <dcterms:modified xsi:type="dcterms:W3CDTF">2025-10-14T07:18:00Z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