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2C1246DE" w14:textId="77777777">
      <w:pPr>
        <w:tabs>
          <w:tab w:val="center" w:pos="4986"/>
          <w:tab w:val="right" w:pos="9972"/>
        </w:tabs>
      </w:pPr>
    </w:p>
    <w:p w14:paraId="4D88CE37" w14:textId="77777777">
      <w:pPr>
        <w:tabs>
          <w:tab w:val="left" w:pos="6570"/>
        </w:tabs>
        <w:ind w:left="6570"/>
        <w:rPr>
          <w:rFonts w:eastAsia="Calibri"/>
          <w:szCs w:val="24"/>
          <w:lang w:eastAsia="lt-LT"/>
        </w:rPr>
      </w:pPr>
      <w:r>
        <w:rPr>
          <w:rFonts w:eastAsia="Calibri"/>
          <w:szCs w:val="24"/>
          <w:lang w:eastAsia="lt-LT"/>
        </w:rPr>
        <w:t xml:space="preserve">Lentelių su žalia rodykle </w:t>
      </w:r>
    </w:p>
    <w:p w14:paraId="145BE222" w14:textId="77777777">
      <w:pPr>
        <w:tabs>
          <w:tab w:val="left" w:pos="6570"/>
        </w:tabs>
        <w:ind w:left="6570"/>
        <w:rPr>
          <w:rFonts w:eastAsia="Calibri"/>
          <w:szCs w:val="24"/>
          <w:lang w:eastAsia="lt-LT"/>
        </w:rPr>
      </w:pPr>
      <w:r>
        <w:rPr>
          <w:rFonts w:eastAsia="Calibri"/>
          <w:szCs w:val="24"/>
          <w:lang w:eastAsia="lt-LT"/>
        </w:rPr>
        <w:t xml:space="preserve">prie raudono šviesoforo signalo </w:t>
      </w:r>
    </w:p>
    <w:p w14:paraId="23FEF723" w14:textId="77777777">
      <w:pPr>
        <w:tabs>
          <w:tab w:val="left" w:pos="6570"/>
        </w:tabs>
        <w:ind w:firstLine="6570"/>
        <w:rPr>
          <w:rFonts w:eastAsia="Calibri"/>
          <w:szCs w:val="24"/>
          <w:lang w:eastAsia="lt-LT"/>
        </w:rPr>
      </w:pPr>
      <w:r>
        <w:rPr>
          <w:rFonts w:eastAsia="Calibri"/>
          <w:szCs w:val="24"/>
          <w:lang w:eastAsia="lt-LT"/>
        </w:rPr>
        <w:t>įrengimo vertinimo metodikos</w:t>
      </w:r>
    </w:p>
    <w:p w14:paraId="075BC9D1" w14:textId="0B3DA36D">
      <w:pPr>
        <w:tabs>
          <w:tab w:val="left" w:pos="6570"/>
        </w:tabs>
        <w:ind w:left="6570"/>
        <w:rPr>
          <w:rFonts w:eastAsia="Calibri"/>
          <w:szCs w:val="24"/>
          <w:lang w:eastAsia="lt-LT"/>
        </w:rPr>
      </w:pPr>
      <w:r>
        <w:rPr>
          <w:rFonts w:eastAsia="Calibri"/>
          <w:szCs w:val="24"/>
          <w:lang w:eastAsia="lt-LT"/>
        </w:rPr>
        <w:t>2</w:t>
      </w:r>
      <w:r>
        <w:rPr>
          <w:rFonts w:eastAsia="Calibri"/>
          <w:szCs w:val="24"/>
          <w:lang w:eastAsia="lt-LT"/>
        </w:rPr>
        <w:t xml:space="preserve"> priedas</w:t>
      </w:r>
    </w:p>
    <w:p w14:paraId="42C5ED46" w14:textId="3E2C7BA9">
      <w:pPr>
        <w:tabs>
          <w:tab w:val="left" w:pos="6570"/>
        </w:tabs>
        <w:rPr>
          <w:rFonts w:eastAsia="Calibri"/>
          <w:szCs w:val="24"/>
          <w:lang w:eastAsia="lt-LT"/>
        </w:rPr>
      </w:pPr>
    </w:p>
    <w:p w14:paraId="24A3A606" w14:textId="77777777">
      <w:pPr>
        <w:tabs>
          <w:tab w:val="center" w:pos="4986"/>
          <w:tab w:val="right" w:pos="9972"/>
        </w:tabs>
        <w:rPr>
          <w:b/>
          <w:bCs/>
          <w:i/>
          <w:iCs/>
        </w:rPr>
      </w:pPr>
      <w:r>
        <w:rPr>
          <w:b/>
          <w:bCs/>
          <w:i/>
          <w:iCs/>
        </w:rPr>
        <w:t>Objekto Nr.:</w:t>
      </w:r>
    </w:p>
    <w:p w14:paraId="352503D4" w14:textId="77777777">
      <w:pPr>
        <w:tabs>
          <w:tab w:val="center" w:pos="4986"/>
          <w:tab w:val="right" w:pos="9972"/>
        </w:tabs>
      </w:pPr>
    </w:p>
    <w:p w14:paraId="6810B913" w14:textId="77777777">
      <w:pPr>
        <w:tabs>
          <w:tab w:val="center" w:pos="4986"/>
          <w:tab w:val="right" w:pos="9972"/>
        </w:tabs>
        <w:rPr>
          <w:b/>
          <w:bCs/>
          <w:i/>
          <w:iCs/>
        </w:rPr>
      </w:pPr>
      <w:r>
        <w:rPr>
          <w:b/>
          <w:bCs/>
          <w:i/>
          <w:iCs/>
        </w:rPr>
        <w:t>Objekto pavadinimas:</w:t>
      </w:r>
    </w:p>
    <w:p w14:paraId="4B90C515" w14:textId="77777777">
      <w:pPr>
        <w:tabs>
          <w:tab w:val="left" w:pos="6570"/>
        </w:tabs>
        <w:rPr>
          <w:rFonts w:eastAsia="Calibri"/>
          <w:szCs w:val="24"/>
          <w:lang w:eastAsia="lt-LT"/>
        </w:rPr>
      </w:pPr>
    </w:p>
    <w:p w14:paraId="054DB795" w14:textId="77777777">
      <w:pPr>
        <w:jc w:val="center"/>
        <w:rPr>
          <w:rFonts w:eastAsia="Calibri"/>
          <w:b/>
          <w:bCs/>
          <w:szCs w:val="24"/>
          <w:lang w:eastAsia="lt-LT"/>
        </w:rPr>
      </w:pPr>
      <w:r>
        <w:rPr>
          <w:rFonts w:eastAsia="Calibri"/>
          <w:b/>
          <w:bCs/>
          <w:szCs w:val="24"/>
          <w:lang w:eastAsia="lt-LT"/>
        </w:rPr>
        <w:t>STANDARTINĖ VERTINIMO ANKETA</w:t>
      </w:r>
    </w:p>
    <w:p w14:paraId="3F7CC9A9" w14:textId="57C659F9">
      <w:pPr>
        <w:jc w:val="center"/>
        <w:rPr>
          <w:rFonts w:eastAsia="Calibri"/>
          <w:b/>
          <w:bCs/>
          <w:szCs w:val="24"/>
          <w:lang w:eastAsia="lt-LT"/>
        </w:rPr>
      </w:pPr>
      <w:r>
        <w:rPr>
          <w:rFonts w:eastAsia="Calibri"/>
          <w:b/>
          <w:bCs/>
          <w:szCs w:val="24"/>
          <w:lang w:eastAsia="lt-LT"/>
        </w:rPr>
        <w:t>SANKRYŽOMS, KURIOS ĮRENGTOS, REKONSTRUOTOS ARBA KURIOSE KAPITALINIS AR PAPRASTASIS REMONTAS ATLIKTAS IKI 2020 M. SAUSIO 1 D.</w:t>
      </w:r>
    </w:p>
    <w:p w14:paraId="6F769BC4" w14:textId="77777777">
      <w:pPr>
        <w:rPr>
          <w:rFonts w:eastAsia="Calibri"/>
          <w:b/>
          <w:bCs/>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69"/>
      </w:tblGrid>
      <w:tr w14:paraId="31CB8A0D" w14:textId="77777777">
        <w:trPr>
          <w:trHeight w:val="481"/>
          <w:jc w:val="center"/>
        </w:trPr>
        <w:tc>
          <w:tcPr>
            <w:tcW w:w="3085" w:type="dxa"/>
            <w:vAlign w:val="center"/>
          </w:tcPr>
          <w:p w14:paraId="31511DA1" w14:textId="77777777">
            <w:pPr>
              <w:jc w:val="center"/>
              <w:rPr>
                <w:rFonts w:eastAsia="Calibri"/>
                <w:b/>
                <w:bCs/>
                <w:szCs w:val="24"/>
                <w:lang w:eastAsia="lt-LT"/>
              </w:rPr>
            </w:pPr>
            <w:r>
              <w:rPr>
                <w:rFonts w:eastAsia="Calibri"/>
                <w:b/>
                <w:bCs/>
                <w:szCs w:val="24"/>
                <w:lang w:eastAsia="lt-LT"/>
              </w:rPr>
              <w:t>Nuoroda į lentelės vietą žemėlapyje</w:t>
            </w:r>
          </w:p>
        </w:tc>
        <w:tc>
          <w:tcPr>
            <w:tcW w:w="6769" w:type="dxa"/>
            <w:vAlign w:val="center"/>
          </w:tcPr>
          <w:p w14:paraId="0FEA7D09" w14:textId="77777777">
            <w:pPr>
              <w:jc w:val="center"/>
              <w:rPr>
                <w:rFonts w:eastAsia="Calibri"/>
                <w:color w:val="808080"/>
                <w:szCs w:val="24"/>
                <w:lang w:eastAsia="lt-LT"/>
              </w:rPr>
            </w:pPr>
          </w:p>
        </w:tc>
      </w:tr>
      <w:tr w14:paraId="4159A748" w14:textId="77777777">
        <w:trPr>
          <w:trHeight w:val="6184"/>
          <w:jc w:val="center"/>
        </w:trPr>
        <w:tc>
          <w:tcPr>
            <w:tcW w:w="3085" w:type="dxa"/>
            <w:vAlign w:val="center"/>
          </w:tcPr>
          <w:p w14:paraId="687BEF02" w14:textId="77777777">
            <w:pPr>
              <w:jc w:val="center"/>
              <w:rPr>
                <w:rFonts w:eastAsia="Calibri"/>
                <w:b/>
                <w:bCs/>
                <w:szCs w:val="24"/>
                <w:lang w:eastAsia="lt-LT"/>
              </w:rPr>
            </w:pPr>
            <w:r>
              <w:rPr>
                <w:rFonts w:eastAsia="Calibri"/>
                <w:b/>
                <w:bCs/>
                <w:szCs w:val="24"/>
                <w:lang w:eastAsia="lt-LT"/>
              </w:rPr>
              <w:t>Lentelės vieta žemėlapyje</w:t>
            </w:r>
          </w:p>
        </w:tc>
        <w:tc>
          <w:tcPr>
            <w:tcW w:w="6769" w:type="dxa"/>
            <w:vAlign w:val="center"/>
          </w:tcPr>
          <w:p w14:paraId="758D1B35" w14:textId="77777777">
            <w:pPr>
              <w:jc w:val="center"/>
              <w:rPr>
                <w:rFonts w:eastAsia="Calibri"/>
                <w:szCs w:val="24"/>
                <w:lang w:eastAsia="lt-LT"/>
              </w:rPr>
            </w:pPr>
            <w:r>
              <w:rPr>
                <w:rFonts w:eastAsia="Calibri"/>
                <w:color w:val="808080"/>
                <w:szCs w:val="24"/>
                <w:lang w:eastAsia="lt-LT"/>
              </w:rPr>
              <w:t>Įdedamas žemėlapio paveikslėlis su pažymėta pageidaujamos lentelės vieta</w:t>
            </w:r>
          </w:p>
        </w:tc>
      </w:tr>
    </w:tbl>
    <w:p w14:paraId="277345B5" w14:textId="77777777">
      <w:pPr>
        <w:rPr>
          <w:rFonts w:eastAsia="Calibri"/>
          <w:b/>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283"/>
        <w:gridCol w:w="1053"/>
        <w:gridCol w:w="3056"/>
      </w:tblGrid>
      <w:tr w14:paraId="4BB81420" w14:textId="77777777">
        <w:trPr>
          <w:tblHeader/>
        </w:trPr>
        <w:tc>
          <w:tcPr>
            <w:tcW w:w="562" w:type="dxa"/>
            <w:vAlign w:val="center"/>
          </w:tcPr>
          <w:p w14:paraId="7622BB78" w14:textId="37F1875D">
            <w:pPr>
              <w:tabs>
                <w:tab w:val="left" w:pos="357"/>
              </w:tabs>
              <w:jc w:val="center"/>
              <w:rPr>
                <w:rFonts w:eastAsia="Calibri"/>
                <w:b/>
                <w:bCs/>
                <w:szCs w:val="24"/>
                <w:lang w:eastAsia="lt-LT"/>
              </w:rPr>
            </w:pPr>
            <w:r>
              <w:rPr>
                <w:rFonts w:eastAsia="Calibri"/>
                <w:b/>
                <w:bCs/>
                <w:szCs w:val="24"/>
                <w:lang w:eastAsia="lt-LT"/>
              </w:rPr>
              <w:t>Eil. Nr.</w:t>
            </w:r>
          </w:p>
        </w:tc>
        <w:tc>
          <w:tcPr>
            <w:tcW w:w="5288" w:type="dxa"/>
            <w:vAlign w:val="center"/>
          </w:tcPr>
          <w:p w14:paraId="0C45EE59" w14:textId="5CE27155">
            <w:pPr>
              <w:tabs>
                <w:tab w:val="left" w:pos="357"/>
              </w:tabs>
              <w:jc w:val="center"/>
              <w:rPr>
                <w:rFonts w:eastAsia="Calibri"/>
                <w:b/>
                <w:bCs/>
                <w:szCs w:val="24"/>
                <w:lang w:eastAsia="lt-LT"/>
              </w:rPr>
            </w:pPr>
            <w:r>
              <w:rPr>
                <w:rFonts w:eastAsia="Calibri"/>
                <w:b/>
                <w:bCs/>
                <w:szCs w:val="24"/>
                <w:lang w:eastAsia="lt-LT"/>
              </w:rPr>
              <w:t>Eismo saugos vertinimo kriterijai</w:t>
            </w:r>
          </w:p>
        </w:tc>
        <w:tc>
          <w:tcPr>
            <w:tcW w:w="1053" w:type="dxa"/>
            <w:vAlign w:val="center"/>
          </w:tcPr>
          <w:p w14:paraId="71D58BA5" w14:textId="77777777">
            <w:pPr>
              <w:tabs>
                <w:tab w:val="left" w:pos="357"/>
              </w:tabs>
              <w:jc w:val="center"/>
              <w:rPr>
                <w:rFonts w:eastAsia="Calibri"/>
                <w:b/>
                <w:bCs/>
                <w:szCs w:val="24"/>
                <w:lang w:eastAsia="lt-LT"/>
              </w:rPr>
            </w:pPr>
            <w:r>
              <w:rPr>
                <w:rFonts w:eastAsia="Calibri"/>
                <w:b/>
                <w:bCs/>
                <w:szCs w:val="24"/>
                <w:lang w:eastAsia="lt-LT"/>
              </w:rPr>
              <w:t>Taip / Ne</w:t>
            </w:r>
          </w:p>
        </w:tc>
        <w:tc>
          <w:tcPr>
            <w:tcW w:w="3059" w:type="dxa"/>
            <w:vAlign w:val="center"/>
          </w:tcPr>
          <w:p w14:paraId="285B2570" w14:textId="77777777">
            <w:pPr>
              <w:tabs>
                <w:tab w:val="left" w:pos="357"/>
              </w:tabs>
              <w:jc w:val="center"/>
              <w:rPr>
                <w:rFonts w:eastAsia="Calibri"/>
                <w:b/>
                <w:bCs/>
                <w:szCs w:val="24"/>
                <w:lang w:eastAsia="lt-LT"/>
              </w:rPr>
            </w:pPr>
            <w:r>
              <w:rPr>
                <w:rFonts w:eastAsia="Calibri"/>
                <w:b/>
                <w:bCs/>
                <w:szCs w:val="24"/>
                <w:lang w:eastAsia="lt-LT"/>
              </w:rPr>
              <w:t>Foto / schema</w:t>
            </w:r>
          </w:p>
        </w:tc>
      </w:tr>
      <w:tr w14:paraId="12E12BBD" w14:textId="77777777">
        <w:trPr>
          <w:trHeight w:val="2558"/>
        </w:trPr>
        <w:tc>
          <w:tcPr>
            <w:tcW w:w="562" w:type="dxa"/>
            <w:vAlign w:val="center"/>
          </w:tcPr>
          <w:p w14:paraId="755F0FC1" w14:textId="106C2E22">
            <w:pPr>
              <w:tabs>
                <w:tab w:val="left" w:pos="357"/>
              </w:tabs>
              <w:jc w:val="center"/>
              <w:rPr>
                <w:rFonts w:eastAsia="Calibri"/>
                <w:szCs w:val="24"/>
                <w:lang w:eastAsia="lt-LT"/>
              </w:rPr>
            </w:pPr>
            <w:r>
              <w:rPr>
                <w:rFonts w:eastAsia="Calibri"/>
                <w:szCs w:val="24"/>
                <w:lang w:eastAsia="lt-LT"/>
              </w:rPr>
              <w:t>1</w:t>
            </w:r>
          </w:p>
        </w:tc>
        <w:tc>
          <w:tcPr>
            <w:tcW w:w="5288" w:type="dxa"/>
            <w:vAlign w:val="center"/>
          </w:tcPr>
          <w:p w14:paraId="6FE8F2AD" w14:textId="2D7ED285">
            <w:pPr>
              <w:tabs>
                <w:tab w:val="left" w:pos="357"/>
              </w:tabs>
              <w:jc w:val="center"/>
              <w:rPr>
                <w:rFonts w:eastAsia="Calibri"/>
                <w:szCs w:val="24"/>
                <w:lang w:eastAsia="lt-LT"/>
              </w:rPr>
            </w:pPr>
            <w:r>
              <w:rPr>
                <w:rFonts w:eastAsia="Calibri"/>
                <w:szCs w:val="24"/>
                <w:lang w:eastAsia="lt-LT"/>
              </w:rPr>
              <w:t>Ar ties žaliu šviesoforo signalu yra papildoma šviesoforo sekcija su žalia rodykle dešiniajam posūkiui?</w:t>
            </w:r>
          </w:p>
        </w:tc>
        <w:tc>
          <w:tcPr>
            <w:tcW w:w="1053" w:type="dxa"/>
            <w:vAlign w:val="center"/>
          </w:tcPr>
          <w:p w14:paraId="56B2DBFF" w14:textId="77777777">
            <w:pPr>
              <w:tabs>
                <w:tab w:val="left" w:pos="357"/>
              </w:tabs>
              <w:jc w:val="center"/>
              <w:rPr>
                <w:rFonts w:eastAsia="Calibri"/>
                <w:szCs w:val="24"/>
                <w:lang w:eastAsia="lt-LT"/>
              </w:rPr>
            </w:pPr>
          </w:p>
        </w:tc>
        <w:tc>
          <w:tcPr>
            <w:tcW w:w="3059" w:type="dxa"/>
            <w:vAlign w:val="center"/>
          </w:tcPr>
          <w:p w14:paraId="26AE96F0" w14:textId="77777777">
            <w:pPr>
              <w:tabs>
                <w:tab w:val="left" w:pos="357"/>
              </w:tabs>
              <w:jc w:val="center"/>
              <w:rPr>
                <w:rFonts w:eastAsia="Calibri"/>
                <w:szCs w:val="24"/>
                <w:lang w:eastAsia="lt-LT"/>
              </w:rPr>
            </w:pPr>
          </w:p>
        </w:tc>
      </w:tr>
      <w:tr w14:paraId="0B85659F" w14:textId="77777777">
        <w:trPr>
          <w:trHeight w:val="2680"/>
        </w:trPr>
        <w:tc>
          <w:tcPr>
            <w:tcW w:w="562" w:type="dxa"/>
            <w:vAlign w:val="center"/>
          </w:tcPr>
          <w:p w14:paraId="38EC19EE" w14:textId="213278EA">
            <w:pPr>
              <w:tabs>
                <w:tab w:val="left" w:pos="357"/>
              </w:tabs>
              <w:jc w:val="center"/>
              <w:rPr>
                <w:rFonts w:eastAsia="Calibri"/>
                <w:szCs w:val="24"/>
                <w:lang w:eastAsia="lt-LT"/>
              </w:rPr>
            </w:pPr>
            <w:r>
              <w:rPr>
                <w:rFonts w:eastAsia="Calibri"/>
                <w:szCs w:val="24"/>
                <w:lang w:eastAsia="lt-LT"/>
              </w:rPr>
              <w:t>2</w:t>
            </w:r>
          </w:p>
        </w:tc>
        <w:tc>
          <w:tcPr>
            <w:tcW w:w="5288" w:type="dxa"/>
            <w:vAlign w:val="center"/>
          </w:tcPr>
          <w:p w14:paraId="6357AE20" w14:textId="5AEC5E57">
            <w:pPr>
              <w:tabs>
                <w:tab w:val="left" w:pos="357"/>
              </w:tabs>
              <w:jc w:val="center"/>
              <w:rPr>
                <w:rFonts w:eastAsia="Calibri"/>
                <w:szCs w:val="24"/>
                <w:lang w:eastAsia="lt-LT"/>
              </w:rPr>
            </w:pPr>
            <w:r>
              <w:rPr>
                <w:rFonts w:eastAsia="Calibri"/>
                <w:szCs w:val="24"/>
                <w:lang w:eastAsia="lt-LT"/>
              </w:rPr>
              <w:t>Ar yra atskiras šviesoforas su rodyklėmis dešiniajam posūkiui?</w:t>
            </w:r>
          </w:p>
        </w:tc>
        <w:tc>
          <w:tcPr>
            <w:tcW w:w="1053" w:type="dxa"/>
            <w:vAlign w:val="center"/>
          </w:tcPr>
          <w:p w14:paraId="35BFF1DE" w14:textId="77777777">
            <w:pPr>
              <w:tabs>
                <w:tab w:val="left" w:pos="357"/>
              </w:tabs>
              <w:jc w:val="center"/>
              <w:rPr>
                <w:rFonts w:eastAsia="Calibri"/>
                <w:szCs w:val="24"/>
                <w:lang w:eastAsia="lt-LT"/>
              </w:rPr>
            </w:pPr>
          </w:p>
        </w:tc>
        <w:tc>
          <w:tcPr>
            <w:tcW w:w="3059" w:type="dxa"/>
            <w:vAlign w:val="center"/>
          </w:tcPr>
          <w:p w14:paraId="1FAEAF3C" w14:textId="77777777">
            <w:pPr>
              <w:tabs>
                <w:tab w:val="left" w:pos="357"/>
              </w:tabs>
              <w:jc w:val="center"/>
              <w:rPr>
                <w:rFonts w:eastAsia="Calibri"/>
                <w:szCs w:val="24"/>
                <w:lang w:eastAsia="lt-LT"/>
              </w:rPr>
            </w:pPr>
          </w:p>
        </w:tc>
      </w:tr>
      <w:tr w14:paraId="67EF950C" w14:textId="77777777">
        <w:trPr>
          <w:trHeight w:val="2404"/>
        </w:trPr>
        <w:tc>
          <w:tcPr>
            <w:tcW w:w="562" w:type="dxa"/>
            <w:vAlign w:val="center"/>
          </w:tcPr>
          <w:p w14:paraId="54B22154" w14:textId="28556314">
            <w:pPr>
              <w:tabs>
                <w:tab w:val="left" w:pos="357"/>
              </w:tabs>
              <w:jc w:val="center"/>
              <w:rPr>
                <w:rFonts w:eastAsia="Calibri"/>
                <w:szCs w:val="24"/>
                <w:lang w:eastAsia="lt-LT"/>
              </w:rPr>
            </w:pPr>
            <w:r>
              <w:rPr>
                <w:rFonts w:eastAsia="Calibri"/>
                <w:szCs w:val="24"/>
                <w:lang w:eastAsia="lt-LT"/>
              </w:rPr>
              <w:t>3</w:t>
            </w:r>
          </w:p>
        </w:tc>
        <w:tc>
          <w:tcPr>
            <w:tcW w:w="5288" w:type="dxa"/>
            <w:vAlign w:val="center"/>
          </w:tcPr>
          <w:p w14:paraId="1798298E" w14:textId="04E077C0">
            <w:pPr>
              <w:tabs>
                <w:tab w:val="left" w:pos="357"/>
              </w:tabs>
              <w:jc w:val="center"/>
              <w:rPr>
                <w:rFonts w:eastAsia="Calibri"/>
                <w:szCs w:val="24"/>
                <w:lang w:eastAsia="lt-LT"/>
              </w:rPr>
            </w:pPr>
            <w:r>
              <w:rPr>
                <w:rFonts w:eastAsia="Calibri"/>
                <w:szCs w:val="24"/>
                <w:lang w:eastAsia="lt-LT"/>
              </w:rPr>
              <w:t>Ar į dešinę leidžiama sukti daugiau kaip iš vienos eismo juostos?</w:t>
            </w:r>
          </w:p>
        </w:tc>
        <w:tc>
          <w:tcPr>
            <w:tcW w:w="1053" w:type="dxa"/>
            <w:vAlign w:val="center"/>
          </w:tcPr>
          <w:p w14:paraId="437EE72E" w14:textId="77777777">
            <w:pPr>
              <w:tabs>
                <w:tab w:val="left" w:pos="357"/>
              </w:tabs>
              <w:jc w:val="center"/>
              <w:rPr>
                <w:rFonts w:eastAsia="Calibri"/>
                <w:szCs w:val="24"/>
                <w:lang w:eastAsia="lt-LT"/>
              </w:rPr>
            </w:pPr>
          </w:p>
        </w:tc>
        <w:tc>
          <w:tcPr>
            <w:tcW w:w="3059" w:type="dxa"/>
            <w:vAlign w:val="center"/>
          </w:tcPr>
          <w:p w14:paraId="7677AB32" w14:textId="77777777">
            <w:pPr>
              <w:tabs>
                <w:tab w:val="left" w:pos="357"/>
              </w:tabs>
              <w:jc w:val="center"/>
              <w:rPr>
                <w:rFonts w:eastAsia="Calibri"/>
                <w:szCs w:val="24"/>
                <w:lang w:eastAsia="lt-LT"/>
              </w:rPr>
            </w:pPr>
          </w:p>
        </w:tc>
      </w:tr>
      <w:tr w14:paraId="2E4CF839" w14:textId="77777777">
        <w:trPr>
          <w:trHeight w:val="2823"/>
        </w:trPr>
        <w:tc>
          <w:tcPr>
            <w:tcW w:w="562" w:type="dxa"/>
            <w:vAlign w:val="center"/>
          </w:tcPr>
          <w:p w14:paraId="5A4DF7F2" w14:textId="6EC6C756">
            <w:pPr>
              <w:tabs>
                <w:tab w:val="left" w:pos="357"/>
              </w:tabs>
              <w:jc w:val="center"/>
              <w:rPr>
                <w:rFonts w:eastAsia="Calibri"/>
                <w:szCs w:val="24"/>
                <w:lang w:eastAsia="lt-LT"/>
              </w:rPr>
            </w:pPr>
            <w:r>
              <w:rPr>
                <w:rFonts w:eastAsia="Calibri"/>
                <w:szCs w:val="24"/>
                <w:lang w:eastAsia="lt-LT"/>
              </w:rPr>
              <w:t>4</w:t>
            </w:r>
          </w:p>
        </w:tc>
        <w:tc>
          <w:tcPr>
            <w:tcW w:w="5288" w:type="dxa"/>
            <w:vAlign w:val="center"/>
          </w:tcPr>
          <w:p w14:paraId="6D35DF2C" w14:textId="50B5676F">
            <w:pPr>
              <w:tabs>
                <w:tab w:val="left" w:pos="357"/>
              </w:tabs>
              <w:jc w:val="center"/>
              <w:rPr>
                <w:rFonts w:eastAsia="Calibri"/>
                <w:szCs w:val="24"/>
                <w:lang w:eastAsia="lt-LT"/>
              </w:rPr>
            </w:pPr>
            <w:r>
              <w:rPr>
                <w:rFonts w:eastAsia="Calibri"/>
                <w:szCs w:val="24"/>
                <w:lang w:eastAsia="lt-LT"/>
              </w:rPr>
              <w:t>Ar gatvėje, į kurią įsukama, leidžiamas važiavimo greitis yra didesnis už 50 km/h?</w:t>
            </w:r>
          </w:p>
        </w:tc>
        <w:tc>
          <w:tcPr>
            <w:tcW w:w="1053" w:type="dxa"/>
            <w:vAlign w:val="center"/>
          </w:tcPr>
          <w:p w14:paraId="46BF97D1" w14:textId="77777777">
            <w:pPr>
              <w:tabs>
                <w:tab w:val="left" w:pos="357"/>
              </w:tabs>
              <w:jc w:val="center"/>
              <w:rPr>
                <w:rFonts w:eastAsia="Calibri"/>
                <w:szCs w:val="24"/>
                <w:lang w:eastAsia="lt-LT"/>
              </w:rPr>
            </w:pPr>
          </w:p>
        </w:tc>
        <w:tc>
          <w:tcPr>
            <w:tcW w:w="3059" w:type="dxa"/>
            <w:vAlign w:val="center"/>
          </w:tcPr>
          <w:p w14:paraId="3F2FF814" w14:textId="77777777">
            <w:pPr>
              <w:tabs>
                <w:tab w:val="left" w:pos="357"/>
              </w:tabs>
              <w:jc w:val="center"/>
              <w:rPr>
                <w:rFonts w:eastAsia="Calibri"/>
                <w:szCs w:val="24"/>
                <w:lang w:eastAsia="lt-LT"/>
              </w:rPr>
            </w:pPr>
          </w:p>
        </w:tc>
      </w:tr>
      <w:tr w14:paraId="10B6EECC" w14:textId="77777777">
        <w:trPr>
          <w:trHeight w:val="3947"/>
        </w:trPr>
        <w:tc>
          <w:tcPr>
            <w:tcW w:w="562" w:type="dxa"/>
            <w:vAlign w:val="center"/>
          </w:tcPr>
          <w:p w14:paraId="089BB65D" w14:textId="5ADA1C9C">
            <w:pPr>
              <w:tabs>
                <w:tab w:val="left" w:pos="357"/>
              </w:tabs>
              <w:jc w:val="center"/>
              <w:rPr>
                <w:rFonts w:eastAsia="Calibri"/>
                <w:szCs w:val="24"/>
                <w:lang w:eastAsia="lt-LT"/>
              </w:rPr>
            </w:pPr>
            <w:r>
              <w:rPr>
                <w:rFonts w:eastAsia="Calibri"/>
                <w:szCs w:val="24"/>
                <w:lang w:eastAsia="lt-LT"/>
              </w:rPr>
              <w:t>5</w:t>
            </w:r>
          </w:p>
        </w:tc>
        <w:tc>
          <w:tcPr>
            <w:tcW w:w="5288" w:type="dxa"/>
            <w:vAlign w:val="center"/>
          </w:tcPr>
          <w:p w14:paraId="59DB7E31" w14:textId="7C2DEAF5">
            <w:pPr>
              <w:tabs>
                <w:tab w:val="left" w:pos="357"/>
              </w:tabs>
              <w:jc w:val="center"/>
              <w:rPr>
                <w:rFonts w:eastAsia="Calibri"/>
                <w:szCs w:val="24"/>
                <w:lang w:eastAsia="lt-LT"/>
              </w:rPr>
            </w:pPr>
            <w:r>
              <w:rPr>
                <w:rFonts w:eastAsia="Calibri"/>
                <w:szCs w:val="24"/>
                <w:lang w:eastAsia="lt-LT"/>
              </w:rPr>
              <w:t>Ar į dešinę ketinantis sukti vairuotojas, sustojęs prieš „Stop liniją“, blogai mato pėsčiuosius ir transporto priemones, kurių judėjimo kryptį jis kirs, ir kliudys pagal žalią signalą skersine kryptimi judantiems pėstiesiems ir transportui (matomumas vertinamas pagal STR 2.06.04:2014 Gatvės ir vietinės reikšmės keliai. Bendrieji reikalavimai [4.3] 79 punkto nuostatas)?</w:t>
            </w:r>
          </w:p>
        </w:tc>
        <w:tc>
          <w:tcPr>
            <w:tcW w:w="1053" w:type="dxa"/>
            <w:vAlign w:val="center"/>
          </w:tcPr>
          <w:p w14:paraId="548515AF" w14:textId="77777777">
            <w:pPr>
              <w:tabs>
                <w:tab w:val="left" w:pos="357"/>
              </w:tabs>
              <w:jc w:val="center"/>
              <w:rPr>
                <w:rFonts w:eastAsia="Calibri"/>
                <w:szCs w:val="24"/>
                <w:lang w:eastAsia="lt-LT"/>
              </w:rPr>
            </w:pPr>
          </w:p>
        </w:tc>
        <w:tc>
          <w:tcPr>
            <w:tcW w:w="3059" w:type="dxa"/>
            <w:vAlign w:val="center"/>
          </w:tcPr>
          <w:p w14:paraId="109DCC65" w14:textId="77777777">
            <w:pPr>
              <w:tabs>
                <w:tab w:val="left" w:pos="357"/>
              </w:tabs>
              <w:jc w:val="center"/>
              <w:rPr>
                <w:rFonts w:eastAsia="Calibri"/>
                <w:szCs w:val="24"/>
                <w:lang w:eastAsia="lt-LT"/>
              </w:rPr>
            </w:pPr>
          </w:p>
        </w:tc>
      </w:tr>
    </w:tbl>
    <w:p/>
    <w:p w14:paraId="54F3D31D" w14:textId="5BE24D70">
      <w:pPr>
        <w:tabs>
          <w:tab w:val="left" w:pos="357"/>
        </w:tabs>
        <w:jc w:val="both"/>
        <w:rPr>
          <w:rFonts w:eastAsia="Calibri"/>
          <w:i/>
          <w:iCs/>
          <w:szCs w:val="24"/>
          <w:lang w:eastAsia="lt-LT"/>
        </w:rPr>
      </w:pPr>
      <w:r>
        <w:rPr>
          <w:rFonts w:eastAsia="Calibri"/>
          <w:i/>
          <w:iCs/>
          <w:szCs w:val="24"/>
          <w:lang w:eastAsia="lt-LT"/>
        </w:rPr>
        <w:t>Jeigu bent į vieną klausimą yra atsakyta „Taip“,</w:t>
      </w:r>
      <w:r>
        <w:rPr>
          <w:szCs w:val="24"/>
        </w:rPr>
        <w:t xml:space="preserve"> </w:t>
      </w:r>
      <w:r>
        <w:rPr>
          <w:rFonts w:eastAsia="Calibri"/>
          <w:i/>
          <w:iCs/>
          <w:szCs w:val="24"/>
          <w:lang w:eastAsia="lt-LT"/>
        </w:rPr>
        <w:t>toliau vertinimas nebetęsiamas ir teikiama neigiama išvada dėl lentelės įrengimo. Pagal sankryžos pralaidumo vertinimo kriterijus patikrinama, ar verta naudoti papildomą šviesoforo sekciją su žalia rodykle dešiniajam posūkiui (jeigu tokios sekcijos ar atskiro šviesoforo nėra ir tokia sekcija yra galima pagal šviesoforų įrengimo reikalavimus).</w:t>
      </w:r>
    </w:p>
    <w:p w14:paraId="28F6D28F" w14:textId="77777777">
      <w:pPr>
        <w:tabs>
          <w:tab w:val="left" w:pos="357"/>
        </w:tabs>
        <w:jc w:val="both"/>
        <w:rPr>
          <w:rFonts w:eastAsia="Calibri"/>
          <w:i/>
          <w:i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535"/>
        <w:gridCol w:w="2392"/>
        <w:gridCol w:w="726"/>
        <w:gridCol w:w="1666"/>
      </w:tblGrid>
      <w:tr w14:paraId="7AD1F805" w14:textId="77777777">
        <w:tc>
          <w:tcPr>
            <w:tcW w:w="8188" w:type="dxa"/>
            <w:gridSpan w:val="4"/>
            <w:vAlign w:val="center"/>
          </w:tcPr>
          <w:p w14:paraId="1FF87551" w14:textId="77777777">
            <w:pPr>
              <w:tabs>
                <w:tab w:val="left" w:pos="357"/>
              </w:tabs>
              <w:jc w:val="center"/>
              <w:rPr>
                <w:rFonts w:eastAsia="Calibri"/>
                <w:b/>
                <w:bCs/>
                <w:szCs w:val="24"/>
                <w:lang w:eastAsia="lt-LT"/>
              </w:rPr>
            </w:pPr>
            <w:r>
              <w:rPr>
                <w:rFonts w:eastAsia="Calibri"/>
                <w:b/>
                <w:bCs/>
                <w:szCs w:val="24"/>
                <w:lang w:eastAsia="lt-LT"/>
              </w:rPr>
              <w:t>Sankryžos pralaidumo vertinimo kriterijai</w:t>
            </w:r>
          </w:p>
        </w:tc>
        <w:tc>
          <w:tcPr>
            <w:tcW w:w="1666" w:type="dxa"/>
            <w:vAlign w:val="center"/>
          </w:tcPr>
          <w:p w14:paraId="19B97533" w14:textId="77777777">
            <w:pPr>
              <w:tabs>
                <w:tab w:val="left" w:pos="357"/>
              </w:tabs>
              <w:jc w:val="center"/>
              <w:rPr>
                <w:rFonts w:eastAsia="Calibri"/>
                <w:b/>
                <w:bCs/>
                <w:szCs w:val="24"/>
                <w:lang w:eastAsia="lt-LT"/>
              </w:rPr>
            </w:pPr>
            <w:r>
              <w:rPr>
                <w:rFonts w:eastAsia="Calibri"/>
                <w:b/>
                <w:bCs/>
                <w:szCs w:val="24"/>
                <w:lang w:eastAsia="lt-LT"/>
              </w:rPr>
              <w:t>Taip / Ne</w:t>
            </w:r>
          </w:p>
        </w:tc>
      </w:tr>
      <w:tr w14:paraId="6B0BF490" w14:textId="77777777">
        <w:tc>
          <w:tcPr>
            <w:tcW w:w="8188" w:type="dxa"/>
            <w:gridSpan w:val="4"/>
            <w:vAlign w:val="center"/>
          </w:tcPr>
          <w:p w14:paraId="6424D77E" w14:textId="7EBADD4D">
            <w:pPr>
              <w:tabs>
                <w:tab w:val="left" w:pos="357"/>
              </w:tabs>
              <w:jc w:val="center"/>
              <w:rPr>
                <w:rFonts w:eastAsia="Calibri"/>
                <w:szCs w:val="24"/>
                <w:lang w:eastAsia="lt-LT"/>
              </w:rPr>
            </w:pPr>
            <w:r>
              <w:rPr>
                <w:rFonts w:eastAsia="Calibri"/>
                <w:szCs w:val="24"/>
                <w:lang w:eastAsia="lt-LT"/>
              </w:rPr>
              <w:t>Ar papildomą šviesoforo sekciją su žalia rodykle dešiniajam posūkiui galima įrengti be naujos eismo juostos (ar yra eismo juosta tik dešiniajam posūkiui; ar eismo juostą, kuria galimas eismas tiesiai, galima paženklinti kaip atskirą eismo juostą tik dešiniajam posūkiui)?</w:t>
            </w:r>
          </w:p>
        </w:tc>
        <w:tc>
          <w:tcPr>
            <w:tcW w:w="1666" w:type="dxa"/>
            <w:vAlign w:val="center"/>
          </w:tcPr>
          <w:p w14:paraId="746BEA64" w14:textId="77777777">
            <w:pPr>
              <w:tabs>
                <w:tab w:val="left" w:pos="357"/>
              </w:tabs>
              <w:jc w:val="center"/>
              <w:rPr>
                <w:rFonts w:eastAsia="Calibri"/>
                <w:szCs w:val="24"/>
                <w:lang w:eastAsia="lt-LT"/>
              </w:rPr>
            </w:pPr>
          </w:p>
        </w:tc>
      </w:tr>
      <w:tr w14:paraId="1C457CF1" w14:textId="77777777">
        <w:tc>
          <w:tcPr>
            <w:tcW w:w="8188" w:type="dxa"/>
            <w:gridSpan w:val="4"/>
            <w:vAlign w:val="center"/>
          </w:tcPr>
          <w:p w14:paraId="44B22A6E" w14:textId="697DEBB8">
            <w:pPr>
              <w:tabs>
                <w:tab w:val="left" w:pos="357"/>
              </w:tabs>
              <w:jc w:val="center"/>
              <w:rPr>
                <w:rFonts w:eastAsia="Calibri"/>
                <w:szCs w:val="24"/>
                <w:lang w:eastAsia="lt-LT"/>
              </w:rPr>
            </w:pPr>
            <w:r>
              <w:rPr>
                <w:rFonts w:eastAsia="Calibri"/>
                <w:szCs w:val="24"/>
                <w:lang w:eastAsia="lt-LT"/>
              </w:rPr>
              <w:t>Ar papildoma šviesoforo sekcija su žalia rodykle dešiniajam posūkiui lemia geresnį pralaidumą sankryžoje ir šios rodyklės kryptimi palyginti su situacija be papildomos šviesoforo sekcijos su žalia rodykle posūkiui į dešinę?</w:t>
            </w:r>
          </w:p>
        </w:tc>
        <w:tc>
          <w:tcPr>
            <w:tcW w:w="1666" w:type="dxa"/>
            <w:vAlign w:val="center"/>
          </w:tcPr>
          <w:p w14:paraId="02128A04" w14:textId="77777777">
            <w:pPr>
              <w:tabs>
                <w:tab w:val="left" w:pos="357"/>
              </w:tabs>
              <w:jc w:val="center"/>
              <w:rPr>
                <w:rFonts w:eastAsia="Calibri"/>
                <w:szCs w:val="24"/>
                <w:lang w:eastAsia="lt-LT"/>
              </w:rPr>
            </w:pPr>
          </w:p>
        </w:tc>
      </w:tr>
      <w:tr w14:paraId="248D6477" w14:textId="77777777">
        <w:tc>
          <w:tcPr>
            <w:tcW w:w="5070" w:type="dxa"/>
            <w:gridSpan w:val="2"/>
            <w:vAlign w:val="center"/>
          </w:tcPr>
          <w:p w14:paraId="50C60678" w14:textId="77777777">
            <w:pPr>
              <w:tabs>
                <w:tab w:val="left" w:pos="357"/>
              </w:tabs>
              <w:jc w:val="center"/>
              <w:rPr>
                <w:rFonts w:eastAsia="Calibri"/>
                <w:szCs w:val="24"/>
                <w:lang w:eastAsia="lt-LT"/>
              </w:rPr>
            </w:pPr>
            <w:r>
              <w:rPr>
                <w:rFonts w:eastAsia="Calibri"/>
                <w:szCs w:val="24"/>
                <w:lang w:eastAsia="lt-LT"/>
              </w:rPr>
              <w:t>Vidutinė vieno automobilio patiriama gaištis, s</w:t>
            </w:r>
          </w:p>
          <w:p w14:paraId="30D6F9F4" w14:textId="57F30860">
            <w:pPr>
              <w:tabs>
                <w:tab w:val="left" w:pos="357"/>
              </w:tabs>
              <w:jc w:val="center"/>
              <w:rPr>
                <w:rFonts w:eastAsia="Calibri"/>
                <w:b/>
                <w:bCs/>
                <w:i/>
                <w:iCs/>
                <w:szCs w:val="24"/>
                <w:lang w:eastAsia="lt-LT"/>
              </w:rPr>
            </w:pPr>
            <w:r>
              <w:rPr>
                <w:rFonts w:eastAsia="Calibri"/>
                <w:b/>
                <w:bCs/>
                <w:szCs w:val="24"/>
                <w:lang w:eastAsia="lt-LT"/>
              </w:rPr>
              <w:t>Su papildoma šviesoforo sekcija su žalia rodykle posūkiui į dešinę</w:t>
            </w:r>
          </w:p>
        </w:tc>
        <w:tc>
          <w:tcPr>
            <w:tcW w:w="4784" w:type="dxa"/>
            <w:gridSpan w:val="3"/>
            <w:vAlign w:val="center"/>
          </w:tcPr>
          <w:p w14:paraId="423FCC4C" w14:textId="76237ECF">
            <w:pPr>
              <w:tabs>
                <w:tab w:val="left" w:pos="357"/>
              </w:tabs>
              <w:jc w:val="center"/>
              <w:rPr>
                <w:rFonts w:eastAsia="Calibri"/>
                <w:szCs w:val="24"/>
                <w:lang w:eastAsia="lt-LT"/>
              </w:rPr>
            </w:pPr>
            <w:r>
              <w:rPr>
                <w:rFonts w:eastAsia="Calibri"/>
                <w:szCs w:val="24"/>
                <w:lang w:eastAsia="lt-LT"/>
              </w:rPr>
              <w:t xml:space="preserve">Vidutinė vieno automobilio patiriama gaištis, s </w:t>
            </w:r>
            <w:r>
              <w:rPr>
                <w:rFonts w:eastAsia="Calibri"/>
                <w:b/>
                <w:bCs/>
                <w:szCs w:val="24"/>
                <w:lang w:eastAsia="lt-LT"/>
              </w:rPr>
              <w:t>Be papildomos šviesoforo sekcijos su žalia rodykle posūkiui į dešinę</w:t>
            </w:r>
          </w:p>
        </w:tc>
      </w:tr>
      <w:tr w14:paraId="7D6CE0A6" w14:textId="77777777">
        <w:trPr>
          <w:trHeight w:val="106"/>
        </w:trPr>
        <w:tc>
          <w:tcPr>
            <w:tcW w:w="2535" w:type="dxa"/>
            <w:vAlign w:val="center"/>
          </w:tcPr>
          <w:p w14:paraId="202E9E12" w14:textId="4AC4B226">
            <w:pPr>
              <w:tabs>
                <w:tab w:val="left" w:pos="357"/>
              </w:tabs>
              <w:jc w:val="center"/>
              <w:rPr>
                <w:rFonts w:eastAsia="Calibri"/>
                <w:i/>
                <w:iCs/>
                <w:szCs w:val="24"/>
                <w:lang w:eastAsia="lt-LT"/>
              </w:rPr>
            </w:pPr>
            <w:r>
              <w:rPr>
                <w:rFonts w:eastAsia="Calibri"/>
                <w:b/>
                <w:bCs/>
                <w:i/>
                <w:iCs/>
                <w:szCs w:val="24"/>
                <w:lang w:eastAsia="lt-LT"/>
              </w:rPr>
              <w:t>Sankryžoje</w:t>
            </w:r>
          </w:p>
        </w:tc>
        <w:tc>
          <w:tcPr>
            <w:tcW w:w="2535" w:type="dxa"/>
            <w:vAlign w:val="center"/>
          </w:tcPr>
          <w:p w14:paraId="5F53EF70" w14:textId="76F34BD2">
            <w:pPr>
              <w:tabs>
                <w:tab w:val="left" w:pos="357"/>
              </w:tabs>
              <w:jc w:val="center"/>
              <w:rPr>
                <w:rFonts w:eastAsia="Calibri"/>
                <w:i/>
                <w:iCs/>
                <w:szCs w:val="24"/>
                <w:lang w:eastAsia="lt-LT"/>
              </w:rPr>
            </w:pPr>
            <w:r>
              <w:rPr>
                <w:i/>
                <w:iCs/>
                <w:color w:val="808080"/>
              </w:rPr>
              <w:t>Skaitinė reikšmė</w:t>
            </w:r>
          </w:p>
        </w:tc>
        <w:tc>
          <w:tcPr>
            <w:tcW w:w="2392" w:type="dxa"/>
            <w:vAlign w:val="center"/>
          </w:tcPr>
          <w:p w14:paraId="06A68FEA" w14:textId="6E17ABA8">
            <w:pPr>
              <w:tabs>
                <w:tab w:val="left" w:pos="357"/>
              </w:tabs>
              <w:jc w:val="center"/>
              <w:rPr>
                <w:rFonts w:eastAsia="Calibri"/>
                <w:szCs w:val="24"/>
                <w:lang w:eastAsia="lt-LT"/>
              </w:rPr>
            </w:pPr>
            <w:r>
              <w:rPr>
                <w:rFonts w:eastAsia="Calibri"/>
                <w:b/>
                <w:bCs/>
                <w:i/>
                <w:iCs/>
                <w:szCs w:val="24"/>
                <w:lang w:eastAsia="lt-LT"/>
              </w:rPr>
              <w:t>Sankryžoje</w:t>
            </w:r>
          </w:p>
        </w:tc>
        <w:tc>
          <w:tcPr>
            <w:tcW w:w="2392" w:type="dxa"/>
            <w:gridSpan w:val="2"/>
            <w:vAlign w:val="center"/>
          </w:tcPr>
          <w:p w14:paraId="32157D18" w14:textId="1D213648">
            <w:pPr>
              <w:tabs>
                <w:tab w:val="left" w:pos="357"/>
              </w:tabs>
              <w:jc w:val="center"/>
              <w:rPr>
                <w:rFonts w:eastAsia="Calibri"/>
                <w:szCs w:val="24"/>
                <w:lang w:eastAsia="lt-LT"/>
              </w:rPr>
            </w:pPr>
            <w:r>
              <w:rPr>
                <w:i/>
                <w:iCs/>
                <w:color w:val="808080"/>
              </w:rPr>
              <w:t>Skaitinė reikšmė</w:t>
            </w:r>
          </w:p>
        </w:tc>
      </w:tr>
      <w:tr w14:paraId="3060A2B2" w14:textId="77777777">
        <w:trPr>
          <w:trHeight w:val="106"/>
        </w:trPr>
        <w:tc>
          <w:tcPr>
            <w:tcW w:w="2535" w:type="dxa"/>
            <w:vAlign w:val="center"/>
          </w:tcPr>
          <w:p w14:paraId="42B450E3" w14:textId="6EB0A655">
            <w:pPr>
              <w:tabs>
                <w:tab w:val="left" w:pos="357"/>
              </w:tabs>
              <w:jc w:val="center"/>
              <w:rPr>
                <w:rFonts w:eastAsia="Calibri"/>
                <w:i/>
                <w:iCs/>
                <w:color w:val="808080"/>
                <w:szCs w:val="24"/>
                <w:lang w:eastAsia="lt-LT"/>
              </w:rPr>
            </w:pPr>
            <w:r>
              <w:rPr>
                <w:b/>
                <w:bCs/>
                <w:i/>
                <w:iCs/>
              </w:rPr>
              <w:t>Dešiniojo posūkio kryptimi</w:t>
            </w:r>
          </w:p>
        </w:tc>
        <w:tc>
          <w:tcPr>
            <w:tcW w:w="2535" w:type="dxa"/>
            <w:vAlign w:val="center"/>
          </w:tcPr>
          <w:p w14:paraId="7CE13AD2" w14:textId="09E9EC37">
            <w:pPr>
              <w:tabs>
                <w:tab w:val="left" w:pos="357"/>
              </w:tabs>
              <w:jc w:val="center"/>
              <w:rPr>
                <w:rFonts w:eastAsia="Calibri"/>
                <w:i/>
                <w:iCs/>
                <w:color w:val="808080"/>
                <w:szCs w:val="24"/>
                <w:lang w:eastAsia="lt-LT"/>
              </w:rPr>
            </w:pPr>
            <w:r>
              <w:rPr>
                <w:i/>
                <w:iCs/>
                <w:color w:val="808080"/>
              </w:rPr>
              <w:t>Skaitinė reikšmė</w:t>
            </w:r>
          </w:p>
        </w:tc>
        <w:tc>
          <w:tcPr>
            <w:tcW w:w="2392" w:type="dxa"/>
            <w:vAlign w:val="center"/>
          </w:tcPr>
          <w:p w14:paraId="7FFABCA9" w14:textId="1E2C3183">
            <w:pPr>
              <w:tabs>
                <w:tab w:val="left" w:pos="357"/>
              </w:tabs>
              <w:jc w:val="center"/>
              <w:rPr>
                <w:rFonts w:eastAsia="Calibri"/>
                <w:i/>
                <w:iCs/>
                <w:color w:val="808080"/>
                <w:szCs w:val="24"/>
                <w:lang w:eastAsia="lt-LT"/>
              </w:rPr>
            </w:pPr>
            <w:r>
              <w:rPr>
                <w:b/>
                <w:bCs/>
                <w:i/>
                <w:iCs/>
              </w:rPr>
              <w:t>Dešiniojo posūkio kryptimi</w:t>
            </w:r>
          </w:p>
        </w:tc>
        <w:tc>
          <w:tcPr>
            <w:tcW w:w="2392" w:type="dxa"/>
            <w:gridSpan w:val="2"/>
            <w:vAlign w:val="center"/>
          </w:tcPr>
          <w:p w14:paraId="679A955B" w14:textId="207441C3">
            <w:pPr>
              <w:tabs>
                <w:tab w:val="left" w:pos="357"/>
              </w:tabs>
              <w:jc w:val="center"/>
              <w:rPr>
                <w:rFonts w:eastAsia="Calibri"/>
                <w:i/>
                <w:iCs/>
                <w:color w:val="808080"/>
                <w:szCs w:val="24"/>
                <w:lang w:eastAsia="lt-LT"/>
              </w:rPr>
            </w:pPr>
            <w:r>
              <w:rPr>
                <w:i/>
                <w:iCs/>
                <w:color w:val="808080"/>
              </w:rPr>
              <w:t>Skaitinė reikšmė</w:t>
            </w:r>
          </w:p>
        </w:tc>
      </w:tr>
      <w:tr w14:paraId="5FFD4AEC" w14:textId="77777777">
        <w:trPr>
          <w:trHeight w:val="2629"/>
        </w:trPr>
        <w:tc>
          <w:tcPr>
            <w:tcW w:w="5070" w:type="dxa"/>
            <w:gridSpan w:val="2"/>
            <w:vAlign w:val="center"/>
          </w:tcPr>
          <w:p w14:paraId="54F345D3" w14:textId="77777777">
            <w:pPr>
              <w:tabs>
                <w:tab w:val="left" w:pos="357"/>
              </w:tabs>
              <w:jc w:val="center"/>
              <w:rPr>
                <w:rFonts w:eastAsia="Calibri"/>
                <w:i/>
                <w:iCs/>
                <w:szCs w:val="24"/>
                <w:lang w:eastAsia="lt-LT"/>
              </w:rPr>
            </w:pPr>
            <w:r>
              <w:rPr>
                <w:rFonts w:eastAsia="Calibri"/>
                <w:i/>
                <w:iCs/>
                <w:color w:val="808080"/>
                <w:szCs w:val="24"/>
                <w:lang w:eastAsia="lt-LT"/>
              </w:rPr>
              <w:t>Reikšmių schema</w:t>
            </w:r>
          </w:p>
        </w:tc>
        <w:tc>
          <w:tcPr>
            <w:tcW w:w="4784" w:type="dxa"/>
            <w:gridSpan w:val="3"/>
            <w:vAlign w:val="center"/>
          </w:tcPr>
          <w:p w14:paraId="13CAA3DF" w14:textId="77777777">
            <w:pPr>
              <w:tabs>
                <w:tab w:val="left" w:pos="357"/>
              </w:tabs>
              <w:jc w:val="center"/>
              <w:rPr>
                <w:rFonts w:eastAsia="Calibri"/>
                <w:szCs w:val="24"/>
                <w:lang w:eastAsia="lt-LT"/>
              </w:rPr>
            </w:pPr>
            <w:r>
              <w:rPr>
                <w:rFonts w:eastAsia="Calibri"/>
                <w:i/>
                <w:iCs/>
                <w:color w:val="808080"/>
                <w:szCs w:val="24"/>
                <w:lang w:eastAsia="lt-LT"/>
              </w:rPr>
              <w:t>Reikšmių schema</w:t>
            </w:r>
          </w:p>
        </w:tc>
      </w:tr>
    </w:tbl>
    <w:p/>
    <w:p w14:paraId="13302052" w14:textId="35EE74EA">
      <w:pPr>
        <w:jc w:val="both"/>
        <w:rPr>
          <w:rFonts w:eastAsia="Calibri"/>
          <w:i/>
          <w:iCs/>
          <w:szCs w:val="24"/>
          <w:lang w:eastAsia="lt-LT"/>
        </w:rPr>
      </w:pPr>
      <w:r>
        <w:rPr>
          <w:rFonts w:ascii="Wingdings" w:eastAsia="Calibri" w:hAnsi="Wingdings"/>
          <w:iCs/>
          <w:szCs w:val="24"/>
          <w:lang w:eastAsia="lt-LT"/>
        </w:rPr>
        <w:t></w:t>
        <w:tab/>
      </w:r>
      <w:r>
        <w:rPr>
          <w:rFonts w:eastAsia="Calibri"/>
          <w:i/>
          <w:iCs/>
          <w:szCs w:val="24"/>
          <w:lang w:eastAsia="lt-LT"/>
        </w:rPr>
        <w:t>Jeigu į pirmą sankryžos pralaidumo vertinimo klausimą yra atsakoma neigiamai „Ne“, tuomet vertinimas toliau nebetęsiamas ir formuluojama teigiama išvada dėl lentelės naudojimo.</w:t>
      </w:r>
    </w:p>
    <w:p w14:paraId="3854A270" w14:textId="6C572EE7">
      <w:pPr>
        <w:jc w:val="both"/>
        <w:rPr>
          <w:rFonts w:eastAsia="Calibri"/>
          <w:i/>
          <w:iCs/>
          <w:szCs w:val="24"/>
          <w:lang w:eastAsia="lt-LT"/>
        </w:rPr>
      </w:pPr>
      <w:r>
        <w:rPr>
          <w:rFonts w:ascii="Wingdings" w:eastAsia="Calibri" w:hAnsi="Wingdings"/>
          <w:iCs/>
          <w:szCs w:val="24"/>
          <w:lang w:eastAsia="lt-LT"/>
        </w:rPr>
        <w:t></w:t>
        <w:tab/>
      </w:r>
      <w:r>
        <w:rPr>
          <w:rFonts w:eastAsia="Calibri"/>
          <w:i/>
          <w:iCs/>
          <w:szCs w:val="24"/>
          <w:lang w:eastAsia="lt-LT"/>
        </w:rPr>
        <w:t xml:space="preserve">Jeigu į pirmą sankryžos pralaidumo vertinimo klausimą yra atsakoma teigiamai „Taip“, tuomet vertinimas tęsiamas pagal antrąjį sankryžos pralaidumo vertinimo kriterijų. </w:t>
      </w:r>
    </w:p>
    <w:p w14:paraId="21E86274" w14:textId="47728E8F">
      <w:pPr>
        <w:jc w:val="both"/>
        <w:rPr>
          <w:rFonts w:eastAsia="Calibri"/>
          <w:i/>
          <w:iCs/>
          <w:szCs w:val="24"/>
          <w:lang w:eastAsia="lt-LT"/>
        </w:rPr>
      </w:pPr>
      <w:r>
        <w:rPr>
          <w:rFonts w:ascii="Wingdings" w:eastAsia="Calibri" w:hAnsi="Wingdings"/>
          <w:iCs/>
          <w:szCs w:val="24"/>
          <w:lang w:eastAsia="lt-LT"/>
        </w:rPr>
        <w:t></w:t>
        <w:tab/>
      </w:r>
      <w:r>
        <w:rPr>
          <w:rFonts w:eastAsia="Calibri"/>
          <w:i/>
          <w:iCs/>
          <w:szCs w:val="24"/>
          <w:lang w:eastAsia="lt-LT"/>
        </w:rPr>
        <w:t>Jeigu į antrąjį sankryžos vertinimo klausimą yra atsakoma teigiamai „Taip“, tuomet formuluojama neigiama išvada dėl lentelės įrengimo ir rekomenduojama įrengti papildomą šviesoforo sekciją su žalia rodykle dešiniajam posūkiui.</w:t>
      </w:r>
    </w:p>
    <w:p w14:paraId="6B15C5B8" w14:textId="77777777">
      <w:pPr>
        <w:ind w:left="720"/>
        <w:rPr>
          <w:rFonts w:eastAsia="Calibri"/>
          <w:szCs w:val="24"/>
          <w:lang w:eastAsia="lt-LT"/>
        </w:rPr>
      </w:pPr>
    </w:p>
    <w:p w14:paraId="1C891BC0" w14:textId="77777777">
      <w:pPr>
        <w:tabs>
          <w:tab w:val="left" w:pos="357"/>
        </w:tabs>
        <w:jc w:val="both"/>
        <w:rPr>
          <w:rFonts w:eastAsia="Calibri"/>
          <w:b/>
          <w:bCs/>
          <w:szCs w:val="24"/>
          <w:lang w:eastAsia="lt-LT"/>
        </w:rPr>
      </w:pPr>
      <w:r>
        <w:rPr>
          <w:rFonts w:eastAsia="Calibri"/>
          <w:b/>
          <w:bCs/>
          <w:szCs w:val="24"/>
          <w:lang w:eastAsia="lt-LT"/>
        </w:rPr>
        <w:t xml:space="preserve">IŠVADA: </w:t>
      </w:r>
      <w:r>
        <w:rPr>
          <w:rFonts w:eastAsia="Calibri"/>
          <w:b/>
          <w:bCs/>
          <w:color w:val="808080"/>
          <w:szCs w:val="24"/>
          <w:lang w:eastAsia="lt-LT"/>
        </w:rPr>
        <w:t>sprendimas įrengti lentelę suderintas / sprendimas įrengti lentelę nesuderintas (nurodoma priežastis) / sprendimas įrengti lentelę nesuderintas (nurodoma priežastis) – rekomenduojama įrengti papildomą šviesoforo sekciją su žalia rodykle posūkiui į dešinę.</w:t>
      </w:r>
    </w:p>
    <w:p w14:paraId="52FA655F" w14:textId="3DC3BF1E">
      <w:pPr>
        <w:rPr>
          <w:rFonts w:eastAsia="Calibri"/>
          <w:b/>
          <w:bCs/>
          <w:szCs w:val="24"/>
          <w:lang w:eastAsia="lt-LT"/>
        </w:rPr>
      </w:pPr>
    </w:p>
    <w:p w14:paraId="7F205355" w14:textId="77777777">
      <w:pPr>
        <w:rPr>
          <w:rFonts w:eastAsia="Calibri"/>
          <w:b/>
          <w:bCs/>
          <w:szCs w:val="24"/>
          <w:lang w:eastAsia="lt-LT"/>
        </w:rPr>
      </w:pPr>
    </w:p>
    <w:p w14:paraId="6B0FD86F" w14:textId="7DC781D3">
      <w:pPr>
        <w:rPr>
          <w:rFonts w:eastAsia="Calibri"/>
          <w:szCs w:val="24"/>
          <w:lang w:eastAsia="lt-LT"/>
        </w:rPr>
      </w:pPr>
      <w:r>
        <w:rPr>
          <w:rFonts w:eastAsia="Calibri"/>
          <w:b/>
          <w:bCs/>
          <w:szCs w:val="24"/>
          <w:lang w:eastAsia="lt-LT"/>
        </w:rPr>
        <w:t>Vertinimą atliko:</w:t>
      </w:r>
      <w:r>
        <w:rPr>
          <w:rFonts w:eastAsia="Calibri"/>
          <w:szCs w:val="24"/>
          <w:lang w:eastAsia="lt-LT"/>
        </w:rPr>
        <w:t xml:space="preserve"> </w:t>
      </w:r>
      <w:r>
        <w:rPr>
          <w:rFonts w:eastAsia="Calibri"/>
          <w:color w:val="808080"/>
          <w:szCs w:val="24"/>
          <w:lang w:eastAsia="lt-LT"/>
        </w:rPr>
        <w:t>pareigos, vardas, pavardė</w:t>
      </w:r>
    </w:p>
    <w:p w14:paraId="4041D3C2" w14:textId="77777777">
      <w:pPr>
        <w:rPr>
          <w:rFonts w:eastAsia="Calibri"/>
          <w:szCs w:val="24"/>
          <w:lang w:eastAsia="lt-LT"/>
        </w:rPr>
      </w:pPr>
    </w:p>
    <w:p w14:paraId="38659E55" w14:textId="69CC685F">
      <w:pPr>
        <w:rPr>
          <w:rFonts w:eastAsia="Calibri"/>
          <w:color w:val="808080"/>
          <w:szCs w:val="24"/>
          <w:lang w:eastAsia="lt-LT"/>
        </w:rPr>
      </w:pPr>
      <w:r>
        <w:rPr>
          <w:rFonts w:eastAsia="Calibri"/>
          <w:b/>
          <w:bCs/>
          <w:szCs w:val="24"/>
          <w:lang w:eastAsia="lt-LT"/>
        </w:rPr>
        <w:t>Vertinimą atliko:</w:t>
      </w:r>
      <w:r>
        <w:rPr>
          <w:rFonts w:eastAsia="Calibri"/>
          <w:szCs w:val="24"/>
          <w:lang w:eastAsia="lt-LT"/>
        </w:rPr>
        <w:t xml:space="preserve"> </w:t>
      </w:r>
      <w:r>
        <w:rPr>
          <w:rFonts w:eastAsia="Calibri"/>
          <w:color w:val="808080"/>
          <w:szCs w:val="24"/>
          <w:lang w:eastAsia="lt-LT"/>
        </w:rPr>
        <w:t>pareigos, vardas, pavardė</w:t>
      </w:r>
    </w:p>
    <w:p w14:paraId="2D77E917" w14:textId="77777777">
      <w:pPr>
        <w:rPr>
          <w:rFonts w:eastAsia="Calibri"/>
          <w:szCs w:val="24"/>
          <w:lang w:eastAsia="lt-LT"/>
        </w:rPr>
      </w:pPr>
    </w:p>
    <w:p w14:paraId="65B5FBC0" w14:textId="0E48112C">
      <w:pPr>
        <w:rPr>
          <w:rFonts w:eastAsia="Calibri"/>
          <w:b/>
          <w:bCs/>
          <w:szCs w:val="24"/>
          <w:lang w:eastAsia="lt-LT"/>
        </w:rPr>
      </w:pPr>
      <w:r>
        <w:rPr>
          <w:rFonts w:eastAsia="Calibri"/>
          <w:b/>
          <w:bCs/>
          <w:szCs w:val="24"/>
          <w:lang w:eastAsia="lt-LT"/>
        </w:rPr>
        <w:t>Vertinimo data:</w:t>
      </w:r>
    </w:p>
    <w:p w14:paraId="02F911AA" w14:textId="77777777">
      <w:pPr>
        <w:rPr>
          <w:rFonts w:eastAsia="Calibri"/>
          <w:b/>
          <w:bCs/>
          <w:szCs w:val="24"/>
          <w:lang w:eastAsia="lt-LT"/>
        </w:rPr>
      </w:pPr>
    </w:p>
    <w:p w14:paraId="6D337BB1" w14:textId="47881D97">
      <w:pPr>
        <w:tabs>
          <w:tab w:val="left" w:pos="357"/>
        </w:tabs>
        <w:jc w:val="center"/>
        <w:rPr>
          <w:rFonts w:eastAsia="Calibri"/>
          <w:b/>
          <w:bCs/>
          <w:szCs w:val="24"/>
          <w:lang w:eastAsia="lt-LT"/>
        </w:rPr>
      </w:pPr>
      <w:r>
        <w:rPr>
          <w:rFonts w:eastAsia="Calibri"/>
          <w:szCs w:val="24"/>
          <w:lang w:eastAsia="lt-LT"/>
        </w:rPr>
        <w:t>_____________</w:t>
      </w:r>
    </w:p>
    <w:sectPr>
      <w:headerReference w:type="even" r:id="rId6"/>
      <w:headerReference w:type="default" r:id="rId7"/>
      <w:footerReference w:type="even" r:id="rId8"/>
      <w:footerReference w:type="default" r:id="rId9"/>
      <w:headerReference w:type="first" r:id="rId10"/>
      <w:footerReference w:type="first" r:id="rId11"/>
      <w:pgSz w:w="12240" w:h="15840"/>
      <w:pgMar w:top="1701" w:right="567" w:bottom="1134" w:left="1701" w:header="708" w:footer="708"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4A49F" w14:textId="77777777">
      <w:r>
        <w:separator/>
      </w:r>
    </w:p>
  </w:endnote>
  <w:endnote w:type="continuationSeparator" w:id="0">
    <w:p w14:paraId="5714AD17"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2AD6" w14:textId="77777777">
    <w:pPr>
      <w:tabs>
        <w:tab w:val="center" w:pos="4986"/>
        <w:tab w:val="right" w:pos="9972"/>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9BE3" w14:textId="77777777">
    <w:pPr>
      <w:tabs>
        <w:tab w:val="center" w:pos="4986"/>
        <w:tab w:val="right" w:pos="9972"/>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24B0" w14:textId="77777777">
    <w:pPr>
      <w:tabs>
        <w:tab w:val="center" w:pos="4986"/>
        <w:tab w:val="right" w:pos="9972"/>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8CAAA" w14:textId="77777777">
      <w:r>
        <w:separator/>
      </w:r>
    </w:p>
  </w:footnote>
  <w:footnote w:type="continuationSeparator" w:id="0">
    <w:p w14:paraId="5DEC3174" w14:textId="77777777">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BD1A" w14:textId="77777777">
    <w:pPr>
      <w:tabs>
        <w:tab w:val="center" w:pos="4986"/>
        <w:tab w:val="right" w:pos="9972"/>
      </w:tabs>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70B9" w14:textId="60AA108D">
    <w:pPr>
      <w:tabs>
        <w:tab w:val="center" w:pos="4986"/>
        <w:tab w:val="right" w:pos="9972"/>
      </w:tabs>
      <w:jc w:val="center"/>
    </w:pPr>
    <w:r>
      <w:fldChar w:fldCharType="begin"/>
    </w:r>
    <w:r>
      <w:instrText xml:space="preserve"> PAGE   \* MERGEFORMAT </w:instrText>
    </w:r>
    <w:r>
      <w:fldChar w:fldCharType="separate"/>
    </w:r>
    <w:r>
      <w:t>2</w:t>
    </w:r>
    <w:r>
      <w:fldChar w:fldCharType="end"/>
    </w:r>
  </w:p>
  <w:p w14:paraId="68558043" w14:textId="77777777">
    <w:pPr>
      <w:tabs>
        <w:tab w:val="center" w:pos="4986"/>
        <w:tab w:val="right" w:pos="9972"/>
      </w:tabs>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1E41"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8551"/>
  <w15:chartTrackingRefBased/>
  <w15:docId w15:val="{8A6BAE13-602D-4202-947F-A4815EF29E3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464</Words>
  <Characters>3075</Characters>
  <Application>Microsoft Office Word</Application>
  <DocSecurity>4</DocSecurity>
  <Lines>113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2022-12-15T13:15:00Z</dcterms:created>
  <dc:creator>Mindaugas Katkus</dc:creator>
  <lastModifiedBy>adlibuser</lastModifiedBy>
  <dcterms:modified xsi:type="dcterms:W3CDTF">2022-12-15T13:15:00Z</dcterms:modified>
  <revision>2</revision>
</coreProperties>
</file>