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9 pr."/>
        <w:tag w:val="part_3f2931076a3542428055125a06519adc"/>
        <w:lock w:val="sdtLocked"/>
        <w:richText/>
      </w:sdtPr>
      <w:sdtContent>
        <w:p>
          <w:pPr>
            <w:tabs>
              <w:tab w:val="center" w:pos="4819"/>
              <w:tab w:val="right" w:pos="9638"/>
            </w:tabs>
            <w:suppressAutoHyphens/>
            <w:jc w:val="center"/>
            <w:rPr>
              <w:szCs w:val="24"/>
              <w:lang w:eastAsia="ar-SA"/>
            </w:rPr>
          </w:pPr>
          <w:r>
            <w:rPr>
              <w:szCs w:val="24"/>
              <w:lang w:val="en-US"/>
            </w:rPr>
            <mc:AlternateContent>
              <mc:Choice Requires="wps">
                <w:drawing>
                  <wp:anchor distT="45720" distB="45720" distL="114300" distR="114300" simplePos="0" relativeHeight="251659264" behindDoc="0" locked="0" layoutInCell="1" allowOverlap="1" wp14:anchorId="42E7AEB6" wp14:editId="4D264D0A">
                    <wp:simplePos x="0" y="0"/>
                    <wp:positionH relativeFrom="column">
                      <wp:posOffset>1574165</wp:posOffset>
                    </wp:positionH>
                    <wp:positionV relativeFrom="paragraph">
                      <wp:posOffset>-182245</wp:posOffset>
                    </wp:positionV>
                    <wp:extent cx="2360930" cy="1404620"/>
                    <wp:effectExtent l="0" t="0" r="9525" b="6350"/>
                    <wp:wrapNone/>
                    <wp:docPr id="1" name="2 teksto laukas"/>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chemeClr val="bg1"/>
                            </a:solidFill>
                            <a:ln w="9525">
                              <a:noFill/>
                              <a:miter lim="800000"/>
                              <a:headEnd/>
                              <a:tailEnd/>
                            </a:ln>
                          </wps:spPr>
                          <wps:txbx>
                            <w:txbxContent>
                              <w:p/>
                              <w:p>
                                <w:pPr>
                                  <w:suppressAutoHyphens/>
                                  <w:rPr>
                                    <w:szCs w:val="24"/>
                                    <w:lang w:eastAsia="ar-SA"/>
                                  </w:rPr>
                                </w:pP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42E7AEB6" id="_x0000_t202" coordsize="21600,21600" o:spt="202" path="m,l,21600r21600,l21600,xe">
                    <v:stroke joinstyle="miter"/>
                    <v:path gradientshapeok="t" o:connecttype="rect"/>
                  </v:shapetype>
                  <v:shape id="2 teksto laukas" o:spid="_x0000_s1026" type="#_x0000_t202" style="position:absolute;left:0;text-align:left;margin-left:123.95pt;margin-top:-14.35pt;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RayhJAIAACAEAAAOAAAAZHJzL2Uyb0RvYy54bWysU8tu2zAQvBfoPxC815IV240Fy0Hq1EWB 9AGk/YAVRVmEKa5K0pbcr8+SchyjvRXVgSC1u8PZ2eHqbmg1O0rrFJqCTycpZ9IIrJTZFfznj+27 W86cB1OBRiMLfpKO363fvln1XS4zbFBX0jICMS7vu4I33nd5kjjRyBbcBDtpKFijbcHT0e6SykJP 6K1OsjRdJD3aqrMopHP092EM8nXEr2sp/Le6dtIzXXDi5uNq41qGNVmvIN9Z6BolzjTgH1i0oAxd eoF6AA/sYNVfUK0SFh3WfiKwTbCulZCxB+pmmv7RzVMDnYy9kDiuu8jk/h+s+Hr8bpmqaHacGWhp RBnzcu88Mg2HPbggUd+5nDKfOsr1wwccQnpo13WPKPaOGdw0YHby3lrsGwkVUZyGyuSqdMRxAaTs v2BFd8HBYwQaatsGQFKEETqN6nQZjxw8E/Qzu1mkyxsKCYpNZ+lskcUBJpC/lHfW+U8SWxY2Bbc0 /wgPx0fnAx3IX1IifdSq2iqt4yF4Tm60ZUcgt5S7sQFq8jpLG9YXfDnP5hHYYCiPLmqVJytr1Rb8 Ng3faK6gxkdTxRQPSo97IqLNWZ6gyKiNH8qBEoNmJVYnEsriaFl6YrRp0P7mrCe7Ftz9OoCVnOnP hsReTmez4O94mM3fkzLMXkfK6wgYQVAF95yN242Pb2Ic6T0NZauiXK9MzlzJhlHF85MJPr8+x6zX h71+BgAA//8DAFBLAwQUAAYACAAAACEArrCnqd8AAAALAQAADwAAAGRycy9kb3ducmV2LnhtbEyP y07DMBBF90j8gzVI7FqnFn0kxKlQJSTELi0fMI3dJNQeR7HbBr6eYQW7Gc3RnXPL7eSduNox9oE0 LOYZCEtNMD21Gj4Or7MNiJiQDLpAVsOXjbCt7u9KLEy4UW2v+9QKDqFYoIYupaGQMjad9RjnYbDE t1MYPSZex1aaEW8c7p1UWbaSHnviDx0OdtfZ5ry/eA3ohvo7Nzv1ibKtT/6N3s9L0vrxYXp5BpHs lP5g+NVndajY6RguZKJwGtTTOmdUw0xt1iCYWC1yHo6M5moJsirl/w7VDwAAAP//AwBQSwECLQAU AAYACAAAACEAtoM4kv4AAADhAQAAEwAAAAAAAAAAAAAAAAAAAAAAW0NvbnRlbnRfVHlwZXNdLnht bFBLAQItABQABgAIAAAAIQA4/SH/1gAAAJQBAAALAAAAAAAAAAAAAAAAAC8BAABfcmVscy8ucmVs c1BLAQItABQABgAIAAAAIQALRayhJAIAACAEAAAOAAAAAAAAAAAAAAAAAC4CAABkcnMvZTJvRG9j LnhtbFBLAQItABQABgAIAAAAIQCusKep3wAAAAsBAAAPAAAAAAAAAAAAAAAAAH4EAABkcnMvZG93 bnJldi54bWxQSwUGAAAAAAQABADzAAAAigUAAAAA " fillcolor="white [3212]" stroked="f">
                    <v:textbox style="mso-fit-shape-to-text:t">
                      <w:txbxContent>
                        <w:p w14:paraId="49B5BA81" w14:textId="77777777"/>
                        <w:pPr>
                          <w:suppressAutoHyphens w:val="1"/>
                          <w:rPr>
                            <w:rFonts w:ascii="Times New Roman" w:hAnsi="Times New Roman" w:eastAsia="Times New Roman" w:cs="Times New Roman"/>
                            <w:szCs w:val="24"/>
                            <w:lang w:eastAsia="ar-SA"/>
                          </w:rPr>
                        </w:pPr>
                        <w:p w14:paraId="5BC0C10A" w14:textId="77777777"/>
                        <w:pPr>
                          <w:suppressAutoHyphens w:val="1"/>
                          <w:rPr>
                            <w:rFonts w:ascii="Times New Roman" w:hAnsi="Times New Roman" w:eastAsia="Times New Roman" w:cs="Times New Roman"/>
                            <w:szCs w:val="24"/>
                            <w:lang w:eastAsia="ar-SA"/>
                          </w:rPr>
                        </w:pPr>
                      </w:txbxContent>
                    </v:textbox>
                  </v:shape>
                </w:pict>
              </mc:Fallback>
            </mc:AlternateContent>
          </w:r>
          <w:r>
            <w:rPr>
              <w:szCs w:val="24"/>
              <w:lang w:eastAsia="ar-SA"/>
            </w:rPr>
            <w:fldChar w:fldCharType="begin" w:fldLock="1"/>
          </w:r>
          <w:r>
            <w:rPr>
              <w:szCs w:val="24"/>
              <w:lang w:eastAsia="ar-SA"/>
            </w:rPr>
            <w:instrText>PAGE   \* MERGEFORMAT</w:instrText>
          </w:r>
          <w:r>
            <w:rPr>
              <w:szCs w:val="24"/>
              <w:lang w:eastAsia="ar-SA"/>
            </w:rPr>
            <w:fldChar w:fldCharType="separate"/>
          </w:r>
          <w:r>
            <w:rPr>
              <w:szCs w:val="24"/>
              <w:lang w:eastAsia="ar-SA"/>
            </w:rPr>
            <w:t>2</w:t>
          </w:r>
          <w:r>
            <w:rPr>
              <w:szCs w:val="24"/>
              <w:lang w:eastAsia="ar-SA"/>
            </w:rPr>
            <w:fldChar w:fldCharType="end"/>
          </w:r>
        </w:p>
        <w:p>
          <w:pPr>
            <w:tabs>
              <w:tab w:val="center" w:pos="4819"/>
              <w:tab w:val="right" w:pos="9638"/>
            </w:tabs>
            <w:suppressAutoHyphens/>
            <w:rPr>
              <w:szCs w:val="24"/>
              <w:lang w:eastAsia="ar-SA"/>
            </w:rPr>
          </w:pPr>
        </w:p>
        <w:p>
          <w:pPr>
            <w:rPr>
              <w:sz w:val="8"/>
              <w:szCs w:val="8"/>
            </w:rPr>
          </w:pPr>
        </w:p>
        <w:p>
          <w:pPr>
            <w:suppressAutoHyphens/>
            <w:ind w:left="6663"/>
            <w:rPr>
              <w:szCs w:val="24"/>
              <w:lang w:eastAsia="ar-SA"/>
            </w:rPr>
          </w:pPr>
          <w:r>
            <w:rPr>
              <w:szCs w:val="24"/>
              <w:lang w:eastAsia="ar-SA"/>
            </w:rPr>
            <w:t>Priešmokyklinio, pradinio, pagrindinio ir vidurinio ugdymo bendrųjų programų</w:t>
          </w:r>
        </w:p>
        <w:p>
          <w:pPr>
            <w:suppressAutoHyphens/>
            <w:ind w:left="6663"/>
            <w:rPr>
              <w:szCs w:val="24"/>
              <w:lang w:eastAsia="ar-SA"/>
            </w:rPr>
          </w:pPr>
          <w:sdt>
            <w:sdtPr>
              <w:alias w:val="Numeris"/>
              <w:tag w:val="nr_3f2931076a3542428055125a06519adc"/>
              <w:lock w:val="sdtLocked"/>
              <w:richText/>
            </w:sdtPr>
            <w:sdtContent>
              <w:r>
                <w:rPr>
                  <w:szCs w:val="24"/>
                  <w:lang w:eastAsia="ar-SA"/>
                </w:rPr>
                <w:t>49</w:t>
              </w:r>
            </w:sdtContent>
          </w:sdt>
          <w:r>
            <w:rPr>
              <w:szCs w:val="24"/>
              <w:lang w:eastAsia="ar-SA"/>
            </w:rPr>
            <w:t xml:space="preserve"> priedas</w:t>
          </w:r>
        </w:p>
        <w:p>
          <w:pPr>
            <w:rPr>
              <w:sz w:val="8"/>
              <w:szCs w:val="8"/>
            </w:rPr>
          </w:pPr>
        </w:p>
        <w:p>
          <w:pPr>
            <w:suppressAutoHyphens/>
            <w:jc w:val="center"/>
            <w:rPr>
              <w:b/>
              <w:smallCaps/>
              <w:szCs w:val="24"/>
              <w:lang w:eastAsia="ar-SA"/>
            </w:rPr>
          </w:pPr>
        </w:p>
        <w:p>
          <w:pPr>
            <w:rPr>
              <w:sz w:val="8"/>
              <w:szCs w:val="8"/>
            </w:rPr>
          </w:pPr>
        </w:p>
        <w:p>
          <w:pPr>
            <w:suppressAutoHyphens/>
            <w:jc w:val="center"/>
            <w:rPr>
              <w:b/>
              <w:smallCaps/>
              <w:szCs w:val="24"/>
              <w:lang w:eastAsia="ar-SA"/>
            </w:rPr>
          </w:pPr>
          <w:sdt>
            <w:sdtPr>
              <w:alias w:val="Pavadinimas"/>
              <w:tag w:val="title_3f2931076a3542428055125a06519adc"/>
              <w:lock w:val="sdtLocked"/>
              <w:richText/>
            </w:sdtPr>
            <w:sdtContent>
              <w:r>
                <w:rPr>
                  <w:b/>
                  <w:smallCaps/>
                  <w:szCs w:val="24"/>
                  <w:lang w:eastAsia="ar-SA"/>
                </w:rPr>
                <w:t>SVEIKATOS UGDYMO BENDROJI PROGRAMA</w:t>
              </w:r>
            </w:sdtContent>
          </w:sdt>
        </w:p>
        <w:p>
          <w:pPr>
            <w:rPr>
              <w:sz w:val="8"/>
              <w:szCs w:val="8"/>
            </w:rPr>
          </w:pPr>
        </w:p>
        <w:sdt>
          <w:sdtPr>
            <w:alias w:val="skirsnis"/>
            <w:tag w:val="part_1c0ec5ccb4c842cd93d2e9860e26d0fc"/>
            <w:lock w:val="sdtLocked"/>
            <w:richText/>
          </w:sdtPr>
          <w:sdtContent>
            <w:p>
              <w:pPr>
                <w:suppressAutoHyphens/>
                <w:jc w:val="center"/>
                <w:rPr>
                  <w:b/>
                  <w:szCs w:val="24"/>
                  <w:lang w:eastAsia="ar-SA"/>
                </w:rPr>
              </w:pPr>
              <w:sdt>
                <w:sdtPr>
                  <w:alias w:val="Pavadinimas"/>
                  <w:tag w:val="title_1c0ec5ccb4c842cd93d2e9860e26d0fc"/>
                  <w:lock w:val="sdtLocked"/>
                  <w:richText/>
                </w:sdtPr>
                <w:sdtContent>
                  <w:r>
                    <w:rPr>
                      <w:b/>
                      <w:szCs w:val="24"/>
                      <w:lang w:eastAsia="ar-SA"/>
                    </w:rPr>
                    <w:t>I SKYRIUS</w:t>
                    <w:br/>
                    <w:t>BENDROSIOS NUOSTATOS</w:t>
                  </w:r>
                </w:sdtContent>
              </w:sdt>
            </w:p>
            <w:p>
              <w:pPr>
                <w:suppressAutoHyphens/>
                <w:jc w:val="center"/>
                <w:rPr>
                  <w:b/>
                  <w:szCs w:val="24"/>
                  <w:lang w:eastAsia="ar-SA"/>
                </w:rPr>
              </w:pPr>
            </w:p>
            <w:sdt>
              <w:sdtPr>
                <w:alias w:val="49 pr. 1 p."/>
                <w:tag w:val="part_4a7f5082e6f748719f993a8dcb9f08c3"/>
                <w:lock w:val="sdtLocked"/>
                <w:richText/>
              </w:sdtPr>
              <w:sdtContent>
                <w:p>
                  <w:pPr>
                    <w:widowControl w:val="0"/>
                    <w:ind w:firstLine="720"/>
                    <w:jc w:val="both"/>
                    <w:rPr>
                      <w:szCs w:val="24"/>
                      <w:lang w:eastAsia="ar-SA"/>
                    </w:rPr>
                  </w:pPr>
                  <w:sdt>
                    <w:sdtPr>
                      <w:alias w:val="Numeris"/>
                      <w:tag w:val="nr_4a7f5082e6f748719f993a8dcb9f08c3"/>
                      <w:lock w:val="sdtLocked"/>
                      <w:richText/>
                    </w:sdtPr>
                    <w:sdtContent>
                      <w:r>
                        <w:rPr>
                          <w:szCs w:val="24"/>
                          <w:lang w:eastAsia="ar-SA"/>
                        </w:rPr>
                        <w:t>1</w:t>
                      </w:r>
                    </w:sdtContent>
                  </w:sdt>
                  <w:r>
                    <w:rPr>
                      <w:szCs w:val="24"/>
                      <w:lang w:eastAsia="ar-SA"/>
                    </w:rPr>
                    <w:t>. Sveikatos ugdymo dalyku siekiama ugdyti šias vertybines nuostatas: suvokti ir priimti sveikatą kaip vieną iš esminių vertybių, lemiančių asmens bei visuomenės fizinę, psichinę, socialinę gerovę bei gyvenimo kokybę. Siekiant pažinti save kaip visuminį asmenį, plėtoti sėkmingus tarpasmeninius santykius šeimoje, mokykloje ir bendruomenėje, rūpintis ir būti atsakingiems už savo ir artimųjų, bendruomenės sveikatą, gyventi darnoje su savimi ir kitais žmonėmis bei supančia aplinka, prisidėti prie saugios ir sveikos aplinkos bei visuomenės kūrimo.</w:t>
                  </w:r>
                </w:p>
              </w:sdtContent>
            </w:sdt>
            <w:sdt>
              <w:sdtPr>
                <w:alias w:val="49 pr. 2 p."/>
                <w:tag w:val="part_2ff11f723d844ddb8fd3ff484f389e4e"/>
                <w:lock w:val="sdtLocked"/>
                <w:richText/>
              </w:sdtPr>
              <w:sdtContent>
                <w:p>
                  <w:pPr>
                    <w:widowControl w:val="0"/>
                    <w:ind w:firstLine="720"/>
                    <w:jc w:val="both"/>
                    <w:rPr>
                      <w:szCs w:val="24"/>
                      <w:highlight w:val="white"/>
                      <w:lang w:eastAsia="ar-SA"/>
                    </w:rPr>
                  </w:pPr>
                  <w:sdt>
                    <w:sdtPr>
                      <w:alias w:val="Numeris"/>
                      <w:tag w:val="nr_2ff11f723d844ddb8fd3ff484f389e4e"/>
                      <w:lock w:val="sdtLocked"/>
                      <w:richText/>
                    </w:sdtPr>
                    <w:sdtContent>
                      <w:r>
                        <w:rPr>
                          <w:szCs w:val="24"/>
                          <w:lang w:eastAsia="ar-SA"/>
                        </w:rPr>
                        <w:t>2</w:t>
                      </w:r>
                    </w:sdtContent>
                  </w:sdt>
                  <w:r>
                    <w:rPr>
                      <w:szCs w:val="24"/>
                      <w:lang w:eastAsia="ar-SA"/>
                    </w:rPr>
                    <w:t>. </w:t>
                  </w:r>
                  <w:r>
                    <w:rPr>
                      <w:szCs w:val="24"/>
                      <w:highlight w:val="white"/>
                      <w:lang w:eastAsia="ar-SA"/>
                    </w:rPr>
                    <w:t xml:space="preserve">Sveikatos ugdymo  paskirtis – sudaryti sąlygas mokiniams įgyti visuminės sveikatos sampratą, jos išsaugojimo ir stiprinimo pagrindus, įtvirtinti ankstesnėse klasėse įgytus sveikos gyvensenos įgūdžius ir, gilinant sveikatos žinių raštingumą, ugdyti naujus. Sveikatos ugdymo programos siekis </w:t>
                  </w:r>
                  <w:r>
                    <w:rPr>
                      <w:rFonts w:eastAsia="Calibri"/>
                      <w:szCs w:val="24"/>
                      <w:highlight w:val="white"/>
                      <w:lang w:eastAsia="ar-SA"/>
                    </w:rPr>
                    <w:t>–</w:t>
                  </w:r>
                  <w:r>
                    <w:rPr>
                      <w:szCs w:val="24"/>
                      <w:highlight w:val="white"/>
                      <w:lang w:eastAsia="ar-SA"/>
                    </w:rPr>
                    <w:t xml:space="preserve"> sveika, brandi, savarankiška, kritiškai mąstanti asmenybė, gebanti priimti palankiausius sprendimus savo, artimųjų, bendruomenės sveikatai ir gerovei. </w:t>
                  </w:r>
                </w:p>
              </w:sdtContent>
            </w:sdt>
            <w:sdt>
              <w:sdtPr>
                <w:alias w:val="49 pr. 3 p."/>
                <w:tag w:val="part_82ffcf3971fb44b997c1b093a93ba60a"/>
                <w:lock w:val="sdtLocked"/>
                <w:richText/>
              </w:sdtPr>
              <w:sdtContent>
                <w:p>
                  <w:pPr>
                    <w:widowControl w:val="0"/>
                    <w:ind w:firstLine="720"/>
                    <w:jc w:val="both"/>
                    <w:rPr>
                      <w:szCs w:val="24"/>
                      <w:lang w:eastAsia="ar-SA"/>
                    </w:rPr>
                  </w:pPr>
                  <w:sdt>
                    <w:sdtPr>
                      <w:alias w:val="Numeris"/>
                      <w:tag w:val="nr_82ffcf3971fb44b997c1b093a93ba60a"/>
                      <w:lock w:val="sdtLocked"/>
                      <w:richText/>
                    </w:sdtPr>
                    <w:sdtContent>
                      <w:r>
                        <w:rPr>
                          <w:szCs w:val="24"/>
                          <w:lang w:eastAsia="ar-SA"/>
                        </w:rPr>
                        <w:t>3</w:t>
                      </w:r>
                    </w:sdtContent>
                  </w:sdt>
                  <w:r>
                    <w:rPr>
                      <w:szCs w:val="24"/>
                      <w:lang w:eastAsia="ar-SA"/>
                    </w:rPr>
                    <w:t xml:space="preserve">. Programoje sveikatos ugdymas suprantamas kaip veikla, kuri sudaro sąlygas mokiniams pasiekti gerą (aukštą) sveikatos raštingumo lygį. Sveikata tai ne tik ligų nebuvimas, bet fizinė, psichinė, socialinė ir </w:t>
                  </w:r>
                  <w:r>
                    <w:rPr>
                      <w:szCs w:val="24"/>
                      <w:highlight w:val="white"/>
                      <w:lang w:eastAsia="ar-SA"/>
                    </w:rPr>
                    <w:t>dvasinė</w:t>
                  </w:r>
                  <w:r>
                    <w:rPr>
                      <w:szCs w:val="24"/>
                      <w:lang w:eastAsia="ar-SA"/>
                    </w:rPr>
                    <w:t xml:space="preserve"> gerovė. Fizinė sveikata suprantama kaip žmogaus organizmo būsena, kai </w:t>
                  </w:r>
                  <w:r>
                    <w:rPr>
                      <w:szCs w:val="24"/>
                      <w:highlight w:val="white"/>
                      <w:lang w:eastAsia="ar-SA"/>
                    </w:rPr>
                    <w:t>jis darniai funkcionuoja,</w:t>
                  </w:r>
                  <w:r>
                    <w:rPr>
                      <w:szCs w:val="24"/>
                      <w:lang w:eastAsia="ar-SA"/>
                    </w:rPr>
                    <w:t xml:space="preserve">  neturi</w:t>
                  </w:r>
                  <w:r>
                    <w:rPr>
                      <w:color w:val="0000FF"/>
                      <w:szCs w:val="24"/>
                      <w:lang w:eastAsia="ar-SA"/>
                    </w:rPr>
                    <w:t xml:space="preserve"> </w:t>
                  </w:r>
                  <w:r>
                    <w:rPr>
                      <w:szCs w:val="24"/>
                      <w:lang w:eastAsia="ar-SA"/>
                    </w:rPr>
                    <w:t>ligų ar negalių. Psichikos sveikata yra suprantama kaip vidinės gerovės būsena, pasireiškianti adekvačiu realybės suvokimu, asmenybės galių realizacija ir emociniu dvasiniu atsparumu įprastiniams gyvenimo iššūkiams. Socialinė sveikata suprantama kaip būsena, apimanti teigiamą savęs ir kitų vertinimą, pasitenkinimą tarpasmeniniais santykiais, gebėjimą bendrauti, įsipareigoti ir kurti ilgalaikius bei tvarius santykius. Dvasinė sveikata suprantama kaip pozityvus mąstymas ir minčių higiena. Sveikata suprantama kaip kasdienio gyvenimo dalis, kaip mūsų gyvenimo kokybės rodiklis, o ne kaip gyvenimo tikslas (Otavos chartija, 1986). Sveikatos raštingumas reiškia žinių, asmeninių įgūdžių ir pasitikėjimo lygį, siekiant pagerinti asmeninę ir bendruomenės sveikatą, keičiant asmeninę gyvenimo būdą ir gyvenimo sąlygas. Sveikatos raštingumas reiškia daugiau nei gebėjimą skaityti lankstinukus ir susitarti dėl vizito. Sveikatos raštingumas, gerinantis žmonių prieigą prie informacijos apie sveikatą ir jų gebėjimą ja veiksmingai naudotis, yra labai svarbus žmogaus sveikatos įgalinimo veiksnys</w:t>
                  </w:r>
                  <w:r>
                    <w:rPr>
                      <w:color w:val="FF0000"/>
                      <w:szCs w:val="24"/>
                      <w:lang w:eastAsia="ar-SA"/>
                    </w:rPr>
                    <w:t xml:space="preserve"> </w:t>
                  </w:r>
                  <w:r>
                    <w:rPr>
                      <w:szCs w:val="24"/>
                      <w:lang w:eastAsia="ar-SA"/>
                    </w:rPr>
                    <w:t xml:space="preserve">(Pasaulio sveikatos organizacija, </w:t>
                  </w:r>
                  <w:r>
                    <w:rPr>
                      <w:szCs w:val="24"/>
                      <w:highlight w:val="white"/>
                      <w:lang w:eastAsia="ar-SA"/>
                    </w:rPr>
                    <w:t>1998</w:t>
                  </w:r>
                  <w:r>
                    <w:rPr>
                      <w:szCs w:val="24"/>
                      <w:lang w:eastAsia="ar-SA"/>
                    </w:rPr>
                    <w:t xml:space="preserve">). </w:t>
                  </w:r>
                </w:p>
              </w:sdtContent>
            </w:sdt>
            <w:sdt>
              <w:sdtPr>
                <w:alias w:val="49 pr. 4 p."/>
                <w:tag w:val="part_ee1cf4761871478c9c955e51bcce0b55"/>
                <w:lock w:val="sdtLocked"/>
                <w:richText/>
              </w:sdtPr>
              <w:sdtContent>
                <w:p>
                  <w:pPr>
                    <w:widowControl w:val="0"/>
                    <w:ind w:firstLine="720"/>
                    <w:jc w:val="both"/>
                    <w:rPr>
                      <w:szCs w:val="24"/>
                      <w:highlight w:val="white"/>
                      <w:lang w:eastAsia="ar-SA"/>
                    </w:rPr>
                  </w:pPr>
                  <w:sdt>
                    <w:sdtPr>
                      <w:alias w:val="Numeris"/>
                      <w:tag w:val="nr_ee1cf4761871478c9c955e51bcce0b55"/>
                      <w:lock w:val="sdtLocked"/>
                      <w:richText/>
                    </w:sdtPr>
                    <w:sdtContent>
                      <w:r>
                        <w:rPr>
                          <w:szCs w:val="24"/>
                          <w:lang w:eastAsia="ar-SA"/>
                        </w:rPr>
                        <w:t>4</w:t>
                      </w:r>
                    </w:sdtContent>
                  </w:sdt>
                  <w:r>
                    <w:rPr>
                      <w:szCs w:val="24"/>
                      <w:lang w:eastAsia="ar-SA"/>
                    </w:rPr>
                    <w:t xml:space="preserve">. Programa grįsta rizikingo elgesio vengimo (prevencijos) strategija. Pasaulio sveikatos organizacijos (toliau – PSO) koordinuojamame Moksleivių sveikatos ir gyvensenos tyrime  (HBSC) vykdomame kas ketverius metus 50-yje pasaulio šalių, rizikingo elgesio terminu nusakomas elgesys, didinantis ligų, susižeidimų bei mirtingumo tikimybę. Įgyvendinant </w:t>
                  </w:r>
                  <w:r>
                    <w:rPr>
                      <w:szCs w:val="24"/>
                      <w:highlight w:val="white"/>
                      <w:lang w:eastAsia="ar-SA"/>
                    </w:rPr>
                    <w:t>sveikatos ugdymo programą,</w:t>
                  </w:r>
                  <w:r>
                    <w:rPr>
                      <w:szCs w:val="24"/>
                      <w:lang w:eastAsia="ar-SA"/>
                    </w:rPr>
                    <w:t xml:space="preserve"> nėra skatinama rizikingo elgesio (rūkymo, alkoholinių gėrimų, narkotikų vartojimo, ankstyvų lytinių santykių, nevisavertės mitybos ir kt.) kompensavimo žalos mažinimo priemonėmis, </w:t>
                  </w:r>
                  <w:r>
                    <w:rPr>
                      <w:szCs w:val="24"/>
                      <w:highlight w:val="white"/>
                      <w:lang w:eastAsia="ar-SA"/>
                    </w:rPr>
                    <w:t xml:space="preserve">bet </w:t>
                  </w:r>
                  <w:r>
                    <w:rPr>
                      <w:color w:val="0000FF"/>
                      <w:szCs w:val="24"/>
                      <w:highlight w:val="white"/>
                      <w:lang w:eastAsia="ar-SA"/>
                    </w:rPr>
                    <w:t xml:space="preserve"> </w:t>
                  </w:r>
                  <w:r>
                    <w:rPr>
                      <w:szCs w:val="24"/>
                      <w:highlight w:val="white"/>
                      <w:lang w:eastAsia="ar-SA"/>
                    </w:rPr>
                    <w:t>orientuojantis į priežastis ir ugdant sveikatos žinių raštingumo svarbos supratimą bei kritinį mąstymą vertinant aplinkos reiškinius, siekiama įgalinti mokinius sąmoningai rinktis sveikatai palankią gyvenseną.</w:t>
                  </w:r>
                </w:p>
              </w:sdtContent>
            </w:sdt>
            <w:sdt>
              <w:sdtPr>
                <w:alias w:val="49 pr. 5 p."/>
                <w:tag w:val="part_70492fd7d91b4a749126f22cc10995b6"/>
                <w:lock w:val="sdtLocked"/>
                <w:richText/>
              </w:sdtPr>
              <w:sdtContent>
                <w:p>
                  <w:pPr>
                    <w:widowControl w:val="0"/>
                    <w:ind w:firstLine="720"/>
                    <w:jc w:val="both"/>
                    <w:rPr>
                      <w:color w:val="222222"/>
                      <w:szCs w:val="24"/>
                      <w:lang w:eastAsia="ar-SA"/>
                    </w:rPr>
                  </w:pPr>
                  <w:sdt>
                    <w:sdtPr>
                      <w:alias w:val="Numeris"/>
                      <w:tag w:val="nr_70492fd7d91b4a749126f22cc10995b6"/>
                      <w:lock w:val="sdtLocked"/>
                      <w:richText/>
                    </w:sdtPr>
                    <w:sdtContent>
                      <w:r>
                        <w:rPr>
                          <w:szCs w:val="24"/>
                          <w:lang w:eastAsia="ar-SA"/>
                        </w:rPr>
                        <w:t>5</w:t>
                      </w:r>
                    </w:sdtContent>
                  </w:sdt>
                  <w:r>
                    <w:rPr>
                      <w:szCs w:val="24"/>
                      <w:lang w:eastAsia="ar-SA"/>
                    </w:rPr>
                    <w:t>. </w:t>
                  </w:r>
                  <w:r>
                    <w:rPr>
                      <w:color w:val="222222"/>
                      <w:szCs w:val="24"/>
                      <w:lang w:eastAsia="ar-SA"/>
                    </w:rPr>
                    <w:t xml:space="preserve">Įgyvendinant </w:t>
                  </w:r>
                  <w:r>
                    <w:rPr>
                      <w:szCs w:val="24"/>
                      <w:lang w:eastAsia="ar-SA"/>
                    </w:rPr>
                    <w:t>Sveikatos ugdym</w:t>
                  </w:r>
                  <w:r>
                    <w:rPr>
                      <w:color w:val="222222"/>
                      <w:szCs w:val="24"/>
                      <w:lang w:eastAsia="ar-SA"/>
                    </w:rPr>
                    <w:t>o programą</w:t>
                  </w:r>
                  <w:r>
                    <w:rPr>
                      <w:color w:val="0000FF"/>
                      <w:szCs w:val="24"/>
                      <w:lang w:eastAsia="ar-SA"/>
                    </w:rPr>
                    <w:t xml:space="preserve">, </w:t>
                  </w:r>
                  <w:r>
                    <w:rPr>
                      <w:szCs w:val="24"/>
                      <w:lang w:eastAsia="ar-SA"/>
                    </w:rPr>
                    <w:t>kurią</w:t>
                  </w:r>
                  <w:r>
                    <w:rPr>
                      <w:color w:val="222222"/>
                      <w:szCs w:val="24"/>
                      <w:lang w:eastAsia="ar-SA"/>
                    </w:rPr>
                    <w:t xml:space="preserve"> renkasi mokiniai, mokydamiesi pagal vidurinio ugdymo programą, mokinių kompetencijų ugdymas ir ugdymo turinyje numatytos veiklos derinamos su kitų dalykų, ypač Psichologijos, Fizinio ugdymo bei Gyvenimo įgūdžių bendrosiomis programomis.</w:t>
                  </w:r>
                </w:p>
              </w:sdtContent>
            </w:sdt>
            <w:sdt>
              <w:sdtPr>
                <w:alias w:val="49 pr. 6 p."/>
                <w:tag w:val="part_155dfa826a8d4ec69bc2ba08fa737114"/>
                <w:lock w:val="sdtLocked"/>
                <w:richText/>
              </w:sdtPr>
              <w:sdtContent>
                <w:p>
                  <w:pPr>
                    <w:widowControl w:val="0"/>
                    <w:ind w:firstLine="720"/>
                    <w:jc w:val="both"/>
                    <w:rPr>
                      <w:szCs w:val="24"/>
                      <w:lang w:eastAsia="ar-SA"/>
                    </w:rPr>
                  </w:pPr>
                  <w:sdt>
                    <w:sdtPr>
                      <w:alias w:val="Numeris"/>
                      <w:tag w:val="nr_155dfa826a8d4ec69bc2ba08fa737114"/>
                      <w:lock w:val="sdtLocked"/>
                      <w:richText/>
                    </w:sdtPr>
                    <w:sdtContent>
                      <w:r>
                        <w:rPr>
                          <w:szCs w:val="24"/>
                          <w:lang w:eastAsia="ar-SA"/>
                        </w:rPr>
                        <w:t>6</w:t>
                      </w:r>
                    </w:sdtContent>
                  </w:sdt>
                  <w:r>
                    <w:rPr>
                      <w:szCs w:val="24"/>
                      <w:lang w:eastAsia="ar-SA"/>
                    </w:rPr>
                    <w:t xml:space="preserve">. Sveikatos ugdymo bendrąją programą sudaro: bendrosios nuostatos, tikslas ir uždaviniai, dalyku ugdomų kompetencijų raiška, pasiekimų sritys ir pasiekimai, dalyko mokymo(si) turinys, pasiekimų lygių požymių aprašai. Sveikatos ugdymo bendrojoje programoje išskirtos trys pasiekimų sritys: Savęs kaip visuminio asmens ir savo sveikatos veiksnių pažinimas (A), Sveikų ir brandžių tarpasmeninių santykių pagrindų pažinimas ir jų poveikio sveikatai tyrinėjimas (B), Sveikatos išsaugojimo ir stiprinimo galimybių tyrinėjimas (C), </w:t>
                  </w:r>
                  <w:r>
                    <w:rPr>
                      <w:szCs w:val="24"/>
                      <w:highlight w:val="white"/>
                      <w:lang w:eastAsia="ar-SA"/>
                    </w:rPr>
                    <w:t>išskiriant pagal PSO sveikatos konstitucijoje įvardintus sveikatos sampratos komponentus, (fizinė, psichinė-dvasinė, socialinė),</w:t>
                  </w:r>
                  <w:r>
                    <w:rPr>
                      <w:szCs w:val="24"/>
                      <w:lang w:eastAsia="ar-SA"/>
                    </w:rPr>
                    <w:t xml:space="preserve"> taip pat atsižvelgus į keturis pagrindinius veiksnius, kuriuos PSO įvardija kaip lemiančius žmogaus sveikatos būklę: </w:t>
                  </w:r>
                  <w:r>
                    <w:rPr>
                      <w:szCs w:val="24"/>
                      <w:highlight w:val="white"/>
                      <w:lang w:eastAsia="ar-SA"/>
                    </w:rPr>
                    <w:t>gyvenseną</w:t>
                  </w:r>
                  <w:r>
                    <w:rPr>
                      <w:szCs w:val="24"/>
                      <w:lang w:eastAsia="ar-SA"/>
                    </w:rPr>
                    <w:t xml:space="preserve"> (50-60 proc.), prigimtį, įskaitant genetiką (20 proc.), šalies sveikatos apsauga (10 proc.) ir aplinką (20 proc.). Žemiau lentelėje pateikta Sveikatos ugdymo programos pasiekimų sričių, sveikatos sampratos komponentų ir sveikatą lemiančių veiksnių sąsajos:</w:t>
                  </w:r>
                </w:p>
                <w:p>
                  <w:pPr>
                    <w:rPr>
                      <w:sz w:val="10"/>
                      <w:szCs w:val="10"/>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4106"/>
                    <w:gridCol w:w="2410"/>
                    <w:gridCol w:w="3118"/>
                  </w:tblGrid>
                  <w:tr>
                    <w:trPr>
                      <w:tblHeader/>
                    </w:trPr>
                    <w:tc>
                      <w:tcPr>
                        <w:tcW w:w="4106" w:type="dxa"/>
                        <w:vAlign w:val="center"/>
                      </w:tcPr>
                      <w:p>
                        <w:pPr>
                          <w:suppressAutoHyphens/>
                          <w:rPr>
                            <w:szCs w:val="24"/>
                            <w:lang w:eastAsia="ar-SA"/>
                          </w:rPr>
                        </w:pPr>
                        <w:r>
                          <w:rPr>
                            <w:szCs w:val="24"/>
                            <w:lang w:eastAsia="ar-SA"/>
                          </w:rPr>
                          <w:t xml:space="preserve">Pasiekimų sritys </w:t>
                        </w:r>
                      </w:p>
                    </w:tc>
                    <w:tc>
                      <w:tcPr>
                        <w:tcW w:w="2410" w:type="dxa"/>
                        <w:vAlign w:val="center"/>
                      </w:tcPr>
                      <w:p>
                        <w:pPr>
                          <w:suppressAutoHyphens/>
                          <w:rPr>
                            <w:szCs w:val="24"/>
                            <w:lang w:eastAsia="ar-SA"/>
                          </w:rPr>
                        </w:pPr>
                        <w:r>
                          <w:rPr>
                            <w:szCs w:val="24"/>
                            <w:lang w:eastAsia="ar-SA"/>
                          </w:rPr>
                          <w:t>Sveikatos sampratos komponentai</w:t>
                        </w:r>
                      </w:p>
                    </w:tc>
                    <w:tc>
                      <w:tcPr>
                        <w:tcW w:w="3118" w:type="dxa"/>
                        <w:vAlign w:val="center"/>
                      </w:tcPr>
                      <w:p>
                        <w:pPr>
                          <w:suppressAutoHyphens/>
                          <w:rPr>
                            <w:szCs w:val="24"/>
                            <w:lang w:eastAsia="ar-SA"/>
                          </w:rPr>
                        </w:pPr>
                        <w:r>
                          <w:rPr>
                            <w:szCs w:val="24"/>
                            <w:lang w:eastAsia="ar-SA"/>
                          </w:rPr>
                          <w:t>Veiksniai lemiantys asmens sveikatos būklę</w:t>
                        </w:r>
                      </w:p>
                    </w:tc>
                  </w:tr>
                  <w:tr>
                    <w:tc>
                      <w:tcPr>
                        <w:tcW w:w="4106" w:type="dxa"/>
                      </w:tcPr>
                      <w:p>
                        <w:pPr>
                          <w:suppressAutoHyphens/>
                          <w:jc w:val="both"/>
                          <w:rPr>
                            <w:szCs w:val="24"/>
                            <w:lang w:eastAsia="ar-SA"/>
                          </w:rPr>
                        </w:pPr>
                        <w:r>
                          <w:rPr>
                            <w:szCs w:val="24"/>
                            <w:lang w:eastAsia="ar-SA"/>
                          </w:rPr>
                          <w:t>Savęs ir savo sveikatos veiksnių pažinimas (A)</w:t>
                        </w:r>
                      </w:p>
                    </w:tc>
                    <w:tc>
                      <w:tcPr>
                        <w:tcW w:w="2410" w:type="dxa"/>
                      </w:tcPr>
                      <w:p>
                        <w:pPr>
                          <w:suppressAutoHyphens/>
                          <w:jc w:val="both"/>
                          <w:rPr>
                            <w:szCs w:val="24"/>
                            <w:lang w:eastAsia="ar-SA"/>
                          </w:rPr>
                        </w:pPr>
                        <w:r>
                          <w:rPr>
                            <w:szCs w:val="24"/>
                            <w:lang w:eastAsia="ar-SA"/>
                          </w:rPr>
                          <w:t>Fizinė sveikata</w:t>
                        </w:r>
                      </w:p>
                      <w:p>
                        <w:pPr>
                          <w:suppressAutoHyphens/>
                          <w:jc w:val="both"/>
                          <w:rPr>
                            <w:szCs w:val="24"/>
                            <w:lang w:eastAsia="ar-SA"/>
                          </w:rPr>
                        </w:pPr>
                        <w:r>
                          <w:rPr>
                            <w:szCs w:val="24"/>
                            <w:lang w:eastAsia="ar-SA"/>
                          </w:rPr>
                          <w:t>Psichinė sveikata</w:t>
                        </w:r>
                      </w:p>
                      <w:p>
                        <w:pPr>
                          <w:suppressAutoHyphens/>
                          <w:jc w:val="both"/>
                          <w:rPr>
                            <w:szCs w:val="24"/>
                            <w:lang w:eastAsia="ar-SA"/>
                          </w:rPr>
                        </w:pPr>
                        <w:r>
                          <w:rPr>
                            <w:szCs w:val="24"/>
                            <w:lang w:eastAsia="ar-SA"/>
                          </w:rPr>
                          <w:t>Dvasinė sveikata</w:t>
                        </w:r>
                      </w:p>
                      <w:p>
                        <w:pPr>
                          <w:suppressAutoHyphens/>
                          <w:jc w:val="both"/>
                          <w:rPr>
                            <w:szCs w:val="24"/>
                            <w:lang w:eastAsia="ar-SA"/>
                          </w:rPr>
                        </w:pPr>
                        <w:r>
                          <w:rPr>
                            <w:szCs w:val="24"/>
                            <w:lang w:eastAsia="ar-SA"/>
                          </w:rPr>
                          <w:t>Socialinė sveikata</w:t>
                        </w:r>
                      </w:p>
                    </w:tc>
                    <w:tc>
                      <w:tcPr>
                        <w:tcW w:w="3118" w:type="dxa"/>
                      </w:tcPr>
                      <w:p>
                        <w:pPr>
                          <w:suppressAutoHyphens/>
                          <w:jc w:val="both"/>
                          <w:rPr>
                            <w:szCs w:val="24"/>
                            <w:highlight w:val="white"/>
                            <w:lang w:eastAsia="ar-SA"/>
                          </w:rPr>
                        </w:pPr>
                        <w:r>
                          <w:rPr>
                            <w:szCs w:val="24"/>
                            <w:highlight w:val="white"/>
                            <w:lang w:eastAsia="ar-SA"/>
                          </w:rPr>
                          <w:t>Gyvensena</w:t>
                        </w:r>
                      </w:p>
                      <w:p>
                        <w:pPr>
                          <w:suppressAutoHyphens/>
                          <w:jc w:val="both"/>
                          <w:rPr>
                            <w:szCs w:val="24"/>
                            <w:lang w:eastAsia="ar-SA"/>
                          </w:rPr>
                        </w:pPr>
                        <w:r>
                          <w:rPr>
                            <w:szCs w:val="24"/>
                            <w:lang w:eastAsia="ar-SA"/>
                          </w:rPr>
                          <w:t xml:space="preserve">Prigimtis </w:t>
                        </w:r>
                      </w:p>
                      <w:p>
                        <w:pPr>
                          <w:suppressAutoHyphens/>
                          <w:jc w:val="both"/>
                          <w:rPr>
                            <w:szCs w:val="24"/>
                            <w:lang w:eastAsia="ar-SA"/>
                          </w:rPr>
                        </w:pPr>
                        <w:r>
                          <w:rPr>
                            <w:szCs w:val="24"/>
                            <w:lang w:eastAsia="ar-SA"/>
                          </w:rPr>
                          <w:t>Aplinka</w:t>
                        </w:r>
                      </w:p>
                    </w:tc>
                  </w:tr>
                  <w:tr>
                    <w:tc>
                      <w:tcPr>
                        <w:tcW w:w="4106" w:type="dxa"/>
                      </w:tcPr>
                      <w:p>
                        <w:pPr>
                          <w:suppressAutoHyphens/>
                          <w:jc w:val="both"/>
                          <w:rPr>
                            <w:szCs w:val="24"/>
                            <w:lang w:eastAsia="ar-SA"/>
                          </w:rPr>
                        </w:pPr>
                        <w:r>
                          <w:rPr>
                            <w:szCs w:val="24"/>
                            <w:lang w:eastAsia="ar-SA"/>
                          </w:rPr>
                          <w:t>Sveikų ir brandžių tarpasmeninių santykių pagrindų pažinimas ir jų poveikio sveikatai tyrinėjimas (B)</w:t>
                        </w:r>
                      </w:p>
                    </w:tc>
                    <w:tc>
                      <w:tcPr>
                        <w:tcW w:w="2410" w:type="dxa"/>
                      </w:tcPr>
                      <w:p>
                        <w:pPr>
                          <w:suppressAutoHyphens/>
                          <w:jc w:val="both"/>
                          <w:rPr>
                            <w:szCs w:val="24"/>
                            <w:lang w:eastAsia="ar-SA"/>
                          </w:rPr>
                        </w:pPr>
                        <w:r>
                          <w:rPr>
                            <w:szCs w:val="24"/>
                            <w:lang w:eastAsia="ar-SA"/>
                          </w:rPr>
                          <w:t>Psichinė sveikata</w:t>
                        </w:r>
                      </w:p>
                      <w:p>
                        <w:pPr>
                          <w:suppressAutoHyphens/>
                          <w:jc w:val="both"/>
                          <w:rPr>
                            <w:szCs w:val="24"/>
                            <w:lang w:eastAsia="ar-SA"/>
                          </w:rPr>
                        </w:pPr>
                        <w:r>
                          <w:rPr>
                            <w:szCs w:val="24"/>
                            <w:lang w:eastAsia="ar-SA"/>
                          </w:rPr>
                          <w:t>Socialinė sveikata</w:t>
                        </w:r>
                      </w:p>
                      <w:p>
                        <w:pPr>
                          <w:suppressAutoHyphens/>
                          <w:jc w:val="both"/>
                          <w:rPr>
                            <w:szCs w:val="24"/>
                            <w:lang w:eastAsia="ar-SA"/>
                          </w:rPr>
                        </w:pPr>
                        <w:r>
                          <w:rPr>
                            <w:szCs w:val="24"/>
                            <w:lang w:eastAsia="ar-SA"/>
                          </w:rPr>
                          <w:t>Dvasinė sveikata</w:t>
                        </w:r>
                      </w:p>
                      <w:p>
                        <w:pPr>
                          <w:suppressAutoHyphens/>
                          <w:jc w:val="both"/>
                          <w:rPr>
                            <w:szCs w:val="24"/>
                            <w:lang w:eastAsia="ar-SA"/>
                          </w:rPr>
                        </w:pPr>
                        <w:r>
                          <w:rPr>
                            <w:szCs w:val="24"/>
                            <w:lang w:eastAsia="ar-SA"/>
                          </w:rPr>
                          <w:t>Socialinė sveikata</w:t>
                        </w:r>
                      </w:p>
                    </w:tc>
                    <w:tc>
                      <w:tcPr>
                        <w:tcW w:w="3118" w:type="dxa"/>
                      </w:tcPr>
                      <w:p>
                        <w:pPr>
                          <w:suppressAutoHyphens/>
                          <w:jc w:val="both"/>
                          <w:rPr>
                            <w:szCs w:val="24"/>
                            <w:lang w:eastAsia="ar-SA"/>
                          </w:rPr>
                        </w:pPr>
                        <w:r>
                          <w:rPr>
                            <w:szCs w:val="24"/>
                            <w:highlight w:val="white"/>
                            <w:lang w:eastAsia="ar-SA"/>
                          </w:rPr>
                          <w:t>Gyvensena</w:t>
                        </w:r>
                      </w:p>
                    </w:tc>
                  </w:tr>
                  <w:tr>
                    <w:tc>
                      <w:tcPr>
                        <w:tcW w:w="4106" w:type="dxa"/>
                      </w:tcPr>
                      <w:p>
                        <w:pPr>
                          <w:suppressAutoHyphens/>
                          <w:jc w:val="both"/>
                          <w:rPr>
                            <w:szCs w:val="24"/>
                            <w:highlight w:val="white"/>
                            <w:lang w:eastAsia="ar-SA"/>
                          </w:rPr>
                        </w:pPr>
                        <w:r>
                          <w:rPr>
                            <w:szCs w:val="24"/>
                            <w:highlight w:val="white"/>
                            <w:lang w:eastAsia="ar-SA"/>
                          </w:rPr>
                          <w:t>Sveikatos išsaugojimo ir stiprinimo galimybių tyrinėjimas (C)</w:t>
                        </w:r>
                      </w:p>
                    </w:tc>
                    <w:tc>
                      <w:tcPr>
                        <w:tcW w:w="2410" w:type="dxa"/>
                      </w:tcPr>
                      <w:p>
                        <w:pPr>
                          <w:suppressAutoHyphens/>
                          <w:jc w:val="both"/>
                          <w:rPr>
                            <w:szCs w:val="24"/>
                            <w:lang w:eastAsia="ar-SA"/>
                          </w:rPr>
                        </w:pPr>
                        <w:r>
                          <w:rPr>
                            <w:szCs w:val="24"/>
                            <w:lang w:eastAsia="ar-SA"/>
                          </w:rPr>
                          <w:t>Fizinė sveikata</w:t>
                        </w:r>
                      </w:p>
                      <w:p>
                        <w:pPr>
                          <w:suppressAutoHyphens/>
                          <w:jc w:val="both"/>
                          <w:rPr>
                            <w:szCs w:val="24"/>
                            <w:lang w:eastAsia="ar-SA"/>
                          </w:rPr>
                        </w:pPr>
                        <w:r>
                          <w:rPr>
                            <w:szCs w:val="24"/>
                            <w:lang w:eastAsia="ar-SA"/>
                          </w:rPr>
                          <w:t>Psichinė sveikata</w:t>
                        </w:r>
                      </w:p>
                      <w:p>
                        <w:pPr>
                          <w:suppressAutoHyphens/>
                          <w:jc w:val="both"/>
                          <w:rPr>
                            <w:szCs w:val="24"/>
                            <w:lang w:eastAsia="ar-SA"/>
                          </w:rPr>
                        </w:pPr>
                        <w:r>
                          <w:rPr>
                            <w:szCs w:val="24"/>
                            <w:lang w:eastAsia="ar-SA"/>
                          </w:rPr>
                          <w:t>Dvasinė sveikata</w:t>
                        </w:r>
                      </w:p>
                      <w:p>
                        <w:pPr>
                          <w:suppressAutoHyphens/>
                          <w:jc w:val="both"/>
                          <w:rPr>
                            <w:szCs w:val="24"/>
                            <w:lang w:eastAsia="ar-SA"/>
                          </w:rPr>
                        </w:pPr>
                        <w:r>
                          <w:rPr>
                            <w:szCs w:val="24"/>
                            <w:lang w:eastAsia="ar-SA"/>
                          </w:rPr>
                          <w:t>Socialinė sveikata</w:t>
                        </w:r>
                      </w:p>
                    </w:tc>
                    <w:tc>
                      <w:tcPr>
                        <w:tcW w:w="3118" w:type="dxa"/>
                      </w:tcPr>
                      <w:p>
                        <w:pPr>
                          <w:suppressAutoHyphens/>
                          <w:jc w:val="both"/>
                          <w:rPr>
                            <w:szCs w:val="24"/>
                            <w:lang w:eastAsia="ar-SA"/>
                          </w:rPr>
                        </w:pPr>
                        <w:r>
                          <w:rPr>
                            <w:szCs w:val="24"/>
                            <w:lang w:eastAsia="ar-SA"/>
                          </w:rPr>
                          <w:t xml:space="preserve">Aplinka </w:t>
                        </w:r>
                      </w:p>
                      <w:p>
                        <w:pPr>
                          <w:suppressAutoHyphens/>
                          <w:jc w:val="both"/>
                          <w:rPr>
                            <w:szCs w:val="24"/>
                            <w:highlight w:val="white"/>
                            <w:lang w:eastAsia="ar-SA"/>
                          </w:rPr>
                        </w:pPr>
                        <w:r>
                          <w:rPr>
                            <w:szCs w:val="24"/>
                            <w:highlight w:val="white"/>
                            <w:lang w:eastAsia="ar-SA"/>
                          </w:rPr>
                          <w:t xml:space="preserve">Prigimtis </w:t>
                        </w:r>
                      </w:p>
                      <w:p>
                        <w:pPr>
                          <w:suppressAutoHyphens/>
                          <w:jc w:val="both"/>
                          <w:rPr>
                            <w:szCs w:val="24"/>
                            <w:highlight w:val="white"/>
                            <w:lang w:eastAsia="ar-SA"/>
                          </w:rPr>
                        </w:pPr>
                        <w:r>
                          <w:rPr>
                            <w:szCs w:val="24"/>
                            <w:highlight w:val="white"/>
                            <w:lang w:eastAsia="ar-SA"/>
                          </w:rPr>
                          <w:t>Gyvensena</w:t>
                        </w:r>
                      </w:p>
                      <w:p>
                        <w:pPr>
                          <w:suppressAutoHyphens/>
                          <w:jc w:val="both"/>
                          <w:rPr>
                            <w:szCs w:val="24"/>
                            <w:lang w:eastAsia="ar-SA"/>
                          </w:rPr>
                        </w:pPr>
                        <w:r>
                          <w:rPr>
                            <w:szCs w:val="24"/>
                            <w:lang w:eastAsia="ar-SA"/>
                          </w:rPr>
                          <w:t>Sveikatos apsauga</w:t>
                        </w:r>
                      </w:p>
                    </w:tc>
                  </w:tr>
                </w:tbl>
                <w:p>
                  <w:pPr>
                    <w:rPr>
                      <w:sz w:val="10"/>
                      <w:szCs w:val="10"/>
                    </w:rPr>
                  </w:pPr>
                </w:p>
                <w:p>
                  <w:pPr>
                    <w:widowControl w:val="0"/>
                    <w:ind w:firstLine="720"/>
                    <w:jc w:val="both"/>
                    <w:rPr>
                      <w:szCs w:val="24"/>
                      <w:lang w:eastAsia="ar-SA"/>
                    </w:rPr>
                  </w:pPr>
                  <w:r>
                    <w:rPr>
                      <w:szCs w:val="24"/>
                      <w:lang w:eastAsia="ar-SA"/>
                    </w:rPr>
                    <w:t>Programoje aprašyti mokinių pasiekimai suprantami kaip žinių ir supratimo, gebėjimų ir nuostatų visuma. Mokymo(si) turinys nusako kontekstus, kuriose ugdomi mokinių pasiekimai ir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nurodo mokinio pasiektus rezultatus. Aprašomos svarbiausios į(si)vertinimui reikšmingos įgytos žinios ir supratimas, išugdyti gebėjimai ir vertybinės nuostatos.</w:t>
                  </w:r>
                </w:p>
                <w:p>
                  <w:pPr>
                    <w:suppressAutoHyphens/>
                    <w:jc w:val="center"/>
                    <w:rPr>
                      <w:b/>
                      <w:szCs w:val="24"/>
                      <w:lang w:eastAsia="ar-SA"/>
                    </w:rPr>
                  </w:pPr>
                </w:p>
              </w:sdtContent>
            </w:sdt>
          </w:sdtContent>
        </w:sdt>
        <w:sdt>
          <w:sdtPr>
            <w:alias w:val="skirsnis"/>
            <w:tag w:val="part_a6a79fab82584516833195a8a53dedc2"/>
            <w:lock w:val="sdtLocked"/>
            <w:richText/>
          </w:sdtPr>
          <w:sdtContent>
            <w:p>
              <w:pPr>
                <w:suppressAutoHyphens/>
                <w:jc w:val="center"/>
                <w:rPr>
                  <w:b/>
                  <w:szCs w:val="24"/>
                  <w:lang w:eastAsia="ar-SA"/>
                </w:rPr>
              </w:pPr>
              <w:sdt>
                <w:sdtPr>
                  <w:alias w:val="Pavadinimas"/>
                  <w:tag w:val="title_a6a79fab82584516833195a8a53dedc2"/>
                  <w:lock w:val="sdtLocked"/>
                  <w:richText/>
                </w:sdtPr>
                <w:sdtContent>
                  <w:r>
                    <w:rPr>
                      <w:b/>
                      <w:szCs w:val="24"/>
                      <w:lang w:eastAsia="ar-SA"/>
                    </w:rPr>
                    <w:t>II SKYRIUS</w:t>
                    <w:br/>
                    <w:t>TIKSLAS IR UŽDAVINIAI</w:t>
                  </w:r>
                </w:sdtContent>
              </w:sdt>
            </w:p>
            <w:p>
              <w:pPr>
                <w:suppressAutoHyphens/>
                <w:jc w:val="center"/>
                <w:rPr>
                  <w:b/>
                  <w:szCs w:val="24"/>
                  <w:lang w:eastAsia="ar-SA"/>
                </w:rPr>
              </w:pPr>
            </w:p>
            <w:sdt>
              <w:sdtPr>
                <w:alias w:val="49 pr. 7 p."/>
                <w:tag w:val="part_c3c044418bc04b4bad5aba07e8764f62"/>
                <w:lock w:val="sdtLocked"/>
                <w:richText/>
              </w:sdtPr>
              <w:sdtContent>
                <w:p>
                  <w:pPr>
                    <w:widowControl w:val="0"/>
                    <w:ind w:firstLine="720"/>
                    <w:jc w:val="both"/>
                    <w:rPr>
                      <w:strike/>
                      <w:sz w:val="20"/>
                      <w:lang w:eastAsia="ar-SA"/>
                    </w:rPr>
                  </w:pPr>
                  <w:sdt>
                    <w:sdtPr>
                      <w:alias w:val="Numeris"/>
                      <w:tag w:val="nr_c3c044418bc04b4bad5aba07e8764f62"/>
                      <w:lock w:val="sdtLocked"/>
                      <w:richText/>
                    </w:sdtPr>
                    <w:sdtContent>
                      <w:r>
                        <w:rPr>
                          <w:szCs w:val="26"/>
                          <w:lang w:eastAsia="ar-SA"/>
                        </w:rPr>
                        <w:t>7</w:t>
                      </w:r>
                    </w:sdtContent>
                  </w:sdt>
                  <w:r>
                    <w:rPr>
                      <w:szCs w:val="26"/>
                      <w:lang w:eastAsia="ar-SA"/>
                    </w:rPr>
                    <w:t>. Sveikatos ugdymo programos tikslas</w:t>
                  </w:r>
                  <w:r>
                    <w:rPr>
                      <w:szCs w:val="24"/>
                      <w:lang w:eastAsia="ar-SA"/>
                    </w:rPr>
                    <w:t xml:space="preserve"> – sudaryti sąlygas kiekvienam mokiniui įgyti visuminę sveikatos, kaip ne tik ligų nebuvimą bet  fizinės, psichinės, socialinės ir dvasinės gerovės sampratą, išsiugdyti sveikatai palankias vertybines nuostatas, gebėjimus bei įpročius, atsakomybę už savo ir kitų sveikatą bei paskatinti kurti sveiką gyvenimo aplinką ir rinktis sveiką </w:t>
                  </w:r>
                  <w:r>
                    <w:rPr>
                      <w:szCs w:val="24"/>
                      <w:highlight w:val="white"/>
                      <w:lang w:eastAsia="ar-SA"/>
                    </w:rPr>
                    <w:t>gyvenseną.</w:t>
                  </w:r>
                  <w:r>
                    <w:rPr>
                      <w:sz w:val="20"/>
                      <w:lang w:eastAsia="ar-SA"/>
                    </w:rPr>
                    <w:t xml:space="preserve">  </w:t>
                  </w:r>
                  <w:r>
                    <w:rPr>
                      <w:strike/>
                      <w:sz w:val="20"/>
                      <w:lang w:eastAsia="ar-SA"/>
                    </w:rPr>
                    <w:t xml:space="preserve"> </w:t>
                  </w:r>
                </w:p>
              </w:sdtContent>
            </w:sdt>
            <w:sdt>
              <w:sdtPr>
                <w:alias w:val="49 pr. 8 p."/>
                <w:tag w:val="part_7905b3c94dde400b9df49bcef5e66ea7"/>
                <w:lock w:val="sdtLocked"/>
                <w:richText/>
              </w:sdtPr>
              <w:sdtContent>
                <w:p>
                  <w:pPr>
                    <w:widowControl w:val="0"/>
                    <w:ind w:firstLine="720"/>
                    <w:jc w:val="both"/>
                    <w:rPr>
                      <w:szCs w:val="24"/>
                      <w:lang w:eastAsia="ar-SA"/>
                    </w:rPr>
                  </w:pPr>
                  <w:sdt>
                    <w:sdtPr>
                      <w:alias w:val="Numeris"/>
                      <w:tag w:val="nr_7905b3c94dde400b9df49bcef5e66ea7"/>
                      <w:lock w:val="sdtLocked"/>
                      <w:richText/>
                    </w:sdtPr>
                    <w:sdtContent>
                      <w:r>
                        <w:rPr>
                          <w:szCs w:val="26"/>
                          <w:lang w:eastAsia="ar-SA"/>
                        </w:rPr>
                        <w:t>8</w:t>
                      </w:r>
                    </w:sdtContent>
                  </w:sdt>
                  <w:r>
                    <w:rPr>
                      <w:szCs w:val="26"/>
                      <w:lang w:eastAsia="ar-SA"/>
                    </w:rPr>
                    <w:t>. Vidurinio ugdymo uždaviniai</w:t>
                  </w:r>
                  <w:r>
                    <w:rPr>
                      <w:szCs w:val="24"/>
                      <w:lang w:eastAsia="ar-SA"/>
                    </w:rPr>
                    <w:t>. Siekdami sveikatos ugdymo tikslo mokiniai:</w:t>
                  </w:r>
                </w:p>
                <w:sdt>
                  <w:sdtPr>
                    <w:alias w:val="49 pr. 8.1 pp."/>
                    <w:tag w:val="part_eebb7714ca8a4b7da7acfdf8b6ee6ed5"/>
                    <w:lock w:val="sdtLocked"/>
                    <w:richText/>
                  </w:sdtPr>
                  <w:sdtContent>
                    <w:p>
                      <w:pPr>
                        <w:widowControl w:val="0"/>
                        <w:ind w:firstLine="720"/>
                        <w:jc w:val="both"/>
                        <w:rPr>
                          <w:szCs w:val="24"/>
                          <w:lang w:eastAsia="ar-SA"/>
                        </w:rPr>
                      </w:pPr>
                      <w:sdt>
                        <w:sdtPr>
                          <w:alias w:val="Numeris"/>
                          <w:tag w:val="nr_eebb7714ca8a4b7da7acfdf8b6ee6ed5"/>
                          <w:lock w:val="sdtLocked"/>
                          <w:richText/>
                        </w:sdtPr>
                        <w:sdtContent>
                          <w:r>
                            <w:rPr>
                              <w:szCs w:val="24"/>
                              <w:lang w:eastAsia="ar-SA"/>
                            </w:rPr>
                            <w:t>8.1</w:t>
                          </w:r>
                        </w:sdtContent>
                      </w:sdt>
                      <w:r>
                        <w:rPr>
                          <w:szCs w:val="24"/>
                          <w:lang w:eastAsia="ar-SA"/>
                        </w:rPr>
                        <w:t>. skatinami suprasti sveikatą kaip dvasinio prado persmelktą fizinės, psichinės, socialinės gerovės visumą ir priimti sveikatą kaip asmeninę vertybę.</w:t>
                      </w:r>
                    </w:p>
                  </w:sdtContent>
                </w:sdt>
                <w:sdt>
                  <w:sdtPr>
                    <w:alias w:val="49 pr. 8.2 pp."/>
                    <w:tag w:val="part_b0262ff515cf49d7895a1838bff4e27a"/>
                    <w:lock w:val="sdtLocked"/>
                    <w:richText/>
                  </w:sdtPr>
                  <w:sdtContent>
                    <w:p>
                      <w:pPr>
                        <w:widowControl w:val="0"/>
                        <w:ind w:firstLine="720"/>
                        <w:jc w:val="both"/>
                        <w:rPr>
                          <w:szCs w:val="24"/>
                          <w:lang w:eastAsia="ar-SA"/>
                        </w:rPr>
                      </w:pPr>
                      <w:sdt>
                        <w:sdtPr>
                          <w:alias w:val="Numeris"/>
                          <w:tag w:val="nr_b0262ff515cf49d7895a1838bff4e27a"/>
                          <w:lock w:val="sdtLocked"/>
                          <w:richText/>
                        </w:sdtPr>
                        <w:sdtContent>
                          <w:r>
                            <w:rPr>
                              <w:szCs w:val="24"/>
                              <w:lang w:eastAsia="ar-SA"/>
                            </w:rPr>
                            <w:t>8.2</w:t>
                          </w:r>
                        </w:sdtContent>
                      </w:sdt>
                      <w:r>
                        <w:rPr>
                          <w:szCs w:val="24"/>
                          <w:lang w:eastAsia="ar-SA"/>
                        </w:rPr>
                        <w:t>. susipažinę su žmogaus organizme vykstančiais neurohormoninės organizmo veiklos reguliacijos procesais, mokosi nustatyti jų ryšį su fizinės ir psichinės sveikatos būkle bei turimų žinių įtaką priimant laisvą informuotą sprendimą.</w:t>
                      </w:r>
                    </w:p>
                  </w:sdtContent>
                </w:sdt>
                <w:sdt>
                  <w:sdtPr>
                    <w:alias w:val="49 pr. 8.3 pp."/>
                    <w:tag w:val="part_32c2bb452efe498f908843fe87e95f01"/>
                    <w:lock w:val="sdtLocked"/>
                    <w:richText/>
                  </w:sdtPr>
                  <w:sdtContent>
                    <w:p>
                      <w:pPr>
                        <w:widowControl w:val="0"/>
                        <w:ind w:firstLine="720"/>
                        <w:jc w:val="both"/>
                        <w:rPr>
                          <w:szCs w:val="24"/>
                          <w:lang w:eastAsia="ar-SA"/>
                        </w:rPr>
                      </w:pPr>
                      <w:sdt>
                        <w:sdtPr>
                          <w:alias w:val="Numeris"/>
                          <w:tag w:val="nr_32c2bb452efe498f908843fe87e95f01"/>
                          <w:lock w:val="sdtLocked"/>
                          <w:richText/>
                        </w:sdtPr>
                        <w:sdtContent>
                          <w:r>
                            <w:rPr>
                              <w:szCs w:val="24"/>
                              <w:lang w:eastAsia="ar-SA"/>
                            </w:rPr>
                            <w:t>8.3</w:t>
                          </w:r>
                        </w:sdtContent>
                      </w:sdt>
                      <w:r>
                        <w:rPr>
                          <w:szCs w:val="24"/>
                          <w:lang w:eastAsia="ar-SA"/>
                        </w:rPr>
                        <w:t>. aptardami žmogaus gyvybės pradžios, raidos iki ir po gimimo, nėštumo fiziologiją, mokosi pažinti sveikos raidos etapų sveikatos veiksnius ir juos susieti su viso žmogaus gyvenimo sveikatos būklės raida.</w:t>
                      </w:r>
                    </w:p>
                  </w:sdtContent>
                </w:sdt>
                <w:sdt>
                  <w:sdtPr>
                    <w:alias w:val="49 pr. 8.4 pp."/>
                    <w:tag w:val="part_e06eca1ea65e47a0a545187330f75ebc"/>
                    <w:lock w:val="sdtLocked"/>
                    <w:richText/>
                  </w:sdtPr>
                  <w:sdtContent>
                    <w:p>
                      <w:pPr>
                        <w:widowControl w:val="0"/>
                        <w:ind w:firstLine="720"/>
                        <w:jc w:val="both"/>
                        <w:rPr>
                          <w:szCs w:val="24"/>
                          <w:lang w:eastAsia="ar-SA"/>
                        </w:rPr>
                      </w:pPr>
                      <w:sdt>
                        <w:sdtPr>
                          <w:alias w:val="Numeris"/>
                          <w:tag w:val="nr_e06eca1ea65e47a0a545187330f75ebc"/>
                          <w:lock w:val="sdtLocked"/>
                          <w:richText/>
                        </w:sdtPr>
                        <w:sdtContent>
                          <w:r>
                            <w:rPr>
                              <w:szCs w:val="24"/>
                              <w:lang w:eastAsia="ar-SA"/>
                            </w:rPr>
                            <w:t>8.4</w:t>
                          </w:r>
                        </w:sdtContent>
                      </w:sdt>
                      <w:r>
                        <w:rPr>
                          <w:szCs w:val="24"/>
                          <w:lang w:eastAsia="ar-SA"/>
                        </w:rPr>
                        <w:t xml:space="preserve">. ugdosi nuostatą gerbti savo ir kitų žmogiškąjį orumą, ja grįsti tarpasmeninius santykius bei analizuoti savivokos ir žmogiškojo orumo sąsajas su psichine sveikata. </w:t>
                      </w:r>
                    </w:p>
                  </w:sdtContent>
                </w:sdt>
                <w:sdt>
                  <w:sdtPr>
                    <w:alias w:val="49 pr. 8.5 pp."/>
                    <w:tag w:val="part_1961c6f349c74f6bba9b469f8be0f5ca"/>
                    <w:lock w:val="sdtLocked"/>
                    <w:richText/>
                  </w:sdtPr>
                  <w:sdtContent>
                    <w:p>
                      <w:pPr>
                        <w:widowControl w:val="0"/>
                        <w:ind w:firstLine="720"/>
                        <w:jc w:val="both"/>
                        <w:rPr>
                          <w:szCs w:val="24"/>
                          <w:lang w:eastAsia="ar-SA"/>
                        </w:rPr>
                      </w:pPr>
                      <w:sdt>
                        <w:sdtPr>
                          <w:alias w:val="Numeris"/>
                          <w:tag w:val="nr_1961c6f349c74f6bba9b469f8be0f5ca"/>
                          <w:lock w:val="sdtLocked"/>
                          <w:richText/>
                        </w:sdtPr>
                        <w:sdtContent>
                          <w:r>
                            <w:rPr>
                              <w:szCs w:val="24"/>
                              <w:lang w:eastAsia="ar-SA"/>
                            </w:rPr>
                            <w:t>8.5</w:t>
                          </w:r>
                        </w:sdtContent>
                      </w:sdt>
                      <w:r>
                        <w:rPr>
                          <w:szCs w:val="24"/>
                          <w:lang w:eastAsia="ar-SA"/>
                        </w:rPr>
                        <w:t>. ugdosi nuostatą vertinti draugystę ir meilę, kaip pagrindą ilgalaikiams, brandiems, asmenine atsakomybe pagrįstiems tarpasmeniniams santykiams bei susieja tarpasmeninių santykių kokybę su fizine ir psichine sveikata, socialine gerove.</w:t>
                      </w:r>
                    </w:p>
                  </w:sdtContent>
                </w:sdt>
                <w:sdt>
                  <w:sdtPr>
                    <w:alias w:val="49 pr. 8.6 pp."/>
                    <w:tag w:val="part_eec65d4f2b6741b79254bfe99d82b50e"/>
                    <w:lock w:val="sdtLocked"/>
                    <w:richText/>
                  </w:sdtPr>
                  <w:sdtContent>
                    <w:p>
                      <w:pPr>
                        <w:widowControl w:val="0"/>
                        <w:ind w:firstLine="720"/>
                        <w:jc w:val="both"/>
                        <w:rPr>
                          <w:szCs w:val="24"/>
                          <w:lang w:eastAsia="ar-SA"/>
                        </w:rPr>
                      </w:pPr>
                      <w:sdt>
                        <w:sdtPr>
                          <w:alias w:val="Numeris"/>
                          <w:tag w:val="nr_eec65d4f2b6741b79254bfe99d82b50e"/>
                          <w:lock w:val="sdtLocked"/>
                          <w:richText/>
                        </w:sdtPr>
                        <w:sdtContent>
                          <w:r>
                            <w:rPr>
                              <w:szCs w:val="24"/>
                              <w:lang w:eastAsia="ar-SA"/>
                            </w:rPr>
                            <w:t>8.6</w:t>
                          </w:r>
                        </w:sdtContent>
                      </w:sdt>
                      <w:r>
                        <w:rPr>
                          <w:szCs w:val="24"/>
                          <w:lang w:eastAsia="ar-SA"/>
                        </w:rPr>
                        <w:t>. gilina žinias apie sveiką gyvenseną, mokosi pažinti sveikatinimo būdus ir juos pasirinkti, analizuoja aplinkos veiksnių ryšį su sveikata, gyvenimo kokybe ir gerove sociume.</w:t>
                      </w:r>
                    </w:p>
                  </w:sdtContent>
                </w:sdt>
                <w:sdt>
                  <w:sdtPr>
                    <w:alias w:val="49 pr. 8.7 pp."/>
                    <w:tag w:val="part_4c83931fdf3c4554b0fdbee4c24ee24f"/>
                    <w:lock w:val="sdtLocked"/>
                    <w:richText/>
                  </w:sdtPr>
                  <w:sdtContent>
                    <w:p>
                      <w:pPr>
                        <w:widowControl w:val="0"/>
                        <w:ind w:firstLine="720"/>
                        <w:jc w:val="both"/>
                        <w:rPr>
                          <w:szCs w:val="24"/>
                          <w:lang w:eastAsia="ar-SA"/>
                        </w:rPr>
                      </w:pPr>
                      <w:sdt>
                        <w:sdtPr>
                          <w:alias w:val="Numeris"/>
                          <w:tag w:val="nr_4c83931fdf3c4554b0fdbee4c24ee24f"/>
                          <w:lock w:val="sdtLocked"/>
                          <w:richText/>
                        </w:sdtPr>
                        <w:sdtContent>
                          <w:r>
                            <w:rPr>
                              <w:szCs w:val="24"/>
                              <w:lang w:eastAsia="ar-SA"/>
                            </w:rPr>
                            <w:t>8.7</w:t>
                          </w:r>
                        </w:sdtContent>
                      </w:sdt>
                      <w:r>
                        <w:rPr>
                          <w:szCs w:val="24"/>
                          <w:lang w:eastAsia="ar-SA"/>
                        </w:rPr>
                        <w:t>. tyrinėdami mokosi analizuoti ir kritiškai vertinti socialinių tinklų ir masinės informacijos priemonių teikiamos informacijos turinį ir vertina jos poveikį sveikatai.</w:t>
                      </w:r>
                    </w:p>
                  </w:sdtContent>
                </w:sdt>
                <w:sdt>
                  <w:sdtPr>
                    <w:alias w:val="49 pr. 8.8 pp."/>
                    <w:tag w:val="part_6b37bd73642d4d1d82db4b6e33dec4ba"/>
                    <w:lock w:val="sdtLocked"/>
                    <w:richText/>
                  </w:sdtPr>
                  <w:sdtContent>
                    <w:p>
                      <w:pPr>
                        <w:widowControl w:val="0"/>
                        <w:ind w:firstLine="720"/>
                        <w:jc w:val="both"/>
                        <w:rPr>
                          <w:szCs w:val="24"/>
                          <w:lang w:eastAsia="ar-SA"/>
                        </w:rPr>
                      </w:pPr>
                      <w:sdt>
                        <w:sdtPr>
                          <w:alias w:val="Numeris"/>
                          <w:tag w:val="nr_6b37bd73642d4d1d82db4b6e33dec4ba"/>
                          <w:lock w:val="sdtLocked"/>
                          <w:richText/>
                        </w:sdtPr>
                        <w:sdtContent>
                          <w:r>
                            <w:rPr>
                              <w:szCs w:val="24"/>
                              <w:lang w:eastAsia="ar-SA"/>
                            </w:rPr>
                            <w:t>8.8</w:t>
                          </w:r>
                        </w:sdtContent>
                      </w:sdt>
                      <w:r>
                        <w:rPr>
                          <w:szCs w:val="24"/>
                          <w:lang w:eastAsia="ar-SA"/>
                        </w:rPr>
                        <w:t>. diskutuodami ir aptardami pavyzdžius, kelia klausimus ir mokosi atpažinti priklausomybių rūšis ir žinoti kur kreiptis pagalbos, padedant sau ir savo artimiesiems.</w:t>
                      </w:r>
                    </w:p>
                    <w:p>
                      <w:pPr>
                        <w:suppressAutoHyphens/>
                        <w:jc w:val="center"/>
                        <w:rPr>
                          <w:b/>
                          <w:szCs w:val="24"/>
                          <w:lang w:eastAsia="ar-SA"/>
                        </w:rPr>
                      </w:pPr>
                    </w:p>
                  </w:sdtContent>
                </w:sdt>
              </w:sdtContent>
            </w:sdt>
          </w:sdtContent>
        </w:sdt>
        <w:sdt>
          <w:sdtPr>
            <w:alias w:val="skirsnis"/>
            <w:tag w:val="part_531f83e639384aa98813dfe13f303d18"/>
            <w:lock w:val="sdtLocked"/>
            <w:richText/>
          </w:sdtPr>
          <w:sdtContent>
            <w:p>
              <w:pPr>
                <w:suppressAutoHyphens/>
                <w:jc w:val="center"/>
                <w:rPr>
                  <w:b/>
                  <w:szCs w:val="24"/>
                  <w:lang w:eastAsia="ar-SA"/>
                </w:rPr>
              </w:pPr>
              <w:sdt>
                <w:sdtPr>
                  <w:alias w:val="Pavadinimas"/>
                  <w:tag w:val="title_531f83e639384aa98813dfe13f303d18"/>
                  <w:lock w:val="sdtLocked"/>
                  <w:richText/>
                </w:sdtPr>
                <w:sdtContent>
                  <w:r>
                    <w:rPr>
                      <w:b/>
                      <w:szCs w:val="24"/>
                      <w:lang w:eastAsia="ar-SA"/>
                    </w:rPr>
                    <w:t>III SKYRIUS</w:t>
                    <w:br/>
                    <w:t>KOMPETENCIJŲ UGDYMAS</w:t>
                  </w:r>
                </w:sdtContent>
              </w:sdt>
            </w:p>
            <w:p>
              <w:pPr>
                <w:suppressAutoHyphens/>
                <w:jc w:val="center"/>
                <w:rPr>
                  <w:b/>
                  <w:szCs w:val="24"/>
                  <w:lang w:eastAsia="ar-SA"/>
                </w:rPr>
              </w:pPr>
            </w:p>
            <w:sdt>
              <w:sdtPr>
                <w:alias w:val="49 pr. 9 p."/>
                <w:tag w:val="part_bc6a1b09cebf45beb5066851b7e7e239"/>
                <w:lock w:val="sdtLocked"/>
                <w:richText/>
              </w:sdtPr>
              <w:sdtContent>
                <w:p>
                  <w:pPr>
                    <w:widowControl w:val="0"/>
                    <w:ind w:firstLine="720"/>
                    <w:jc w:val="both"/>
                    <w:rPr>
                      <w:szCs w:val="24"/>
                      <w:lang w:eastAsia="ar-SA"/>
                    </w:rPr>
                  </w:pPr>
                  <w:sdt>
                    <w:sdtPr>
                      <w:alias w:val="Numeris"/>
                      <w:tag w:val="nr_bc6a1b09cebf45beb5066851b7e7e239"/>
                      <w:lock w:val="sdtLocked"/>
                      <w:richText/>
                    </w:sdtPr>
                    <w:sdtContent>
                      <w:r>
                        <w:rPr>
                          <w:szCs w:val="24"/>
                          <w:lang w:eastAsia="ar-SA"/>
                        </w:rPr>
                        <w:t>9</w:t>
                      </w:r>
                    </w:sdtContent>
                  </w:sdt>
                  <w:r>
                    <w:rPr>
                      <w:szCs w:val="24"/>
                      <w:lang w:eastAsia="ar-SA"/>
                    </w:rPr>
                    <w:t xml:space="preserve">. Įgyvendinant Sveikatos ugdymo bendrąją programą ugdomos šios kompetencijos: pažinimo, socialinė, emocinė ir sveikos gyvensenos, komunikavimo, skaitmeninė, kūrybiškumo, kultūrinė, pilietiškumo. Jos pateiktos pagal kompetencijos ugdymo </w:t>
                  </w:r>
                  <w:r>
                    <w:rPr>
                      <w:szCs w:val="24"/>
                      <w:highlight w:val="white"/>
                      <w:lang w:eastAsia="ar-SA"/>
                    </w:rPr>
                    <w:t xml:space="preserve">indėlį ir </w:t>
                  </w:r>
                  <w:r>
                    <w:rPr>
                      <w:szCs w:val="24"/>
                      <w:lang w:eastAsia="ar-SA"/>
                    </w:rPr>
                    <w:t>intensyvumą Sveikatos ugdymo dalyku.</w:t>
                  </w:r>
                </w:p>
              </w:sdtContent>
            </w:sdt>
            <w:sdt>
              <w:sdtPr>
                <w:alias w:val="49 pr. 10 p."/>
                <w:tag w:val="part_0440cd97e9454bb8b585c413d361a8ce"/>
                <w:lock w:val="sdtLocked"/>
                <w:richText/>
              </w:sdtPr>
              <w:sdtContent>
                <w:p>
                  <w:pPr>
                    <w:widowControl w:val="0"/>
                    <w:ind w:firstLine="720"/>
                    <w:jc w:val="both"/>
                    <w:rPr>
                      <w:szCs w:val="24"/>
                      <w:lang w:eastAsia="ar-SA"/>
                    </w:rPr>
                  </w:pPr>
                  <w:sdt>
                    <w:sdtPr>
                      <w:alias w:val="Numeris"/>
                      <w:tag w:val="nr_0440cd97e9454bb8b585c413d361a8ce"/>
                      <w:lock w:val="sdtLocked"/>
                      <w:richText/>
                    </w:sdtPr>
                    <w:sdtContent>
                      <w:r>
                        <w:rPr>
                          <w:szCs w:val="24"/>
                          <w:lang w:eastAsia="ar-SA"/>
                        </w:rPr>
                        <w:t>10</w:t>
                      </w:r>
                    </w:sdtContent>
                  </w:sdt>
                  <w:r>
                    <w:rPr>
                      <w:szCs w:val="24"/>
                      <w:lang w:eastAsia="ar-SA"/>
                    </w:rPr>
                    <w:t>. Pažinimo kompetencija kaip motyvacija ir gebėjimas pažinti ir vertinti save kaip autentišką šeimos, bendruomenės, ir pasaulio santykių su savo artima ir tolima aplinka kūrėją, įgyjama suvokiant ir pažįstant save kaip asmenį visuminio biopsichosocialinio sveikatos modelio kontekste</w:t>
                  </w:r>
                  <w:r>
                    <w:rPr>
                      <w:rFonts w:eastAsia="Arial"/>
                      <w:szCs w:val="24"/>
                      <w:lang w:eastAsia="ar-SA"/>
                    </w:rPr>
                    <w:t xml:space="preserve">. </w:t>
                  </w:r>
                  <w:r>
                    <w:rPr>
                      <w:szCs w:val="24"/>
                      <w:lang w:eastAsia="ar-SA"/>
                    </w:rPr>
                    <w:t>Biopsichosocialinis sveikatos modelis paaiškina, jog žmogaus sveikata priklauso nuo biologinių (genetinių, fiziologinių, biocheminių), psichologinių (elgesio, minčių, jausmų ir emocijų, nuotaikų, asmenybės savybių ir gebėjimo kurti tarpasmeninius ryšius) ir socialinių (šeimos, gyvenimo būdo, kultūros, sveikatos priežiūros sistemos ir politikos, ekonomikos ir kt.) priežasčių</w:t>
                  </w:r>
                  <w:r>
                    <w:rPr>
                      <w:rFonts w:eastAsia="Arial"/>
                      <w:szCs w:val="24"/>
                      <w:lang w:eastAsia="ar-SA"/>
                    </w:rPr>
                    <w:t xml:space="preserve">. </w:t>
                  </w:r>
                  <w:r>
                    <w:rPr>
                      <w:szCs w:val="24"/>
                      <w:lang w:eastAsia="ar-SA"/>
                    </w:rPr>
                    <w:t xml:space="preserve">Pažinimo kompetencija įgyjama per visuminį sveikatos, kaip asmens fizinės, psichinės ir socialinės gerovės, suvokimą, apima žmogaus organizmo funkcionavimo ir poveikio asmens elgesiui sąsajų pažinimą, sveikatos išsaugojimo principus, gebėjimus pasirinkti sveikatai palankią </w:t>
                  </w:r>
                  <w:r>
                    <w:rPr>
                      <w:szCs w:val="24"/>
                      <w:highlight w:val="white"/>
                      <w:lang w:eastAsia="ar-SA"/>
                    </w:rPr>
                    <w:t>gyvenseną</w:t>
                  </w:r>
                  <w:r>
                    <w:rPr>
                      <w:szCs w:val="24"/>
                      <w:lang w:eastAsia="ar-SA"/>
                    </w:rPr>
                    <w:t xml:space="preserve">, kritinio mąstymo bei su sveikata susijusių problemų sprendimą, gebėjimus atpažinti, įvertinti ir pasirinkti sveikatai palankius pasiūlymus. </w:t>
                  </w:r>
                </w:p>
              </w:sdtContent>
            </w:sdt>
            <w:sdt>
              <w:sdtPr>
                <w:alias w:val="49 pr. 11 p."/>
                <w:tag w:val="part_89572d5f3b5346b9a1b5d35bad30853b"/>
                <w:lock w:val="sdtLocked"/>
                <w:richText/>
              </w:sdtPr>
              <w:sdtContent>
                <w:p>
                  <w:pPr>
                    <w:widowControl w:val="0"/>
                    <w:ind w:firstLine="720"/>
                    <w:jc w:val="both"/>
                    <w:rPr>
                      <w:szCs w:val="24"/>
                      <w:lang w:eastAsia="ar-SA"/>
                    </w:rPr>
                  </w:pPr>
                  <w:sdt>
                    <w:sdtPr>
                      <w:alias w:val="Numeris"/>
                      <w:tag w:val="nr_89572d5f3b5346b9a1b5d35bad30853b"/>
                      <w:lock w:val="sdtLocked"/>
                      <w:richText/>
                    </w:sdtPr>
                    <w:sdtContent>
                      <w:r>
                        <w:rPr>
                          <w:szCs w:val="24"/>
                          <w:lang w:eastAsia="ar-SA"/>
                        </w:rPr>
                        <w:t>11</w:t>
                      </w:r>
                    </w:sdtContent>
                  </w:sdt>
                  <w:r>
                    <w:rPr>
                      <w:szCs w:val="24"/>
                      <w:lang w:eastAsia="ar-SA"/>
                    </w:rPr>
                    <w:t xml:space="preserve">. Socialinė, emocinė ir sveikos gyvensenos kompetencija Sveikatos ugdymo programoje realizuojama puoselėjant žmogaus gyvybės ir sveikatos kaip neįkainojamos vertybės sampratą, sudarant sąlygas asmens savęs, kaip visuminės kūniškos, psichinės, emocinės ir dvasinės būtybės pažinimui, savimonės ir savitvardos socialinio sąmoningumo ugdymui, brandžių tarpusavio santykių kūrimui artimoje ir tolimoje aplinkoje, gebėjimų priimti atsakingus sprendimus, rūpintis fizine, psichine ir socialine sveikata, rinktis sveiką </w:t>
                  </w:r>
                  <w:r>
                    <w:rPr>
                      <w:szCs w:val="24"/>
                      <w:highlight w:val="white"/>
                      <w:lang w:eastAsia="ar-SA"/>
                    </w:rPr>
                    <w:t>gyvenseną</w:t>
                  </w:r>
                  <w:r>
                    <w:rPr>
                      <w:szCs w:val="24"/>
                      <w:lang w:eastAsia="ar-SA"/>
                    </w:rPr>
                    <w:t xml:space="preserve"> ir atsispirti žalingiems įpročiams bei išvengti rizikingo elgesio.</w:t>
                  </w:r>
                </w:p>
              </w:sdtContent>
            </w:sdt>
            <w:sdt>
              <w:sdtPr>
                <w:alias w:val="49 pr. 12 p."/>
                <w:tag w:val="part_79e444a607bf46fcb55ee248c89ba0be"/>
                <w:lock w:val="sdtLocked"/>
                <w:richText/>
              </w:sdtPr>
              <w:sdtContent>
                <w:p>
                  <w:pPr>
                    <w:widowControl w:val="0"/>
                    <w:ind w:firstLine="720"/>
                    <w:jc w:val="both"/>
                    <w:rPr>
                      <w:szCs w:val="24"/>
                      <w:lang w:eastAsia="ar-SA"/>
                    </w:rPr>
                  </w:pPr>
                  <w:sdt>
                    <w:sdtPr>
                      <w:alias w:val="Numeris"/>
                      <w:tag w:val="nr_79e444a607bf46fcb55ee248c89ba0be"/>
                      <w:lock w:val="sdtLocked"/>
                      <w:richText/>
                    </w:sdtPr>
                    <w:sdtContent>
                      <w:r>
                        <w:rPr>
                          <w:szCs w:val="24"/>
                          <w:lang w:eastAsia="ar-SA"/>
                        </w:rPr>
                        <w:t>12</w:t>
                      </w:r>
                    </w:sdtContent>
                  </w:sdt>
                  <w:r>
                    <w:rPr>
                      <w:szCs w:val="24"/>
                      <w:lang w:eastAsia="ar-SA"/>
                    </w:rPr>
                    <w:t xml:space="preserve">. Komunikavimo kompetencija. Sveikatos ugdymo programoje komunikavimo kompetencija  ugdoma skatinant mokinius giliau suvokti komunikacinio proceso dėsningumus, naudotis įvairiais informacijos šaltiniais, parengti pristatymus, derinant vaizdinę, garsinę ir tekstinę medžiagą skirtą atpažinti asmens organizmo funkcionavimo ir sveikatai palankaus elgesio sąsajas, analizuoti ir interpretuoti žiniasklaidos ir medijų pranešimus, susijusius su sveikata, atpažįstant užslėptas, kenkėjiškas rinkodaros tendencijas, rinkoje siūlomas sveikatai žalingas / nepalankias prekes) atskiriant manipuliacijas, kritiškai vertinant pranešimo patikimumą ir mokantis susirasti patikimus informacijos šaltinius. </w:t>
                  </w:r>
                </w:p>
              </w:sdtContent>
            </w:sdt>
            <w:sdt>
              <w:sdtPr>
                <w:alias w:val="49 pr. 13 p."/>
                <w:tag w:val="part_1a75c051041f4380879df87d50f16b83"/>
                <w:lock w:val="sdtLocked"/>
                <w:richText/>
              </w:sdtPr>
              <w:sdtContent>
                <w:p>
                  <w:pPr>
                    <w:widowControl w:val="0"/>
                    <w:pBdr>
                      <w:top w:val="nil"/>
                      <w:left w:val="nil"/>
                      <w:bottom w:val="nil"/>
                      <w:right w:val="nil"/>
                      <w:between w:val="nil"/>
                    </w:pBdr>
                    <w:ind w:firstLine="720"/>
                    <w:jc w:val="both"/>
                    <w:rPr>
                      <w:szCs w:val="24"/>
                      <w:lang w:eastAsia="ar-SA"/>
                    </w:rPr>
                  </w:pPr>
                  <w:sdt>
                    <w:sdtPr>
                      <w:alias w:val="Numeris"/>
                      <w:tag w:val="nr_1a75c051041f4380879df87d50f16b83"/>
                      <w:lock w:val="sdtLocked"/>
                      <w:richText/>
                    </w:sdtPr>
                    <w:sdtContent>
                      <w:r>
                        <w:rPr>
                          <w:szCs w:val="24"/>
                          <w:lang w:eastAsia="ar-SA"/>
                        </w:rPr>
                        <w:t>13</w:t>
                      </w:r>
                    </w:sdtContent>
                  </w:sdt>
                  <w:r>
                    <w:rPr>
                      <w:szCs w:val="24"/>
                      <w:lang w:eastAsia="ar-SA"/>
                    </w:rPr>
                    <w:t xml:space="preserve">. Kultūrinė kompetencija. Sveikatos ugdymo dalyke plėtojama mokinių kultūrinė savimonė, kultūrinė raiška ir sąmoningumas: mokiniai žino sveikatai palankaus, kultūringo elgesio, darančio įtaką savo ir kitų sveikatai bei aplinkai pagrindus, atpažįsta sveikatos kaip kultūrinės, kuriamos žmogaus pastangomis, vertybės kūrimo pagrindus ir jos poveikį bendrai visuomenės gerovei. Analizuoja ir lygina Lietuvos, Europos bei pasaulio kultūrų tradicijas, renkantis sveikatai ir aplinkai palankų elgesį. </w:t>
                  </w:r>
                </w:p>
              </w:sdtContent>
            </w:sdt>
            <w:sdt>
              <w:sdtPr>
                <w:alias w:val="49 pr. 14 p."/>
                <w:tag w:val="part_b0b2cf51f68b47918ed694e368b049ec"/>
                <w:lock w:val="sdtLocked"/>
                <w:richText/>
              </w:sdtPr>
              <w:sdtContent>
                <w:p>
                  <w:pPr>
                    <w:widowControl w:val="0"/>
                    <w:ind w:firstLine="720"/>
                    <w:jc w:val="both"/>
                    <w:rPr>
                      <w:szCs w:val="24"/>
                      <w:lang w:eastAsia="ar-SA"/>
                    </w:rPr>
                  </w:pPr>
                  <w:sdt>
                    <w:sdtPr>
                      <w:alias w:val="Numeris"/>
                      <w:tag w:val="nr_b0b2cf51f68b47918ed694e368b049ec"/>
                      <w:lock w:val="sdtLocked"/>
                      <w:richText/>
                    </w:sdtPr>
                    <w:sdtContent>
                      <w:r>
                        <w:rPr>
                          <w:szCs w:val="24"/>
                          <w:lang w:eastAsia="ar-SA"/>
                        </w:rPr>
                        <w:t>14</w:t>
                      </w:r>
                    </w:sdtContent>
                  </w:sdt>
                  <w:r>
                    <w:rPr>
                      <w:szCs w:val="24"/>
                      <w:lang w:eastAsia="ar-SA"/>
                    </w:rPr>
                    <w:t>. Kūrybiškumo kompetencija. Sveikatos ugdymo dalyko veiklose ugdoma drąsa kelti probleminius su sveikata susijusius klausimus, gebėjimai patiems mokiniams inovatyviai, netradiciškai juos spręsti ir vertinti galimus alternatyvius atsakymus. Kūrybiškumas plėtojamas organizuojant veiklas reiškinių, darančius įtaką sveikatai, susiejimo principu, kurių metu mokiniai tyrinėja ir susieja savo savijautą, mintis ir veiksmus naudodami savistabos ir testavimo metodus, įsivertina savo elgesį sveikatai palankaus elgesio aspektu, kuria ir įgyvendina trumpalaikius ir ilgalaikius savo elgesio keitimo planus ir juos įsivertina. Skatinami prisiimti atsakomybę už savo iškeltas idėjas, konstruktyviai vertinti su jų įgyvendinimu susijusią veiklą, iškilusius sunkumus ir pasiektą rezultatą.</w:t>
                  </w:r>
                </w:p>
              </w:sdtContent>
            </w:sdt>
            <w:sdt>
              <w:sdtPr>
                <w:alias w:val="49 pr. 15 p."/>
                <w:tag w:val="part_52d0d625770d43e08d73c1c1aee288fe"/>
                <w:lock w:val="sdtLocked"/>
                <w:richText/>
              </w:sdtPr>
              <w:sdtContent>
                <w:p>
                  <w:pPr>
                    <w:widowControl w:val="0"/>
                    <w:ind w:firstLine="720"/>
                    <w:jc w:val="both"/>
                    <w:rPr>
                      <w:szCs w:val="24"/>
                      <w:lang w:eastAsia="ar-SA"/>
                    </w:rPr>
                  </w:pPr>
                  <w:sdt>
                    <w:sdtPr>
                      <w:alias w:val="Numeris"/>
                      <w:tag w:val="nr_52d0d625770d43e08d73c1c1aee288fe"/>
                      <w:lock w:val="sdtLocked"/>
                      <w:richText/>
                    </w:sdtPr>
                    <w:sdtContent>
                      <w:r>
                        <w:rPr>
                          <w:szCs w:val="24"/>
                          <w:lang w:eastAsia="ar-SA"/>
                        </w:rPr>
                        <w:t>15</w:t>
                      </w:r>
                    </w:sdtContent>
                  </w:sdt>
                  <w:r>
                    <w:rPr>
                      <w:szCs w:val="24"/>
                      <w:lang w:eastAsia="ar-SA"/>
                    </w:rPr>
                    <w:t xml:space="preserve">. Pilietiškumo kompetencija. Sveikatos ugdymo pamokose įgyjamas suvokimas apie savo ir aplinkinių asmenų sveikatos skirtumus, ugdomi gyvenimui bendruomenėje ir visuomenėje reikšmingi gebėjimai bei pagarba žmogaus teisėms ir laisvėms. Pilietinis tapatumas ir pilietinė galia ugdomi skatinant gebėjimą rinktis veiksmingus sveikatos stiprinimo būdus. Gyvenimas bendruomenėje kuriant demokratišką visuomenę ugdomas  per teisinės sistemos darančios poveikį sveikatai supratimą. Pagarba žmogaus teisėms ir laisvėms ugdoma analizuojant ir kritiškai vertinant žiniasklaidoje pateikiamą informaciją, suvokiant žiniasklaidos vaidmenį demokratijoje, atpažįstant užslėptos rinkodaros apraiškas ir ieškant jų įveikimo būdų. Valstybingumo stiprinimo nuostata ugdoma dalyvaujant sveikatingumo stiprinimo veiklose, mokomasi suvokti, kad valstybė stiprinama tausojant žmogiškuosius išteklius, pirmiausiai žmogaus sveikatą.</w:t>
                  </w:r>
                </w:p>
              </w:sdtContent>
            </w:sdt>
            <w:sdt>
              <w:sdtPr>
                <w:alias w:val="49 pr. 16 p."/>
                <w:tag w:val="part_ffde6fd252d9425384e856cd3912ac92"/>
                <w:lock w:val="sdtLocked"/>
                <w:richText/>
              </w:sdtPr>
              <w:sdtContent>
                <w:p>
                  <w:pPr>
                    <w:widowControl w:val="0"/>
                    <w:ind w:firstLine="720"/>
                    <w:jc w:val="both"/>
                    <w:rPr>
                      <w:szCs w:val="24"/>
                      <w:lang w:eastAsia="ar-SA"/>
                    </w:rPr>
                  </w:pPr>
                  <w:sdt>
                    <w:sdtPr>
                      <w:alias w:val="Numeris"/>
                      <w:tag w:val="nr_ffde6fd252d9425384e856cd3912ac92"/>
                      <w:lock w:val="sdtLocked"/>
                      <w:richText/>
                    </w:sdtPr>
                    <w:sdtContent>
                      <w:r>
                        <w:rPr>
                          <w:szCs w:val="24"/>
                          <w:lang w:eastAsia="ar-SA"/>
                        </w:rPr>
                        <w:t>16</w:t>
                      </w:r>
                    </w:sdtContent>
                  </w:sdt>
                  <w:r>
                    <w:rPr>
                      <w:szCs w:val="24"/>
                      <w:lang w:eastAsia="ar-SA"/>
                    </w:rPr>
                    <w:t>. Skaitmeninė kompetencija. Sveikatos ugdymo pamokose, siekiant įgyti sveikatos raštingumo įgūdžius veiklos planuojamos ir organizuojamos taip, kad mokiniai atlikdami įvairias užduotis galėtų sumaniai ir kūrybiškai naudotis skaitmeninėmis technologijomis informacijos sveikatai palankių veiksnių paieškai, sveikatą įtakojančių procesų ir reiškinių tyrimui bei surinktos informacijos etiškam pateikimui ir demonstravimui, savistabos duomenų užrašymui, kaupimui ir interpretavimui.</w:t>
                  </w:r>
                </w:p>
                <w:p>
                  <w:pPr>
                    <w:suppressAutoHyphens/>
                    <w:jc w:val="center"/>
                    <w:rPr>
                      <w:b/>
                      <w:szCs w:val="24"/>
                      <w:lang w:eastAsia="ar-SA"/>
                    </w:rPr>
                  </w:pPr>
                </w:p>
              </w:sdtContent>
            </w:sdt>
          </w:sdtContent>
        </w:sdt>
        <w:sdt>
          <w:sdtPr>
            <w:alias w:val="skirsnis"/>
            <w:tag w:val="part_fabac8795acf4c28bf76f8573b152ff6"/>
            <w:lock w:val="sdtLocked"/>
            <w:richText/>
          </w:sdtPr>
          <w:sdtContent>
            <w:p>
              <w:pPr>
                <w:suppressAutoHyphens/>
                <w:jc w:val="center"/>
                <w:rPr>
                  <w:b/>
                  <w:szCs w:val="24"/>
                  <w:lang w:eastAsia="ar-SA"/>
                </w:rPr>
              </w:pPr>
              <w:sdt>
                <w:sdtPr>
                  <w:alias w:val="Pavadinimas"/>
                  <w:tag w:val="title_fabac8795acf4c28bf76f8573b152ff6"/>
                  <w:lock w:val="sdtLocked"/>
                  <w:richText/>
                </w:sdtPr>
                <w:sdtContent>
                  <w:r>
                    <w:rPr>
                      <w:b/>
                      <w:szCs w:val="24"/>
                      <w:lang w:eastAsia="ar-SA"/>
                    </w:rPr>
                    <w:t>IV SKYRIUS</w:t>
                    <w:br/>
                    <w:t>PASIEKIMŲ SRITYS IR PASIEKIMAI</w:t>
                  </w:r>
                </w:sdtContent>
              </w:sdt>
            </w:p>
            <w:p>
              <w:pPr>
                <w:suppressAutoHyphens/>
                <w:jc w:val="center"/>
                <w:rPr>
                  <w:b/>
                  <w:szCs w:val="24"/>
                  <w:lang w:eastAsia="ar-SA"/>
                </w:rPr>
              </w:pPr>
            </w:p>
            <w:sdt>
              <w:sdtPr>
                <w:alias w:val="49 pr. 17 p."/>
                <w:tag w:val="part_e9fbdb8cdc8a40d78f6d7cf773636e9f"/>
                <w:lock w:val="sdtLocked"/>
                <w:richText/>
              </w:sdtPr>
              <w:sdtContent>
                <w:p>
                  <w:pPr>
                    <w:widowControl w:val="0"/>
                    <w:ind w:firstLine="720"/>
                    <w:jc w:val="both"/>
                    <w:rPr>
                      <w:szCs w:val="24"/>
                      <w:lang w:eastAsia="ar-SA"/>
                    </w:rPr>
                  </w:pPr>
                  <w:sdt>
                    <w:sdtPr>
                      <w:alias w:val="Numeris"/>
                      <w:tag w:val="nr_e9fbdb8cdc8a40d78f6d7cf773636e9f"/>
                      <w:lock w:val="sdtLocked"/>
                      <w:richText/>
                    </w:sdtPr>
                    <w:sdtContent>
                      <w:r>
                        <w:rPr>
                          <w:szCs w:val="24"/>
                          <w:lang w:eastAsia="ar-SA"/>
                        </w:rPr>
                        <w:t>17</w:t>
                      </w:r>
                    </w:sdtContent>
                  </w:sdt>
                  <w:r>
                    <w:rPr>
                      <w:szCs w:val="24"/>
                      <w:lang w:eastAsia="ar-SA"/>
                    </w:rPr>
                    <w:t>. Savęs kaip visuminio asmens ir savo sveikatos veiksnių pažinimas (A) (asmens fizinė, psichinė, dvasinė, socialinė sveikata). Mokiniai, nagrinėdami žmogaus neurohormoninę organizmo veiklos reguliaciją, mokysis susieti smegenų veiklą su vidaus organų veikla, pažinti kaip vientisą procesą, atpažinti jo išraiškas savo organizme ir psichikoje. Ypatingas dėmesys skiriamas mokinių savęs suvokimui ir priėmimui. Suvokimas savęs, kaip visuminio asmens, kurio kūnas, jausmai emocijos ir mintys sudaro nedalomą visumą, kuris yra atsakingas už savo sveikatą, yra svarbiausia sąlyga savo gyvenimo tikslų realizavimui. Šios pasiekimų srities mokinių pasiekimai:</w:t>
                  </w:r>
                </w:p>
                <w:sdt>
                  <w:sdtPr>
                    <w:alias w:val="49 pr. 17.1 pp."/>
                    <w:tag w:val="part_df84e77924dd439181c6ea02c0d05c39"/>
                    <w:lock w:val="sdtLocked"/>
                    <w:richText/>
                  </w:sdtPr>
                  <w:sdtContent>
                    <w:p>
                      <w:pPr>
                        <w:widowControl w:val="0"/>
                        <w:ind w:firstLine="720"/>
                        <w:jc w:val="both"/>
                        <w:rPr>
                          <w:szCs w:val="24"/>
                          <w:lang w:eastAsia="ar-SA"/>
                        </w:rPr>
                      </w:pPr>
                      <w:sdt>
                        <w:sdtPr>
                          <w:alias w:val="Numeris"/>
                          <w:tag w:val="nr_df84e77924dd439181c6ea02c0d05c39"/>
                          <w:lock w:val="sdtLocked"/>
                          <w:richText/>
                        </w:sdtPr>
                        <w:sdtContent>
                          <w:r>
                            <w:rPr>
                              <w:szCs w:val="24"/>
                              <w:lang w:eastAsia="ar-SA"/>
                            </w:rPr>
                            <w:t>17.1</w:t>
                          </w:r>
                        </w:sdtContent>
                      </w:sdt>
                      <w:r>
                        <w:rPr>
                          <w:szCs w:val="24"/>
                          <w:lang w:eastAsia="ar-SA"/>
                        </w:rPr>
                        <w:t>. Iliustruojant pavyzdžiais paaiškina neurohormoninę organizmo veiklos reguliaciją ir jų ciklinius pokyčius bei skirtingų smegenų ir vidaus organų produkuojamų hormonų nenutrūkstamo ryšio svarbą asmens fizinei, psichinei ir socialinei sveikatai, sieja juos su savęs pažinimu, savikontrole su laisvu informuotu pasirinkimu. Apibūdina neurohormoninės organizmo funkcijų reguliacijos ryšį su streso išsivystymu, pritaiko streso valdymo būdus įprastose situacijose, modeliuoja jų pritaikymą ekstremaliose situacijose (A1).</w:t>
                      </w:r>
                    </w:p>
                  </w:sdtContent>
                </w:sdt>
                <w:sdt>
                  <w:sdtPr>
                    <w:alias w:val="49 pr. 17.2 pp."/>
                    <w:tag w:val="part_bad69403dd624b388ef712f1ffa78fb9"/>
                    <w:lock w:val="sdtLocked"/>
                    <w:richText/>
                  </w:sdtPr>
                  <w:sdtContent>
                    <w:p>
                      <w:pPr>
                        <w:widowControl w:val="0"/>
                        <w:ind w:firstLine="720"/>
                        <w:jc w:val="both"/>
                        <w:rPr>
                          <w:szCs w:val="24"/>
                          <w:lang w:eastAsia="ar-SA"/>
                        </w:rPr>
                      </w:pPr>
                      <w:sdt>
                        <w:sdtPr>
                          <w:alias w:val="Numeris"/>
                          <w:tag w:val="nr_bad69403dd624b388ef712f1ffa78fb9"/>
                          <w:lock w:val="sdtLocked"/>
                          <w:richText/>
                        </w:sdtPr>
                        <w:sdtContent>
                          <w:r>
                            <w:rPr>
                              <w:szCs w:val="24"/>
                              <w:lang w:eastAsia="ar-SA"/>
                            </w:rPr>
                            <w:t>17.2</w:t>
                          </w:r>
                        </w:sdtContent>
                      </w:sdt>
                      <w:r>
                        <w:rPr>
                          <w:szCs w:val="24"/>
                          <w:lang w:eastAsia="ar-SA"/>
                        </w:rPr>
                        <w:t xml:space="preserve">. Nagrinėjant sveikatos išsaugojimo prioritetus skirtinguose žmogaus raidos etapuose, įvardija gyvenimo pradžios  nuo gyvybės pradėjimo, nėštumo, gimimo procesų iki  naujagimio bazinių poreikių tenkinimo svarbą visai žmogaus sveikatos raidai (A2).</w:t>
                      </w:r>
                    </w:p>
                  </w:sdtContent>
                </w:sdt>
                <w:sdt>
                  <w:sdtPr>
                    <w:alias w:val="49 pr. 17.3 pp."/>
                    <w:tag w:val="part_aa56d80507e540f2aaa5408bb8d9c9e0"/>
                    <w:lock w:val="sdtLocked"/>
                    <w:richText/>
                  </w:sdtPr>
                  <w:sdtContent>
                    <w:p>
                      <w:pPr>
                        <w:widowControl w:val="0"/>
                        <w:ind w:firstLine="720"/>
                        <w:jc w:val="both"/>
                        <w:rPr>
                          <w:szCs w:val="24"/>
                          <w:lang w:eastAsia="ar-SA"/>
                        </w:rPr>
                      </w:pPr>
                      <w:sdt>
                        <w:sdtPr>
                          <w:alias w:val="Numeris"/>
                          <w:tag w:val="nr_aa56d80507e540f2aaa5408bb8d9c9e0"/>
                          <w:lock w:val="sdtLocked"/>
                          <w:richText/>
                        </w:sdtPr>
                        <w:sdtContent>
                          <w:r>
                            <w:rPr>
                              <w:szCs w:val="24"/>
                              <w:lang w:eastAsia="ar-SA"/>
                            </w:rPr>
                            <w:t>17.3</w:t>
                          </w:r>
                        </w:sdtContent>
                      </w:sdt>
                      <w:r>
                        <w:rPr>
                          <w:szCs w:val="24"/>
                          <w:lang w:eastAsia="ar-SA"/>
                        </w:rPr>
                        <w:t>. Apibūdina emocijų, jausmų, minčių įtaką žmogaus sveikatai,</w:t>
                      </w:r>
                      <w:r>
                        <w:rPr>
                          <w:szCs w:val="24"/>
                          <w:highlight w:val="white"/>
                          <w:lang w:eastAsia="ar-SA"/>
                        </w:rPr>
                        <w:t xml:space="preserve"> gyvensenos</w:t>
                      </w:r>
                      <w:r>
                        <w:rPr>
                          <w:szCs w:val="24"/>
                          <w:lang w:eastAsia="ar-SA"/>
                        </w:rPr>
                        <w:t xml:space="preserve"> pasirinkimui  bei gyvenimo kokybei. Paaiškina ir praktiškai pritaiko pagrindinius minčių higienos dėsnius. Įvardija ir iliustruoja pavyzdžiais tinkamus emocijų ir jausmų raiškos būdus (A3).</w:t>
                      </w:r>
                    </w:p>
                  </w:sdtContent>
                </w:sdt>
              </w:sdtContent>
            </w:sdt>
            <w:sdt>
              <w:sdtPr>
                <w:alias w:val="49 pr. 18 p."/>
                <w:tag w:val="part_6e78455ad71e4a2f8ce401f9fe6cf3f3"/>
                <w:lock w:val="sdtLocked"/>
                <w:richText/>
              </w:sdtPr>
              <w:sdtContent>
                <w:p>
                  <w:pPr>
                    <w:widowControl w:val="0"/>
                    <w:ind w:firstLine="720"/>
                    <w:jc w:val="both"/>
                    <w:rPr>
                      <w:szCs w:val="24"/>
                      <w:lang w:eastAsia="ar-SA"/>
                    </w:rPr>
                  </w:pPr>
                  <w:sdt>
                    <w:sdtPr>
                      <w:alias w:val="Numeris"/>
                      <w:tag w:val="nr_6e78455ad71e4a2f8ce401f9fe6cf3f3"/>
                      <w:lock w:val="sdtLocked"/>
                      <w:richText/>
                    </w:sdtPr>
                    <w:sdtContent>
                      <w:r>
                        <w:rPr>
                          <w:szCs w:val="24"/>
                          <w:lang w:eastAsia="ar-SA"/>
                        </w:rPr>
                        <w:t>18</w:t>
                      </w:r>
                    </w:sdtContent>
                  </w:sdt>
                  <w:r>
                    <w:rPr>
                      <w:szCs w:val="24"/>
                      <w:lang w:eastAsia="ar-SA"/>
                    </w:rPr>
                    <w:t>. Sveikų ir brandžių tarpasmeninių santykių pagrindų pažinimas ir jų poveikio sveikatai tyrinėjimas (B). (Psichinė ir socialinė sveikata). Nagrinėdami pagarbos sau ir kitam asmeniui išraiškas, asmens orumo išsaugojimo pagrindus, brandžių, ilgalaikių santykių sukūrimo prielaidas, meilės ir draugystės augimo dėsnius, mokiniai susies juos su psichinės ir socialinės sveikatos kokybe. Šios pasiekimų srities mokinių pasiekimai:</w:t>
                  </w:r>
                </w:p>
                <w:sdt>
                  <w:sdtPr>
                    <w:alias w:val="49 pr. 18.1 pp."/>
                    <w:tag w:val="part_81a889df45f843718f6cd9b78bd879ab"/>
                    <w:lock w:val="sdtLocked"/>
                    <w:richText/>
                  </w:sdtPr>
                  <w:sdtContent>
                    <w:p>
                      <w:pPr>
                        <w:widowControl w:val="0"/>
                        <w:ind w:firstLine="720"/>
                        <w:jc w:val="both"/>
                        <w:rPr>
                          <w:szCs w:val="24"/>
                          <w:lang w:eastAsia="ar-SA"/>
                        </w:rPr>
                      </w:pPr>
                      <w:sdt>
                        <w:sdtPr>
                          <w:alias w:val="Numeris"/>
                          <w:tag w:val="nr_81a889df45f843718f6cd9b78bd879ab"/>
                          <w:lock w:val="sdtLocked"/>
                          <w:richText/>
                        </w:sdtPr>
                        <w:sdtContent>
                          <w:r>
                            <w:rPr>
                              <w:szCs w:val="24"/>
                              <w:lang w:eastAsia="ar-SA"/>
                            </w:rPr>
                            <w:t>18.1</w:t>
                          </w:r>
                        </w:sdtContent>
                      </w:sdt>
                      <w:r>
                        <w:rPr>
                          <w:szCs w:val="24"/>
                          <w:lang w:eastAsia="ar-SA"/>
                        </w:rPr>
                        <w:t xml:space="preserve">. Paaiškina prigimtinio žmogaus orumo sampratą ir jo nepažeidžiamumo svarbą tarpasmeniniuose  santykiuose, susieja pagarbos kitam asmeniui raišką su asmens savivertės kokybe (B1).</w:t>
                      </w:r>
                    </w:p>
                  </w:sdtContent>
                </w:sdt>
                <w:sdt>
                  <w:sdtPr>
                    <w:alias w:val="49 pr. 18.2 pp."/>
                    <w:tag w:val="part_ee680f3b30df452b95e5935b817defa2"/>
                    <w:lock w:val="sdtLocked"/>
                    <w:richText/>
                  </w:sdtPr>
                  <w:sdtContent>
                    <w:p>
                      <w:pPr>
                        <w:widowControl w:val="0"/>
                        <w:ind w:firstLine="720"/>
                        <w:jc w:val="both"/>
                        <w:rPr>
                          <w:szCs w:val="24"/>
                          <w:lang w:eastAsia="ar-SA"/>
                        </w:rPr>
                      </w:pPr>
                      <w:sdt>
                        <w:sdtPr>
                          <w:alias w:val="Numeris"/>
                          <w:tag w:val="nr_ee680f3b30df452b95e5935b817defa2"/>
                          <w:lock w:val="sdtLocked"/>
                          <w:richText/>
                        </w:sdtPr>
                        <w:sdtContent>
                          <w:r>
                            <w:rPr>
                              <w:szCs w:val="24"/>
                              <w:lang w:eastAsia="ar-SA"/>
                            </w:rPr>
                            <w:t>18.2</w:t>
                          </w:r>
                        </w:sdtContent>
                      </w:sdt>
                      <w:r>
                        <w:rPr>
                          <w:szCs w:val="24"/>
                          <w:lang w:eastAsia="ar-SA"/>
                        </w:rPr>
                        <w:t>. Paaiškina draugystės svarbą meilės raidai, nagrinėja kaip kurti brandžius, įsipareigojančius santykius vadovaujantis tarpusavio pagarba ir asmens orumo išsaugojimu (B2).</w:t>
                      </w:r>
                    </w:p>
                  </w:sdtContent>
                </w:sdt>
                <w:sdt>
                  <w:sdtPr>
                    <w:alias w:val="49 pr. 18.3 pp."/>
                    <w:tag w:val="part_03ead04bde8a4638b1436e614763e874"/>
                    <w:lock w:val="sdtLocked"/>
                    <w:richText/>
                  </w:sdtPr>
                  <w:sdtContent>
                    <w:p>
                      <w:pPr>
                        <w:widowControl w:val="0"/>
                        <w:ind w:firstLine="720"/>
                        <w:jc w:val="both"/>
                        <w:rPr>
                          <w:szCs w:val="24"/>
                          <w:lang w:eastAsia="ar-SA"/>
                        </w:rPr>
                      </w:pPr>
                      <w:sdt>
                        <w:sdtPr>
                          <w:alias w:val="Numeris"/>
                          <w:tag w:val="nr_03ead04bde8a4638b1436e614763e874"/>
                          <w:lock w:val="sdtLocked"/>
                          <w:richText/>
                        </w:sdtPr>
                        <w:sdtContent>
                          <w:r>
                            <w:rPr>
                              <w:szCs w:val="24"/>
                              <w:lang w:eastAsia="ar-SA"/>
                            </w:rPr>
                            <w:t>18.3</w:t>
                          </w:r>
                        </w:sdtContent>
                      </w:sdt>
                      <w:r>
                        <w:rPr>
                          <w:szCs w:val="24"/>
                          <w:lang w:eastAsia="ar-SA"/>
                        </w:rPr>
                        <w:t>. Paaiškina tarpasmeninių, brandžių, ilgalaikių santykių sąsajas su žmogaus sveikata, kuria asmeninio gyvenimo kelią (B3).</w:t>
                      </w:r>
                    </w:p>
                  </w:sdtContent>
                </w:sdt>
              </w:sdtContent>
            </w:sdt>
            <w:sdt>
              <w:sdtPr>
                <w:alias w:val="49 pr. 19 p."/>
                <w:tag w:val="part_636d167896ed4484bf5ec636697ebe2d"/>
                <w:lock w:val="sdtLocked"/>
                <w:richText/>
              </w:sdtPr>
              <w:sdtContent>
                <w:p>
                  <w:pPr>
                    <w:widowControl w:val="0"/>
                    <w:ind w:firstLine="720"/>
                    <w:jc w:val="both"/>
                    <w:rPr>
                      <w:szCs w:val="24"/>
                      <w:highlight w:val="white"/>
                      <w:lang w:eastAsia="ar-SA"/>
                    </w:rPr>
                  </w:pPr>
                  <w:sdt>
                    <w:sdtPr>
                      <w:alias w:val="Numeris"/>
                      <w:tag w:val="nr_636d167896ed4484bf5ec636697ebe2d"/>
                      <w:lock w:val="sdtLocked"/>
                      <w:richText/>
                    </w:sdtPr>
                    <w:sdtContent>
                      <w:r>
                        <w:rPr>
                          <w:szCs w:val="24"/>
                          <w:lang w:eastAsia="ar-SA"/>
                        </w:rPr>
                        <w:t>19</w:t>
                      </w:r>
                    </w:sdtContent>
                  </w:sdt>
                  <w:r>
                    <w:rPr>
                      <w:szCs w:val="24"/>
                      <w:lang w:eastAsia="ar-SA"/>
                    </w:rPr>
                    <w:t>. </w:t>
                  </w:r>
                  <w:r>
                    <w:rPr>
                      <w:szCs w:val="24"/>
                      <w:highlight w:val="white"/>
                      <w:lang w:eastAsia="ar-SA"/>
                    </w:rPr>
                    <w:t xml:space="preserve">Sveikatos išsaugojimo ir stiprinimo galimybių tyrinėjimas (C). Formuodamiesi supratimą apie sveikatos žinių svarbą ir tikslingai jas taikydami, mokiniai sąmoningai pasirinks sveikatą saugančią ir stiprinančią gyvenseną, atpažins sveikatai nepalankius aplinkos veiksnius, atsakingai  kurs sveiką ir saugią aplinką, supras asmeninę atsakomybę už savo ir kitų sveikatą. Šios pasiekimų srities mokinių pasiekimai:</w:t>
                  </w:r>
                </w:p>
                <w:sdt>
                  <w:sdtPr>
                    <w:alias w:val="49 pr. 19.1 pp."/>
                    <w:tag w:val="part_bc82c9ae6d3b496c8b4cb593fecbb422"/>
                    <w:lock w:val="sdtLocked"/>
                    <w:richText/>
                  </w:sdtPr>
                  <w:sdtContent>
                    <w:p>
                      <w:pPr>
                        <w:widowControl w:val="0"/>
                        <w:ind w:firstLine="720"/>
                        <w:jc w:val="both"/>
                        <w:rPr>
                          <w:szCs w:val="24"/>
                          <w:lang w:eastAsia="ar-SA"/>
                        </w:rPr>
                      </w:pPr>
                      <w:sdt>
                        <w:sdtPr>
                          <w:alias w:val="Numeris"/>
                          <w:tag w:val="nr_bc82c9ae6d3b496c8b4cb593fecbb422"/>
                          <w:lock w:val="sdtLocked"/>
                          <w:richText/>
                        </w:sdtPr>
                        <w:sdtContent>
                          <w:r>
                            <w:rPr>
                              <w:szCs w:val="24"/>
                              <w:lang w:eastAsia="ar-SA"/>
                            </w:rPr>
                            <w:t>19.1</w:t>
                          </w:r>
                        </w:sdtContent>
                      </w:sdt>
                      <w:r>
                        <w:rPr>
                          <w:szCs w:val="24"/>
                          <w:lang w:eastAsia="ar-SA"/>
                        </w:rPr>
                        <w:t>. Tikslingai siekia gauti, suprasti ir pritaikyti žinias apie sveikatą, galimybes ir paslaugas, kurių reikia norint priimti atsakingus, sveikatai palankius sprendimus, remdamasis objektyvių, patikimų šaltinių informacija, faktais, duomenimis (C1).</w:t>
                      </w:r>
                    </w:p>
                  </w:sdtContent>
                </w:sdt>
                <w:sdt>
                  <w:sdtPr>
                    <w:alias w:val="49 pr. 19.2 pp."/>
                    <w:tag w:val="part_047504b6855f41cdb7f97dc0ab967afa"/>
                    <w:lock w:val="sdtLocked"/>
                    <w:richText/>
                  </w:sdtPr>
                  <w:sdtContent>
                    <w:p>
                      <w:pPr>
                        <w:widowControl w:val="0"/>
                        <w:ind w:firstLine="720"/>
                        <w:jc w:val="both"/>
                        <w:rPr>
                          <w:szCs w:val="24"/>
                          <w:lang w:eastAsia="ar-SA"/>
                        </w:rPr>
                      </w:pPr>
                      <w:sdt>
                        <w:sdtPr>
                          <w:alias w:val="Numeris"/>
                          <w:tag w:val="nr_047504b6855f41cdb7f97dc0ab967afa"/>
                          <w:lock w:val="sdtLocked"/>
                          <w:richText/>
                        </w:sdtPr>
                        <w:sdtContent>
                          <w:r>
                            <w:rPr>
                              <w:szCs w:val="24"/>
                              <w:lang w:eastAsia="ar-SA"/>
                            </w:rPr>
                            <w:t>19.2</w:t>
                          </w:r>
                        </w:sdtContent>
                      </w:sdt>
                      <w:r>
                        <w:rPr>
                          <w:szCs w:val="24"/>
                          <w:lang w:eastAsia="ar-SA"/>
                        </w:rPr>
                        <w:t xml:space="preserve">. Atpažįsta ir kritiškai vertina sveikatai nepalankius aplinkos veiksnius ir reiškinius, žino kaip jų išvengti arba sumažinti jų neigiamą  poveikį sveikatai (C2).</w:t>
                      </w:r>
                    </w:p>
                  </w:sdtContent>
                </w:sdt>
                <w:sdt>
                  <w:sdtPr>
                    <w:alias w:val="49 pr. 19.3 pp."/>
                    <w:tag w:val="part_b9ce138d6aa44ffabbb8c12f8817146b"/>
                    <w:lock w:val="sdtLocked"/>
                    <w:richText/>
                  </w:sdtPr>
                  <w:sdtContent>
                    <w:p>
                      <w:pPr>
                        <w:widowControl w:val="0"/>
                        <w:ind w:firstLine="720"/>
                        <w:jc w:val="both"/>
                        <w:rPr>
                          <w:szCs w:val="24"/>
                          <w:lang w:eastAsia="ar-SA"/>
                        </w:rPr>
                      </w:pPr>
                      <w:sdt>
                        <w:sdtPr>
                          <w:alias w:val="Numeris"/>
                          <w:tag w:val="nr_b9ce138d6aa44ffabbb8c12f8817146b"/>
                          <w:lock w:val="sdtLocked"/>
                          <w:richText/>
                        </w:sdtPr>
                        <w:sdtContent>
                          <w:r>
                            <w:rPr>
                              <w:szCs w:val="24"/>
                              <w:lang w:eastAsia="ar-SA"/>
                            </w:rPr>
                            <w:t>19.3</w:t>
                          </w:r>
                        </w:sdtContent>
                      </w:sdt>
                      <w:r>
                        <w:rPr>
                          <w:szCs w:val="24"/>
                          <w:lang w:eastAsia="ar-SA"/>
                        </w:rPr>
                        <w:t xml:space="preserve">. Nagrinėja streso rūšis, jų atpažinimo kriterijus, geba paaiškinti neurofiziologinį streso išsivystymo mechanizmą, </w:t>
                      </w:r>
                      <w:r>
                        <w:rPr>
                          <w:szCs w:val="24"/>
                          <w:highlight w:val="white"/>
                          <w:lang w:eastAsia="ar-SA"/>
                        </w:rPr>
                        <w:t>atpažįsta</w:t>
                      </w:r>
                      <w:r>
                        <w:rPr>
                          <w:szCs w:val="24"/>
                          <w:lang w:eastAsia="ar-SA"/>
                        </w:rPr>
                        <w:t xml:space="preserve"> potrauminio streso sindromo ir ilgalaikio streso išsivystymo priežastis ir  požymius, analizuoja prevencijos principus ir pagalbos būdus (C3). </w:t>
                      </w:r>
                    </w:p>
                  </w:sdtContent>
                </w:sdt>
                <w:sdt>
                  <w:sdtPr>
                    <w:alias w:val="49 pr. 19.4 pp."/>
                    <w:tag w:val="part_6ab8a43b428140478650f26ce1dcd824"/>
                    <w:lock w:val="sdtLocked"/>
                    <w:richText/>
                  </w:sdtPr>
                  <w:sdtContent>
                    <w:p>
                      <w:pPr>
                        <w:widowControl w:val="0"/>
                        <w:ind w:firstLine="720"/>
                        <w:jc w:val="both"/>
                        <w:rPr>
                          <w:szCs w:val="24"/>
                          <w:lang w:eastAsia="ar-SA"/>
                        </w:rPr>
                      </w:pPr>
                      <w:sdt>
                        <w:sdtPr>
                          <w:alias w:val="Numeris"/>
                          <w:tag w:val="nr_6ab8a43b428140478650f26ce1dcd824"/>
                          <w:lock w:val="sdtLocked"/>
                          <w:richText/>
                        </w:sdtPr>
                        <w:sdtContent>
                          <w:r>
                            <w:rPr>
                              <w:szCs w:val="24"/>
                              <w:lang w:eastAsia="ar-SA"/>
                            </w:rPr>
                            <w:t>19.4</w:t>
                          </w:r>
                        </w:sdtContent>
                      </w:sdt>
                      <w:r>
                        <w:rPr>
                          <w:szCs w:val="24"/>
                          <w:lang w:eastAsia="ar-SA"/>
                        </w:rPr>
                        <w:t xml:space="preserve">. Apibūdina lėtinių neinfekcinių ligų ir sužalojimų epidemiologinę situaciją, nagrinėja  priežastis, analizuoja prevencijos galimybes, tikslingai pasirenka sveikatą saugančią ir stiprinančią </w:t>
                      </w:r>
                      <w:r>
                        <w:rPr>
                          <w:szCs w:val="24"/>
                          <w:highlight w:val="white"/>
                          <w:lang w:eastAsia="ar-SA"/>
                        </w:rPr>
                        <w:t>gyvenseną</w:t>
                      </w:r>
                      <w:r>
                        <w:rPr>
                          <w:szCs w:val="24"/>
                          <w:lang w:eastAsia="ar-SA"/>
                        </w:rPr>
                        <w:t xml:space="preserve"> (C4).</w:t>
                      </w:r>
                    </w:p>
                    <w:p>
                      <w:pPr>
                        <w:widowControl w:val="0"/>
                        <w:ind w:firstLine="720"/>
                        <w:jc w:val="both"/>
                        <w:rPr>
                          <w:szCs w:val="24"/>
                          <w:lang w:eastAsia="ar-SA"/>
                        </w:rPr>
                      </w:pPr>
                    </w:p>
                  </w:sdtContent>
                </w:sdt>
              </w:sdtContent>
            </w:sdt>
          </w:sdtContent>
        </w:sdt>
        <w:sdt>
          <w:sdtPr>
            <w:alias w:val="skirsnis"/>
            <w:tag w:val="part_51d437ccfb1341588029105281b3e82a"/>
            <w:lock w:val="sdtLocked"/>
            <w:richText/>
          </w:sdtPr>
          <w:sdtContent>
            <w:p>
              <w:pPr>
                <w:suppressAutoHyphens/>
                <w:jc w:val="center"/>
                <w:rPr>
                  <w:b/>
                  <w:szCs w:val="24"/>
                  <w:lang w:eastAsia="ar-SA"/>
                </w:rPr>
              </w:pPr>
              <w:sdt>
                <w:sdtPr>
                  <w:alias w:val="Pavadinimas"/>
                  <w:tag w:val="title_51d437ccfb1341588029105281b3e82a"/>
                  <w:lock w:val="sdtLocked"/>
                  <w:richText/>
                </w:sdtPr>
                <w:sdtContent>
                  <w:r>
                    <w:rPr>
                      <w:b/>
                      <w:szCs w:val="24"/>
                      <w:lang w:eastAsia="ar-SA"/>
                    </w:rPr>
                    <w:t>V SKYRIUS</w:t>
                    <w:br/>
                    <w:t>MOKYMO(SI) TURINYS</w:t>
                  </w:r>
                </w:sdtContent>
              </w:sdt>
            </w:p>
            <w:p>
              <w:pPr>
                <w:suppressAutoHyphens/>
                <w:jc w:val="center"/>
                <w:rPr>
                  <w:b/>
                  <w:szCs w:val="24"/>
                  <w:lang w:eastAsia="ar-SA"/>
                </w:rPr>
              </w:pPr>
            </w:p>
            <w:sdt>
              <w:sdtPr>
                <w:alias w:val="49 pr. 20 p."/>
                <w:tag w:val="part_121b8db1c2a7464ea2447950fb7e5ed0"/>
                <w:lock w:val="sdtLocked"/>
                <w:richText/>
              </w:sdtPr>
              <w:sdtContent>
                <w:p>
                  <w:pPr>
                    <w:suppressAutoHyphens/>
                    <w:ind w:firstLine="744"/>
                    <w:rPr>
                      <w:szCs w:val="24"/>
                      <w:lang w:eastAsia="ar-SA"/>
                    </w:rPr>
                  </w:pPr>
                  <w:sdt>
                    <w:sdtPr>
                      <w:alias w:val="Numeris"/>
                      <w:tag w:val="nr_121b8db1c2a7464ea2447950fb7e5ed0"/>
                      <w:lock w:val="sdtLocked"/>
                      <w:richText/>
                    </w:sdtPr>
                    <w:sdtContent>
                      <w:r>
                        <w:rPr>
                          <w:szCs w:val="24"/>
                          <w:lang w:eastAsia="ar-SA"/>
                        </w:rPr>
                        <w:t>20</w:t>
                      </w:r>
                    </w:sdtContent>
                  </w:sdt>
                  <w:r>
                    <w:rPr>
                      <w:szCs w:val="24"/>
                      <w:lang w:eastAsia="ar-SA"/>
                    </w:rPr>
                    <w:t>. Mokymosi turinys. III gimnazijos klasė:</w:t>
                  </w:r>
                </w:p>
                <w:sdt>
                  <w:sdtPr>
                    <w:alias w:val="49 pr. 20.1 pp."/>
                    <w:tag w:val="part_a1899c71835347c8b89ee60747892d62"/>
                    <w:lock w:val="sdtLocked"/>
                    <w:richText/>
                  </w:sdtPr>
                  <w:sdtContent>
                    <w:p>
                      <w:pPr>
                        <w:widowControl w:val="0"/>
                        <w:ind w:firstLine="720"/>
                        <w:jc w:val="both"/>
                        <w:rPr>
                          <w:szCs w:val="24"/>
                          <w:lang w:eastAsia="ar-SA"/>
                        </w:rPr>
                      </w:pPr>
                      <w:sdt>
                        <w:sdtPr>
                          <w:alias w:val="Numeris"/>
                          <w:tag w:val="nr_a1899c71835347c8b89ee60747892d62"/>
                          <w:lock w:val="sdtLocked"/>
                          <w:richText/>
                        </w:sdtPr>
                        <w:sdtContent>
                          <w:r>
                            <w:rPr>
                              <w:szCs w:val="24"/>
                              <w:lang w:eastAsia="ar-SA"/>
                            </w:rPr>
                            <w:t>20.1</w:t>
                          </w:r>
                        </w:sdtContent>
                      </w:sdt>
                      <w:r>
                        <w:rPr>
                          <w:szCs w:val="24"/>
                          <w:lang w:eastAsia="ar-SA"/>
                        </w:rPr>
                        <w:t>. Įvadas į Sveikatos ugdymo programą. Visuminė sveikatos samprata, žmogaus sveikatos būklę lemiantys veiksniai:</w:t>
                      </w:r>
                    </w:p>
                    <w:sdt>
                      <w:sdtPr>
                        <w:alias w:val="49 pr. 20.1.1 pp."/>
                        <w:tag w:val="part_cccc3fa756354147b356424f64a503fa"/>
                        <w:lock w:val="sdtLocked"/>
                        <w:richText/>
                      </w:sdtPr>
                      <w:sdtContent>
                        <w:p>
                          <w:pPr>
                            <w:widowControl w:val="0"/>
                            <w:ind w:firstLine="720"/>
                            <w:jc w:val="both"/>
                            <w:rPr>
                              <w:szCs w:val="24"/>
                              <w:lang w:eastAsia="ar-SA"/>
                            </w:rPr>
                          </w:pPr>
                          <w:sdt>
                            <w:sdtPr>
                              <w:alias w:val="Numeris"/>
                              <w:tag w:val="nr_cccc3fa756354147b356424f64a503fa"/>
                              <w:lock w:val="sdtLocked"/>
                              <w:richText/>
                            </w:sdtPr>
                            <w:sdtContent>
                              <w:r>
                                <w:rPr>
                                  <w:szCs w:val="24"/>
                                  <w:lang w:eastAsia="ar-SA"/>
                                </w:rPr>
                                <w:t>20.1.1</w:t>
                              </w:r>
                            </w:sdtContent>
                          </w:sdt>
                          <w:r>
                            <w:rPr>
                              <w:szCs w:val="24"/>
                              <w:lang w:eastAsia="ar-SA"/>
                            </w:rPr>
                            <w:t>. Aiškinamasi visuminė sveikatos samprata, jos komponentai, veiksniai, darantys įtaką sveikatai.</w:t>
                          </w:r>
                        </w:p>
                      </w:sdtContent>
                    </w:sdt>
                    <w:sdt>
                      <w:sdtPr>
                        <w:alias w:val="49 pr. 20.1.2 pp."/>
                        <w:tag w:val="part_1eac88c99d0d492a8e8916a81d40376d"/>
                        <w:lock w:val="sdtLocked"/>
                        <w:richText/>
                      </w:sdtPr>
                      <w:sdtContent>
                        <w:p>
                          <w:pPr>
                            <w:widowControl w:val="0"/>
                            <w:ind w:firstLine="720"/>
                            <w:jc w:val="both"/>
                            <w:rPr>
                              <w:szCs w:val="24"/>
                              <w:lang w:eastAsia="ar-SA"/>
                            </w:rPr>
                          </w:pPr>
                          <w:sdt>
                            <w:sdtPr>
                              <w:alias w:val="Numeris"/>
                              <w:tag w:val="nr_1eac88c99d0d492a8e8916a81d40376d"/>
                              <w:lock w:val="sdtLocked"/>
                              <w:richText/>
                            </w:sdtPr>
                            <w:sdtContent>
                              <w:r>
                                <w:rPr>
                                  <w:szCs w:val="24"/>
                                  <w:lang w:eastAsia="ar-SA"/>
                                </w:rPr>
                                <w:t>20.1.2</w:t>
                              </w:r>
                            </w:sdtContent>
                          </w:sdt>
                          <w:r>
                            <w:rPr>
                              <w:szCs w:val="24"/>
                              <w:lang w:eastAsia="ar-SA"/>
                            </w:rPr>
                            <w:t>. Aiškinamasi sveikatos raštingumo svarba ir tyrinėjamas jo poveikį asmeninei ir visuomenės sveikatos kokybei.</w:t>
                          </w:r>
                        </w:p>
                      </w:sdtContent>
                    </w:sdt>
                    <w:sdt>
                      <w:sdtPr>
                        <w:alias w:val="49 pr. 20.1.3 pp."/>
                        <w:tag w:val="part_6924ddf0f6cc42589b11a1a34415e433"/>
                        <w:lock w:val="sdtLocked"/>
                        <w:richText/>
                      </w:sdtPr>
                      <w:sdtContent>
                        <w:p>
                          <w:pPr>
                            <w:widowControl w:val="0"/>
                            <w:ind w:firstLine="720"/>
                            <w:jc w:val="both"/>
                            <w:rPr>
                              <w:szCs w:val="24"/>
                              <w:lang w:eastAsia="ar-SA"/>
                            </w:rPr>
                          </w:pPr>
                          <w:sdt>
                            <w:sdtPr>
                              <w:alias w:val="Numeris"/>
                              <w:tag w:val="nr_6924ddf0f6cc42589b11a1a34415e433"/>
                              <w:lock w:val="sdtLocked"/>
                              <w:richText/>
                            </w:sdtPr>
                            <w:sdtContent>
                              <w:r>
                                <w:rPr>
                                  <w:szCs w:val="24"/>
                                  <w:lang w:eastAsia="ar-SA"/>
                                </w:rPr>
                                <w:t>20.1.3</w:t>
                              </w:r>
                            </w:sdtContent>
                          </w:sdt>
                          <w:r>
                            <w:rPr>
                              <w:szCs w:val="24"/>
                              <w:lang w:eastAsia="ar-SA"/>
                            </w:rPr>
                            <w:t>. Pagrindžiami sveikatos, kaip asmeninės vertybės, kriterijai.</w:t>
                          </w:r>
                        </w:p>
                      </w:sdtContent>
                    </w:sdt>
                  </w:sdtContent>
                </w:sdt>
                <w:sdt>
                  <w:sdtPr>
                    <w:alias w:val="49 pr. 21.1 pp."/>
                    <w:tag w:val="part_af9753cf8dfe4463825dbac16b20f1f6"/>
                    <w:lock w:val="sdtLocked"/>
                    <w:richText/>
                  </w:sdtPr>
                  <w:sdtContent>
                    <w:p>
                      <w:pPr>
                        <w:widowControl w:val="0"/>
                        <w:ind w:firstLine="720"/>
                        <w:jc w:val="both"/>
                        <w:rPr>
                          <w:szCs w:val="24"/>
                          <w:lang w:eastAsia="ar-SA"/>
                        </w:rPr>
                      </w:pPr>
                      <w:sdt>
                        <w:sdtPr>
                          <w:alias w:val="Numeris"/>
                          <w:tag w:val="nr_af9753cf8dfe4463825dbac16b20f1f6"/>
                          <w:lock w:val="sdtLocked"/>
                          <w:richText/>
                        </w:sdtPr>
                        <w:sdtContent>
                          <w:r>
                            <w:rPr>
                              <w:szCs w:val="24"/>
                              <w:lang w:eastAsia="ar-SA"/>
                            </w:rPr>
                            <w:t>21.1</w:t>
                          </w:r>
                        </w:sdtContent>
                      </w:sdt>
                      <w:r>
                        <w:rPr>
                          <w:szCs w:val="24"/>
                          <w:lang w:eastAsia="ar-SA"/>
                        </w:rPr>
                        <w:t>. Savęs kaip visuminio asmens ir savo sveikatos veiksnių pažinimas (fizinė sveikata, psichinė</w:t>
                      </w:r>
                      <w:r>
                        <w:rPr>
                          <w:color w:val="0000FF"/>
                          <w:szCs w:val="24"/>
                          <w:lang w:eastAsia="ar-SA"/>
                        </w:rPr>
                        <w:t xml:space="preserve">, </w:t>
                      </w:r>
                      <w:r>
                        <w:rPr>
                          <w:szCs w:val="24"/>
                          <w:lang w:eastAsia="ar-SA"/>
                        </w:rPr>
                        <w:t xml:space="preserve">dvasinė </w:t>
                      </w:r>
                      <w:r>
                        <w:rPr>
                          <w:szCs w:val="24"/>
                          <w:highlight w:val="white"/>
                          <w:lang w:eastAsia="ar-SA"/>
                        </w:rPr>
                        <w:t>ir socialinė</w:t>
                      </w:r>
                      <w:r>
                        <w:rPr>
                          <w:color w:val="0000FF"/>
                          <w:szCs w:val="24"/>
                          <w:lang w:eastAsia="ar-SA"/>
                        </w:rPr>
                        <w:t xml:space="preserve"> </w:t>
                      </w:r>
                      <w:r>
                        <w:rPr>
                          <w:szCs w:val="24"/>
                          <w:lang w:eastAsia="ar-SA"/>
                        </w:rPr>
                        <w:t xml:space="preserve">sveikata): </w:t>
                      </w:r>
                    </w:p>
                    <w:sdt>
                      <w:sdtPr>
                        <w:alias w:val="49 pr. 21.1.1 pp."/>
                        <w:tag w:val="part_c070b7fe91bd4fdd9d04e0423a3a68cb"/>
                        <w:lock w:val="sdtLocked"/>
                        <w:richText/>
                      </w:sdtPr>
                      <w:sdtContent>
                        <w:p>
                          <w:pPr>
                            <w:widowControl w:val="0"/>
                            <w:ind w:firstLine="720"/>
                            <w:jc w:val="both"/>
                            <w:rPr>
                              <w:szCs w:val="24"/>
                              <w:lang w:eastAsia="ar-SA"/>
                            </w:rPr>
                          </w:pPr>
                          <w:sdt>
                            <w:sdtPr>
                              <w:alias w:val="Numeris"/>
                              <w:tag w:val="nr_c070b7fe91bd4fdd9d04e0423a3a68cb"/>
                              <w:lock w:val="sdtLocked"/>
                              <w:richText/>
                            </w:sdtPr>
                            <w:sdtContent>
                              <w:r>
                                <w:rPr>
                                  <w:szCs w:val="24"/>
                                  <w:lang w:eastAsia="ar-SA"/>
                                </w:rPr>
                                <w:t>21.1.1</w:t>
                              </w:r>
                            </w:sdtContent>
                          </w:sdt>
                          <w:r>
                            <w:rPr>
                              <w:szCs w:val="24"/>
                              <w:lang w:eastAsia="ar-SA"/>
                            </w:rPr>
                            <w:t xml:space="preserve">. Stengiamasi suvokti ir priimti save kaip visuminį asmenį, kurio kūnas, jausmai emocijos ir mintys sudaro nedalomą visumą ir kuris yra atsakingas už savo  sveikatos būklę.</w:t>
                          </w:r>
                        </w:p>
                      </w:sdtContent>
                    </w:sdt>
                    <w:sdt>
                      <w:sdtPr>
                        <w:alias w:val="49 pr. 21.1.2 pp."/>
                        <w:tag w:val="part_4bd4bc5d3e1846659af9cce63a895f75"/>
                        <w:lock w:val="sdtLocked"/>
                        <w:richText/>
                      </w:sdtPr>
                      <w:sdtContent>
                        <w:p>
                          <w:pPr>
                            <w:widowControl w:val="0"/>
                            <w:ind w:firstLine="720"/>
                            <w:jc w:val="both"/>
                            <w:rPr>
                              <w:szCs w:val="24"/>
                              <w:lang w:eastAsia="ar-SA"/>
                            </w:rPr>
                          </w:pPr>
                          <w:sdt>
                            <w:sdtPr>
                              <w:alias w:val="Numeris"/>
                              <w:tag w:val="nr_4bd4bc5d3e1846659af9cce63a895f75"/>
                              <w:lock w:val="sdtLocked"/>
                              <w:richText/>
                            </w:sdtPr>
                            <w:sdtContent>
                              <w:r>
                                <w:rPr>
                                  <w:szCs w:val="24"/>
                                  <w:lang w:eastAsia="ar-SA"/>
                                </w:rPr>
                                <w:t>21.1.2</w:t>
                              </w:r>
                            </w:sdtContent>
                          </w:sdt>
                          <w:r>
                            <w:rPr>
                              <w:szCs w:val="24"/>
                              <w:lang w:eastAsia="ar-SA"/>
                            </w:rPr>
                            <w:t>. Nagrinėjamas minčių, emocijų, dvasinio tobulėjimo ryšys su asmens sveikata.</w:t>
                          </w:r>
                        </w:p>
                      </w:sdtContent>
                    </w:sdt>
                    <w:sdt>
                      <w:sdtPr>
                        <w:alias w:val="49 pr. 21.1.3 pp."/>
                        <w:tag w:val="part_dc013cd7eb3440f1b8f31ac9ee81aced"/>
                        <w:lock w:val="sdtLocked"/>
                        <w:richText/>
                      </w:sdtPr>
                      <w:sdtContent>
                        <w:p>
                          <w:pPr>
                            <w:widowControl w:val="0"/>
                            <w:ind w:firstLine="720"/>
                            <w:jc w:val="both"/>
                            <w:rPr>
                              <w:szCs w:val="24"/>
                              <w:lang w:eastAsia="ar-SA"/>
                            </w:rPr>
                          </w:pPr>
                          <w:sdt>
                            <w:sdtPr>
                              <w:alias w:val="Numeris"/>
                              <w:tag w:val="nr_dc013cd7eb3440f1b8f31ac9ee81aced"/>
                              <w:lock w:val="sdtLocked"/>
                              <w:richText/>
                            </w:sdtPr>
                            <w:sdtContent>
                              <w:r>
                                <w:rPr>
                                  <w:szCs w:val="24"/>
                                  <w:lang w:eastAsia="ar-SA"/>
                                </w:rPr>
                                <w:t>21.1.3</w:t>
                              </w:r>
                            </w:sdtContent>
                          </w:sdt>
                          <w:r>
                            <w:rPr>
                              <w:szCs w:val="24"/>
                              <w:lang w:eastAsia="ar-SA"/>
                            </w:rPr>
                            <w:t>. Nagrinėjami neurohormoninės organizmo veiklos reguliacijos mode</w:t>
                          </w:r>
                          <w:r>
                            <w:rPr>
                              <w:szCs w:val="24"/>
                              <w:highlight w:val="white"/>
                              <w:lang w:eastAsia="ar-SA"/>
                            </w:rPr>
                            <w:t xml:space="preserve">liai, (pagumburio hipofizės kiaušidžių/sėklidžių bei pagumburio hipofizės antinksčių), kaip palaikantys </w:t>
                          </w:r>
                          <w:r>
                            <w:rPr>
                              <w:szCs w:val="24"/>
                              <w:lang w:eastAsia="ar-SA"/>
                            </w:rPr>
                            <w:t>nuolatinę komunikaciją tarp smegenų ir vidaus organų, produkuojančių hormonus, fiziologinius ciklinius organizmo procesus, analizuojama smegenyse išskiriamų gonadotropinių ir vidaus organų išskiriamų hormonų sąveika, jų įtaka darniam organizmo funkcionavimui bei sąsajos su fizine ir psichine sveikata, laisvu informuoto asmens</w:t>
                          </w:r>
                          <w:r>
                            <w:rPr>
                              <w:color w:val="0000FF"/>
                              <w:szCs w:val="24"/>
                              <w:lang w:eastAsia="ar-SA"/>
                            </w:rPr>
                            <w:t xml:space="preserve"> </w:t>
                          </w:r>
                          <w:r>
                            <w:rPr>
                              <w:szCs w:val="24"/>
                              <w:lang w:eastAsia="ar-SA"/>
                            </w:rPr>
                            <w:t xml:space="preserve">pasirinkimu. </w:t>
                          </w:r>
                        </w:p>
                      </w:sdtContent>
                    </w:sdt>
                    <w:sdt>
                      <w:sdtPr>
                        <w:alias w:val="49 pr. 21.1.4 pp."/>
                        <w:tag w:val="part_d2f27852a1b64f47940af5f807edbc1e"/>
                        <w:lock w:val="sdtLocked"/>
                        <w:richText/>
                      </w:sdtPr>
                      <w:sdtContent>
                        <w:p>
                          <w:pPr>
                            <w:widowControl w:val="0"/>
                            <w:ind w:firstLine="720"/>
                            <w:jc w:val="both"/>
                            <w:rPr>
                              <w:szCs w:val="24"/>
                              <w:lang w:eastAsia="ar-SA"/>
                            </w:rPr>
                          </w:pPr>
                          <w:sdt>
                            <w:sdtPr>
                              <w:alias w:val="Numeris"/>
                              <w:tag w:val="nr_d2f27852a1b64f47940af5f807edbc1e"/>
                              <w:lock w:val="sdtLocked"/>
                              <w:richText/>
                            </w:sdtPr>
                            <w:sdtContent>
                              <w:r>
                                <w:rPr>
                                  <w:szCs w:val="24"/>
                                  <w:lang w:eastAsia="ar-SA"/>
                                </w:rPr>
                                <w:t>21.1.4</w:t>
                              </w:r>
                            </w:sdtContent>
                          </w:sdt>
                          <w:r>
                            <w:rPr>
                              <w:szCs w:val="24"/>
                              <w:lang w:eastAsia="ar-SA"/>
                            </w:rPr>
                            <w:t xml:space="preserve">. Aptariama miego kokybės, subalansuotos mitybos, fizinio aktyvumo svarba  asmens sveikatai </w:t>
                          </w:r>
                        </w:p>
                      </w:sdtContent>
                    </w:sdt>
                  </w:sdtContent>
                </w:sdt>
                <w:sdt>
                  <w:sdtPr>
                    <w:alias w:val="49 pr. 21.2 pp."/>
                    <w:tag w:val="part_0abe06bfbe0645f69f0a6aa267bee8ee"/>
                    <w:lock w:val="sdtLocked"/>
                    <w:richText/>
                  </w:sdtPr>
                  <w:sdtContent>
                    <w:p>
                      <w:pPr>
                        <w:widowControl w:val="0"/>
                        <w:ind w:firstLine="720"/>
                        <w:jc w:val="both"/>
                        <w:rPr>
                          <w:szCs w:val="24"/>
                          <w:lang w:eastAsia="ar-SA"/>
                        </w:rPr>
                      </w:pPr>
                      <w:sdt>
                        <w:sdtPr>
                          <w:alias w:val="Numeris"/>
                          <w:tag w:val="nr_0abe06bfbe0645f69f0a6aa267bee8ee"/>
                          <w:lock w:val="sdtLocked"/>
                          <w:richText/>
                        </w:sdtPr>
                        <w:sdtContent>
                          <w:r>
                            <w:rPr>
                              <w:szCs w:val="24"/>
                              <w:lang w:eastAsia="ar-SA"/>
                            </w:rPr>
                            <w:t>21.2</w:t>
                          </w:r>
                        </w:sdtContent>
                      </w:sdt>
                      <w:r>
                        <w:rPr>
                          <w:szCs w:val="24"/>
                          <w:lang w:eastAsia="ar-SA"/>
                        </w:rPr>
                        <w:t>.</w:t>
                      </w:r>
                      <w:r>
                        <w:rPr>
                          <w:b/>
                          <w:szCs w:val="24"/>
                          <w:lang w:eastAsia="ar-SA"/>
                        </w:rPr>
                        <w:t> </w:t>
                      </w:r>
                      <w:r>
                        <w:rPr>
                          <w:szCs w:val="24"/>
                          <w:lang w:eastAsia="ar-SA"/>
                        </w:rPr>
                        <w:t>Žmogaus gyvenimo pradžios (prenatalinės ir postnatalinės fazės) vaidmens asmens sveikatos raidai supratimas:</w:t>
                      </w:r>
                    </w:p>
                    <w:sdt>
                      <w:sdtPr>
                        <w:alias w:val="49 pr. 21.2.1 pp."/>
                        <w:tag w:val="part_ca6222e1a9f141629d03917970725e9c"/>
                        <w:lock w:val="sdtLocked"/>
                        <w:richText/>
                      </w:sdtPr>
                      <w:sdtContent>
                        <w:p>
                          <w:pPr>
                            <w:widowControl w:val="0"/>
                            <w:ind w:firstLine="720"/>
                            <w:jc w:val="both"/>
                            <w:rPr>
                              <w:szCs w:val="24"/>
                              <w:lang w:eastAsia="ar-SA"/>
                            </w:rPr>
                          </w:pPr>
                          <w:sdt>
                            <w:sdtPr>
                              <w:alias w:val="Numeris"/>
                              <w:tag w:val="nr_ca6222e1a9f141629d03917970725e9c"/>
                              <w:lock w:val="sdtLocked"/>
                              <w:richText/>
                            </w:sdtPr>
                            <w:sdtContent>
                              <w:r>
                                <w:rPr>
                                  <w:szCs w:val="24"/>
                                  <w:lang w:eastAsia="ar-SA"/>
                                </w:rPr>
                                <w:t>21.2.1</w:t>
                              </w:r>
                            </w:sdtContent>
                          </w:sdt>
                          <w:r>
                            <w:rPr>
                              <w:szCs w:val="24"/>
                              <w:lang w:eastAsia="ar-SA"/>
                            </w:rPr>
                            <w:t>. Nagrinėjami žmogaus gyvybės pradžios veiksniai: sveikos žmogaus dauginimosi sistemos, vaisingumo pažinimo laisvo apsisprendimo tėvystei ir motinystei poveikį sveikos gyvenimo pradžios užtikrinimui.</w:t>
                          </w:r>
                        </w:p>
                      </w:sdtContent>
                    </w:sdt>
                    <w:sdt>
                      <w:sdtPr>
                        <w:alias w:val="49 pr. 21.2.2 pp."/>
                        <w:tag w:val="part_7f1916b7cfe8447d818cbddb30cf5a21"/>
                        <w:lock w:val="sdtLocked"/>
                        <w:richText/>
                      </w:sdtPr>
                      <w:sdtContent>
                        <w:p>
                          <w:pPr>
                            <w:widowControl w:val="0"/>
                            <w:ind w:firstLine="720"/>
                            <w:jc w:val="both"/>
                            <w:rPr>
                              <w:szCs w:val="24"/>
                              <w:lang w:eastAsia="ar-SA"/>
                            </w:rPr>
                          </w:pPr>
                          <w:sdt>
                            <w:sdtPr>
                              <w:alias w:val="Numeris"/>
                              <w:tag w:val="nr_7f1916b7cfe8447d818cbddb30cf5a21"/>
                              <w:lock w:val="sdtLocked"/>
                              <w:richText/>
                            </w:sdtPr>
                            <w:sdtContent>
                              <w:r>
                                <w:rPr>
                                  <w:szCs w:val="24"/>
                                  <w:lang w:eastAsia="ar-SA"/>
                                </w:rPr>
                                <w:t>21.2.2</w:t>
                              </w:r>
                            </w:sdtContent>
                          </w:sdt>
                          <w:r>
                            <w:rPr>
                              <w:szCs w:val="24"/>
                              <w:lang w:eastAsia="ar-SA"/>
                            </w:rPr>
                            <w:t xml:space="preserve">. Analizuojamos nevaisingumo priežastys bei nurodomos būtinas sąlygos vaisingumo išsaugojimui. </w:t>
                          </w:r>
                        </w:p>
                      </w:sdtContent>
                    </w:sdt>
                    <w:sdt>
                      <w:sdtPr>
                        <w:alias w:val="49 pr. 21.2.3 pp."/>
                        <w:tag w:val="part_26c572d3f31b4ea69f91e440a1c2a90f"/>
                        <w:lock w:val="sdtLocked"/>
                        <w:richText/>
                      </w:sdtPr>
                      <w:sdtContent>
                        <w:p>
                          <w:pPr>
                            <w:widowControl w:val="0"/>
                            <w:ind w:firstLine="720"/>
                            <w:jc w:val="both"/>
                            <w:rPr>
                              <w:szCs w:val="24"/>
                              <w:highlight w:val="white"/>
                              <w:lang w:eastAsia="ar-SA"/>
                            </w:rPr>
                          </w:pPr>
                          <w:sdt>
                            <w:sdtPr>
                              <w:alias w:val="Numeris"/>
                              <w:tag w:val="nr_26c572d3f31b4ea69f91e440a1c2a90f"/>
                              <w:lock w:val="sdtLocked"/>
                              <w:richText/>
                            </w:sdtPr>
                            <w:sdtContent>
                              <w:r>
                                <w:rPr>
                                  <w:szCs w:val="24"/>
                                  <w:lang w:eastAsia="ar-SA"/>
                                </w:rPr>
                                <w:t>2</w:t>
                              </w:r>
                              <w:r>
                                <w:rPr>
                                  <w:szCs w:val="24"/>
                                  <w:highlight w:val="white"/>
                                  <w:lang w:eastAsia="ar-SA"/>
                                </w:rPr>
                                <w:t>1.2.3</w:t>
                              </w:r>
                            </w:sdtContent>
                          </w:sdt>
                          <w:r>
                            <w:rPr>
                              <w:szCs w:val="24"/>
                              <w:highlight w:val="white"/>
                              <w:lang w:eastAsia="ar-SA"/>
                            </w:rPr>
                            <w:t xml:space="preserve">. Atskleidžiamas hormoninės kontracepcijos veikimo mechanizmas, jo poveikis neurohormoninės dauginimosi sistemos reguliacijai, kitoms organizmo sistemoms, psichinei bei socialinei sveikatai. Susiejamos naujai įgytos žinios su laisvu ir informuotu asmens pasirinkimu. </w:t>
                          </w:r>
                        </w:p>
                      </w:sdtContent>
                    </w:sdt>
                    <w:sdt>
                      <w:sdtPr>
                        <w:alias w:val="49 pr. 21.2.4 pp."/>
                        <w:tag w:val="part_9f9013fd38034621b5d627c00b8d82ee"/>
                        <w:lock w:val="sdtLocked"/>
                        <w:richText/>
                      </w:sdtPr>
                      <w:sdtContent>
                        <w:p>
                          <w:pPr>
                            <w:widowControl w:val="0"/>
                            <w:ind w:firstLine="720"/>
                            <w:jc w:val="both"/>
                            <w:rPr>
                              <w:szCs w:val="24"/>
                              <w:highlight w:val="white"/>
                              <w:lang w:eastAsia="ar-SA"/>
                            </w:rPr>
                          </w:pPr>
                          <w:sdt>
                            <w:sdtPr>
                              <w:alias w:val="Numeris"/>
                              <w:tag w:val="nr_9f9013fd38034621b5d627c00b8d82ee"/>
                              <w:lock w:val="sdtLocked"/>
                              <w:richText/>
                            </w:sdtPr>
                            <w:sdtContent>
                              <w:r>
                                <w:rPr>
                                  <w:szCs w:val="24"/>
                                  <w:highlight w:val="white"/>
                                  <w:lang w:eastAsia="ar-SA"/>
                                </w:rPr>
                                <w:t>21.2.4</w:t>
                              </w:r>
                            </w:sdtContent>
                          </w:sdt>
                          <w:r>
                            <w:rPr>
                              <w:szCs w:val="24"/>
                              <w:highlight w:val="white"/>
                              <w:lang w:eastAsia="ar-SA"/>
                            </w:rPr>
                            <w:t>. Nagrinėjamas besilaukiančios motinos ir vaiko prenatalinėje fazėje ryšio vaidmuo asmens sveikatai.</w:t>
                          </w:r>
                          <w:r>
                            <w:rPr>
                              <w:sz w:val="14"/>
                              <w:szCs w:val="14"/>
                              <w:highlight w:val="white"/>
                              <w:lang w:eastAsia="ar-SA"/>
                            </w:rPr>
                            <w:t xml:space="preserve"> </w:t>
                          </w:r>
                          <w:r>
                            <w:rPr>
                              <w:szCs w:val="24"/>
                              <w:highlight w:val="white"/>
                              <w:lang w:eastAsia="ar-SA"/>
                            </w:rPr>
                            <w:t>Aptariama nėštumo, kaip sąmoningo kūdikio laukimo periodo svarba. Analizuojami nepilnamečių nėštumų</w:t>
                          </w:r>
                          <w:r>
                            <w:rPr>
                              <w:color w:val="0000FF"/>
                              <w:szCs w:val="24"/>
                              <w:highlight w:val="white"/>
                              <w:lang w:eastAsia="ar-SA"/>
                            </w:rPr>
                            <w:t xml:space="preserve"> </w:t>
                          </w:r>
                          <w:r>
                            <w:rPr>
                              <w:szCs w:val="24"/>
                              <w:highlight w:val="white"/>
                              <w:lang w:eastAsia="ar-SA"/>
                            </w:rPr>
                            <w:t xml:space="preserve">ir kiti  krizinio nėštumo  atvejai. </w:t>
                          </w:r>
                        </w:p>
                      </w:sdtContent>
                    </w:sdt>
                    <w:sdt>
                      <w:sdtPr>
                        <w:alias w:val="49 pr. 21.2.5 pp."/>
                        <w:tag w:val="part_dcf6a8c08a4649e381951fa09cb82e22"/>
                        <w:lock w:val="sdtLocked"/>
                        <w:richText/>
                      </w:sdtPr>
                      <w:sdtContent>
                        <w:p>
                          <w:pPr>
                            <w:widowControl w:val="0"/>
                            <w:ind w:firstLine="720"/>
                            <w:jc w:val="both"/>
                            <w:rPr>
                              <w:szCs w:val="24"/>
                              <w:lang w:eastAsia="ar-SA"/>
                            </w:rPr>
                          </w:pPr>
                          <w:sdt>
                            <w:sdtPr>
                              <w:alias w:val="Numeris"/>
                              <w:tag w:val="nr_dcf6a8c08a4649e381951fa09cb82e22"/>
                              <w:lock w:val="sdtLocked"/>
                              <w:richText/>
                            </w:sdtPr>
                            <w:sdtContent>
                              <w:r>
                                <w:rPr>
                                  <w:szCs w:val="24"/>
                                  <w:lang w:eastAsia="ar-SA"/>
                                </w:rPr>
                                <w:t>21.2.5</w:t>
                              </w:r>
                            </w:sdtContent>
                          </w:sdt>
                          <w:r>
                            <w:rPr>
                              <w:szCs w:val="24"/>
                              <w:lang w:eastAsia="ar-SA"/>
                            </w:rPr>
                            <w:t>. Apibūdinami baziniai fiziologiniai naujagimio ir kūdikio poreikiai, jų tenkinimo svarba, saugaus ir nesaugaus prieraišumo išsivystymo poveikis žmogaus sveikatos raidai.</w:t>
                          </w:r>
                        </w:p>
                      </w:sdtContent>
                    </w:sdt>
                  </w:sdtContent>
                </w:sdt>
                <w:sdt>
                  <w:sdtPr>
                    <w:alias w:val="49 pr. 21.3 pp."/>
                    <w:tag w:val="part_3f27e95d275743c8bcc21feb7598c6b6"/>
                    <w:lock w:val="sdtLocked"/>
                    <w:richText/>
                  </w:sdtPr>
                  <w:sdtContent>
                    <w:p>
                      <w:pPr>
                        <w:widowControl w:val="0"/>
                        <w:ind w:firstLine="720"/>
                        <w:jc w:val="both"/>
                        <w:rPr>
                          <w:szCs w:val="24"/>
                          <w:lang w:eastAsia="ar-SA"/>
                        </w:rPr>
                      </w:pPr>
                      <w:sdt>
                        <w:sdtPr>
                          <w:alias w:val="Numeris"/>
                          <w:tag w:val="nr_3f27e95d275743c8bcc21feb7598c6b6"/>
                          <w:lock w:val="sdtLocked"/>
                          <w:richText/>
                        </w:sdtPr>
                        <w:sdtContent>
                          <w:r>
                            <w:rPr>
                              <w:szCs w:val="24"/>
                              <w:lang w:eastAsia="ar-SA"/>
                            </w:rPr>
                            <w:t>21.3</w:t>
                          </w:r>
                        </w:sdtContent>
                      </w:sdt>
                      <w:r>
                        <w:rPr>
                          <w:szCs w:val="24"/>
                          <w:lang w:eastAsia="ar-SA"/>
                        </w:rPr>
                        <w:t>. Draugystės ir meilės visuminės prasmės supratimas asmens sveikatos išsaugojimui ir darnių santykių kūrimui:</w:t>
                      </w:r>
                    </w:p>
                    <w:sdt>
                      <w:sdtPr>
                        <w:alias w:val="49 pr. 21.3.1 pp."/>
                        <w:tag w:val="part_9525964d5a754a19aa7353d90bf7b218"/>
                        <w:lock w:val="sdtLocked"/>
                        <w:richText/>
                      </w:sdtPr>
                      <w:sdtContent>
                        <w:p>
                          <w:pPr>
                            <w:widowControl w:val="0"/>
                            <w:ind w:firstLine="720"/>
                            <w:jc w:val="both"/>
                            <w:rPr>
                              <w:szCs w:val="24"/>
                              <w:lang w:eastAsia="ar-SA"/>
                            </w:rPr>
                          </w:pPr>
                          <w:sdt>
                            <w:sdtPr>
                              <w:alias w:val="Numeris"/>
                              <w:tag w:val="nr_9525964d5a754a19aa7353d90bf7b218"/>
                              <w:lock w:val="sdtLocked"/>
                              <w:richText/>
                            </w:sdtPr>
                            <w:sdtContent>
                              <w:r>
                                <w:rPr>
                                  <w:szCs w:val="24"/>
                                  <w:lang w:eastAsia="ar-SA"/>
                                </w:rPr>
                                <w:t>21.3.1</w:t>
                              </w:r>
                            </w:sdtContent>
                          </w:sdt>
                          <w:r>
                            <w:rPr>
                              <w:szCs w:val="24"/>
                              <w:lang w:eastAsia="ar-SA"/>
                            </w:rPr>
                            <w:t xml:space="preserve">. Nagrinėjamos </w:t>
                          </w:r>
                          <w:r>
                            <w:rPr>
                              <w:sz w:val="12"/>
                              <w:szCs w:val="12"/>
                              <w:lang w:eastAsia="ar-SA"/>
                            </w:rPr>
                            <w:t xml:space="preserve"> </w:t>
                          </w:r>
                          <w:r>
                            <w:rPr>
                              <w:szCs w:val="24"/>
                              <w:lang w:eastAsia="ar-SA"/>
                            </w:rPr>
                            <w:t>asmens orumo ir asmens savivertės sampratų tarpusavio sąsajos.</w:t>
                          </w:r>
                        </w:p>
                      </w:sdtContent>
                    </w:sdt>
                    <w:sdt>
                      <w:sdtPr>
                        <w:alias w:val="49 pr. 21.3.2 pp."/>
                        <w:tag w:val="part_ce138b575bfc4e9b93cd1adb2202b8f2"/>
                        <w:lock w:val="sdtLocked"/>
                        <w:richText/>
                      </w:sdtPr>
                      <w:sdtContent>
                        <w:p>
                          <w:pPr>
                            <w:widowControl w:val="0"/>
                            <w:ind w:firstLine="720"/>
                            <w:jc w:val="both"/>
                            <w:rPr>
                              <w:szCs w:val="24"/>
                              <w:lang w:eastAsia="ar-SA"/>
                            </w:rPr>
                          </w:pPr>
                          <w:sdt>
                            <w:sdtPr>
                              <w:alias w:val="Numeris"/>
                              <w:tag w:val="nr_ce138b575bfc4e9b93cd1adb2202b8f2"/>
                              <w:lock w:val="sdtLocked"/>
                              <w:richText/>
                            </w:sdtPr>
                            <w:sdtContent>
                              <w:r>
                                <w:rPr>
                                  <w:szCs w:val="24"/>
                                  <w:lang w:eastAsia="ar-SA"/>
                                </w:rPr>
                                <w:t>21.3.2</w:t>
                              </w:r>
                            </w:sdtContent>
                          </w:sdt>
                          <w:r>
                            <w:rPr>
                              <w:szCs w:val="24"/>
                              <w:lang w:eastAsia="ar-SA"/>
                            </w:rPr>
                            <w:t xml:space="preserve">. Aiškinamasi, kodėl santykyje su kitu asmeniu žmogus niekada negali būti priemone, o tik tikslu. </w:t>
                          </w:r>
                        </w:p>
                      </w:sdtContent>
                    </w:sdt>
                    <w:sdt>
                      <w:sdtPr>
                        <w:alias w:val="49 pr. 21.3.3 pp."/>
                        <w:tag w:val="part_3ce05f8866a04852968127731eb7c7e7"/>
                        <w:lock w:val="sdtLocked"/>
                        <w:richText/>
                      </w:sdtPr>
                      <w:sdtContent>
                        <w:p>
                          <w:pPr>
                            <w:widowControl w:val="0"/>
                            <w:ind w:firstLine="720"/>
                            <w:jc w:val="both"/>
                            <w:rPr>
                              <w:i/>
                              <w:szCs w:val="24"/>
                              <w:lang w:eastAsia="ar-SA"/>
                            </w:rPr>
                          </w:pPr>
                          <w:sdt>
                            <w:sdtPr>
                              <w:alias w:val="Numeris"/>
                              <w:tag w:val="nr_3ce05f8866a04852968127731eb7c7e7"/>
                              <w:lock w:val="sdtLocked"/>
                              <w:richText/>
                            </w:sdtPr>
                            <w:sdtContent>
                              <w:r>
                                <w:rPr>
                                  <w:szCs w:val="24"/>
                                  <w:lang w:eastAsia="ar-SA"/>
                                </w:rPr>
                                <w:t>21.3.3</w:t>
                              </w:r>
                            </w:sdtContent>
                          </w:sdt>
                          <w:r>
                            <w:rPr>
                              <w:szCs w:val="24"/>
                              <w:lang w:eastAsia="ar-SA"/>
                            </w:rPr>
                            <w:t>. Įvardijami bendravimo, nepažeidžiančio žmogaus orumo principai ir susiejami su psichine sveikata.</w:t>
                          </w:r>
                        </w:p>
                      </w:sdtContent>
                    </w:sdt>
                    <w:sdt>
                      <w:sdtPr>
                        <w:alias w:val="49 pr. 21.3.4 pp."/>
                        <w:tag w:val="part_911384de2f864984879a28958e2e7a5c"/>
                        <w:lock w:val="sdtLocked"/>
                        <w:richText/>
                      </w:sdtPr>
                      <w:sdtContent>
                        <w:p>
                          <w:pPr>
                            <w:widowControl w:val="0"/>
                            <w:ind w:firstLine="720"/>
                            <w:jc w:val="both"/>
                            <w:rPr>
                              <w:szCs w:val="24"/>
                              <w:lang w:eastAsia="ar-SA"/>
                            </w:rPr>
                          </w:pPr>
                          <w:sdt>
                            <w:sdtPr>
                              <w:alias w:val="Numeris"/>
                              <w:tag w:val="nr_911384de2f864984879a28958e2e7a5c"/>
                              <w:lock w:val="sdtLocked"/>
                              <w:richText/>
                            </w:sdtPr>
                            <w:sdtContent>
                              <w:r>
                                <w:rPr>
                                  <w:szCs w:val="24"/>
                                  <w:lang w:eastAsia="ar-SA"/>
                                </w:rPr>
                                <w:t>21.3.4</w:t>
                              </w:r>
                            </w:sdtContent>
                          </w:sdt>
                          <w:r>
                            <w:rPr>
                              <w:szCs w:val="24"/>
                              <w:lang w:eastAsia="ar-SA"/>
                            </w:rPr>
                            <w:t xml:space="preserve">. Aiškinamasi draugystės samprata. Analizuojama draugystės, kaip asmenis praturtinančio konstruktyvaus ryšio, patirtis. </w:t>
                          </w:r>
                        </w:p>
                      </w:sdtContent>
                    </w:sdt>
                    <w:sdt>
                      <w:sdtPr>
                        <w:alias w:val="49 pr. 21.3.5 pp."/>
                        <w:tag w:val="part_374c225b87a24aecbca4c57e4dcbf034"/>
                        <w:lock w:val="sdtLocked"/>
                        <w:richText/>
                      </w:sdtPr>
                      <w:sdtContent>
                        <w:p>
                          <w:pPr>
                            <w:widowControl w:val="0"/>
                            <w:ind w:firstLine="720"/>
                            <w:jc w:val="both"/>
                            <w:rPr>
                              <w:szCs w:val="24"/>
                              <w:lang w:eastAsia="ar-SA"/>
                            </w:rPr>
                          </w:pPr>
                          <w:sdt>
                            <w:sdtPr>
                              <w:alias w:val="Numeris"/>
                              <w:tag w:val="nr_374c225b87a24aecbca4c57e4dcbf034"/>
                              <w:lock w:val="sdtLocked"/>
                              <w:richText/>
                            </w:sdtPr>
                            <w:sdtContent>
                              <w:r>
                                <w:rPr>
                                  <w:szCs w:val="24"/>
                                  <w:lang w:eastAsia="ar-SA"/>
                                </w:rPr>
                                <w:t>21.3.5</w:t>
                              </w:r>
                            </w:sdtContent>
                          </w:sdt>
                          <w:r>
                            <w:rPr>
                              <w:szCs w:val="24"/>
                              <w:lang w:eastAsia="ar-SA"/>
                            </w:rPr>
                            <w:t>. Analizuojama meilės reikšmė žmogaus sveikatai ir gyvenimo prasmės suvokimui.</w:t>
                          </w:r>
                        </w:p>
                      </w:sdtContent>
                    </w:sdt>
                    <w:sdt>
                      <w:sdtPr>
                        <w:alias w:val="49 pr. 21.3.6 pp."/>
                        <w:tag w:val="part_76460b2b1c774d61883c838bdf2d337f"/>
                        <w:lock w:val="sdtLocked"/>
                        <w:richText/>
                      </w:sdtPr>
                      <w:sdtContent>
                        <w:p>
                          <w:pPr>
                            <w:widowControl w:val="0"/>
                            <w:ind w:firstLine="720"/>
                            <w:jc w:val="both"/>
                            <w:rPr>
                              <w:szCs w:val="24"/>
                              <w:lang w:eastAsia="ar-SA"/>
                            </w:rPr>
                          </w:pPr>
                          <w:sdt>
                            <w:sdtPr>
                              <w:alias w:val="Numeris"/>
                              <w:tag w:val="nr_76460b2b1c774d61883c838bdf2d337f"/>
                              <w:lock w:val="sdtLocked"/>
                              <w:richText/>
                            </w:sdtPr>
                            <w:sdtContent>
                              <w:r>
                                <w:rPr>
                                  <w:szCs w:val="24"/>
                                  <w:lang w:eastAsia="ar-SA"/>
                                </w:rPr>
                                <w:t>21.3.6</w:t>
                              </w:r>
                            </w:sdtContent>
                          </w:sdt>
                          <w:r>
                            <w:rPr>
                              <w:szCs w:val="24"/>
                              <w:lang w:eastAsia="ar-SA"/>
                            </w:rPr>
                            <w:t>. Apibūdinami skirtingi meilės raiškos būdai ir būtinos prielaidos siekiant išsiugdyti gebėjimą mylėti nesavanaudiška, kuriančia meile.</w:t>
                          </w:r>
                        </w:p>
                      </w:sdtContent>
                    </w:sdt>
                    <w:sdt>
                      <w:sdtPr>
                        <w:alias w:val="49 pr. 21.3.7 pp."/>
                        <w:tag w:val="part_a296e3beb746497abff851d4fd03d0fa"/>
                        <w:lock w:val="sdtLocked"/>
                        <w:richText/>
                      </w:sdtPr>
                      <w:sdtContent>
                        <w:p>
                          <w:pPr>
                            <w:widowControl w:val="0"/>
                            <w:ind w:firstLine="720"/>
                            <w:jc w:val="both"/>
                            <w:rPr>
                              <w:szCs w:val="24"/>
                              <w:lang w:eastAsia="ar-SA"/>
                            </w:rPr>
                          </w:pPr>
                          <w:sdt>
                            <w:sdtPr>
                              <w:alias w:val="Numeris"/>
                              <w:tag w:val="nr_a296e3beb746497abff851d4fd03d0fa"/>
                              <w:lock w:val="sdtLocked"/>
                              <w:richText/>
                            </w:sdtPr>
                            <w:sdtContent>
                              <w:r>
                                <w:rPr>
                                  <w:szCs w:val="24"/>
                                  <w:lang w:eastAsia="ar-SA"/>
                                </w:rPr>
                                <w:t>21.3.7</w:t>
                              </w:r>
                            </w:sdtContent>
                          </w:sdt>
                          <w:r>
                            <w:rPr>
                              <w:szCs w:val="24"/>
                              <w:lang w:eastAsia="ar-SA"/>
                            </w:rPr>
                            <w:t>. </w:t>
                          </w:r>
                          <w:r>
                            <w:rPr>
                              <w:szCs w:val="24"/>
                              <w:highlight w:val="white"/>
                              <w:lang w:eastAsia="ar-SA"/>
                            </w:rPr>
                            <w:t>Aptariamos</w:t>
                          </w:r>
                          <w:r>
                            <w:rPr>
                              <w:szCs w:val="24"/>
                              <w:lang w:eastAsia="ar-SA"/>
                            </w:rPr>
                            <w:t xml:space="preserve"> ilgalaikių, įsipareigojančių santykių kūrimo  prielaidos ir jų reikšmė sveikatai.</w:t>
                          </w:r>
                        </w:p>
                      </w:sdtContent>
                    </w:sdt>
                    <w:sdt>
                      <w:sdtPr>
                        <w:alias w:val="49 pr. 21.3.8 pp."/>
                        <w:tag w:val="part_fdcd9c4be36c46fbb47dba976b67517e"/>
                        <w:lock w:val="sdtLocked"/>
                        <w:richText/>
                      </w:sdtPr>
                      <w:sdtContent>
                        <w:p>
                          <w:pPr>
                            <w:widowControl w:val="0"/>
                            <w:ind w:firstLine="720"/>
                            <w:jc w:val="both"/>
                            <w:rPr>
                              <w:szCs w:val="24"/>
                              <w:lang w:eastAsia="ar-SA"/>
                            </w:rPr>
                          </w:pPr>
                          <w:sdt>
                            <w:sdtPr>
                              <w:alias w:val="Numeris"/>
                              <w:tag w:val="nr_fdcd9c4be36c46fbb47dba976b67517e"/>
                              <w:lock w:val="sdtLocked"/>
                              <w:richText/>
                            </w:sdtPr>
                            <w:sdtContent>
                              <w:r>
                                <w:rPr>
                                  <w:szCs w:val="24"/>
                                  <w:lang w:eastAsia="ar-SA"/>
                                </w:rPr>
                                <w:t>21.3.8</w:t>
                              </w:r>
                            </w:sdtContent>
                          </w:sdt>
                          <w:r>
                            <w:rPr>
                              <w:szCs w:val="24"/>
                              <w:lang w:eastAsia="ar-SA"/>
                            </w:rPr>
                            <w:t>. Apžvelgiama empatijos reikšmė bendravimo kokybei, altruizmo, savanorystės ir pasiaukojimo sampratos internalizavimui.</w:t>
                          </w:r>
                        </w:p>
                      </w:sdtContent>
                    </w:sdt>
                  </w:sdtContent>
                </w:sdt>
              </w:sdtContent>
            </w:sdt>
            <w:sdt>
              <w:sdtPr>
                <w:alias w:val="49 pr. 22 p."/>
                <w:tag w:val="part_1d1d3bff589a4fc4b08ffc75a7a929c8"/>
                <w:lock w:val="sdtLocked"/>
                <w:richText/>
              </w:sdtPr>
              <w:sdtContent>
                <w:p>
                  <w:pPr>
                    <w:widowControl w:val="0"/>
                    <w:ind w:firstLine="720"/>
                    <w:jc w:val="both"/>
                    <w:rPr>
                      <w:szCs w:val="24"/>
                      <w:lang w:eastAsia="ar-SA"/>
                    </w:rPr>
                  </w:pPr>
                  <w:sdt>
                    <w:sdtPr>
                      <w:alias w:val="Numeris"/>
                      <w:tag w:val="nr_1d1d3bff589a4fc4b08ffc75a7a929c8"/>
                      <w:lock w:val="sdtLocked"/>
                      <w:richText/>
                    </w:sdtPr>
                    <w:sdtContent>
                      <w:r>
                        <w:rPr>
                          <w:szCs w:val="24"/>
                          <w:lang w:eastAsia="ar-SA"/>
                        </w:rPr>
                        <w:t>22</w:t>
                      </w:r>
                    </w:sdtContent>
                  </w:sdt>
                  <w:r>
                    <w:rPr>
                      <w:szCs w:val="24"/>
                      <w:lang w:eastAsia="ar-SA"/>
                    </w:rPr>
                    <w:t>. Mokymosi turinys. IV gimnazijos klasė:</w:t>
                  </w:r>
                </w:p>
                <w:sdt>
                  <w:sdtPr>
                    <w:alias w:val="49 pr. 22.1 pp."/>
                    <w:tag w:val="part_353f6b3da71446f8ac1db57bfbe2ad0f"/>
                    <w:lock w:val="sdtLocked"/>
                    <w:richText/>
                  </w:sdtPr>
                  <w:sdtContent>
                    <w:p>
                      <w:pPr>
                        <w:widowControl w:val="0"/>
                        <w:ind w:firstLine="720"/>
                        <w:jc w:val="both"/>
                        <w:rPr>
                          <w:szCs w:val="24"/>
                          <w:lang w:eastAsia="ar-SA"/>
                        </w:rPr>
                      </w:pPr>
                      <w:sdt>
                        <w:sdtPr>
                          <w:alias w:val="Numeris"/>
                          <w:tag w:val="nr_353f6b3da71446f8ac1db57bfbe2ad0f"/>
                          <w:lock w:val="sdtLocked"/>
                          <w:richText/>
                        </w:sdtPr>
                        <w:sdtContent>
                          <w:r>
                            <w:rPr>
                              <w:szCs w:val="24"/>
                              <w:lang w:eastAsia="ar-SA"/>
                            </w:rPr>
                            <w:t>22.1</w:t>
                          </w:r>
                        </w:sdtContent>
                      </w:sdt>
                      <w:r>
                        <w:rPr>
                          <w:szCs w:val="24"/>
                          <w:lang w:eastAsia="ar-SA"/>
                        </w:rPr>
                        <w:t>. Sveikatos raštingumo tobulinimo svarba:</w:t>
                      </w:r>
                    </w:p>
                    <w:sdt>
                      <w:sdtPr>
                        <w:alias w:val="49 pr. 22.1.1 pp."/>
                        <w:tag w:val="part_4c43678f648e4430b54279985afe1b7b"/>
                        <w:lock w:val="sdtLocked"/>
                        <w:richText/>
                      </w:sdtPr>
                      <w:sdtContent>
                        <w:p>
                          <w:pPr>
                            <w:widowControl w:val="0"/>
                            <w:ind w:firstLine="720"/>
                            <w:jc w:val="both"/>
                            <w:rPr>
                              <w:szCs w:val="24"/>
                              <w:lang w:eastAsia="ar-SA"/>
                            </w:rPr>
                          </w:pPr>
                          <w:sdt>
                            <w:sdtPr>
                              <w:alias w:val="Numeris"/>
                              <w:tag w:val="nr_4c43678f648e4430b54279985afe1b7b"/>
                              <w:lock w:val="sdtLocked"/>
                              <w:richText/>
                            </w:sdtPr>
                            <w:sdtContent>
                              <w:r>
                                <w:rPr>
                                  <w:szCs w:val="24"/>
                                  <w:lang w:eastAsia="ar-SA"/>
                                </w:rPr>
                                <w:t>22.1.1</w:t>
                              </w:r>
                            </w:sdtContent>
                          </w:sdt>
                          <w:r>
                            <w:rPr>
                              <w:szCs w:val="24"/>
                              <w:lang w:eastAsia="ar-SA"/>
                            </w:rPr>
                            <w:t>. Aptariamos nepakankamo sveikatos raštingumo sąsajos su prastesniais sveikatos rezultatais, padidėjusiu mirtingumu, nereikalingu sveikatos priežiūros paslaugų naudojimu ir kaštais.</w:t>
                          </w:r>
                        </w:p>
                      </w:sdtContent>
                    </w:sdt>
                    <w:sdt>
                      <w:sdtPr>
                        <w:alias w:val="49 pr. 22.1.2 pp."/>
                        <w:tag w:val="part_216a639cb0954a2a91870648554e780a"/>
                        <w:lock w:val="sdtLocked"/>
                        <w:richText/>
                      </w:sdtPr>
                      <w:sdtContent>
                        <w:p>
                          <w:pPr>
                            <w:widowControl w:val="0"/>
                            <w:ind w:firstLine="720"/>
                            <w:jc w:val="both"/>
                            <w:rPr>
                              <w:szCs w:val="24"/>
                              <w:lang w:eastAsia="ar-SA"/>
                            </w:rPr>
                          </w:pPr>
                          <w:sdt>
                            <w:sdtPr>
                              <w:alias w:val="Numeris"/>
                              <w:tag w:val="nr_216a639cb0954a2a91870648554e780a"/>
                              <w:lock w:val="sdtLocked"/>
                              <w:richText/>
                            </w:sdtPr>
                            <w:sdtContent>
                              <w:r>
                                <w:rPr>
                                  <w:szCs w:val="24"/>
                                  <w:lang w:eastAsia="ar-SA"/>
                                </w:rPr>
                                <w:t>22.1.2</w:t>
                              </w:r>
                            </w:sdtContent>
                          </w:sdt>
                          <w:r>
                            <w:rPr>
                              <w:szCs w:val="24"/>
                              <w:lang w:eastAsia="ar-SA"/>
                            </w:rPr>
                            <w:t>. Aiškinamasi sveikatos žinių raštingumo ryšio su laisvu informuoto asmens pasirinkimo galimybe.</w:t>
                          </w:r>
                        </w:p>
                      </w:sdtContent>
                    </w:sdt>
                    <w:sdt>
                      <w:sdtPr>
                        <w:alias w:val="49 pr. 22.1.3 pp."/>
                        <w:tag w:val="part_32130a970fd64a53a83b625ad6a8ca40"/>
                        <w:lock w:val="sdtLocked"/>
                        <w:richText/>
                      </w:sdtPr>
                      <w:sdtContent>
                        <w:p>
                          <w:pPr>
                            <w:widowControl w:val="0"/>
                            <w:ind w:firstLine="720"/>
                            <w:jc w:val="both"/>
                            <w:rPr>
                              <w:szCs w:val="24"/>
                              <w:lang w:eastAsia="ar-SA"/>
                            </w:rPr>
                          </w:pPr>
                          <w:sdt>
                            <w:sdtPr>
                              <w:alias w:val="Numeris"/>
                              <w:tag w:val="nr_32130a970fd64a53a83b625ad6a8ca40"/>
                              <w:lock w:val="sdtLocked"/>
                              <w:richText/>
                            </w:sdtPr>
                            <w:sdtContent>
                              <w:r>
                                <w:rPr>
                                  <w:szCs w:val="24"/>
                                  <w:lang w:eastAsia="ar-SA"/>
                                </w:rPr>
                                <w:t>22.1.3</w:t>
                              </w:r>
                            </w:sdtContent>
                          </w:sdt>
                          <w:r>
                            <w:rPr>
                              <w:szCs w:val="24"/>
                              <w:lang w:eastAsia="ar-SA"/>
                            </w:rPr>
                            <w:t>. Aiškinamasi, kaip pasirinkti patikimus sveikatos žinių šaltinius ir praktikuojamasi juos naudojant.</w:t>
                          </w:r>
                        </w:p>
                      </w:sdtContent>
                    </w:sdt>
                    <w:sdt>
                      <w:sdtPr>
                        <w:alias w:val="49 pr. 22.1.4 pp."/>
                        <w:tag w:val="part_0c24899913424db9b51eaaec99932055"/>
                        <w:lock w:val="sdtLocked"/>
                        <w:richText/>
                      </w:sdtPr>
                      <w:sdtContent>
                        <w:p>
                          <w:pPr>
                            <w:widowControl w:val="0"/>
                            <w:ind w:firstLine="720"/>
                            <w:jc w:val="both"/>
                            <w:rPr>
                              <w:szCs w:val="24"/>
                              <w:lang w:eastAsia="ar-SA"/>
                            </w:rPr>
                          </w:pPr>
                          <w:sdt>
                            <w:sdtPr>
                              <w:alias w:val="Numeris"/>
                              <w:tag w:val="nr_0c24899913424db9b51eaaec99932055"/>
                              <w:lock w:val="sdtLocked"/>
                              <w:richText/>
                            </w:sdtPr>
                            <w:sdtContent>
                              <w:r>
                                <w:rPr>
                                  <w:szCs w:val="24"/>
                                  <w:lang w:eastAsia="ar-SA"/>
                                </w:rPr>
                                <w:t>22.1.4</w:t>
                              </w:r>
                            </w:sdtContent>
                          </w:sdt>
                          <w:r>
                            <w:rPr>
                              <w:szCs w:val="24"/>
                              <w:lang w:eastAsia="ar-SA"/>
                            </w:rPr>
                            <w:t>. Aptariama asmeninės atsakomybės svarba už savo, šeimos, bendruomenės, visuomenės sveikatą.</w:t>
                          </w:r>
                        </w:p>
                      </w:sdtContent>
                    </w:sdt>
                  </w:sdtContent>
                </w:sdt>
                <w:sdt>
                  <w:sdtPr>
                    <w:alias w:val="49 pr. 22.2 pp."/>
                    <w:tag w:val="part_37479dca3f284b71889f77993938c16e"/>
                    <w:lock w:val="sdtLocked"/>
                    <w:richText/>
                  </w:sdtPr>
                  <w:sdtContent>
                    <w:p>
                      <w:pPr>
                        <w:widowControl w:val="0"/>
                        <w:ind w:firstLine="720"/>
                        <w:jc w:val="both"/>
                        <w:rPr>
                          <w:szCs w:val="24"/>
                          <w:lang w:eastAsia="ar-SA"/>
                        </w:rPr>
                      </w:pPr>
                      <w:sdt>
                        <w:sdtPr>
                          <w:alias w:val="Numeris"/>
                          <w:tag w:val="nr_37479dca3f284b71889f77993938c16e"/>
                          <w:lock w:val="sdtLocked"/>
                          <w:richText/>
                        </w:sdtPr>
                        <w:sdtContent>
                          <w:r>
                            <w:rPr>
                              <w:szCs w:val="24"/>
                              <w:lang w:eastAsia="ar-SA"/>
                            </w:rPr>
                            <w:t>22.2</w:t>
                          </w:r>
                        </w:sdtContent>
                      </w:sdt>
                      <w:r>
                        <w:rPr>
                          <w:szCs w:val="24"/>
                          <w:lang w:eastAsia="ar-SA"/>
                        </w:rPr>
                        <w:t>. Nepalankių sveikatai aplinkos veiksnių atpažinimas ir žalos mažinimas:</w:t>
                      </w:r>
                    </w:p>
                    <w:sdt>
                      <w:sdtPr>
                        <w:alias w:val="49 pr. 22.2.1 pp."/>
                        <w:tag w:val="part_7398f89aebbf44b8b8c8c97dfdfab978"/>
                        <w:lock w:val="sdtLocked"/>
                        <w:richText/>
                      </w:sdtPr>
                      <w:sdtContent>
                        <w:p>
                          <w:pPr>
                            <w:widowControl w:val="0"/>
                            <w:ind w:firstLine="720"/>
                            <w:jc w:val="both"/>
                            <w:rPr>
                              <w:szCs w:val="24"/>
                              <w:lang w:eastAsia="ar-SA"/>
                            </w:rPr>
                          </w:pPr>
                          <w:sdt>
                            <w:sdtPr>
                              <w:alias w:val="Numeris"/>
                              <w:tag w:val="nr_7398f89aebbf44b8b8c8c97dfdfab978"/>
                              <w:lock w:val="sdtLocked"/>
                              <w:richText/>
                            </w:sdtPr>
                            <w:sdtContent>
                              <w:r>
                                <w:rPr>
                                  <w:szCs w:val="24"/>
                                  <w:lang w:eastAsia="ar-SA"/>
                                </w:rPr>
                                <w:t>22.2.1</w:t>
                              </w:r>
                            </w:sdtContent>
                          </w:sdt>
                          <w:r>
                            <w:rPr>
                              <w:szCs w:val="24"/>
                              <w:lang w:eastAsia="ar-SA"/>
                            </w:rPr>
                            <w:t xml:space="preserve">. Aptariamas žiniasklaidos, socialinių tinklų kuriamų įvaizdžių, elgesio normų ir užslėptų reklamų poveikis asmens ir visuomenės sveikatai. </w:t>
                          </w:r>
                        </w:p>
                      </w:sdtContent>
                    </w:sdt>
                    <w:sdt>
                      <w:sdtPr>
                        <w:alias w:val="49 pr. 22.2.2 pp."/>
                        <w:tag w:val="part_be89dcfb01354431a71ac46ef7b5490b"/>
                        <w:lock w:val="sdtLocked"/>
                        <w:richText/>
                      </w:sdtPr>
                      <w:sdtContent>
                        <w:p>
                          <w:pPr>
                            <w:widowControl w:val="0"/>
                            <w:ind w:firstLine="720"/>
                            <w:jc w:val="both"/>
                            <w:rPr>
                              <w:szCs w:val="24"/>
                              <w:lang w:eastAsia="ar-SA"/>
                            </w:rPr>
                          </w:pPr>
                          <w:sdt>
                            <w:sdtPr>
                              <w:alias w:val="Numeris"/>
                              <w:tag w:val="nr_be89dcfb01354431a71ac46ef7b5490b"/>
                              <w:lock w:val="sdtLocked"/>
                              <w:richText/>
                            </w:sdtPr>
                            <w:sdtContent>
                              <w:r>
                                <w:rPr>
                                  <w:szCs w:val="24"/>
                                  <w:lang w:eastAsia="ar-SA"/>
                                </w:rPr>
                                <w:t>22.2.2</w:t>
                              </w:r>
                            </w:sdtContent>
                          </w:sdt>
                          <w:r>
                            <w:rPr>
                              <w:szCs w:val="24"/>
                              <w:lang w:eastAsia="ar-SA"/>
                            </w:rPr>
                            <w:t>. Aptariami virtualioje erdvėje slypinčius pavojai, bendravimo socialinėse medijose etika, internetinės priklausomybės formos.</w:t>
                          </w:r>
                        </w:p>
                      </w:sdtContent>
                    </w:sdt>
                    <w:sdt>
                      <w:sdtPr>
                        <w:alias w:val="49 pr. 22.2.3 pp."/>
                        <w:tag w:val="part_333d5f86260b4574a4965e00859c294e"/>
                        <w:lock w:val="sdtLocked"/>
                        <w:richText/>
                      </w:sdtPr>
                      <w:sdtContent>
                        <w:p>
                          <w:pPr>
                            <w:widowControl w:val="0"/>
                            <w:ind w:firstLine="720"/>
                            <w:jc w:val="both"/>
                            <w:rPr>
                              <w:szCs w:val="24"/>
                              <w:lang w:eastAsia="ar-SA"/>
                            </w:rPr>
                          </w:pPr>
                          <w:sdt>
                            <w:sdtPr>
                              <w:alias w:val="Numeris"/>
                              <w:tag w:val="nr_333d5f86260b4574a4965e00859c294e"/>
                              <w:lock w:val="sdtLocked"/>
                              <w:richText/>
                            </w:sdtPr>
                            <w:sdtContent>
                              <w:r>
                                <w:rPr>
                                  <w:szCs w:val="24"/>
                                  <w:lang w:eastAsia="ar-SA"/>
                                </w:rPr>
                                <w:t>22.2.3</w:t>
                              </w:r>
                            </w:sdtContent>
                          </w:sdt>
                          <w:r>
                            <w:rPr>
                              <w:szCs w:val="24"/>
                              <w:lang w:eastAsia="ar-SA"/>
                            </w:rPr>
                            <w:t>. Aiškinamasi sveikatai keliančių grėsmę situacijos: smurto, manipuliacijų, spaudimo ir kt., pasipriešinimo joms būdus, pagalbos galimybes.</w:t>
                          </w:r>
                        </w:p>
                      </w:sdtContent>
                    </w:sdt>
                    <w:sdt>
                      <w:sdtPr>
                        <w:alias w:val="49 pr. 22.2.4 pp."/>
                        <w:tag w:val="part_0bfca0c61e344784a2410015b686b7e1"/>
                        <w:lock w:val="sdtLocked"/>
                        <w:richText/>
                      </w:sdtPr>
                      <w:sdtContent>
                        <w:p>
                          <w:pPr>
                            <w:widowControl w:val="0"/>
                            <w:ind w:firstLine="720"/>
                            <w:jc w:val="both"/>
                            <w:rPr>
                              <w:szCs w:val="24"/>
                              <w:lang w:eastAsia="ar-SA"/>
                            </w:rPr>
                          </w:pPr>
                          <w:sdt>
                            <w:sdtPr>
                              <w:alias w:val="Numeris"/>
                              <w:tag w:val="nr_0bfca0c61e344784a2410015b686b7e1"/>
                              <w:lock w:val="sdtLocked"/>
                              <w:richText/>
                            </w:sdtPr>
                            <w:sdtContent>
                              <w:r>
                                <w:rPr>
                                  <w:szCs w:val="24"/>
                                  <w:lang w:eastAsia="ar-SA"/>
                                </w:rPr>
                                <w:t>22.2.4</w:t>
                              </w:r>
                            </w:sdtContent>
                          </w:sdt>
                          <w:r>
                            <w:rPr>
                              <w:szCs w:val="24"/>
                              <w:lang w:eastAsia="ar-SA"/>
                            </w:rPr>
                            <w:t>. Nagrinėjami aplinkos veiksnių: tam tikrų cheminių medžiagų, asmens higienos, kosmetikos sudedamųjų dalių, vaistų, hormonų, hormoninės kontracepcijos, maisto priedų trumpalaikis ir ilgalaikis poveikis sveikatai.</w:t>
                          </w:r>
                        </w:p>
                      </w:sdtContent>
                    </w:sdt>
                    <w:sdt>
                      <w:sdtPr>
                        <w:alias w:val="49 pr. 22.2.5 pp."/>
                        <w:tag w:val="part_2f50950c6832487093efce6611c8a3e7"/>
                        <w:lock w:val="sdtLocked"/>
                        <w:richText/>
                      </w:sdtPr>
                      <w:sdtContent>
                        <w:p>
                          <w:pPr>
                            <w:widowControl w:val="0"/>
                            <w:ind w:firstLine="720"/>
                            <w:jc w:val="both"/>
                            <w:rPr>
                              <w:szCs w:val="24"/>
                              <w:lang w:eastAsia="ar-SA"/>
                            </w:rPr>
                          </w:pPr>
                          <w:sdt>
                            <w:sdtPr>
                              <w:alias w:val="Numeris"/>
                              <w:tag w:val="nr_2f50950c6832487093efce6611c8a3e7"/>
                              <w:lock w:val="sdtLocked"/>
                              <w:richText/>
                            </w:sdtPr>
                            <w:sdtContent>
                              <w:r>
                                <w:rPr>
                                  <w:szCs w:val="24"/>
                                  <w:lang w:eastAsia="ar-SA"/>
                                </w:rPr>
                                <w:t>22.2.5</w:t>
                              </w:r>
                            </w:sdtContent>
                          </w:sdt>
                          <w:r>
                            <w:rPr>
                              <w:szCs w:val="24"/>
                              <w:lang w:eastAsia="ar-SA"/>
                            </w:rPr>
                            <w:t>. Aiškinamasi, kaip atpažinti nesaugią aplinką ir įvertinti galimą riziką sveikatai ir gyvybei, sudaroma veiksmų seka esant ekstremalioms situacijoms.</w:t>
                          </w:r>
                        </w:p>
                      </w:sdtContent>
                    </w:sdt>
                  </w:sdtContent>
                </w:sdt>
                <w:sdt>
                  <w:sdtPr>
                    <w:alias w:val="49 pr. 22.3 pp."/>
                    <w:tag w:val="part_e2540eb4027149779b30e3ded3bb8a17"/>
                    <w:lock w:val="sdtLocked"/>
                    <w:richText/>
                  </w:sdtPr>
                  <w:sdtContent>
                    <w:p>
                      <w:pPr>
                        <w:widowControl w:val="0"/>
                        <w:ind w:firstLine="720"/>
                        <w:jc w:val="both"/>
                        <w:rPr>
                          <w:szCs w:val="24"/>
                          <w:lang w:eastAsia="ar-SA"/>
                        </w:rPr>
                      </w:pPr>
                      <w:sdt>
                        <w:sdtPr>
                          <w:alias w:val="Numeris"/>
                          <w:tag w:val="nr_e2540eb4027149779b30e3ded3bb8a17"/>
                          <w:lock w:val="sdtLocked"/>
                          <w:richText/>
                        </w:sdtPr>
                        <w:sdtContent>
                          <w:r>
                            <w:rPr>
                              <w:szCs w:val="24"/>
                              <w:lang w:eastAsia="ar-SA"/>
                            </w:rPr>
                            <w:t>22.3</w:t>
                          </w:r>
                        </w:sdtContent>
                      </w:sdt>
                      <w:r>
                        <w:rPr>
                          <w:szCs w:val="24"/>
                          <w:lang w:eastAsia="ar-SA"/>
                        </w:rPr>
                        <w:t>.</w:t>
                      </w:r>
                      <w:r>
                        <w:rPr>
                          <w:b/>
                          <w:szCs w:val="24"/>
                          <w:lang w:eastAsia="ar-SA"/>
                        </w:rPr>
                        <w:t> </w:t>
                      </w:r>
                      <w:r>
                        <w:rPr>
                          <w:szCs w:val="24"/>
                          <w:lang w:eastAsia="ar-SA"/>
                        </w:rPr>
                        <w:t xml:space="preserve">Lėtinių neinfekcinių ligų prevencija: </w:t>
                      </w:r>
                    </w:p>
                    <w:sdt>
                      <w:sdtPr>
                        <w:alias w:val="49 pr. 22.3.1 pp."/>
                        <w:tag w:val="part_260c20171cd841a59434ea3205b03409"/>
                        <w:lock w:val="sdtLocked"/>
                        <w:richText/>
                      </w:sdtPr>
                      <w:sdtContent>
                        <w:p>
                          <w:pPr>
                            <w:widowControl w:val="0"/>
                            <w:ind w:firstLine="720"/>
                            <w:jc w:val="both"/>
                            <w:rPr>
                              <w:szCs w:val="24"/>
                              <w:lang w:eastAsia="ar-SA"/>
                            </w:rPr>
                          </w:pPr>
                          <w:sdt>
                            <w:sdtPr>
                              <w:alias w:val="Numeris"/>
                              <w:tag w:val="nr_260c20171cd841a59434ea3205b03409"/>
                              <w:lock w:val="sdtLocked"/>
                              <w:richText/>
                            </w:sdtPr>
                            <w:sdtContent>
                              <w:r>
                                <w:rPr>
                                  <w:szCs w:val="24"/>
                                  <w:lang w:eastAsia="ar-SA"/>
                                </w:rPr>
                                <w:t>22.3.1</w:t>
                              </w:r>
                            </w:sdtContent>
                          </w:sdt>
                          <w:r>
                            <w:rPr>
                              <w:szCs w:val="24"/>
                              <w:lang w:eastAsia="ar-SA"/>
                            </w:rPr>
                            <w:t xml:space="preserve">. Aptariamas labiausiai paplitusių lėtinių neinfekcinių ligų: širdies ir kraujagyslių sistemos ligų, piktybinių navikų, cukrinio diabeto, psichikos ir elgesio sutrikimų bei </w:t>
                          </w:r>
                          <w:r>
                            <w:rPr>
                              <w:szCs w:val="24"/>
                              <w:highlight w:val="white"/>
                              <w:lang w:eastAsia="ar-SA"/>
                            </w:rPr>
                            <w:t>sužalojimų</w:t>
                          </w:r>
                          <w:r>
                            <w:rPr>
                              <w:szCs w:val="24"/>
                              <w:lang w:eastAsia="ar-SA"/>
                            </w:rPr>
                            <w:t xml:space="preserve"> paplitimo probleminį mastas ir bendrosios priežastys.</w:t>
                          </w:r>
                        </w:p>
                      </w:sdtContent>
                    </w:sdt>
                    <w:sdt>
                      <w:sdtPr>
                        <w:alias w:val="49 pr. 22.3.2 pp."/>
                        <w:tag w:val="part_f9951b7e8254470999140c83dc256736"/>
                        <w:lock w:val="sdtLocked"/>
                        <w:richText/>
                      </w:sdtPr>
                      <w:sdtContent>
                        <w:p>
                          <w:pPr>
                            <w:widowControl w:val="0"/>
                            <w:ind w:firstLine="720"/>
                            <w:jc w:val="both"/>
                            <w:rPr>
                              <w:szCs w:val="24"/>
                              <w:highlight w:val="white"/>
                              <w:lang w:eastAsia="ar-SA"/>
                            </w:rPr>
                          </w:pPr>
                          <w:sdt>
                            <w:sdtPr>
                              <w:alias w:val="Numeris"/>
                              <w:tag w:val="nr_f9951b7e8254470999140c83dc256736"/>
                              <w:lock w:val="sdtLocked"/>
                              <w:richText/>
                            </w:sdtPr>
                            <w:sdtContent>
                              <w:r>
                                <w:rPr>
                                  <w:szCs w:val="24"/>
                                  <w:highlight w:val="white"/>
                                  <w:lang w:eastAsia="ar-SA"/>
                                </w:rPr>
                                <w:t>22.3.2</w:t>
                              </w:r>
                            </w:sdtContent>
                          </w:sdt>
                          <w:r>
                            <w:rPr>
                              <w:szCs w:val="24"/>
                              <w:lang w:eastAsia="ar-SA"/>
                            </w:rPr>
                            <w:t xml:space="preserve">. Nagrinėjamas gyvensenos: mitybos, fizinio aktyvumo, rūkymo, alkoholio vartojimo ryšys su lėtinių neinfekcinių ligų išsivystymu ir </w:t>
                          </w:r>
                          <w:r>
                            <w:rPr>
                              <w:szCs w:val="24"/>
                              <w:highlight w:val="white"/>
                              <w:lang w:eastAsia="ar-SA"/>
                            </w:rPr>
                            <w:t>sužalojimų rizika.</w:t>
                          </w:r>
                        </w:p>
                      </w:sdtContent>
                    </w:sdt>
                    <w:sdt>
                      <w:sdtPr>
                        <w:alias w:val="49 pr. 22.3.3 pp."/>
                        <w:tag w:val="part_16e48d24cc26494fa0603fc39db128ee"/>
                        <w:lock w:val="sdtLocked"/>
                        <w:richText/>
                      </w:sdtPr>
                      <w:sdtContent>
                        <w:p>
                          <w:pPr>
                            <w:widowControl w:val="0"/>
                            <w:ind w:firstLine="720"/>
                            <w:jc w:val="both"/>
                            <w:rPr>
                              <w:szCs w:val="24"/>
                              <w:lang w:eastAsia="ar-SA"/>
                            </w:rPr>
                          </w:pPr>
                          <w:sdt>
                            <w:sdtPr>
                              <w:alias w:val="Numeris"/>
                              <w:tag w:val="nr_16e48d24cc26494fa0603fc39db128ee"/>
                              <w:lock w:val="sdtLocked"/>
                              <w:richText/>
                            </w:sdtPr>
                            <w:sdtContent>
                              <w:r>
                                <w:rPr>
                                  <w:szCs w:val="24"/>
                                  <w:lang w:eastAsia="ar-SA"/>
                                </w:rPr>
                                <w:t>22.3.3</w:t>
                              </w:r>
                            </w:sdtContent>
                          </w:sdt>
                          <w:r>
                            <w:rPr>
                              <w:szCs w:val="24"/>
                              <w:lang w:eastAsia="ar-SA"/>
                            </w:rPr>
                            <w:t>. Nagrinėjami genetinių ir gyvensenos veiksnių ryšiai, vertinant lėtinių ligų riziką.</w:t>
                          </w:r>
                        </w:p>
                      </w:sdtContent>
                    </w:sdt>
                    <w:sdt>
                      <w:sdtPr>
                        <w:alias w:val="49 pr. 22.3.4 pp."/>
                        <w:tag w:val="part_f7a66065b6f94bb29481101a570c0a9d"/>
                        <w:lock w:val="sdtLocked"/>
                        <w:richText/>
                      </w:sdtPr>
                      <w:sdtContent>
                        <w:p>
                          <w:pPr>
                            <w:widowControl w:val="0"/>
                            <w:ind w:firstLine="720"/>
                            <w:jc w:val="both"/>
                            <w:rPr>
                              <w:szCs w:val="24"/>
                              <w:lang w:eastAsia="ar-SA"/>
                            </w:rPr>
                          </w:pPr>
                          <w:sdt>
                            <w:sdtPr>
                              <w:alias w:val="Numeris"/>
                              <w:tag w:val="nr_f7a66065b6f94bb29481101a570c0a9d"/>
                              <w:lock w:val="sdtLocked"/>
                              <w:richText/>
                            </w:sdtPr>
                            <w:sdtContent>
                              <w:r>
                                <w:rPr>
                                  <w:szCs w:val="24"/>
                                  <w:lang w:eastAsia="ar-SA"/>
                                </w:rPr>
                                <w:t>22.3.4</w:t>
                              </w:r>
                            </w:sdtContent>
                          </w:sdt>
                          <w:r>
                            <w:rPr>
                              <w:szCs w:val="24"/>
                              <w:lang w:eastAsia="ar-SA"/>
                            </w:rPr>
                            <w:t>. Aiškinamasi, kas yra kancerogeninės medžiagos, jų rūšys, reikšmė onkologinių ligų išsivystymui.</w:t>
                          </w:r>
                        </w:p>
                      </w:sdtContent>
                    </w:sdt>
                    <w:sdt>
                      <w:sdtPr>
                        <w:alias w:val="49 pr. 22.3.5 pp."/>
                        <w:tag w:val="part_2d9a7db05c6a41ff8b067d69be465fa5"/>
                        <w:lock w:val="sdtLocked"/>
                        <w:richText/>
                      </w:sdtPr>
                      <w:sdtContent>
                        <w:p>
                          <w:pPr>
                            <w:widowControl w:val="0"/>
                            <w:ind w:firstLine="720"/>
                            <w:jc w:val="both"/>
                            <w:rPr>
                              <w:szCs w:val="24"/>
                              <w:lang w:eastAsia="ar-SA"/>
                            </w:rPr>
                          </w:pPr>
                          <w:sdt>
                            <w:sdtPr>
                              <w:alias w:val="Numeris"/>
                              <w:tag w:val="nr_2d9a7db05c6a41ff8b067d69be465fa5"/>
                              <w:lock w:val="sdtLocked"/>
                              <w:richText/>
                            </w:sdtPr>
                            <w:sdtContent>
                              <w:r>
                                <w:rPr>
                                  <w:szCs w:val="24"/>
                                  <w:lang w:eastAsia="ar-SA"/>
                                </w:rPr>
                                <w:t>22.3.5</w:t>
                              </w:r>
                            </w:sdtContent>
                          </w:sdt>
                          <w:r>
                            <w:rPr>
                              <w:szCs w:val="24"/>
                              <w:lang w:eastAsia="ar-SA"/>
                            </w:rPr>
                            <w:t>. Apibūdinami streso: įprasto, ilgalaikio, patiriamo ekstremalių situacijų metu, potrauminio streso sindromo atpažinimo kriterijai, nagrinėjamas neurofiziologinįs streso išsivystymo mechanizmas, aptariamas trumpalaikis ir ilgalaikis streso poveikis sveikatai: imuninei sistemai, lėtinių neinfekcinių ligų išsivystymui,</w:t>
                          </w:r>
                          <w:r>
                            <w:rPr>
                              <w:szCs w:val="24"/>
                              <w:highlight w:val="white"/>
                              <w:lang w:eastAsia="ar-SA"/>
                            </w:rPr>
                            <w:t xml:space="preserve"> sužalojimų</w:t>
                          </w:r>
                          <w:r>
                            <w:rPr>
                              <w:szCs w:val="24"/>
                              <w:lang w:eastAsia="ar-SA"/>
                            </w:rPr>
                            <w:t xml:space="preserve"> rizikai.</w:t>
                          </w:r>
                        </w:p>
                      </w:sdtContent>
                    </w:sdt>
                    <w:sdt>
                      <w:sdtPr>
                        <w:alias w:val="49 pr. 22.3.6 pp."/>
                        <w:tag w:val="part_604bbb30ba014cd7a180cde724739f43"/>
                        <w:lock w:val="sdtLocked"/>
                        <w:richText/>
                      </w:sdtPr>
                      <w:sdtContent>
                        <w:p>
                          <w:pPr>
                            <w:widowControl w:val="0"/>
                            <w:ind w:firstLine="720"/>
                            <w:jc w:val="both"/>
                            <w:rPr>
                              <w:szCs w:val="24"/>
                              <w:lang w:eastAsia="ar-SA"/>
                            </w:rPr>
                          </w:pPr>
                          <w:sdt>
                            <w:sdtPr>
                              <w:alias w:val="Numeris"/>
                              <w:tag w:val="nr_604bbb30ba014cd7a180cde724739f43"/>
                              <w:lock w:val="sdtLocked"/>
                              <w:richText/>
                            </w:sdtPr>
                            <w:sdtContent>
                              <w:r>
                                <w:rPr>
                                  <w:szCs w:val="24"/>
                                  <w:lang w:eastAsia="ar-SA"/>
                                </w:rPr>
                                <w:t>22.3.6</w:t>
                              </w:r>
                            </w:sdtContent>
                          </w:sdt>
                          <w:r>
                            <w:rPr>
                              <w:szCs w:val="24"/>
                              <w:lang w:eastAsia="ar-SA"/>
                            </w:rPr>
                            <w:t>. Apžvelgiamos sveikatos priežiūros paslaugų: psichologinės pagalbos, priklausomybių prevencijos ir gydymo galimybės, LT prevencinės sveikatos programos ir jų efektyvumas.</w:t>
                          </w:r>
                        </w:p>
                        <w:p>
                          <w:pPr>
                            <w:suppressAutoHyphens/>
                            <w:jc w:val="center"/>
                            <w:rPr>
                              <w:b/>
                              <w:szCs w:val="24"/>
                              <w:lang w:eastAsia="ar-SA"/>
                            </w:rPr>
                          </w:pPr>
                        </w:p>
                      </w:sdtContent>
                    </w:sdt>
                  </w:sdtContent>
                </w:sdt>
              </w:sdtContent>
            </w:sdt>
          </w:sdtContent>
        </w:sdt>
        <w:sdt>
          <w:sdtPr>
            <w:alias w:val="skirsnis"/>
            <w:tag w:val="part_528fa913792b4d56af0d42b0af54588d"/>
            <w:lock w:val="sdtLocked"/>
            <w:richText/>
          </w:sdtPr>
          <w:sdtContent>
            <w:p>
              <w:pPr>
                <w:suppressAutoHyphens/>
                <w:jc w:val="center"/>
                <w:rPr>
                  <w:b/>
                  <w:szCs w:val="24"/>
                  <w:lang w:eastAsia="ar-SA"/>
                </w:rPr>
              </w:pPr>
              <w:sdt>
                <w:sdtPr>
                  <w:alias w:val="Pavadinimas"/>
                  <w:tag w:val="title_528fa913792b4d56af0d42b0af54588d"/>
                  <w:lock w:val="sdtLocked"/>
                  <w:richText/>
                </w:sdtPr>
                <w:sdtContent>
                  <w:r>
                    <w:rPr>
                      <w:b/>
                      <w:szCs w:val="24"/>
                      <w:lang w:eastAsia="ar-SA"/>
                    </w:rPr>
                    <w:t>VI SKYRIUS</w:t>
                    <w:br/>
                    <w:t>MOKINIŲ PASIEKIMŲ VERTINIMAS</w:t>
                  </w:r>
                </w:sdtContent>
              </w:sdt>
            </w:p>
            <w:p>
              <w:pPr>
                <w:suppressAutoHyphens/>
                <w:jc w:val="center"/>
                <w:rPr>
                  <w:b/>
                  <w:szCs w:val="24"/>
                  <w:lang w:eastAsia="ar-SA"/>
                </w:rPr>
              </w:pPr>
            </w:p>
            <w:sdt>
              <w:sdtPr>
                <w:alias w:val="49 pr. 23 p."/>
                <w:tag w:val="part_f6335731280643708bf3cb71526ae71c"/>
                <w:lock w:val="sdtLocked"/>
                <w:richText/>
              </w:sdtPr>
              <w:sdtContent>
                <w:p>
                  <w:pPr>
                    <w:widowControl w:val="0"/>
                    <w:ind w:firstLine="720"/>
                    <w:jc w:val="both"/>
                    <w:rPr>
                      <w:szCs w:val="24"/>
                      <w:lang w:eastAsia="ar-SA"/>
                    </w:rPr>
                  </w:pPr>
                  <w:sdt>
                    <w:sdtPr>
                      <w:alias w:val="Numeris"/>
                      <w:tag w:val="nr_f6335731280643708bf3cb71526ae71c"/>
                      <w:lock w:val="sdtLocked"/>
                      <w:richText/>
                    </w:sdtPr>
                    <w:sdtContent>
                      <w:r>
                        <w:rPr>
                          <w:szCs w:val="24"/>
                          <w:lang w:eastAsia="ar-SA"/>
                        </w:rPr>
                        <w:t>23</w:t>
                      </w:r>
                    </w:sdtContent>
                  </w:sdt>
                  <w:r>
                    <w:rPr>
                      <w:szCs w:val="24"/>
                      <w:lang w:eastAsia="ar-SA"/>
                    </w:rPr>
                    <w:t>. Mokinių pasiekimų lygių požymiai pateikiami III–IV gimnazijos klasių koncentrui ir yra detalizuoti keturiais lygiais: slenkstinis (I), patenkinamas (II), pagrindinis (III), aukštesnysis (IV). Sveikatos ugdymo dalykas yra pasirenkamas ir vertinamas įskaita.</w:t>
                  </w:r>
                </w:p>
              </w:sdtContent>
            </w:sdt>
            <w:sdt>
              <w:sdtPr>
                <w:alias w:val="49 pr. 24 p."/>
                <w:tag w:val="part_00ddac360cf84363a86c375b14222263"/>
                <w:lock w:val="sdtLocked"/>
                <w:richText/>
              </w:sdtPr>
              <w:sdtContent>
                <w:p>
                  <w:pPr>
                    <w:widowControl w:val="0"/>
                    <w:ind w:firstLine="720"/>
                    <w:jc w:val="both"/>
                    <w:rPr>
                      <w:szCs w:val="24"/>
                      <w:lang w:eastAsia="ar-SA"/>
                    </w:rPr>
                  </w:pPr>
                  <w:sdt>
                    <w:sdtPr>
                      <w:alias w:val="Numeris"/>
                      <w:tag w:val="nr_00ddac360cf84363a86c375b14222263"/>
                      <w:lock w:val="sdtLocked"/>
                      <w:richText/>
                    </w:sdtPr>
                    <w:sdtContent>
                      <w:r>
                        <w:rPr>
                          <w:szCs w:val="24"/>
                          <w:lang w:eastAsia="ar-SA"/>
                        </w:rPr>
                        <w:t>24</w:t>
                      </w:r>
                    </w:sdtContent>
                  </w:sdt>
                  <w:r>
                    <w:rPr>
                      <w:szCs w:val="24"/>
                      <w:lang w:eastAsia="ar-SA"/>
                    </w:rPr>
                    <w:t>. Nurodomi pasiekimų lygių požymiai skirti vertinti mokinių pasiekimus ir daromą pažangą.</w:t>
                  </w:r>
                </w:p>
                <w:p>
                  <w:pPr>
                    <w:suppressAutoHyphens/>
                    <w:ind w:firstLine="720"/>
                    <w:jc w:val="both"/>
                    <w:rPr>
                      <w:szCs w:val="24"/>
                      <w:lang w:eastAsia="ar-SA"/>
                    </w:rPr>
                  </w:pPr>
                </w:p>
                <w:p>
                  <w:pPr>
                    <w:suppressAutoHyphens/>
                    <w:ind w:firstLine="720"/>
                    <w:jc w:val="both"/>
                    <w:rPr>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720"/>
                      <w:titlePg/>
                      <w:docGrid w:linePitch="326"/>
                    </w:sectPr>
                  </w:pPr>
                </w:p>
                <w:p>
                  <w:pPr>
                    <w:pBdr>
                      <w:top w:val="nil"/>
                      <w:left w:val="nil"/>
                      <w:bottom w:val="nil"/>
                      <w:right w:val="nil"/>
                      <w:between w:val="nil"/>
                    </w:pBdr>
                    <w:tabs>
                      <w:tab w:val="center" w:pos="4819"/>
                      <w:tab w:val="right" w:pos="9638"/>
                    </w:tabs>
                    <w:suppressAutoHyphens/>
                    <w:jc w:val="center"/>
                    <w:rPr>
                      <w:color w:val="000000"/>
                      <w:szCs w:val="24"/>
                      <w:lang w:eastAsia="ar-SA"/>
                    </w:rPr>
                  </w:pPr>
                  <w:r>
                    <w:rPr>
                      <w:color w:val="000000"/>
                      <w:szCs w:val="24"/>
                      <w:lang w:eastAsia="ar-SA"/>
                    </w:rPr>
                    <w:fldChar w:fldCharType="begin" w:fldLock="1"/>
                  </w:r>
                  <w:r>
                    <w:rPr>
                      <w:color w:val="000000"/>
                      <w:szCs w:val="24"/>
                      <w:lang w:eastAsia="ar-SA"/>
                    </w:rPr>
                    <w:instrText>PAGE</w:instrText>
                  </w:r>
                  <w:r>
                    <w:rPr>
                      <w:color w:val="000000"/>
                      <w:szCs w:val="24"/>
                      <w:lang w:eastAsia="ar-SA"/>
                    </w:rPr>
                    <w:fldChar w:fldCharType="separate"/>
                  </w:r>
                  <w:r>
                    <w:rPr>
                      <w:color w:val="000000"/>
                      <w:szCs w:val="24"/>
                      <w:lang w:eastAsia="ar-SA"/>
                    </w:rPr>
                    <w:t>9</w:t>
                  </w:r>
                  <w:r>
                    <w:rPr>
                      <w:color w:val="000000"/>
                      <w:szCs w:val="24"/>
                      <w:lang w:eastAsia="ar-SA"/>
                    </w:rPr>
                    <w:fldChar w:fldCharType="end"/>
                  </w:r>
                </w:p>
              </w:sdtContent>
            </w:sdt>
          </w:sdtContent>
        </w:sdt>
        <w:sdt>
          <w:sdtPr>
            <w:alias w:val="skirsnis"/>
            <w:tag w:val="part_7f8c2f7c65f64b11a6ab7a393479855c"/>
            <w:lock w:val="sdtLocked"/>
            <w:richText/>
          </w:sdtPr>
          <w:sdtContent>
            <w:p>
              <w:pPr>
                <w:suppressAutoHyphens/>
                <w:jc w:val="center"/>
                <w:rPr>
                  <w:b/>
                  <w:szCs w:val="24"/>
                  <w:lang w:eastAsia="ar-SA"/>
                </w:rPr>
              </w:pPr>
              <w:sdt>
                <w:sdtPr>
                  <w:alias w:val="Pavadinimas"/>
                  <w:tag w:val="title_7f8c2f7c65f64b11a6ab7a393479855c"/>
                  <w:lock w:val="sdtLocked"/>
                  <w:richText/>
                </w:sdtPr>
                <w:sdtContent>
                  <w:r>
                    <w:rPr>
                      <w:b/>
                      <w:szCs w:val="24"/>
                      <w:lang w:eastAsia="ar-SA"/>
                    </w:rPr>
                    <w:t>VII SKYRIUS</w:t>
                    <w:br/>
                    <w:t>MOKINIŲ PASIEKIMŲ LYGIŲ POŽYMIAI PAGAL PASIEKIMŲ SRITIS</w:t>
                  </w:r>
                </w:sdtContent>
              </w:sdt>
            </w:p>
            <w:p>
              <w:pPr>
                <w:suppressAutoHyphens/>
                <w:jc w:val="center"/>
                <w:rPr>
                  <w:b/>
                  <w:szCs w:val="24"/>
                  <w:lang w:eastAsia="ar-SA"/>
                </w:rPr>
              </w:pPr>
            </w:p>
            <w:sdt>
              <w:sdtPr>
                <w:alias w:val="49 pr. 25 p."/>
                <w:tag w:val="part_0a675115745e4a7f9472f05ec2518801"/>
                <w:lock w:val="sdtLocked"/>
                <w:richText/>
              </w:sdtPr>
              <w:sdtContent>
                <w:p>
                  <w:pPr>
                    <w:keepNext/>
                    <w:keepLines/>
                    <w:suppressAutoHyphens/>
                    <w:ind w:firstLine="720"/>
                    <w:jc w:val="both"/>
                    <w:rPr>
                      <w:color w:val="000000"/>
                      <w:szCs w:val="24"/>
                      <w:lang w:eastAsia="ar-SA"/>
                    </w:rPr>
                  </w:pPr>
                  <w:sdt>
                    <w:sdtPr>
                      <w:alias w:val="Numeris"/>
                      <w:tag w:val="nr_0a675115745e4a7f9472f05ec2518801"/>
                      <w:lock w:val="sdtLocked"/>
                      <w:richText/>
                    </w:sdtPr>
                    <w:sdtContent>
                      <w:r>
                        <w:rPr>
                          <w:color w:val="000000"/>
                          <w:szCs w:val="24"/>
                          <w:lang w:eastAsia="ar-SA"/>
                        </w:rPr>
                        <w:t>25</w:t>
                      </w:r>
                    </w:sdtContent>
                  </w:sdt>
                  <w:r>
                    <w:rPr>
                      <w:color w:val="000000"/>
                      <w:szCs w:val="24"/>
                      <w:lang w:eastAsia="ar-SA"/>
                    </w:rPr>
                    <w:t>. Pasiekimų lygių požymiai. III</w:t>
                  </w:r>
                  <w:r>
                    <w:rPr>
                      <w:b/>
                      <w:color w:val="2E74B5"/>
                      <w:szCs w:val="24"/>
                      <w:lang w:eastAsia="ar-SA"/>
                    </w:rPr>
                    <w:t>–</w:t>
                  </w:r>
                  <w:r>
                    <w:rPr>
                      <w:color w:val="000000"/>
                      <w:szCs w:val="24"/>
                      <w:lang w:eastAsia="ar-SA"/>
                    </w:rPr>
                    <w:t>IV gimnazijos klasės:</w:t>
                  </w:r>
                </w:p>
                <w:p>
                  <w:pPr>
                    <w:rPr>
                      <w:sz w:val="10"/>
                      <w:szCs w:val="1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1"/>
                    <w:gridCol w:w="3791"/>
                    <w:gridCol w:w="3791"/>
                  </w:tblGrid>
                  <w:tr>
                    <w:trPr>
                      <w:trHeight w:val="397"/>
                      <w:tblHeader/>
                    </w:trPr>
                    <w:tc>
                      <w:tcPr>
                        <w:tcW w:w="15163" w:type="dxa"/>
                        <w:gridSpan w:val="4"/>
                        <w:vAlign w:val="center"/>
                      </w:tcPr>
                      <w:p>
                        <w:pPr>
                          <w:suppressAutoHyphens/>
                          <w:jc w:val="center"/>
                          <w:rPr>
                            <w:szCs w:val="24"/>
                            <w:lang w:eastAsia="ar-SA"/>
                          </w:rPr>
                        </w:pPr>
                        <w:r>
                          <w:rPr>
                            <w:color w:val="000000"/>
                            <w:szCs w:val="24"/>
                            <w:lang w:eastAsia="ar-SA"/>
                          </w:rPr>
                          <w:t>Pasiekimų lygiai</w:t>
                        </w:r>
                      </w:p>
                    </w:tc>
                  </w:tr>
                  <w:tr>
                    <w:trPr>
                      <w:trHeight w:val="397"/>
                      <w:tblHeader/>
                    </w:trPr>
                    <w:tc>
                      <w:tcPr>
                        <w:tcW w:w="3790" w:type="dxa"/>
                        <w:vAlign w:val="center"/>
                      </w:tcPr>
                      <w:p>
                        <w:pPr>
                          <w:suppressAutoHyphens/>
                          <w:jc w:val="center"/>
                          <w:rPr>
                            <w:szCs w:val="24"/>
                            <w:lang w:eastAsia="ar-SA"/>
                          </w:rPr>
                        </w:pPr>
                        <w:r>
                          <w:rPr>
                            <w:color w:val="000000"/>
                            <w:szCs w:val="24"/>
                            <w:lang w:eastAsia="ar-SA"/>
                          </w:rPr>
                          <w:t>Slenkstinis (I)</w:t>
                        </w:r>
                      </w:p>
                    </w:tc>
                    <w:tc>
                      <w:tcPr>
                        <w:tcW w:w="3791" w:type="dxa"/>
                        <w:vAlign w:val="center"/>
                      </w:tcPr>
                      <w:p>
                        <w:pPr>
                          <w:suppressAutoHyphens/>
                          <w:jc w:val="center"/>
                          <w:rPr>
                            <w:szCs w:val="24"/>
                            <w:lang w:eastAsia="ar-SA"/>
                          </w:rPr>
                        </w:pPr>
                        <w:r>
                          <w:rPr>
                            <w:color w:val="000000"/>
                            <w:szCs w:val="24"/>
                            <w:lang w:eastAsia="ar-SA"/>
                          </w:rPr>
                          <w:t>Patenkinamas (II)</w:t>
                        </w:r>
                      </w:p>
                    </w:tc>
                    <w:tc>
                      <w:tcPr>
                        <w:tcW w:w="3791" w:type="dxa"/>
                        <w:vAlign w:val="center"/>
                      </w:tcPr>
                      <w:p>
                        <w:pPr>
                          <w:suppressAutoHyphens/>
                          <w:jc w:val="center"/>
                          <w:rPr>
                            <w:szCs w:val="24"/>
                            <w:lang w:eastAsia="ar-SA"/>
                          </w:rPr>
                        </w:pPr>
                        <w:r>
                          <w:rPr>
                            <w:color w:val="000000"/>
                            <w:szCs w:val="24"/>
                            <w:lang w:eastAsia="ar-SA"/>
                          </w:rPr>
                          <w:t>Pagrindinis (III)</w:t>
                        </w:r>
                      </w:p>
                    </w:tc>
                    <w:tc>
                      <w:tcPr>
                        <w:tcW w:w="3791" w:type="dxa"/>
                        <w:vAlign w:val="center"/>
                      </w:tcPr>
                      <w:p>
                        <w:pPr>
                          <w:suppressAutoHyphens/>
                          <w:jc w:val="center"/>
                          <w:rPr>
                            <w:szCs w:val="24"/>
                            <w:lang w:eastAsia="ar-SA"/>
                          </w:rPr>
                        </w:pPr>
                        <w:r>
                          <w:rPr>
                            <w:color w:val="000000"/>
                            <w:szCs w:val="24"/>
                            <w:lang w:eastAsia="ar-SA"/>
                          </w:rPr>
                          <w:t>Aukštesnysis (IV)</w:t>
                        </w:r>
                      </w:p>
                    </w:tc>
                  </w:tr>
                  <w:tr>
                    <w:trPr>
                      <w:trHeight w:val="454"/>
                    </w:trPr>
                    <w:tc>
                      <w:tcPr>
                        <w:tcW w:w="15163" w:type="dxa"/>
                        <w:gridSpan w:val="4"/>
                        <w:vAlign w:val="center"/>
                      </w:tcPr>
                      <w:p>
                        <w:pPr>
                          <w:suppressAutoHyphens/>
                          <w:jc w:val="center"/>
                          <w:rPr>
                            <w:color w:val="000000"/>
                            <w:szCs w:val="24"/>
                            <w:lang w:eastAsia="ar-SA"/>
                          </w:rPr>
                        </w:pPr>
                        <w:r>
                          <w:rPr>
                            <w:szCs w:val="24"/>
                            <w:lang w:eastAsia="ar-SA"/>
                          </w:rPr>
                          <w:t>Savęs kaip nedalomo asmens ir savo sveikatos veiksnių pažinimas (A)</w:t>
                        </w:r>
                      </w:p>
                    </w:tc>
                  </w:tr>
                  <w:tr>
                    <w:trPr>
                      <w:trHeight w:val="2168"/>
                    </w:trPr>
                    <w:tc>
                      <w:tcPr>
                        <w:tcW w:w="3790" w:type="dxa"/>
                      </w:tcPr>
                      <w:p>
                        <w:pPr>
                          <w:suppressAutoHyphens/>
                          <w:jc w:val="both"/>
                          <w:rPr>
                            <w:b/>
                            <w:color w:val="000000"/>
                            <w:szCs w:val="24"/>
                            <w:lang w:eastAsia="ar-SA"/>
                          </w:rPr>
                        </w:pPr>
                        <w:r>
                          <w:rPr>
                            <w:szCs w:val="24"/>
                            <w:lang w:eastAsia="ar-SA"/>
                          </w:rPr>
                          <w:t xml:space="preserve">Paaiškina neurohormoninę organizmo procesų reguliaciją, ciklinius pokyčius, įvardija skirtingų smegenų ir vidaus organų produkuojamų hormonų  pavadinimus, jų funkcijas (A1.1.).</w:t>
                        </w:r>
                      </w:p>
                    </w:tc>
                    <w:tc>
                      <w:tcPr>
                        <w:tcW w:w="3791" w:type="dxa"/>
                      </w:tcPr>
                      <w:p>
                        <w:pPr>
                          <w:suppressAutoHyphens/>
                          <w:jc w:val="both"/>
                          <w:rPr>
                            <w:b/>
                            <w:color w:val="000000"/>
                            <w:szCs w:val="24"/>
                            <w:lang w:eastAsia="ar-SA"/>
                          </w:rPr>
                        </w:pPr>
                        <w:r>
                          <w:rPr>
                            <w:szCs w:val="24"/>
                            <w:lang w:eastAsia="ar-SA"/>
                          </w:rPr>
                          <w:t>Padedamas apibūdina grįžtamąjį teigiamą ir neigiamą ryšius tarp smegenų ir organizmo vidaus organų produkuojamų hormonų ir išryškina jų svarbą fizinei, psichinei ir socialinei sveikatai (A1.2.).</w:t>
                        </w:r>
                      </w:p>
                    </w:tc>
                    <w:tc>
                      <w:tcPr>
                        <w:tcW w:w="3791" w:type="dxa"/>
                      </w:tcPr>
                      <w:p>
                        <w:pPr>
                          <w:pBdr>
                            <w:top w:val="nil"/>
                            <w:left w:val="nil"/>
                            <w:bottom w:val="nil"/>
                            <w:right w:val="nil"/>
                            <w:between w:val="nil"/>
                          </w:pBdr>
                          <w:suppressAutoHyphens/>
                          <w:jc w:val="both"/>
                          <w:rPr>
                            <w:color w:val="000000"/>
                            <w:szCs w:val="24"/>
                            <w:lang w:eastAsia="ar-SA"/>
                          </w:rPr>
                        </w:pPr>
                        <w:r>
                          <w:rPr>
                            <w:szCs w:val="24"/>
                            <w:lang w:eastAsia="ar-SA"/>
                          </w:rPr>
                          <w:t>Pasitelkdamas konsultaciją susieja ciklinę neurohormoninę organizmo reguliacija su savęs pažinimu, savikontrole ir laisvu informuotu pasirinkimu (A1.3</w:t>
                        </w:r>
                        <w:r>
                          <w:rPr>
                            <w:color w:val="222222"/>
                            <w:szCs w:val="24"/>
                            <w:lang w:eastAsia="ar-SA"/>
                          </w:rPr>
                          <w:t>.</w:t>
                        </w:r>
                        <w:r>
                          <w:rPr>
                            <w:szCs w:val="24"/>
                            <w:lang w:eastAsia="ar-SA"/>
                          </w:rPr>
                          <w:t>).</w:t>
                        </w:r>
                      </w:p>
                    </w:tc>
                    <w:tc>
                      <w:tcPr>
                        <w:tcW w:w="3791" w:type="dxa"/>
                      </w:tcPr>
                      <w:p>
                        <w:pPr>
                          <w:widowControl w:val="0"/>
                          <w:pBdr>
                            <w:top w:val="nil"/>
                            <w:left w:val="nil"/>
                            <w:bottom w:val="nil"/>
                            <w:right w:val="nil"/>
                            <w:between w:val="nil"/>
                          </w:pBdr>
                          <w:jc w:val="both"/>
                          <w:rPr>
                            <w:b/>
                            <w:color w:val="000000"/>
                            <w:szCs w:val="24"/>
                            <w:lang w:eastAsia="ar-SA"/>
                          </w:rPr>
                        </w:pPr>
                        <w:r>
                          <w:rPr>
                            <w:szCs w:val="24"/>
                            <w:lang w:eastAsia="ar-SA"/>
                          </w:rPr>
                          <w:t xml:space="preserve">Savarankiškai susieja neurohormoninės organizmo funkcijų reguliacijos ryšį su streso išsivystymu, pritaiko streso valdymo būdus įprastose situacijose modeliuoja jų pritaikymą  ekstremaliose situacijose (A1.4.).</w:t>
                        </w:r>
                      </w:p>
                    </w:tc>
                  </w:tr>
                  <w:tr>
                    <w:trPr>
                      <w:trHeight w:val="3120"/>
                    </w:trPr>
                    <w:tc>
                      <w:tcPr>
                        <w:tcW w:w="3790" w:type="dxa"/>
                      </w:tcPr>
                      <w:p>
                        <w:pPr>
                          <w:pBdr>
                            <w:top w:val="nil"/>
                            <w:left w:val="nil"/>
                            <w:bottom w:val="nil"/>
                            <w:right w:val="nil"/>
                            <w:between w:val="nil"/>
                          </w:pBdr>
                          <w:suppressAutoHyphens/>
                          <w:jc w:val="both"/>
                          <w:rPr>
                            <w:szCs w:val="24"/>
                            <w:highlight w:val="white"/>
                            <w:lang w:eastAsia="ar-SA"/>
                          </w:rPr>
                        </w:pPr>
                        <w:r>
                          <w:rPr>
                            <w:szCs w:val="24"/>
                            <w:highlight w:val="white"/>
                            <w:lang w:eastAsia="ar-SA"/>
                          </w:rPr>
                          <w:t xml:space="preserve">Bendrais bruožais apibūdina gyvenimo pradžios (gyvybės pradėjimo, nėštumo, gimimo procesų, naujagimio bazinių  poreikių tenkinimo svarbą) visai žmogaus  sveikatos raidai (A2.1.).</w:t>
                        </w:r>
                      </w:p>
                    </w:tc>
                    <w:tc>
                      <w:tcPr>
                        <w:tcW w:w="3791" w:type="dxa"/>
                      </w:tcPr>
                      <w:p>
                        <w:pPr>
                          <w:suppressAutoHyphens/>
                          <w:jc w:val="both"/>
                          <w:rPr>
                            <w:szCs w:val="24"/>
                            <w:highlight w:val="white"/>
                            <w:lang w:eastAsia="ar-SA"/>
                          </w:rPr>
                        </w:pPr>
                        <w:r>
                          <w:rPr>
                            <w:szCs w:val="24"/>
                            <w:highlight w:val="white"/>
                            <w:lang w:eastAsia="ar-SA"/>
                          </w:rPr>
                          <w:t xml:space="preserve">Paaiškina žmogaus sveikos dauginimosi sistemos išsaugojimo veiksnius. Analizuoja  nevaisingumo priežastis ir kritiškai vertina pagalbos galimybes. Paaiškina hormoninės kontracepcijos veikimo mechanizmą, jo poveikį neurohormoninei dauginimosi sistemos reguliacijai ir susieja žinias su asmens laisvu informuotu pasirinkimu (A2.2.).</w:t>
                        </w:r>
                      </w:p>
                    </w:tc>
                    <w:tc>
                      <w:tcPr>
                        <w:tcW w:w="3791" w:type="dxa"/>
                      </w:tcPr>
                      <w:p>
                        <w:pPr>
                          <w:pBdr>
                            <w:top w:val="nil"/>
                            <w:left w:val="nil"/>
                            <w:bottom w:val="nil"/>
                            <w:right w:val="nil"/>
                            <w:between w:val="nil"/>
                          </w:pBdr>
                          <w:suppressAutoHyphens/>
                          <w:jc w:val="both"/>
                          <w:rPr>
                            <w:szCs w:val="24"/>
                            <w:highlight w:val="white"/>
                            <w:lang w:eastAsia="ar-SA"/>
                          </w:rPr>
                        </w:pPr>
                        <w:r>
                          <w:rPr>
                            <w:szCs w:val="24"/>
                            <w:highlight w:val="white"/>
                            <w:lang w:eastAsia="ar-SA"/>
                          </w:rPr>
                          <w:t xml:space="preserve">Padedamas, išskiria aplinkos  veiksnių, ypač streso, poveikį besilaukiančios motinos ir vaiko prenatalinėje fazėje sveikatai, paaiškina motinos patiriamo streso nėštumo metu įtaką negimusio ir gimusio vaiko sveikatos raidai . Aptaria nepilnamečių nėštumo poveikį vaiko ir moters sveikatai (A2.3). </w:t>
                        </w:r>
                      </w:p>
                    </w:tc>
                    <w:tc>
                      <w:tcPr>
                        <w:tcW w:w="3791" w:type="dxa"/>
                      </w:tcPr>
                      <w:p>
                        <w:pPr>
                          <w:pBdr>
                            <w:top w:val="nil"/>
                            <w:left w:val="nil"/>
                            <w:bottom w:val="nil"/>
                            <w:right w:val="nil"/>
                            <w:between w:val="nil"/>
                          </w:pBdr>
                          <w:suppressAutoHyphens/>
                          <w:jc w:val="both"/>
                          <w:rPr>
                            <w:szCs w:val="24"/>
                            <w:lang w:eastAsia="ar-SA"/>
                          </w:rPr>
                        </w:pPr>
                        <w:r>
                          <w:rPr>
                            <w:szCs w:val="24"/>
                            <w:lang w:eastAsia="ar-SA"/>
                          </w:rPr>
                          <w:t>Savarankiškai apibūdina naujagimio bazinių poreikių tenkinimo ir priežiūros pagrindinius elementus, susieja saugaus ir nesaugaus prieraišumo išsivystymo poveikį žmogaus sveikatos raidai (</w:t>
                        </w:r>
                        <w:r>
                          <w:rPr>
                            <w:szCs w:val="24"/>
                            <w:highlight w:val="white"/>
                            <w:lang w:eastAsia="ar-SA"/>
                          </w:rPr>
                          <w:t>A2.4.)</w:t>
                        </w:r>
                        <w:r>
                          <w:rPr>
                            <w:szCs w:val="24"/>
                            <w:lang w:eastAsia="ar-SA"/>
                          </w:rPr>
                          <w:t>.</w:t>
                        </w:r>
                      </w:p>
                    </w:tc>
                  </w:tr>
                  <w:tr>
                    <w:trPr>
                      <w:trHeight w:val="1459"/>
                    </w:trPr>
                    <w:tc>
                      <w:tcPr>
                        <w:tcW w:w="3790" w:type="dxa"/>
                      </w:tcPr>
                      <w:p>
                        <w:pPr>
                          <w:pBdr>
                            <w:top w:val="nil"/>
                            <w:left w:val="nil"/>
                            <w:bottom w:val="nil"/>
                            <w:right w:val="nil"/>
                            <w:between w:val="nil"/>
                          </w:pBdr>
                          <w:suppressAutoHyphens/>
                          <w:jc w:val="both"/>
                          <w:rPr>
                            <w:szCs w:val="24"/>
                            <w:highlight w:val="white"/>
                            <w:lang w:eastAsia="ar-SA"/>
                          </w:rPr>
                        </w:pPr>
                        <w:r>
                          <w:rPr>
                            <w:szCs w:val="24"/>
                            <w:highlight w:val="white"/>
                            <w:lang w:eastAsia="ar-SA"/>
                          </w:rPr>
                          <w:t>Apibūdina emocijų, jausmų, minčių įtaką žmogaus sveikatai, gyvenimo būdo (gyvensenos) pasirinkimui bei gyvenimo kokybei (A3.1.).</w:t>
                        </w:r>
                      </w:p>
                    </w:tc>
                    <w:tc>
                      <w:tcPr>
                        <w:tcW w:w="3791" w:type="dxa"/>
                      </w:tcPr>
                      <w:p>
                        <w:pPr>
                          <w:suppressAutoHyphens/>
                          <w:jc w:val="both"/>
                          <w:rPr>
                            <w:szCs w:val="24"/>
                            <w:highlight w:val="white"/>
                            <w:lang w:eastAsia="ar-SA"/>
                          </w:rPr>
                        </w:pPr>
                        <w:r>
                          <w:rPr>
                            <w:szCs w:val="24"/>
                            <w:highlight w:val="white"/>
                            <w:lang w:eastAsia="ar-SA"/>
                          </w:rPr>
                          <w:t>Atskleidžia pozityvaus mąstymo ir minčių higienos principus bei jų laikymosi svarbą asmens sveikatai (A3.2.).</w:t>
                        </w:r>
                      </w:p>
                    </w:tc>
                    <w:tc>
                      <w:tcPr>
                        <w:tcW w:w="3791" w:type="dxa"/>
                      </w:tcPr>
                      <w:p>
                        <w:pPr>
                          <w:pBdr>
                            <w:top w:val="nil"/>
                            <w:left w:val="nil"/>
                            <w:bottom w:val="nil"/>
                            <w:right w:val="nil"/>
                            <w:between w:val="nil"/>
                          </w:pBdr>
                          <w:suppressAutoHyphens/>
                          <w:jc w:val="both"/>
                          <w:rPr>
                            <w:szCs w:val="24"/>
                            <w:highlight w:val="white"/>
                            <w:lang w:eastAsia="ar-SA"/>
                          </w:rPr>
                        </w:pPr>
                        <w:r>
                          <w:rPr>
                            <w:szCs w:val="24"/>
                            <w:highlight w:val="white"/>
                            <w:lang w:eastAsia="ar-SA"/>
                          </w:rPr>
                          <w:t>Padedamas pateikia pavyzdžius, tinkamai ir netinkamai išreikštų jausmų poveikį sveikatai (A3.3.).</w:t>
                        </w:r>
                      </w:p>
                    </w:tc>
                    <w:tc>
                      <w:tcPr>
                        <w:tcW w:w="3791" w:type="dxa"/>
                      </w:tcPr>
                      <w:p>
                        <w:pPr>
                          <w:pBdr>
                            <w:top w:val="nil"/>
                            <w:left w:val="nil"/>
                            <w:bottom w:val="nil"/>
                            <w:right w:val="nil"/>
                            <w:between w:val="nil"/>
                          </w:pBdr>
                          <w:suppressAutoHyphens/>
                          <w:jc w:val="both"/>
                          <w:rPr>
                            <w:szCs w:val="24"/>
                            <w:lang w:eastAsia="ar-SA"/>
                          </w:rPr>
                        </w:pPr>
                        <w:r>
                          <w:rPr>
                            <w:szCs w:val="24"/>
                            <w:lang w:eastAsia="ar-SA"/>
                          </w:rPr>
                          <w:t xml:space="preserve">Argumentuotai pagrindžia jausmų emocijų pažinimo svarbą savo elgesio reguliacijai, įvardija tinkamus savo emocijų ir jausmų raiškos būdus </w:t>
                        </w:r>
                        <w:r>
                          <w:rPr>
                            <w:szCs w:val="24"/>
                            <w:highlight w:val="white"/>
                            <w:lang w:eastAsia="ar-SA"/>
                          </w:rPr>
                          <w:t>(A3.4.).</w:t>
                        </w:r>
                      </w:p>
                    </w:tc>
                  </w:tr>
                  <w:tr>
                    <w:trPr>
                      <w:trHeight w:val="454"/>
                    </w:trPr>
                    <w:tc>
                      <w:tcPr>
                        <w:tcW w:w="15163" w:type="dxa"/>
                        <w:gridSpan w:val="4"/>
                        <w:vAlign w:val="center"/>
                      </w:tcPr>
                      <w:p>
                        <w:pPr>
                          <w:pBdr>
                            <w:top w:val="nil"/>
                            <w:left w:val="nil"/>
                            <w:bottom w:val="nil"/>
                            <w:right w:val="nil"/>
                            <w:between w:val="nil"/>
                          </w:pBdr>
                          <w:suppressAutoHyphens/>
                          <w:jc w:val="center"/>
                          <w:rPr>
                            <w:szCs w:val="24"/>
                            <w:lang w:eastAsia="ar-SA"/>
                          </w:rPr>
                        </w:pPr>
                        <w:r>
                          <w:rPr>
                            <w:szCs w:val="24"/>
                            <w:lang w:eastAsia="ar-SA"/>
                          </w:rPr>
                          <w:t>Sveikų ir brandžių tarpasmeninių santykių pagrindų pažinimas ir jų poveikio sveikatai tyrinėjimas (B)</w:t>
                        </w:r>
                      </w:p>
                    </w:tc>
                  </w:tr>
                  <w:tr>
                    <w:tc>
                      <w:tcPr>
                        <w:tcW w:w="3790" w:type="dxa"/>
                      </w:tcPr>
                      <w:p>
                        <w:pPr>
                          <w:pBdr>
                            <w:top w:val="nil"/>
                            <w:left w:val="nil"/>
                            <w:bottom w:val="nil"/>
                            <w:right w:val="nil"/>
                            <w:between w:val="nil"/>
                          </w:pBdr>
                          <w:suppressAutoHyphens/>
                          <w:jc w:val="both"/>
                          <w:rPr>
                            <w:szCs w:val="24"/>
                            <w:lang w:eastAsia="ar-SA"/>
                          </w:rPr>
                        </w:pPr>
                        <w:r>
                          <w:rPr>
                            <w:szCs w:val="24"/>
                            <w:lang w:eastAsia="ar-SA"/>
                          </w:rPr>
                          <w:t>Paaiškina prigimtinio žmogaus orumo sampratą, ir jo išsaugojimo svarbą sveikų tarpasmeninių santykių kūrimui (B1.1.).</w:t>
                        </w:r>
                      </w:p>
                    </w:tc>
                    <w:tc>
                      <w:tcPr>
                        <w:tcW w:w="3791" w:type="dxa"/>
                      </w:tcPr>
                      <w:p>
                        <w:pPr>
                          <w:suppressAutoHyphens/>
                          <w:jc w:val="both"/>
                          <w:rPr>
                            <w:szCs w:val="24"/>
                            <w:lang w:eastAsia="ar-SA"/>
                          </w:rPr>
                        </w:pPr>
                        <w:r>
                          <w:rPr>
                            <w:szCs w:val="24"/>
                            <w:lang w:eastAsia="ar-SA"/>
                          </w:rPr>
                          <w:t>Susieja pagarbos kitam asmeniui raišką su savo savivertės kokybe ir orumu (B1.2.).</w:t>
                        </w:r>
                      </w:p>
                    </w:tc>
                    <w:tc>
                      <w:tcPr>
                        <w:tcW w:w="3791" w:type="dxa"/>
                      </w:tcPr>
                      <w:p>
                        <w:pPr>
                          <w:pBdr>
                            <w:top w:val="nil"/>
                            <w:left w:val="nil"/>
                            <w:bottom w:val="nil"/>
                            <w:right w:val="nil"/>
                            <w:between w:val="nil"/>
                          </w:pBdr>
                          <w:suppressAutoHyphens/>
                          <w:jc w:val="both"/>
                          <w:rPr>
                            <w:szCs w:val="24"/>
                            <w:lang w:eastAsia="ar-SA"/>
                          </w:rPr>
                        </w:pPr>
                        <w:r>
                          <w:rPr>
                            <w:szCs w:val="24"/>
                            <w:lang w:eastAsia="ar-SA"/>
                          </w:rPr>
                          <w:t>Diskutuodamas</w:t>
                        </w:r>
                        <w:r>
                          <w:rPr>
                            <w:color w:val="0000FF"/>
                            <w:szCs w:val="24"/>
                            <w:lang w:eastAsia="ar-SA"/>
                          </w:rPr>
                          <w:t xml:space="preserve"> </w:t>
                        </w:r>
                        <w:r>
                          <w:rPr>
                            <w:szCs w:val="24"/>
                            <w:lang w:eastAsia="ar-SA"/>
                          </w:rPr>
                          <w:t>kritiškai vertina ir pateikia pavyzdžių apie žmogaus orumo išsaugojimo poveikį žmogaus sveikatai (B1.3.).</w:t>
                        </w:r>
                      </w:p>
                    </w:tc>
                    <w:tc>
                      <w:tcPr>
                        <w:tcW w:w="3791" w:type="dxa"/>
                      </w:tcPr>
                      <w:p>
                        <w:pPr>
                          <w:pBdr>
                            <w:top w:val="nil"/>
                            <w:left w:val="nil"/>
                            <w:bottom w:val="nil"/>
                            <w:right w:val="nil"/>
                            <w:between w:val="nil"/>
                          </w:pBdr>
                          <w:suppressAutoHyphens/>
                          <w:jc w:val="both"/>
                          <w:rPr>
                            <w:szCs w:val="24"/>
                            <w:lang w:eastAsia="ar-SA"/>
                          </w:rPr>
                        </w:pPr>
                        <w:r>
                          <w:rPr>
                            <w:szCs w:val="24"/>
                            <w:lang w:eastAsia="ar-SA"/>
                          </w:rPr>
                          <w:t>Savarankiškai analizuoja situacijas ir pateikia pavyzdžius žmogaus buvo traktuotas kaip daikto ir poveikį sveikatai (B1.4.).</w:t>
                        </w:r>
                      </w:p>
                    </w:tc>
                  </w:tr>
                  <w:tr>
                    <w:tc>
                      <w:tcPr>
                        <w:tcW w:w="3790" w:type="dxa"/>
                      </w:tcPr>
                      <w:p>
                        <w:pPr>
                          <w:pBdr>
                            <w:top w:val="nil"/>
                            <w:left w:val="nil"/>
                            <w:bottom w:val="nil"/>
                            <w:right w:val="nil"/>
                            <w:between w:val="nil"/>
                          </w:pBdr>
                          <w:suppressAutoHyphens/>
                          <w:jc w:val="both"/>
                          <w:rPr>
                            <w:szCs w:val="24"/>
                            <w:lang w:eastAsia="ar-SA"/>
                          </w:rPr>
                        </w:pPr>
                        <w:r>
                          <w:rPr>
                            <w:szCs w:val="24"/>
                            <w:lang w:eastAsia="ar-SA"/>
                          </w:rPr>
                          <w:t>Bendrais bruožais paaiškina nesavanaudiškos draugystės svarbą meilės raidai (</w:t>
                        </w:r>
                        <w:r>
                          <w:rPr>
                            <w:color w:val="000000"/>
                            <w:szCs w:val="24"/>
                            <w:lang w:eastAsia="ar-SA"/>
                          </w:rPr>
                          <w:t>B2.1</w:t>
                        </w:r>
                        <w:r>
                          <w:rPr>
                            <w:szCs w:val="24"/>
                            <w:lang w:eastAsia="ar-SA"/>
                          </w:rPr>
                          <w:t>).</w:t>
                        </w:r>
                      </w:p>
                    </w:tc>
                    <w:tc>
                      <w:tcPr>
                        <w:tcW w:w="3791" w:type="dxa"/>
                      </w:tcPr>
                      <w:p>
                        <w:pPr>
                          <w:suppressAutoHyphens/>
                          <w:jc w:val="both"/>
                          <w:rPr>
                            <w:szCs w:val="24"/>
                            <w:lang w:eastAsia="ar-SA"/>
                          </w:rPr>
                        </w:pPr>
                        <w:r>
                          <w:rPr>
                            <w:szCs w:val="24"/>
                            <w:lang w:eastAsia="ar-SA"/>
                          </w:rPr>
                          <w:t xml:space="preserve">Atsakydamas į klausimus paaiškina brandžių, įsipareigojančių santykių, grįstų  tarpusavio pagarba ir asmens orumo išsaugojimu, principus (B2.2.).</w:t>
                        </w:r>
                      </w:p>
                    </w:tc>
                    <w:tc>
                      <w:tcPr>
                        <w:tcW w:w="3791" w:type="dxa"/>
                      </w:tcPr>
                      <w:p>
                        <w:pPr>
                          <w:pBdr>
                            <w:top w:val="nil"/>
                            <w:left w:val="nil"/>
                            <w:bottom w:val="nil"/>
                            <w:right w:val="nil"/>
                            <w:between w:val="nil"/>
                          </w:pBdr>
                          <w:suppressAutoHyphens/>
                          <w:jc w:val="both"/>
                          <w:rPr>
                            <w:szCs w:val="24"/>
                            <w:lang w:eastAsia="ar-SA"/>
                          </w:rPr>
                        </w:pPr>
                        <w:r>
                          <w:rPr>
                            <w:szCs w:val="24"/>
                            <w:lang w:eastAsia="ar-SA"/>
                          </w:rPr>
                          <w:t>Palygina skirtingas meilės rūšis ir jų raiškos būdus bei susieja asmens gebėjimą mylėti nesavanaudiška meile su sveikata (B2.3.).</w:t>
                        </w:r>
                      </w:p>
                    </w:tc>
                    <w:tc>
                      <w:tcPr>
                        <w:tcW w:w="3791" w:type="dxa"/>
                      </w:tcPr>
                      <w:p>
                        <w:pPr>
                          <w:pBdr>
                            <w:top w:val="nil"/>
                            <w:left w:val="nil"/>
                            <w:bottom w:val="nil"/>
                            <w:right w:val="nil"/>
                            <w:between w:val="nil"/>
                          </w:pBdr>
                          <w:suppressAutoHyphens/>
                          <w:jc w:val="both"/>
                          <w:rPr>
                            <w:szCs w:val="24"/>
                            <w:lang w:eastAsia="ar-SA"/>
                          </w:rPr>
                        </w:pPr>
                        <w:r>
                          <w:rPr>
                            <w:szCs w:val="24"/>
                            <w:lang w:eastAsia="ar-SA"/>
                          </w:rPr>
                          <w:t>Savarankiškai pagrindžia pagrindines prielaidas, kurios būtinos siekiant išsiugdyti gebėjimą mylėti nesavanaudiška, kuriančiąja meile (B2.4.).</w:t>
                        </w:r>
                      </w:p>
                    </w:tc>
                  </w:tr>
                  <w:tr>
                    <w:tc>
                      <w:tcPr>
                        <w:tcW w:w="3790" w:type="dxa"/>
                      </w:tcPr>
                      <w:p>
                        <w:pPr>
                          <w:pBdr>
                            <w:top w:val="nil"/>
                            <w:left w:val="nil"/>
                            <w:bottom w:val="nil"/>
                            <w:right w:val="nil"/>
                            <w:between w:val="nil"/>
                          </w:pBdr>
                          <w:suppressAutoHyphens/>
                          <w:jc w:val="both"/>
                          <w:rPr>
                            <w:szCs w:val="24"/>
                            <w:lang w:eastAsia="ar-SA"/>
                          </w:rPr>
                        </w:pPr>
                        <w:r>
                          <w:rPr>
                            <w:szCs w:val="24"/>
                            <w:lang w:eastAsia="ar-SA"/>
                          </w:rPr>
                          <w:t>Apibūdina tarpasmeninių, brandžių, ilgalaikių santykių, sąsajas su žmogaus sveikata (</w:t>
                        </w:r>
                        <w:r>
                          <w:rPr>
                            <w:color w:val="000000"/>
                            <w:szCs w:val="24"/>
                            <w:lang w:eastAsia="ar-SA"/>
                          </w:rPr>
                          <w:t>B3.1.</w:t>
                        </w:r>
                        <w:r>
                          <w:rPr>
                            <w:szCs w:val="24"/>
                            <w:lang w:eastAsia="ar-SA"/>
                          </w:rPr>
                          <w:t>).</w:t>
                        </w:r>
                      </w:p>
                    </w:tc>
                    <w:tc>
                      <w:tcPr>
                        <w:tcW w:w="3791" w:type="dxa"/>
                      </w:tcPr>
                      <w:p>
                        <w:pPr>
                          <w:suppressAutoHyphens/>
                          <w:jc w:val="both"/>
                          <w:rPr>
                            <w:szCs w:val="24"/>
                            <w:lang w:eastAsia="ar-SA"/>
                          </w:rPr>
                        </w:pPr>
                        <w:r>
                          <w:rPr>
                            <w:szCs w:val="24"/>
                            <w:lang w:eastAsia="ar-SA"/>
                          </w:rPr>
                          <w:t>Paaiškina santykių nutrūkimo pavojų žmogaus sveikatai. Pateikia duomenis iš skirtingų šaltinių (B3.2.).</w:t>
                        </w:r>
                      </w:p>
                    </w:tc>
                    <w:tc>
                      <w:tcPr>
                        <w:tcW w:w="3791" w:type="dxa"/>
                      </w:tcPr>
                      <w:p>
                        <w:pPr>
                          <w:pBdr>
                            <w:top w:val="nil"/>
                            <w:left w:val="nil"/>
                            <w:bottom w:val="nil"/>
                            <w:right w:val="nil"/>
                            <w:between w:val="nil"/>
                          </w:pBdr>
                          <w:suppressAutoHyphens/>
                          <w:jc w:val="both"/>
                          <w:rPr>
                            <w:szCs w:val="24"/>
                            <w:lang w:eastAsia="ar-SA"/>
                          </w:rPr>
                        </w:pPr>
                        <w:r>
                          <w:rPr>
                            <w:szCs w:val="24"/>
                            <w:lang w:eastAsia="ar-SA"/>
                          </w:rPr>
                          <w:t>Padedamas vertina santykių nutrūkimo pavojų visuomenės sveikatai. Pateikia duomenis iš skirtingų šaltinių (B3.3.).</w:t>
                        </w:r>
                      </w:p>
                    </w:tc>
                    <w:tc>
                      <w:tcPr>
                        <w:tcW w:w="3791" w:type="dxa"/>
                      </w:tcPr>
                      <w:p>
                        <w:pPr>
                          <w:pBdr>
                            <w:top w:val="nil"/>
                            <w:left w:val="nil"/>
                            <w:bottom w:val="nil"/>
                            <w:right w:val="nil"/>
                            <w:between w:val="nil"/>
                          </w:pBdr>
                          <w:suppressAutoHyphens/>
                          <w:jc w:val="both"/>
                          <w:rPr>
                            <w:szCs w:val="24"/>
                            <w:lang w:eastAsia="ar-SA"/>
                          </w:rPr>
                        </w:pPr>
                        <w:r>
                          <w:rPr>
                            <w:szCs w:val="24"/>
                            <w:lang w:eastAsia="ar-SA"/>
                          </w:rPr>
                          <w:t xml:space="preserve">Savarankiškai kuria ir pateikia asmeninio laimingo gyvenimo, susieto su ilgalaikiais brandžiais santykiais ir gera sveikata, kelią (B3.4.). </w:t>
                        </w:r>
                      </w:p>
                    </w:tc>
                  </w:tr>
                  <w:tr>
                    <w:trPr>
                      <w:trHeight w:val="454"/>
                    </w:trPr>
                    <w:tc>
                      <w:tcPr>
                        <w:tcW w:w="15163" w:type="dxa"/>
                        <w:gridSpan w:val="4"/>
                        <w:tcBorders>
                          <w:bottom w:val="single" w:sz="4" w:space="0" w:color="auto"/>
                        </w:tcBorders>
                        <w:vAlign w:val="center"/>
                      </w:tcPr>
                      <w:p>
                        <w:pPr>
                          <w:pBdr>
                            <w:top w:val="nil"/>
                            <w:left w:val="nil"/>
                            <w:bottom w:val="nil"/>
                            <w:right w:val="nil"/>
                            <w:between w:val="nil"/>
                          </w:pBdr>
                          <w:suppressAutoHyphens/>
                          <w:jc w:val="center"/>
                          <w:rPr>
                            <w:szCs w:val="24"/>
                            <w:lang w:eastAsia="ar-SA"/>
                          </w:rPr>
                        </w:pPr>
                        <w:r>
                          <w:rPr>
                            <w:szCs w:val="24"/>
                            <w:lang w:eastAsia="ar-SA"/>
                          </w:rPr>
                          <w:t>Sveikatos išsaugojimo ir stiprinimo galimybių tyrinėjimas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83"/>
                    </w:trPr>
                    <w:tc>
                      <w:tcPr>
                        <w:tcW w:w="3790"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Pagrindžia sveikatos raštingumo svarbą, įgalinant asmenį priimti sveikatai palankius sprendimus, įsivertina savo sveikatos žinių raštingumo lygį (C1.1.).</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 xml:space="preserve">Analizuoja sveikatos raštingumo ryšį su laisvu informuoto asmens pasirinkimo galimybe, paaiškina  kuo skiriasi objektyvi informacija, faktai, duomenys nuo subjektyvios informacijos, nuomonių (C1.2.).</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 xml:space="preserve">Analizuodamas ir kritiškai vertindamas informacijos šaltinių patikimumą, pasirenka patikimus informacijos šaltinius, siekia gauti ir suprasti žinias apie sveikatą,  palankias sveikatai galimybes ir paslaugas (C1.3.).</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 xml:space="preserve">Atsižvelgdamas į savo asmeninę sveikatos būklę, išskiria palankias asmeninės sveikatos išsaugojimo ir stiprinimo galimybes. Pritaiko  ir integruoja turimas sveikatos žinias į savo gyvenseną, naudojasi visuomenės sveikatos stiprinimo  paslaugomis, nuolat siekia atnaujinti ir plėsti sveikatos žinių raštingumą (C1.4.).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83"/>
                    </w:trPr>
                    <w:tc>
                      <w:tcPr>
                        <w:tcW w:w="3790"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color w:val="000000"/>
                            <w:szCs w:val="24"/>
                            <w:lang w:eastAsia="ar-SA"/>
                          </w:rPr>
                        </w:pPr>
                        <w:r>
                          <w:rPr>
                            <w:szCs w:val="24"/>
                            <w:lang w:eastAsia="ar-SA"/>
                          </w:rPr>
                          <w:t>Analizuoja ir atpažįsta masinėje kultūroje, rinkodaroje užslėptus fizinei ir psichinei sveikatai nepalankius reiškinius (C2.1.).</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color w:val="000000"/>
                            <w:szCs w:val="24"/>
                            <w:lang w:eastAsia="ar-SA"/>
                          </w:rPr>
                        </w:pPr>
                        <w:r>
                          <w:rPr>
                            <w:szCs w:val="24"/>
                            <w:lang w:eastAsia="ar-SA"/>
                          </w:rPr>
                          <w:t>Paaiškina bendravimo socialinėse medijose etiką, atpažįsta virtualioje erdvėje slypinčius pavojus, analizuoja internetinės priklausomybės formas (C2.2.).</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color w:val="000000"/>
                            <w:szCs w:val="24"/>
                            <w:lang w:eastAsia="ar-SA"/>
                          </w:rPr>
                        </w:pPr>
                        <w:r>
                          <w:rPr>
                            <w:szCs w:val="24"/>
                            <w:lang w:eastAsia="ar-SA"/>
                          </w:rPr>
                          <w:t>Analizuoja sveikatai kenksmingų cheminių medžiagų, esančių aplinkoje, vaistų, hormonų, hormoninės kontracepcijos ir kt. paplitimą, trumpalaikį ir ilgalaikį poveikį sveikatai, ieško ir renkasi saugesnes alternatyvas (C2.3.).</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Savarankiškai atpažįsta nesaugią aplinką ir įvertina galimą riziką sveikatai ir gyvybei, tardamasis pateikia veiksmų sekos planus esant ekstremalioms situacijoms, žino, kur, kaip ir kada kreiptis pagalbos (C2.4.).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283"/>
                    </w:trPr>
                    <w:tc>
                      <w:tcPr>
                        <w:tcW w:w="3790"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Apibendrina lėtinių neinfekcinių ligų ir</w:t>
                        </w:r>
                        <w:r>
                          <w:rPr>
                            <w:szCs w:val="24"/>
                            <w:highlight w:val="white"/>
                            <w:lang w:eastAsia="ar-SA"/>
                          </w:rPr>
                          <w:t xml:space="preserve"> sužalojimų</w:t>
                        </w:r>
                        <w:r>
                          <w:rPr>
                            <w:szCs w:val="24"/>
                            <w:lang w:eastAsia="ar-SA"/>
                          </w:rPr>
                          <w:t xml:space="preserve"> paplitimą ir priežastis, paaiškina sveikatą lemiančių veiksnių tarpusavio sąsajas, analizuoja gyvensenos ir ligų atsiradimo ryšį (C3.1.).</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 xml:space="preserve">Paaiškina  streso  poveikį sveikatai, atpažįsta streso pasireiškimo atvejus įvairiame kontekste, analizuoja streso rūšis, išskirdamas streso ekstremalių situacijų metu, potrauminio streso atpažinimo kriterijus, pagalbos būdus ir galimybes (C3.2.).</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 xml:space="preserve">Savarankiškai analizuoja savo šeimos, giminės  sveikatos problemas ir remdamasis žiniomis apie lėtinių neinfekcinių ligų prevenciją, modeliuoja asmeninių prevencinių veiksmų planą, paaiškina prevencinių sveikatos programų svarbą (C3.3.).</w:t>
                        </w:r>
                      </w:p>
                    </w:tc>
                    <w:tc>
                      <w:tcPr>
                        <w:tcW w:w="3791" w:type="dxa"/>
                        <w:tcBorders>
                          <w:top w:val="single" w:sz="4" w:space="0" w:color="auto"/>
                          <w:left w:val="single" w:sz="4" w:space="0" w:color="auto"/>
                          <w:bottom w:val="single" w:sz="4" w:space="0" w:color="auto"/>
                          <w:right w:val="single" w:sz="4" w:space="0" w:color="auto"/>
                        </w:tcBorders>
                      </w:tcPr>
                      <w:p>
                        <w:pPr>
                          <w:pBdr>
                            <w:top w:val="nil"/>
                            <w:left w:val="nil"/>
                            <w:bottom w:val="nil"/>
                            <w:right w:val="nil"/>
                            <w:between w:val="nil"/>
                          </w:pBdr>
                          <w:suppressAutoHyphens/>
                          <w:jc w:val="both"/>
                          <w:rPr>
                            <w:szCs w:val="24"/>
                            <w:lang w:eastAsia="ar-SA"/>
                          </w:rPr>
                        </w:pPr>
                        <w:r>
                          <w:rPr>
                            <w:szCs w:val="24"/>
                            <w:lang w:eastAsia="ar-SA"/>
                          </w:rPr>
                          <w:t xml:space="preserve">Kuria ligas sukeliančios gyvensenos keitimo schemas, argumentuotai pagrindžia asmeninės atsakomybės už savo ir kitų sveikatą svarbą, tikslingai pasirenka ir praktikuoja  sveiką gyvenseną (C3.4.).</w:t>
                        </w:r>
                      </w:p>
                    </w:tc>
                  </w:tr>
                </w:tbl>
                <w:p>
                  <w:pPr>
                    <w:widowControl w:val="0"/>
                    <w:pBdr>
                      <w:top w:val="nil"/>
                      <w:left w:val="nil"/>
                      <w:bottom w:val="nil"/>
                      <w:right w:val="nil"/>
                      <w:between w:val="nil"/>
                    </w:pBdr>
                    <w:suppressAutoHyphens/>
                    <w:spacing w:line="276" w:lineRule="auto"/>
                    <w:jc w:val="center"/>
                    <w:rPr>
                      <w:szCs w:val="24"/>
                      <w:lang w:eastAsia="ar-SA"/>
                    </w:rPr>
                  </w:pPr>
                </w:p>
                <w:p>
                  <w:pPr>
                    <w:widowControl w:val="0"/>
                    <w:pBdr>
                      <w:top w:val="nil"/>
                      <w:left w:val="nil"/>
                      <w:bottom w:val="nil"/>
                      <w:right w:val="nil"/>
                      <w:between w:val="nil"/>
                    </w:pBdr>
                    <w:suppressAutoHyphens/>
                    <w:spacing w:line="276" w:lineRule="auto"/>
                    <w:jc w:val="center"/>
                    <w:rPr>
                      <w:szCs w:val="24"/>
                      <w:lang w:eastAsia="ar-SA"/>
                    </w:rPr>
                  </w:pPr>
                </w:p>
                <w:p>
                  <w:pPr>
                    <w:widowControl w:val="0"/>
                    <w:pBdr>
                      <w:top w:val="nil"/>
                      <w:left w:val="nil"/>
                      <w:bottom w:val="nil"/>
                      <w:right w:val="nil"/>
                      <w:between w:val="nil"/>
                    </w:pBdr>
                    <w:suppressAutoHyphens/>
                    <w:spacing w:line="276" w:lineRule="auto"/>
                    <w:jc w:val="center"/>
                    <w:rPr>
                      <w:szCs w:val="24"/>
                      <w:lang w:eastAsia="ar-SA"/>
                    </w:rPr>
                  </w:pPr>
                  <w:r>
                    <w:rPr>
                      <w:szCs w:val="24"/>
                      <w:lang w:eastAsia="ar-SA"/>
                    </w:rPr>
                    <w:t>__________________________</w:t>
                  </w:r>
                </w:p>
              </w:sdtContent>
            </w:sdt>
          </w:sdtContent>
        </w:sdt>
      </w:sdtContent>
    </w:sdt>
    <w:sectPr>
      <w:headerReference w:type="default" r:id="rId16"/>
      <w:headerReference w:type="first" r:id="rId17"/>
      <w:pgSz w:w="16838" w:h="11906" w:orient="landscape" w:code="9"/>
      <w:pgMar w:top="1134" w:right="567" w:bottom="851" w:left="1134" w:header="567" w:footer="567"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PAGE   \* MERGEFORMAT</w:instrText>
    </w:r>
    <w:r>
      <w:rPr>
        <w:szCs w:val="24"/>
        <w:lang w:eastAsia="ar-SA"/>
      </w:rPr>
      <w:fldChar w:fldCharType="separate"/>
    </w:r>
    <w:r>
      <w:rPr>
        <w:szCs w:val="24"/>
        <w:lang w:eastAsia="ar-SA"/>
      </w:rPr>
      <w:t>2</w:t>
    </w:r>
    <w:r>
      <w:rPr>
        <w:szCs w:val="24"/>
        <w:lang w:eastAsia="ar-SA"/>
      </w:rPr>
      <w:fldChar w:fldCharType="end"/>
    </w:r>
  </w:p>
  <w:p>
    <w:pPr>
      <w:tabs>
        <w:tab w:val="center" w:pos="4819"/>
        <w:tab w:val="right" w:pos="9638"/>
      </w:tabs>
      <w:suppressAutoHyphens/>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suppressAutoHyphens/>
      <w:jc w:val="center"/>
      <w:rPr>
        <w:color w:val="000000"/>
        <w:sz w:val="22"/>
        <w:szCs w:val="22"/>
        <w:lang w:eastAsia="ar-SA"/>
      </w:rPr>
    </w:pPr>
    <w:r>
      <w:rPr>
        <w:color w:val="000000"/>
        <w:sz w:val="22"/>
        <w:szCs w:val="22"/>
        <w:lang w:eastAsia="ar-SA"/>
      </w:rPr>
      <w:fldChar w:fldCharType="begin"/>
    </w:r>
    <w:r>
      <w:rPr>
        <w:color w:val="000000"/>
        <w:sz w:val="22"/>
        <w:szCs w:val="22"/>
        <w:lang w:eastAsia="ar-SA"/>
      </w:rPr>
      <w:instrText>PAGE</w:instrText>
    </w:r>
    <w:r>
      <w:rPr>
        <w:color w:val="000000"/>
        <w:sz w:val="22"/>
        <w:szCs w:val="22"/>
        <w:lang w:eastAsia="ar-SA"/>
      </w:rPr>
      <w:fldChar w:fldCharType="separate"/>
    </w:r>
    <w:r>
      <w:rPr>
        <w:color w:val="000000"/>
        <w:sz w:val="22"/>
        <w:szCs w:val="22"/>
        <w:lang w:eastAsia="ar-SA"/>
      </w:rPr>
      <w:t>10</w:t>
    </w:r>
    <w:r>
      <w:rPr>
        <w:color w:val="000000"/>
        <w:sz w:val="22"/>
        <w:szCs w:val="22"/>
        <w:lang w:eastAsia="ar-SA"/>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5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F22E6111-673C-4611-95C9-D606C3AA29C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go:gDocsCustomXmlDataStorage xmlns:go="http://customooxmlschemas.google.com/" xmlns:r="http://schemas.openxmlformats.org/officeDocument/2006/relationships">
  <go:docsCustomData roundtripDataSignature="AMtx7mjUYILiLeqlPrYYZitnSgSlJ5cOyA==">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</go:docsCustomData>
</go:gDocsCustomXmlDataStorage>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riedas" Nr="49" Abbr="49 pr." Title="SVEIKATOS UGDYMO BENDROJI PROGRAMA" DocPartId="f6e30ef105b84289898a98a6ba135566" PartId="3f2931076a3542428055125a06519adc">
    <Part Type="skirsnis" Title="I SKYRIUS BENDROSIOS NUOSTATOS" DocPartId="b921cdd9804347e3b299db0ce8365ed1" PartId="1c0ec5ccb4c842cd93d2e9860e26d0fc">
      <Part Type="punktas" Nr="1" Abbr="49 pr. 1 p." DocPartId="8a3757ec1cef4bf5af80ccc73dd8d55b" PartId="4a7f5082e6f748719f993a8dcb9f08c3"/>
      <Part Type="punktas" Nr="2" Abbr="49 pr. 2 p." DocPartId="52068f105b564e3283b2c21a44039b5b" PartId="2ff11f723d844ddb8fd3ff484f389e4e"/>
      <Part Type="punktas" Nr="3" Abbr="49 pr. 3 p." DocPartId="fae75dd28f2b4a0c8808e58182c76753" PartId="82ffcf3971fb44b997c1b093a93ba60a"/>
      <Part Type="punktas" Nr="4" Abbr="49 pr. 4 p." DocPartId="db682de975a94d63b3a3dfcbeeb3a685" PartId="ee1cf4761871478c9c955e51bcce0b55"/>
      <Part Type="punktas" Nr="5" Abbr="49 pr. 5 p." DocPartId="cdb23232da184fee929c4ef8c469182d" PartId="70492fd7d91b4a749126f22cc10995b6"/>
      <Part Type="punktas" Nr="6" Abbr="49 pr. 6 p." DocPartId="1448bd8f56594ee885acb3f536866d9e" PartId="155dfa826a8d4ec69bc2ba08fa737114"/>
    </Part>
    <Part Type="skirsnis" Title="II SKYRIUS TIKSLAS IR UŽDAVINIAI" DocPartId="cbed8b3c20004ea6832403a894a6b1cb" PartId="a6a79fab82584516833195a8a53dedc2">
      <Part Type="punktas" Nr="7" Abbr="49 pr. 7 p." DocPartId="b8c9e6d8424f44a99ab4e433770e9666" PartId="c3c044418bc04b4bad5aba07e8764f62"/>
      <Part Type="punktas" Nr="8" Abbr="49 pr. 8 p." DocPartId="68961904016f4fc2a33aa528f3b92f37" PartId="7905b3c94dde400b9df49bcef5e66ea7">
        <Part Type="papunktis" Nr="8.1" Abbr="49 pr. 8.1 pp." DocPartId="f10d48f494e145b0bc15d62e9a6c66ac" PartId="eebb7714ca8a4b7da7acfdf8b6ee6ed5"/>
        <Part Type="papunktis" Nr="8.2" Abbr="49 pr. 8.2 pp." DocPartId="56efd02ce4bf4835b5bfa51c30ba5711" PartId="b0262ff515cf49d7895a1838bff4e27a"/>
        <Part Type="papunktis" Nr="8.3" Abbr="49 pr. 8.3 pp." DocPartId="7cddaed4b5014f8fa5daf833b31450fe" PartId="32c2bb452efe498f908843fe87e95f01"/>
        <Part Type="papunktis" Nr="8.4" Abbr="49 pr. 8.4 pp." DocPartId="3bee9e35765c4b3a92b0e4cbc65a9cdb" PartId="e06eca1ea65e47a0a545187330f75ebc"/>
        <Part Type="papunktis" Nr="8.5" Abbr="49 pr. 8.5 pp." DocPartId="3dc24c43a9c1498995e20dc024ea36c6" PartId="1961c6f349c74f6bba9b469f8be0f5ca"/>
        <Part Type="papunktis" Nr="8.6" Abbr="49 pr. 8.6 pp." DocPartId="3eb8b8ae26bd429894eeeccb30a00bd5" PartId="eec65d4f2b6741b79254bfe99d82b50e"/>
        <Part Type="papunktis" Nr="8.7" Abbr="49 pr. 8.7 pp." DocPartId="d32ec5c3e1e44d44af091778d853b3f7" PartId="4c83931fdf3c4554b0fdbee4c24ee24f"/>
        <Part Type="papunktis" Nr="8.8" Abbr="49 pr. 8.8 pp." DocPartId="f03c214e3b82460b84dc63b1f7af7428" PartId="6b37bd73642d4d1d82db4b6e33dec4ba"/>
      </Part>
    </Part>
    <Part Type="skirsnis" Title="III SKYRIUS KOMPETENCIJŲ UGDYMAS" DocPartId="f8669e0944b84cfa9e177911660bb778" PartId="531f83e639384aa98813dfe13f303d18">
      <Part Type="punktas" Nr="9" Abbr="49 pr. 9 p." DocPartId="56606a9803ea462297337f7b099e6317" PartId="bc6a1b09cebf45beb5066851b7e7e239"/>
      <Part Type="punktas" Nr="10" Abbr="49 pr. 10 p." DocPartId="b380c6caaff64fc3b95b60e9ed9785a7" PartId="0440cd97e9454bb8b585c413d361a8ce"/>
      <Part Type="punktas" Nr="11" Abbr="49 pr. 11 p." DocPartId="d32e67a2520f4528b5eb057786439ec6" PartId="89572d5f3b5346b9a1b5d35bad30853b"/>
      <Part Type="punktas" Nr="12" Abbr="49 pr. 12 p." DocPartId="7b092c173d7242a98c324415dd645106" PartId="79e444a607bf46fcb55ee248c89ba0be"/>
      <Part Type="punktas" Nr="13" Abbr="49 pr. 13 p." DocPartId="b02bc327e87147708696776a1491ce95" PartId="1a75c051041f4380879df87d50f16b83"/>
      <Part Type="punktas" Nr="14" Abbr="49 pr. 14 p." DocPartId="954c6d2e120247fdbbaaf637837bdfb2" PartId="b0b2cf51f68b47918ed694e368b049ec"/>
      <Part Type="punktas" Nr="15" Abbr="49 pr. 15 p." DocPartId="196310636a974e60aeccee3f95eeb2be" PartId="52d0d625770d43e08d73c1c1aee288fe"/>
      <Part Type="punktas" Nr="16" Abbr="49 pr. 16 p." DocPartId="7416e1542a184e39a02e2b2f56944eb7" PartId="ffde6fd252d9425384e856cd3912ac92"/>
    </Part>
    <Part Type="skirsnis" Title="IV SKYRIUS PASIEKIMŲ SRITYS IR PASIEKIMAI" DocPartId="8e2dfe7d90f542168ab225ec78860f6b" PartId="fabac8795acf4c28bf76f8573b152ff6">
      <Part Type="punktas" Nr="17" Abbr="49 pr. 17 p." DocPartId="6a87223292ba4781993285b23f9e97b0" PartId="e9fbdb8cdc8a40d78f6d7cf773636e9f">
        <Part Type="papunktis" Nr="17.1" Abbr="49 pr. 17.1 pp." DocPartId="0229d7da6b464bc2861e6f8f4412cc83" PartId="df84e77924dd439181c6ea02c0d05c39"/>
        <Part Type="papunktis" Nr="17.2" Abbr="49 pr. 17.2 pp." DocPartId="7ab853d5af6b43c0a745454a85437168" PartId="bad69403dd624b388ef712f1ffa78fb9"/>
        <Part Type="papunktis" Nr="17.3" Abbr="49 pr. 17.3 pp." DocPartId="6c7c27ee60664459926cb0b0ed0be919" PartId="aa56d80507e540f2aaa5408bb8d9c9e0"/>
      </Part>
      <Part Type="punktas" Nr="18" Abbr="49 pr. 18 p." DocPartId="705a496a6e3c4452806a9ef000efcd4f" PartId="6e78455ad71e4a2f8ce401f9fe6cf3f3">
        <Part Type="papunktis" Nr="18.1" Abbr="49 pr. 18.1 pp." DocPartId="cb61d7328d70481e99c8b361636caf4f" PartId="81a889df45f843718f6cd9b78bd879ab"/>
        <Part Type="papunktis" Nr="18.2" Abbr="49 pr. 18.2 pp." DocPartId="159025ef9e424d41bf5c6eebf03d70a9" PartId="ee680f3b30df452b95e5935b817defa2"/>
        <Part Type="papunktis" Nr="18.3" Abbr="49 pr. 18.3 pp." DocPartId="e15975c7f0a649efba363fd1f472ea4d" PartId="03ead04bde8a4638b1436e614763e874"/>
      </Part>
      <Part Type="punktas" Nr="19" Abbr="49 pr. 19 p." DocPartId="3e8d314d510d45618086a86362c249b1" PartId="636d167896ed4484bf5ec636697ebe2d">
        <Part Type="papunktis" Nr="19.1" Abbr="49 pr. 19.1 pp." DocPartId="5e4623bac3d64e2a8f87180339d39874" PartId="bc82c9ae6d3b496c8b4cb593fecbb422"/>
        <Part Type="papunktis" Nr="19.2" Abbr="49 pr. 19.2 pp." DocPartId="d0ce20931b8e4da79c50dfaa0011d656" PartId="047504b6855f41cdb7f97dc0ab967afa"/>
        <Part Type="papunktis" Nr="19.3" Abbr="49 pr. 19.3 pp." DocPartId="83b9c35743d44ba68865d70599701279" PartId="b9ce138d6aa44ffabbb8c12f8817146b"/>
        <Part Type="papunktis" Nr="19.4" Abbr="49 pr. 19.4 pp." DocPartId="1b8fddaf4f774c2fb84f0af774f95d1e" PartId="6ab8a43b428140478650f26ce1dcd824"/>
      </Part>
    </Part>
    <Part Type="skirsnis" Title="V SKYRIUS MOKYMO(SI) TURINYS" DocPartId="e39c5fc9d4df4adbaf815a93d5cff078" PartId="51d437ccfb1341588029105281b3e82a">
      <Part Type="punktas" Nr="20" Abbr="49 pr. 20 p." DocPartId="379ada5df5e24bfcbef25a5be1928a4c" PartId="121b8db1c2a7464ea2447950fb7e5ed0">
        <Part Type="papunktis" Nr="20.1" Abbr="49 pr. 20.1 pp." DocPartId="5e8f16c8c4e946b9b94ccf009b908eda" PartId="a1899c71835347c8b89ee60747892d62">
          <Part Type="papunktis" Nr="20.1.1" Abbr="49 pr. 20.1.1 pp." DocPartId="41dafeab72424e5ea08fdc02b988fbdc" PartId="cccc3fa756354147b356424f64a503fa"/>
          <Part Type="papunktis" Nr="20.1.2" Abbr="49 pr. 20.1.2 pp." DocPartId="b96483a795ea43f4beefa28236a24cfa" PartId="1eac88c99d0d492a8e8916a81d40376d"/>
          <Part Type="papunktis" Nr="20.1.3" Abbr="49 pr. 20.1.3 pp." DocPartId="f8e5128f556d440b94b7f8cdba5865ec" PartId="6924ddf0f6cc42589b11a1a34415e433"/>
        </Part>
        <Part Type="papunktis" Nr="21.1" Abbr="49 pr. 21.1 pp." Notes="Numeris ne iš eilės. Trūksta dalių? [DocDalys]" DocPartId="7b7e2effe91048d4a5554ada8b5af4fa" PartId="af9753cf8dfe4463825dbac16b20f1f6">
          <Part Type="papunktis" Nr="21.1.1" Abbr="49 pr. 21.1.1 pp." DocPartId="cf5b6d1d59d141a89d0bcbb0e5ec7fd9" PartId="c070b7fe91bd4fdd9d04e0423a3a68cb"/>
          <Part Type="papunktis" Nr="21.1.2" Abbr="49 pr. 21.1.2 pp." DocPartId="44f0ece52035418a90b80b7fd2493d4f" PartId="4bd4bc5d3e1846659af9cce63a895f75"/>
          <Part Type="papunktis" Nr="21.1.3" Abbr="49 pr. 21.1.3 pp." DocPartId="534ba44780e2404fa8963834080816e9" PartId="dc013cd7eb3440f1b8f31ac9ee81aced"/>
          <Part Type="papunktis" Nr="21.1.4" Abbr="49 pr. 21.1.4 pp." DocPartId="604cb5435da24510be176b1e78222e83" PartId="d2f27852a1b64f47940af5f807edbc1e"/>
        </Part>
        <Part Type="papunktis" Nr="21.2" Abbr="49 pr. 21.2 pp." DocPartId="bcecc86814ad4e5188f98c15b7454aab" PartId="0abe06bfbe0645f69f0a6aa267bee8ee">
          <Part Type="papunktis" Nr="21.2.1" Abbr="49 pr. 21.2.1 pp." DocPartId="1aa2847323994175be5a45feb83173c2" PartId="ca6222e1a9f141629d03917970725e9c"/>
          <Part Type="papunktis" Nr="21.2.2" Abbr="49 pr. 21.2.2 pp." DocPartId="61073e5d150b44978e9b8b9da5d78c77" PartId="7f1916b7cfe8447d818cbddb30cf5a21"/>
          <Part Type="papunktis" Nr="21.2.3" Abbr="49 pr. 21.2.3 pp." DocPartId="63637e0960fb4ec29858a1a5eceab884" PartId="26c572d3f31b4ea69f91e440a1c2a90f"/>
          <Part Type="papunktis" Nr="21.2.4" Abbr="49 pr. 21.2.4 pp." DocPartId="767895a6681d4c76a7998a08fb34ccfc" PartId="9f9013fd38034621b5d627c00b8d82ee"/>
          <Part Type="papunktis" Nr="21.2.5" Abbr="49 pr. 21.2.5 pp." DocPartId="348ea018444a4fc4b5356e718a53e402" PartId="dcf6a8c08a4649e381951fa09cb82e22"/>
        </Part>
        <Part Type="papunktis" Nr="21.3" Abbr="49 pr. 21.3 pp." DocPartId="d4ff660b6b0e4f39949332e65e9ddda9" PartId="3f27e95d275743c8bcc21feb7598c6b6">
          <Part Type="papunktis" Nr="21.3.1" Abbr="49 pr. 21.3.1 pp." DocPartId="d21b5144aa694247baa0a2f292415d05" PartId="9525964d5a754a19aa7353d90bf7b218"/>
          <Part Type="papunktis" Nr="21.3.2" Abbr="49 pr. 21.3.2 pp." DocPartId="1bc8855028b84dbfb0f70fc1f6f06eb7" PartId="ce138b575bfc4e9b93cd1adb2202b8f2"/>
          <Part Type="papunktis" Nr="21.3.3" Abbr="49 pr. 21.3.3 pp." DocPartId="4bb9feaf261c46c69c5ca0a3348dbc96" PartId="3ce05f8866a04852968127731eb7c7e7"/>
          <Part Type="papunktis" Nr="21.3.4" Abbr="49 pr. 21.3.4 pp." DocPartId="232135b4424248fea3bb595cc344dd01" PartId="911384de2f864984879a28958e2e7a5c"/>
          <Part Type="papunktis" Nr="21.3.5" Abbr="49 pr. 21.3.5 pp." DocPartId="4e74cd027a6344e297ee8325a3bde4a6" PartId="374c225b87a24aecbca4c57e4dcbf034"/>
          <Part Type="papunktis" Nr="21.3.6" Abbr="49 pr. 21.3.6 pp." DocPartId="c7c6b6269291457997a06bf08ac0e7fe" PartId="76460b2b1c774d61883c838bdf2d337f"/>
          <Part Type="papunktis" Nr="21.3.7" Abbr="49 pr. 21.3.7 pp." DocPartId="da82522dd0ee48ce903d33cf9f8d780a" PartId="a296e3beb746497abff851d4fd03d0fa"/>
          <Part Type="papunktis" Nr="21.3.8" Abbr="49 pr. 21.3.8 pp." DocPartId="0971713ec201414b981d8e5d39ee075a" PartId="fdcd9c4be36c46fbb47dba976b67517e"/>
        </Part>
      </Part>
      <Part Type="punktas" Nr="22" Abbr="49 pr. 22 p." Notes="Numeris ne iš eilės. Trūksta dalių? [DocDalys]" DocPartId="4d03d410492740a1846bd0b0b810fb8b" PartId="1d1d3bff589a4fc4b08ffc75a7a929c8">
        <Part Type="papunktis" Nr="22.1" Abbr="49 pr. 22.1 pp." DocPartId="550bd71153fd41daa16be9cf7c0ca526" PartId="353f6b3da71446f8ac1db57bfbe2ad0f">
          <Part Type="papunktis" Nr="22.1.1" Abbr="49 pr. 22.1.1 pp." DocPartId="aa69166ccc0348b49131de3bf28e7005" PartId="4c43678f648e4430b54279985afe1b7b"/>
          <Part Type="papunktis" Nr="22.1.2" Abbr="49 pr. 22.1.2 pp." DocPartId="ab507b3b4729408dadbf9bedfeb43542" PartId="216a639cb0954a2a91870648554e780a"/>
          <Part Type="papunktis" Nr="22.1.3" Abbr="49 pr. 22.1.3 pp." DocPartId="b48ff032fedf4ce594bbe0ff5e81a208" PartId="32130a970fd64a53a83b625ad6a8ca40"/>
          <Part Type="papunktis" Nr="22.1.4" Abbr="49 pr. 22.1.4 pp." DocPartId="6cdd9b63661340c4b657ccf60d0dabc3" PartId="0c24899913424db9b51eaaec99932055"/>
        </Part>
        <Part Type="papunktis" Nr="22.2" Abbr="49 pr. 22.2 pp." DocPartId="920dcd1d018e40fdb28e121fa210d688" PartId="37479dca3f284b71889f77993938c16e">
          <Part Type="papunktis" Nr="22.2.1" Abbr="49 pr. 22.2.1 pp." DocPartId="928cffbd2c4547db80af267ada8c4352" PartId="7398f89aebbf44b8b8c8c97dfdfab978"/>
          <Part Type="papunktis" Nr="22.2.2" Abbr="49 pr. 22.2.2 pp." DocPartId="8dca6ab2abe541ee9f5b47476e84ec6e" PartId="be89dcfb01354431a71ac46ef7b5490b"/>
          <Part Type="papunktis" Nr="22.2.3" Abbr="49 pr. 22.2.3 pp." DocPartId="43a6fa81ae874c8ca4bd6eed6e79a389" PartId="333d5f86260b4574a4965e00859c294e"/>
          <Part Type="papunktis" Nr="22.2.4" Abbr="49 pr. 22.2.4 pp." DocPartId="e3bff9d17480427087dfcdcb929b1632" PartId="0bfca0c61e344784a2410015b686b7e1"/>
          <Part Type="papunktis" Nr="22.2.5" Abbr="49 pr. 22.2.5 pp." DocPartId="3e40a6fd826f43368db827b62e48cfe6" PartId="2f50950c6832487093efce6611c8a3e7"/>
        </Part>
        <Part Type="papunktis" Nr="22.3" Abbr="49 pr. 22.3 pp." DocPartId="e5e88a4d440f4347a570b33aa8ce71f4" PartId="e2540eb4027149779b30e3ded3bb8a17">
          <Part Type="papunktis" Nr="22.3.1" Abbr="49 pr. 22.3.1 pp." DocPartId="6c12ba4101d4454794781880562cc66f" PartId="260c20171cd841a59434ea3205b03409"/>
          <Part Type="papunktis" Nr="22.3.2" Abbr="49 pr. 22.3.2 pp." DocPartId="5c26648053af4e2fb52e4c2a50f14738" PartId="f9951b7e8254470999140c83dc256736"/>
          <Part Type="papunktis" Nr="22.3.3" Abbr="49 pr. 22.3.3 pp." DocPartId="acac741e1a0647cdbfa4038988092fbf" PartId="16e48d24cc26494fa0603fc39db128ee"/>
          <Part Type="papunktis" Nr="22.3.4" Abbr="49 pr. 22.3.4 pp." DocPartId="dfcb80636a4f4da6b7113a067f1cd43f" PartId="f7a66065b6f94bb29481101a570c0a9d"/>
          <Part Type="papunktis" Nr="22.3.5" Abbr="49 pr. 22.3.5 pp." DocPartId="b9413a115c0d4b5c935acbde1ea15ecf" PartId="2d9a7db05c6a41ff8b067d69be465fa5"/>
          <Part Type="papunktis" Nr="22.3.6" Abbr="49 pr. 22.3.6 pp." DocPartId="4cfbcf5aee9b49c7a44cad8b7cf3530e" PartId="604bbb30ba014cd7a180cde724739f43"/>
        </Part>
      </Part>
    </Part>
    <Part Type="skirsnis" Title="VI SKYRIUS MOKINIŲ PASIEKIMŲ VERTINIMAS" DocPartId="4165d3d85f2d46a88e5c87cd0f926168" PartId="528fa913792b4d56af0d42b0af54588d">
      <Part Type="punktas" Nr="23" Abbr="49 pr. 23 p." DocPartId="18926ef428804ec988fa1d45bb814df2" PartId="f6335731280643708bf3cb71526ae71c"/>
      <Part Type="punktas" Nr="24" Abbr="49 pr. 24 p." DocPartId="fdc4352d20064cda9f3a2fb71294b8e3" PartId="00ddac360cf84363a86c375b14222263"/>
    </Part>
    <Part Type="skirsnis" Title="VII SKYRIUS MOKINIŲ PASIEKIMŲ LYGIŲ POŽYMIAI PAGAL PASIEKIMŲ SRITIS" DocPartId="e81f69f3877044fd9a9663f3a4d5e589" PartId="7f8c2f7c65f64b11a6ab7a393479855c">
      <Part Type="punktas" Nr="25" Abbr="49 pr. 25 p." DocPartId="eece325455cb437aa53107abc92237b2" PartId="0a675115745e4a7f9472f05ec2518801"/>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4976FE4-BF22-441A-ADFC-1B02B940F692}">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3.xml><?xml version="1.0" encoding="utf-8"?>
<ds:datastoreItem xmlns:ds="http://schemas.openxmlformats.org/officeDocument/2006/customXml" ds:itemID="{27CCCF83-CBC9-4DA5-81EC-12B0E05D1440}">
  <ds:schemaRefs>
    <ds:schemaRef ds:uri="http://schemas.microsoft.com/sharepoint/v3/contenttype/forms"/>
  </ds:schemaRefs>
</ds:datastoreItem>
</file>

<file path=customXml/itemProps4.xml><?xml version="1.0" encoding="utf-8"?>
<ds:datastoreItem xmlns:ds="http://schemas.openxmlformats.org/officeDocument/2006/customXml" ds:itemID="{247ABCF6-01DA-4B58-9601-5BBD78224E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9619E168-FBB6-4EF0-8932-C6CB416128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3561</Words>
  <Characters>26996</Characters>
  <Application>Microsoft Office Word</Application>
  <DocSecurity>4</DocSecurity>
  <Lines>574</Lines>
  <Paragraphs>188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Nacionaline svietimo agentura</Company>
  <LinksUpToDate>false</LinksUpToDate>
  <CharactersWithSpaces>30369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2022-06-15T10:41:00Z</lastPrinted>
  <dcterms:modified xsi:type="dcterms:W3CDTF">2022-07-07T15:37:00Z</dcterms:modified>
  <revision>2</revision>
  <dc:title>8717d4a2-be25-4f9b-a532-776a6f1160e9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