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9821586d59941338681cb20c2a7742e"/>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ind w:firstLine="62"/>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szCs w:val="24"/>
                    <w:lang w:bidi="en-US"/>
                  </w:rPr>
                </w:pPr>
                <w:r>
                  <w:rPr>
                    <w:rFonts w:eastAsia="Andale Sans UI"/>
                    <w:szCs w:val="24"/>
                    <w:lang w:bidi="en-US"/>
                  </w:rPr>
                  <w:t>Gavėjams pagal sąrašą</w:t>
                </w:r>
              </w:p>
              <w:p>
                <w:pPr>
                  <w:suppressLineNumbers/>
                  <w:jc w:val="both"/>
                  <w:rPr>
                    <w:rFonts w:eastAsia="Andale Sans UI"/>
                    <w:szCs w:val="24"/>
                    <w:lang w:bidi="en-US"/>
                  </w:rPr>
                </w:pPr>
              </w:p>
              <w:p>
                <w:pPr>
                  <w:suppressLineNumbers/>
                  <w:jc w:val="both"/>
                  <w:rPr>
                    <w:rFonts w:eastAsia="Andale Sans UI"/>
                    <w:spacing w:val="10"/>
                    <w:szCs w:val="24"/>
                    <w:lang w:bidi="en-US"/>
                  </w:rPr>
                </w:pPr>
              </w:p>
              <w:p>
                <w:pPr>
                  <w:suppressLineNumbers/>
                  <w:jc w:val="both"/>
                  <w:rPr>
                    <w:rFonts w:eastAsia="Andale Sans UI"/>
                    <w:spacing w:val="10"/>
                    <w:szCs w:val="24"/>
                    <w:lang w:bidi="en-US"/>
                  </w:rPr>
                </w:pPr>
              </w:p>
            </w:tc>
            <w:tc>
              <w:tcPr>
                <w:tcW w:w="282" w:type="dxa"/>
                <w:tcMar>
                  <w:top w:w="0" w:type="dxa"/>
                  <w:left w:w="0" w:type="dxa"/>
                  <w:bottom w:w="0" w:type="dxa"/>
                  <w:right w:w="0" w:type="dxa"/>
                </w:tcMar>
              </w:tcPr>
              <w:p>
                <w:pPr>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szCs w:val="24"/>
                    <w:lang w:bidi="en-US"/>
                  </w:rPr>
                </w:pPr>
                <w:r>
                  <w:rPr>
                    <w:rFonts w:eastAsia="Andale Sans UI"/>
                    <w:szCs w:val="24"/>
                    <w:lang w:bidi="en-US"/>
                  </w:rPr>
                  <w:t>2024-</w:t>
                </w:r>
              </w:p>
            </w:tc>
            <w:tc>
              <w:tcPr>
                <w:tcW w:w="565" w:type="dxa"/>
              </w:tcPr>
              <w:p>
                <w:pPr>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r>
                  <w:rPr>
                    <w:rFonts w:eastAsia="Andale Sans UI"/>
                    <w:color w:val="000000"/>
                    <w:szCs w:val="24"/>
                    <w:shd w:val="clear" w:color="auto" w:fill="FFFFFF"/>
                    <w:lang w:bidi="en-US"/>
                  </w:rPr>
                  <w:t>D8(E)-</w:t>
                </w:r>
              </w:p>
            </w:tc>
          </w:tr>
          <w:tr>
            <w:trPr>
              <w:cantSplit/>
              <w:trHeight w:val="340"/>
            </w:trPr>
            <w:tc>
              <w:tcPr>
                <w:tcW w:w="4817" w:type="dxa"/>
                <w:vMerge/>
                <w:tcMar>
                  <w:top w:w="0" w:type="dxa"/>
                  <w:left w:w="0" w:type="dxa"/>
                  <w:bottom w:w="0" w:type="dxa"/>
                  <w:right w:w="0" w:type="dxa"/>
                </w:tcMar>
              </w:tcPr>
              <w:p>
                <w:pPr>
                  <w:jc w:val="both"/>
                  <w:rPr>
                    <w:rFonts w:eastAsia="Andale Sans UI"/>
                    <w:szCs w:val="24"/>
                    <w:lang w:bidi="en-US"/>
                  </w:rPr>
                </w:pPr>
              </w:p>
            </w:tc>
            <w:tc>
              <w:tcPr>
                <w:tcW w:w="282" w:type="dxa"/>
                <w:tcMar>
                  <w:top w:w="0" w:type="dxa"/>
                  <w:left w:w="0" w:type="dxa"/>
                  <w:bottom w:w="0" w:type="dxa"/>
                  <w:right w:w="0" w:type="dxa"/>
                </w:tcMar>
              </w:tcPr>
              <w:p>
                <w:pPr>
                  <w:tabs>
                    <w:tab w:val="left" w:pos="2869"/>
                  </w:tabs>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szCs w:val="24"/>
                    <w:lang w:bidi="en-US"/>
                  </w:rPr>
                </w:pPr>
              </w:p>
            </w:tc>
            <w:tc>
              <w:tcPr>
                <w:tcW w:w="565" w:type="dxa"/>
              </w:tcPr>
              <w:p>
                <w:pPr>
                  <w:tabs>
                    <w:tab w:val="left" w:pos="2869"/>
                  </w:tabs>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p>
            </w:tc>
          </w:tr>
          <w:tr>
            <w:trPr>
              <w:cantSplit/>
            </w:trPr>
            <w:tc>
              <w:tcPr>
                <w:tcW w:w="4817" w:type="dxa"/>
                <w:vMerge/>
                <w:tcMar>
                  <w:top w:w="0" w:type="dxa"/>
                  <w:left w:w="0" w:type="dxa"/>
                  <w:bottom w:w="0" w:type="dxa"/>
                  <w:right w:w="0" w:type="dxa"/>
                </w:tcMar>
              </w:tcPr>
              <w:p>
                <w:pPr>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ind w:right="67"/>
                  <w:jc w:val="both"/>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b/>
                    <w:szCs w:val="24"/>
                    <w:lang w:eastAsia="lt-LT" w:bidi="en-US"/>
                  </w:rPr>
                </w:pPr>
                <w:r>
                  <w:rPr>
                    <w:rFonts w:eastAsia="Andale Sans UI"/>
                    <w:b/>
                    <w:caps/>
                    <w:szCs w:val="24"/>
                    <w:lang w:bidi="en-US"/>
                  </w:rPr>
                  <w:t xml:space="preserve">DĖL </w:t>
                </w:r>
                <w:r>
                  <w:rPr>
                    <w:rFonts w:eastAsia="Andale Sans UI"/>
                    <w:b/>
                    <w:szCs w:val="24"/>
                    <w:lang w:eastAsia="lt-LT" w:bidi="en-US"/>
                  </w:rPr>
                  <w:t>APLINKOS MINISTRO ĮSAKYMO PROJEKTO</w:t>
                </w:r>
              </w:p>
              <w:p>
                <w:pPr>
                  <w:suppressLineNumbers/>
                  <w:jc w:val="both"/>
                  <w:rPr>
                    <w:rFonts w:eastAsia="Andale Sans UI"/>
                    <w:b/>
                    <w:bCs/>
                    <w:szCs w:val="24"/>
                    <w:lang w:bidi="en-US"/>
                  </w:rPr>
                </w:pPr>
              </w:p>
            </w:tc>
          </w:tr>
        </w:tbl>
        <w:p/>
      </w:sdtContent>
    </w:sdt>
    <w:sdt>
      <w:sdtPr>
        <w:alias w:val="pastraipa"/>
        <w:tag w:val="part_807fcbf89bea492cb055626a2a04c11d"/>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 xml:space="preserve">Aplinkos ministerija teikia derinti Lietuvos Respublikos aplinkos ministro įsakymo „Dėl </w:t>
          </w:r>
          <w:r>
            <w:rPr>
              <w:rFonts w:eastAsia="Andale Sans UI"/>
              <w:szCs w:val="24"/>
              <w:shd w:val="clear" w:color="auto" w:fill="FFFFFF"/>
              <w:lang w:bidi="en-US"/>
            </w:rPr>
            <w:t>Bendrojo naudojimo objektų administratoriaus atrankos, skyrimo ir atšaukimo tvarkos aprašo patvirtinimo</w:t>
          </w:r>
          <w:r>
            <w:rPr>
              <w:rFonts w:eastAsia="Andale Sans UI"/>
              <w:szCs w:val="24"/>
              <w:lang w:bidi="en-US"/>
            </w:rPr>
            <w:t>“ projektą (toliau – Projektas).</w:t>
          </w:r>
        </w:p>
        <w:sdt>
          <w:sdtPr>
            <w:alias w:val="1 p."/>
            <w:tag w:val="part_b84570d84bf248ac8c89665527244d48"/>
            <w:lock w:val="sdtLocked"/>
            <w:richText/>
          </w:sdtPr>
          <w:sdtContent>
            <w:p>
              <w:pPr>
                <w:shd w:val="clear" w:color="auto" w:fill="FFFFFF"/>
                <w:ind w:firstLine="567"/>
                <w:jc w:val="both"/>
                <w:textAlignment w:val="center"/>
                <w:rPr>
                  <w:rFonts w:eastAsia="Andale Sans UI"/>
                  <w:b/>
                  <w:bCs/>
                  <w:szCs w:val="24"/>
                  <w:lang w:bidi="en-US"/>
                </w:rPr>
              </w:pPr>
              <w:sdt>
                <w:sdtPr>
                  <w:alias w:val="Numeris"/>
                  <w:tag w:val="nr_b84570d84bf248ac8c89665527244d48"/>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hd w:val="clear" w:color="auto" w:fill="FFFFFF"/>
                <w:ind w:firstLine="567"/>
                <w:jc w:val="both"/>
                <w:textAlignment w:val="center"/>
                <w:rPr>
                  <w:rFonts w:eastAsia="Andale Sans UI"/>
                  <w:color w:val="000000"/>
                  <w:szCs w:val="24"/>
                  <w:lang w:bidi="en-US"/>
                </w:rPr>
              </w:pPr>
              <w:r>
                <w:rPr>
                  <w:rFonts w:eastAsia="Andale Sans UI"/>
                  <w:szCs w:val="24"/>
                  <w:lang w:bidi="en-US"/>
                </w:rPr>
                <w:t>Lietuvoje yra apie 41 000 daugiabučių namų (</w:t>
              </w:r>
              <w:r>
                <w:rPr>
                  <w:rFonts w:eastAsia="Andale Sans UI"/>
                  <w:i/>
                  <w:iCs/>
                  <w:szCs w:val="24"/>
                  <w:lang w:bidi="en-US"/>
                </w:rPr>
                <w:t>šaltinis NTR duomenys 2019-12-31</w:t>
              </w:r>
              <w:r>
                <w:rPr>
                  <w:rFonts w:eastAsia="Andale Sans UI"/>
                  <w:szCs w:val="24"/>
                  <w:lang w:bidi="en-US"/>
                </w:rPr>
                <w:t xml:space="preserve">). Šių daugiabučių namų butų ir kitų patalpų savininkų (toliau – savininkai) bendrojo naudojimo objektus valdo savininkų bendrijos, jungtinės veiklos sutartimis įgalioti asmenys arba savivaldybės vykdomosios institucijos paskirti bendrojo naudojimo objektų administratoriai. Juridinių asmenų registre įregistruota apie </w:t>
              </w:r>
              <w:r>
                <w:rPr>
                  <w:rFonts w:eastAsia="Andale Sans UI"/>
                  <w:color w:val="000000"/>
                  <w:szCs w:val="24"/>
                  <w:bdr w:val="none" w:sz="0" w:space="0" w:color="auto" w:frame="1"/>
                  <w:lang w:bidi="en-US"/>
                </w:rPr>
                <w:t>5</w:t>
              </w:r>
              <w:r>
                <w:rPr>
                  <w:rFonts w:eastAsia="Andale Sans UI"/>
                  <w:color w:val="000000"/>
                  <w:szCs w:val="24"/>
                  <w:lang w:bidi="en-US"/>
                </w:rPr>
                <w:t> </w:t>
              </w:r>
              <w:r>
                <w:rPr>
                  <w:rFonts w:eastAsia="Andale Sans UI"/>
                  <w:color w:val="000000"/>
                  <w:szCs w:val="24"/>
                  <w:bdr w:val="none" w:sz="0" w:space="0" w:color="auto" w:frame="1"/>
                  <w:lang w:bidi="en-US"/>
                </w:rPr>
                <w:t xml:space="preserve">200 daugiabučių namų </w:t>
              </w:r>
              <w:r>
                <w:rPr>
                  <w:rFonts w:eastAsia="Andale Sans UI"/>
                  <w:szCs w:val="24"/>
                  <w:lang w:bidi="en-US"/>
                </w:rPr>
                <w:t xml:space="preserve">savininkų bendrijų. Pagal savivaldybių pateiktus duomenis 52 savivaldybėse bendrojo naudojimo objektų administravimo (toliau – administravimo) veiklą vykdo 182 administratoriai. Savivaldybės vykdomoji institucija skiria administratorius, kuriuos pasirenka savininkai, tačiau labai dažnai savininkai nepasirenka (neužtenka balsų priimti sprendimą arba susirinkimas ar balsavimas raštu neįvyksta) administratoriaus ir savivaldybės vykdomoji institucija turi administratorių paskirti atsižvelgdama į administratorių </w:t>
              </w:r>
              <w:r>
                <w:rPr>
                  <w:rFonts w:eastAsia="Andale Sans UI"/>
                  <w:color w:val="000000"/>
                  <w:szCs w:val="24"/>
                  <w:lang w:bidi="en-US"/>
                </w:rPr>
                <w:t xml:space="preserve">pateiktus paslaugų įkainius, patirtį ir pasirengimą teikti bendrojo naudojimo objektų administravimo paslaugas. Toks administratoriaus parinkimo būdas sukuria korupcijos riziką, nes vertinant administratorių daug kas priklauso nuo vertinančio asmens ir nesudaromos vienodos sąlygos patekti į administravimo paslaugų rinką visiems administratoriams vienodai, nes savininkams nepasirinkus administratoriaus, parenkamas administratorius, kuris, sprendimą priimančio asmens nuomone, turi daugiausia patirties ar siūlo mažiausią administravimo tarifą. </w:t>
              </w:r>
            </w:p>
            <w:p>
              <w:pPr>
                <w:shd w:val="clear" w:color="auto" w:fill="FFFFFF"/>
                <w:ind w:firstLine="567"/>
                <w:jc w:val="both"/>
                <w:rPr>
                  <w:rFonts w:eastAsia="Andale Sans UI"/>
                  <w:color w:val="000000"/>
                  <w:szCs w:val="24"/>
                  <w:lang w:bidi="en-US"/>
                </w:rPr>
              </w:pPr>
              <w:r>
                <w:rPr>
                  <w:rFonts w:eastAsia="Andale Sans UI"/>
                  <w:color w:val="000000"/>
                  <w:szCs w:val="24"/>
                  <w:lang w:bidi="en-US"/>
                </w:rPr>
                <w:t>Atkreiptinas dėmesys, kad administravimo tarifas, kurį moka savininkai, sudaro tik mažą dalį savininkų išlaidų prižiūrint ir išlaikant savo bendrojo naudojimo objektus. Visos kitos išlaidos priklauso nuo paslaugų ar prekių, kurios reikalingos bendrojo naudojimo objektams išlaikyti ir prižiūrėti, įsigijimo kainos, o šias prekes nuperka ir paslaugas teikia arba nuperka administratorius. Pažymėtina, kad kai kuriose savivaldybėse, pvz., Kauno miesto savivaldybėje, administratorių administravimo tarifas yra nulinis.</w:t>
              </w:r>
            </w:p>
            <w:p>
              <w:pPr>
                <w:shd w:val="clear" w:color="auto" w:fill="FFFFFF"/>
                <w:ind w:firstLine="567"/>
                <w:jc w:val="both"/>
                <w:rPr>
                  <w:rFonts w:eastAsia="Andale Sans UI"/>
                  <w:color w:val="000000"/>
                  <w:szCs w:val="24"/>
                  <w:lang w:bidi="en-US"/>
                </w:rPr>
              </w:pPr>
              <w:r>
                <w:rPr>
                  <w:rFonts w:eastAsia="Andale Sans UI"/>
                  <w:color w:val="000000"/>
                  <w:szCs w:val="24"/>
                  <w:lang w:bidi="en-US"/>
                </w:rPr>
                <w:t xml:space="preserve">Siekiant išspręsti minėtus klausimus, būtina keisti administratorių paskyrimo tvarką, kai savininkai nepasirenka administratoriaus, ir atsisakyti savininkams priklausančios atsakomybės – pasirinkti administratorių – perdavimo savivaldybei ir, kai savininkai būdami pasyvūs  nepasirenka administratoriaus, parinkti administratorių pagal nustatytą administratoriaus parinkimo atsitiktinę tvarką. Taip pat būtina įvertinti praktikoje dažnai pasitaikančius atvejus, kai </w:t>
              </w:r>
              <w:r>
                <w:rPr>
                  <w:rFonts w:eastAsia="Andale Sans UI"/>
                  <w:szCs w:val="24"/>
                  <w:lang w:bidi="en-US"/>
                </w:rPr>
                <w:t>„probleminiams“ namams savivaldybės vykdomajai institucijai paskirti administratorių sudėtinga arba neįmanoma, nes tokius namus administruoti</w:t>
              </w:r>
              <w:r>
                <w:rPr>
                  <w:rFonts w:eastAsia="Andale Sans UI"/>
                  <w:color w:val="000000"/>
                  <w:szCs w:val="24"/>
                  <w:lang w:bidi="en-US"/>
                </w:rPr>
                <w:t xml:space="preserve"> atsisako visi sąraše esantys administratoriai.</w:t>
              </w:r>
            </w:p>
            <w:p>
              <w:pPr>
                <w:shd w:val="clear" w:color="auto" w:fill="FFFFFF"/>
                <w:ind w:firstLine="567"/>
                <w:jc w:val="both"/>
                <w:textAlignment w:val="center"/>
                <w:rPr>
                  <w:rFonts w:eastAsia="Andale Sans UI"/>
                  <w:color w:val="000000"/>
                  <w:szCs w:val="24"/>
                  <w:lang w:bidi="en-US"/>
                </w:rPr>
              </w:pPr>
              <w:r>
                <w:rPr>
                  <w:rFonts w:eastAsia="Andale Sans UI"/>
                  <w:color w:val="000000"/>
                  <w:szCs w:val="24"/>
                  <w:lang w:bidi="en-US"/>
                </w:rPr>
                <w:t xml:space="preserve">Atsižvelgiant į tai, kad asmenų įrašymas ar pašalinimas iš Asmenų, pretenduojančių teikti daugiabučių namų bendrojo naudojimo objektų administravimo paslaugas, sąrašo (toliau – sąrašas) </w:t>
              </w:r>
              <w:r>
                <w:rPr>
                  <w:rFonts w:eastAsia="Andale Sans UI"/>
                  <w:szCs w:val="24"/>
                  <w:lang w:eastAsia="lt-LT" w:bidi="en-US"/>
                </w:rPr>
                <w:t>prilygintinas leidimo (licencijos) vykdyti administravimo veiklą išdavimui</w:t>
              </w:r>
              <w:r>
                <w:rPr>
                  <w:rFonts w:eastAsia="Andale Sans UI"/>
                  <w:color w:val="000000"/>
                  <w:szCs w:val="24"/>
                  <w:lang w:bidi="en-US"/>
                </w:rPr>
                <w:t xml:space="preserve"> ir kad šio leidimo gavimo sąlyga yra – deklaruoti veiklą, negali būti nustatyti papildomi reikalavimai turėti tam tikrą patirtį pastatų administravimo srityje, nes toks ribojimas yra neproporcingas ir ribojantis konkurenciją.</w:t>
              </w:r>
            </w:p>
            <w:p>
              <w:pPr>
                <w:shd w:val="clear" w:color="auto" w:fill="FFFFFF"/>
                <w:ind w:firstLine="567"/>
                <w:jc w:val="both"/>
                <w:textAlignment w:val="center"/>
                <w:rPr>
                  <w:rFonts w:eastAsia="Andale Sans UI"/>
                  <w:color w:val="000000"/>
                  <w:szCs w:val="24"/>
                  <w:lang w:bidi="en-US"/>
                </w:rPr>
              </w:pPr>
              <w:r>
                <w:rPr>
                  <w:rFonts w:eastAsia="Andale Sans UI"/>
                  <w:szCs w:val="24"/>
                  <w:lang w:bidi="en-US"/>
                </w:rPr>
                <w:t xml:space="preserve">Projektas rengiamas įgyvendinant </w:t>
              </w:r>
              <w:r>
                <w:rPr>
                  <w:rFonts w:eastAsia="Andale Sans UI"/>
                  <w:color w:val="000000"/>
                  <w:szCs w:val="24"/>
                  <w:lang w:bidi="en-US"/>
                </w:rPr>
                <w:t xml:space="preserve">Lietuvos Respublikos civilinio kodekso </w:t>
              </w:r>
              <w:r>
                <w:rPr>
                  <w:rFonts w:eastAsia="Andale Sans UI"/>
                  <w:color w:val="000000"/>
                  <w:spacing w:val="-2"/>
                  <w:szCs w:val="24"/>
                  <w:lang w:bidi="en-US"/>
                </w:rPr>
                <w:t xml:space="preserve">4.84 straipsnio pakeitimo įstatymą </w:t>
              </w:r>
              <w:r>
                <w:rPr>
                  <w:rFonts w:eastAsia="Andale Sans UI"/>
                  <w:color w:val="000000"/>
                  <w:szCs w:val="24"/>
                  <w:lang w:bidi="en-US"/>
                </w:rPr>
                <w:t xml:space="preserve">Nr. XIV-2624 (toliau – įstatymas Nr. XIV-2624), kuriame, be kita ko, nustatyta: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Taip pat Vyriausybei arba jos įgaliotai institucijai pavedama nustatyti bendrojo naudojimo objektų administratoriaus atrankos, skyrimo ir atšaukimo tvarką. </w:t>
              </w:r>
            </w:p>
            <w:p>
              <w:pPr>
                <w:shd w:val="clear" w:color="auto" w:fill="FFFFFF"/>
                <w:ind w:firstLine="567"/>
                <w:jc w:val="both"/>
                <w:textAlignment w:val="center"/>
                <w:rPr>
                  <w:rFonts w:eastAsia="Andale Sans UI"/>
                  <w:color w:val="000000"/>
                  <w:szCs w:val="24"/>
                  <w:lang w:bidi="en-US"/>
                </w:rPr>
              </w:pPr>
              <w:r>
                <w:rPr>
                  <w:rFonts w:eastAsia="Andale Sans UI"/>
                  <w:color w:val="000000"/>
                  <w:szCs w:val="24"/>
                  <w:lang w:bidi="en-US"/>
                </w:rPr>
                <w:t>K</w:t>
              </w:r>
              <w:r>
                <w:rPr>
                  <w:rFonts w:eastAsia="Andale Sans UI" w:cs="Tahoma"/>
                  <w:szCs w:val="24"/>
                  <w:lang w:bidi="en-US"/>
                </w:rPr>
                <w:t xml:space="preserve">eičiant </w:t>
              </w:r>
              <w:r>
                <w:rPr>
                  <w:rFonts w:eastAsia="Andale Sans UI" w:cs="Tahoma"/>
                  <w:color w:val="000000"/>
                  <w:szCs w:val="24"/>
                  <w:lang w:bidi="en-US"/>
                </w:rPr>
                <w:t xml:space="preserve">Lietuvos Respublikos Vyriausybės 2013 m. birželio 20 d. nutarimą Nr. 567 </w:t>
              </w:r>
              <w:r>
                <w:rPr>
                  <w:rFonts w:eastAsia="Andale Sans UI" w:cs="Tahoma"/>
                  <w:szCs w:val="24"/>
                  <w:lang w:bidi="en-US"/>
                </w:rPr>
                <w:t xml:space="preserve">„Dėl </w:t>
              </w:r>
              <w:r>
                <w:rPr>
                  <w:rFonts w:eastAsia="Andale Sans UI" w:cs="Tahoma"/>
                  <w:szCs w:val="24"/>
                  <w:shd w:val="clear" w:color="auto" w:fill="FFFFFF"/>
                  <w:lang w:bidi="en-US"/>
                </w:rPr>
                <w:t xml:space="preserve">Bendrojo naudojimo objektų administratoriaus atrankos ir skyrimo tvarkos aprašo patvirtinimo“ (toliau – Nutarimas), Vyriausybės kanceliarijos Teisės grupė </w:t>
              </w:r>
              <w:r>
                <w:rPr>
                  <w:rFonts w:eastAsia="StarSymbol" w:cs="Tahoma"/>
                  <w:color w:val="000000"/>
                  <w:szCs w:val="24"/>
                  <w:lang w:bidi="en-US"/>
                </w:rPr>
                <w:t xml:space="preserve">2024-11-22 išvadoje Nr. </w:t>
              </w:r>
              <w:r>
                <w:rPr>
                  <w:rFonts w:eastAsia="StarSymbol" w:cs="Tahoma"/>
                  <w:color w:val="000000"/>
                  <w:szCs w:val="24"/>
                  <w:shd w:val="clear" w:color="auto" w:fill="FFFFFF"/>
                  <w:lang w:bidi="en-US"/>
                </w:rPr>
                <w:t>NV-3110 pateikė esminę pastabą dėl projekto,</w:t>
              </w:r>
              <w:r>
                <w:rPr>
                  <w:rFonts w:eastAsia="StarSymbol" w:cs="Tahoma"/>
                  <w:color w:val="000000"/>
                  <w:szCs w:val="24"/>
                  <w:lang w:bidi="en-US"/>
                </w:rPr>
                <w:t xml:space="preserve"> pagal kurią turėtų būti suteikti atitinkami įgaliojimai aplinkos ministrui nustatyti bendrojo naudojimo objektų administratoriaus atrankos, skyrimo ir atšaukimo tvarką, o Nutarimą pripažinti netekusiu galios. Atsižvelgdama į tai, Aplinkos ministerija parengė </w:t>
              </w:r>
              <w:r>
                <w:rPr>
                  <w:rFonts w:eastAsia="Andale Sans UI"/>
                  <w:szCs w:val="24"/>
                  <w:lang w:bidi="en-US"/>
                </w:rPr>
                <w:t>Lietuvos Respublikos Vyriausybės nutarimo „</w:t>
              </w:r>
              <w:r>
                <w:rPr>
                  <w:rFonts w:eastAsia="Andale Sans UI" w:cs="Tahoma"/>
                  <w:bCs/>
                  <w:szCs w:val="24"/>
                  <w:lang w:eastAsia="lt-LT" w:bidi="en-US"/>
                </w:rPr>
                <w:t xml:space="preserve">Dėl </w:t>
              </w:r>
              <w:r>
                <w:rPr>
                  <w:rFonts w:eastAsia="Andale Sans UI" w:cs="Tahoma"/>
                  <w:bCs/>
                  <w:color w:val="000000"/>
                  <w:szCs w:val="24"/>
                  <w:lang w:bidi="en-US"/>
                </w:rPr>
                <w:t>įgaliojimų suteikimo įgyvendinant Lietuvos Respublikos civilinio kodekso 4.84 straipsnio 2 dalį“ projektą</w:t>
              </w:r>
              <w:r>
                <w:rPr>
                  <w:rFonts w:eastAsia="Andale Sans UI"/>
                  <w:szCs w:val="24"/>
                  <w:lang w:bidi="en-US"/>
                </w:rPr>
                <w:t xml:space="preserve"> ir Lietuvos Respublikos Vyriausybės nutarimo „Dėl Lietuvos Respublikos Vyriausybės </w:t>
              </w:r>
              <w:r>
                <w:rPr>
                  <w:rFonts w:eastAsia="Andale Sans UI" w:cs="Tahoma"/>
                  <w:szCs w:val="24"/>
                  <w:lang w:bidi="en-US"/>
                </w:rPr>
                <w:t xml:space="preserve">2013 m. birželio 20 d. nutarimo Nr. 567 </w:t>
              </w:r>
              <w:r>
                <w:rPr>
                  <w:rFonts w:eastAsia="Andale Sans UI"/>
                  <w:szCs w:val="24"/>
                  <w:lang w:bidi="en-US"/>
                </w:rPr>
                <w:t xml:space="preserve">„Dėl </w:t>
              </w:r>
              <w:r>
                <w:rPr>
                  <w:rFonts w:eastAsia="Andale Sans UI" w:cs="Tahoma"/>
                  <w:szCs w:val="24"/>
                  <w:shd w:val="clear" w:color="auto" w:fill="FFFFFF"/>
                  <w:lang w:bidi="en-US"/>
                </w:rPr>
                <w:t>Bendrojo naudojimo objektų administratoriaus atrankos ir skyrimo tvarkos aprašo patvirtinimo</w:t>
              </w:r>
              <w:r>
                <w:rPr>
                  <w:rFonts w:eastAsia="Andale Sans UI"/>
                  <w:szCs w:val="24"/>
                  <w:lang w:bidi="en-US"/>
                </w:rPr>
                <w:t>“ pripažinimo netekusiu galios“ projektą, kurie pateikti derinti suinteresuotoms institucijoms ir visuomenei (TAIS Nr. 24-</w:t>
              </w:r>
              <w:r>
                <w:rPr>
                  <w:szCs w:val="24"/>
                  <w:lang w:val="en-US"/>
                </w:rPr>
                <w:t xml:space="preserve">19306). </w:t>
              </w:r>
              <w:r>
                <w:rPr>
                  <w:szCs w:val="24"/>
                </w:rPr>
                <w:t xml:space="preserve">Priėmus šiuos projektus Projekto preambulėje bus nurodytas įgaliojimų aplinkos ministrui patvirtinti </w:t>
              </w:r>
              <w:r>
                <w:rPr>
                  <w:rFonts w:eastAsia="Andale Sans UI"/>
                  <w:szCs w:val="24"/>
                  <w:shd w:val="clear" w:color="auto" w:fill="FFFFFF"/>
                  <w:lang w:bidi="en-US"/>
                </w:rPr>
                <w:t>bendrojo naudojimo objektų administratoriaus atrankos, skyrimo ir atšaukimo tvarkos aprašą suteikimo pagrindas.</w:t>
              </w:r>
            </w:p>
            <w:p>
              <w:pPr>
                <w:shd w:val="clear" w:color="auto" w:fill="FFFFFF"/>
                <w:ind w:firstLine="567"/>
                <w:jc w:val="both"/>
                <w:textAlignment w:val="center"/>
                <w:rPr>
                  <w:rFonts w:eastAsia="Andale Sans UI"/>
                  <w:szCs w:val="24"/>
                  <w:lang w:bidi="en-US"/>
                </w:rPr>
              </w:pPr>
              <w:r>
                <w:rPr>
                  <w:rFonts w:eastAsia="Andale Sans UI"/>
                  <w:color w:val="000000"/>
                  <w:szCs w:val="24"/>
                  <w:lang w:eastAsia="lt-LT" w:bidi="en-US"/>
                </w:rPr>
                <w:t>Lietuvos Respublikos administracinių nusižengimų kodekso (toliau – ANK) 349 straipsnyje nustatyta administracinė atsakomybė administratoriams, kai netinkamai vykdomos teisės aktuose nustatytos daugiabučio gyvenamojo namo bendrojo naudojimo objektų administravimo (valdymo) pareigos ar jos nevykdomos.</w:t>
              </w:r>
            </w:p>
            <w:p>
              <w:pPr>
                <w:shd w:val="clear" w:color="auto" w:fill="FFFFFF"/>
                <w:ind w:firstLine="567"/>
                <w:jc w:val="both"/>
                <w:textAlignment w:val="center"/>
                <w:rPr>
                  <w:rFonts w:eastAsia="Andale Sans UI"/>
                  <w:color w:val="1F1F1F"/>
                  <w:szCs w:val="24"/>
                  <w:shd w:val="clear" w:color="auto" w:fill="FFFFFF"/>
                  <w:lang w:eastAsia="lt-LT" w:bidi="en-US"/>
                </w:rPr>
              </w:pPr>
              <w:r>
                <w:rPr>
                  <w:rFonts w:eastAsia="Andale Sans UI"/>
                  <w:szCs w:val="24"/>
                  <w:lang w:bidi="en-US"/>
                </w:rPr>
                <w:t xml:space="preserve">Lietuvos Respublikos Vyriausybė </w:t>
              </w:r>
              <w:r>
                <w:rPr>
                  <w:rFonts w:eastAsia="Andale Sans UI"/>
                  <w:color w:val="000000"/>
                  <w:szCs w:val="24"/>
                  <w:lang w:eastAsia="en-GB" w:bidi="en-US"/>
                </w:rPr>
                <w:t xml:space="preserve">2023 m. rugsėjo 20 d. nutarimu Nr. </w:t>
              </w:r>
              <w:r>
                <w:rPr>
                  <w:rFonts w:eastAsia="Andale Sans UI"/>
                  <w:szCs w:val="24"/>
                  <w:lang w:eastAsia="lt-LT" w:bidi="en-US"/>
                </w:rPr>
                <w:t xml:space="preserve">742 </w:t>
              </w:r>
              <w:r>
                <w:rPr>
                  <w:rFonts w:eastAsia="Andale Sans UI"/>
                  <w:caps/>
                  <w:szCs w:val="24"/>
                  <w:lang w:eastAsia="lt-LT" w:bidi="en-US"/>
                </w:rPr>
                <w:t>„</w:t>
              </w:r>
              <w:r>
                <w:rPr>
                  <w:rFonts w:eastAsia="Andale Sans UI"/>
                  <w:szCs w:val="24"/>
                  <w:lang w:eastAsia="lt-LT" w:bidi="en-US"/>
                </w:rPr>
                <w:t>Dėl Lietuvos Respublikos civilinio kodekso 4.84 straipsnio pakeitimo įstatymo projekto Nr. XIVP-2702 ir Lietuvos Respublikos vietos savivaldos įstatymo Nr. I-533 6 straipsnio pakeitimo įstatymo projekto Nr. XIVP</w:t>
                <w:noBreakHyphen/>
                <w:t xml:space="preserve">2703“ teikdama išvadą pažymėjo, kad </w:t>
              </w:r>
              <w:r>
                <w:rPr>
                  <w:rFonts w:eastAsia="Andale Sans UI"/>
                  <w:color w:val="000000"/>
                  <w:szCs w:val="24"/>
                  <w:lang w:eastAsia="lt-LT" w:bidi="en-US"/>
                </w:rPr>
                <w:t xml:space="preserve">pagal 49 savivaldybių pateiktus duomenis, 2020–2022 m. nuobaudos taikant ANK 349 straipsnį skirtos 136 kartus, daugiausia – didžiųjų miestų savivaldybėse (kuriose yra daugiausia administratorių administruojamų daugiabučių namų): Vilniuje – 67 nuobaudos, Kaune – 47 nuobaudos, Klaipėdoje – 17 nuobaudų, mažesnėse 5 savivaldybėse taikyta po vieną nuobaudą. Nors administratoriams taikomos ANK 349 straipsnyje nustatytos poveikio priemonės, kai kurie jų nusižengia pakartotinai, pavyzdžiui, </w:t>
              </w:r>
              <w:r>
                <w:rPr>
                  <w:rFonts w:eastAsia="Andale Sans UI"/>
                  <w:color w:val="1F1F1F"/>
                  <w:szCs w:val="24"/>
                  <w:shd w:val="clear" w:color="auto" w:fill="FFFFFF"/>
                  <w:lang w:eastAsia="lt-LT" w:bidi="en-US"/>
                </w:rPr>
                <w:t>2021 m. 2 administratoriams taikyta po 7 nuobaudas, 2022 m. 1 administratoriui – 11 nuobaudų.</w:t>
              </w:r>
            </w:p>
          </w:sdtContent>
        </w:sdt>
        <w:sdt>
          <w:sdtPr>
            <w:alias w:val="2 p."/>
            <w:tag w:val="part_66d5e33f6edb4f7d9b4c73bdc712cd7d"/>
            <w:lock w:val="sdtLocked"/>
            <w:richText/>
          </w:sdtPr>
          <w:sdtContent>
            <w:p>
              <w:pPr>
                <w:ind w:firstLine="567"/>
                <w:jc w:val="both"/>
                <w:rPr>
                  <w:rFonts w:eastAsia="Andale Sans UI"/>
                  <w:b/>
                  <w:bCs/>
                  <w:szCs w:val="24"/>
                  <w:lang w:bidi="en-US"/>
                </w:rPr>
              </w:pPr>
              <w:sdt>
                <w:sdtPr>
                  <w:alias w:val="Numeris"/>
                  <w:tag w:val="nr_66d5e33f6edb4f7d9b4c73bdc712cd7d"/>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szCs w:val="24"/>
                  <w:lang w:bidi="en-US"/>
                </w:rPr>
                <w:t xml:space="preserve">Atsižvelgiant į tai, kad galioja </w:t>
              </w:r>
              <w:r>
                <w:rPr>
                  <w:rFonts w:eastAsia="Andale Sans UI" w:cs="Tahoma"/>
                  <w:szCs w:val="24"/>
                  <w:shd w:val="clear" w:color="auto" w:fill="FFFFFF"/>
                  <w:lang w:bidi="en-US"/>
                </w:rPr>
                <w:t xml:space="preserve">Bendrojo naudojimo objektų administratoriaus atrankos ir skyrimo tvarkos aprašas, patvirtintas </w:t>
              </w:r>
              <w:r>
                <w:rPr>
                  <w:rFonts w:eastAsia="Andale Sans UI"/>
                  <w:szCs w:val="24"/>
                  <w:lang w:bidi="en-US"/>
                </w:rPr>
                <w:t xml:space="preserve">Lietuvos Respublikos Vyriausybės </w:t>
              </w:r>
              <w:r>
                <w:rPr>
                  <w:rFonts w:eastAsia="Andale Sans UI" w:cs="Tahoma"/>
                  <w:szCs w:val="24"/>
                  <w:lang w:bidi="en-US"/>
                </w:rPr>
                <w:t xml:space="preserve">2013 m. birželio 20 d. nutarimu Nr. 567 </w:t>
              </w:r>
              <w:r>
                <w:rPr>
                  <w:rFonts w:eastAsia="Andale Sans UI"/>
                  <w:szCs w:val="24"/>
                  <w:lang w:bidi="en-US"/>
                </w:rPr>
                <w:t xml:space="preserve">„Dėl </w:t>
              </w:r>
              <w:r>
                <w:rPr>
                  <w:rFonts w:eastAsia="Andale Sans UI" w:cs="Tahoma"/>
                  <w:szCs w:val="24"/>
                  <w:shd w:val="clear" w:color="auto" w:fill="FFFFFF"/>
                  <w:lang w:bidi="en-US"/>
                </w:rPr>
                <w:t>Bendrojo naudojimo objektų administratoriaus atrankos ir skyrimo tvarkos aprašo patvirtinimo</w:t>
              </w:r>
              <w:r>
                <w:rPr>
                  <w:rFonts w:eastAsia="Andale Sans UI"/>
                  <w:szCs w:val="24"/>
                  <w:lang w:bidi="en-US"/>
                </w:rPr>
                <w:t>“, jo pagrindu Projekte siūloma tikslinti esamą tvarką atsižvelgiant į praktikoje kylančius neaiškumus, pakeitus Civilinio kodekso 4.84 straipsnio 2 dalies nuostatas.</w:t>
              </w:r>
            </w:p>
            <w:p>
              <w:pPr>
                <w:ind w:firstLine="567"/>
                <w:jc w:val="both"/>
                <w:rPr>
                  <w:rFonts w:eastAsia="Andale Sans UI"/>
                  <w:szCs w:val="24"/>
                  <w:lang w:bidi="en-US"/>
                </w:rPr>
              </w:pPr>
              <w:r>
                <w:rPr>
                  <w:rFonts w:eastAsia="Andale Sans UI"/>
                  <w:szCs w:val="24"/>
                  <w:lang w:bidi="en-US"/>
                </w:rPr>
                <w:t>Siūloma patikslinti sąraše skelbiamus duomenis papildant juos savivaldybės administracijos sprendimo įrašyti asmenį į sąrašą priėmimo data ir numeriu ir informacija apie asmens atšaukimą, jei buvo atšauktas, savivaldybės vykdomosios institucijos priimto sprendimo atšaukti administratorių data ir numeriu. Taip pat nustatyti, kad į sąrašą įrašomi asmenys pagal prašymo pateikimo datą, vėliausiai pateikę prašymą įrašomi sąrašo pabaigoje. Įrašant į sąrašą asmenis pagal prašymo pateikimo datą, būtų sudaroma galimybė asmenims, kurie pateikė prašymus anksčiau, greičiau būti paskirtais administratoriais, kai savininkai nepasirinko administratoriaus.</w:t>
              </w:r>
            </w:p>
            <w:p>
              <w:pPr>
                <w:ind w:firstLine="567"/>
                <w:jc w:val="both"/>
                <w:rPr>
                  <w:rFonts w:eastAsia="Andale Sans UI"/>
                  <w:szCs w:val="24"/>
                  <w:lang w:bidi="en-US"/>
                </w:rPr>
              </w:pPr>
              <w:r>
                <w:rPr>
                  <w:rFonts w:eastAsia="Andale Sans UI"/>
                  <w:szCs w:val="24"/>
                  <w:lang w:bidi="en-US"/>
                </w:rPr>
                <w:t xml:space="preserve">Projekte siūloma patikslinti sąraše esančių asmenų duomenų tikslinimo tvarką nustatant, kad pasikeitus asmens nurodytam bendrojo naudojimo objektų administravimo paslaugos tarifui, duomenis patikslinęs asmuo įrašomas sąrašo pabaigoje. Siūlomas reguliavimas nesudarytų galimybės administratoriui, žinančiam, kad atėjo jo eilė būti paskirtam administratoriumi, kai savininkai nepasirenka administratoriaus, padidinti administravimo tarifą; nebūtų galimybės sumažinti administravimo tarifą siekiant suteikti prioritetą. </w:t>
              </w:r>
            </w:p>
            <w:p>
              <w:pPr>
                <w:ind w:firstLine="567"/>
                <w:jc w:val="both"/>
                <w:rPr>
                  <w:rFonts w:eastAsia="Andale Sans UI"/>
                  <w:szCs w:val="24"/>
                  <w:lang w:bidi="en-US"/>
                </w:rPr>
              </w:pPr>
              <w:r>
                <w:rPr>
                  <w:rFonts w:eastAsia="Andale Sans UI"/>
                  <w:szCs w:val="24"/>
                  <w:lang w:bidi="en-US"/>
                </w:rPr>
                <w:t xml:space="preserve">Siūlomas reguliavimas, kai administratorių parenka savivaldybė atsitiktine tvarka, o ne esamas reguliavimas, kai savivaldybė įgaliota būti atsakinga už parinktą administratorių, paskatintų savininkus labiau domėtis ir įsitraukti į administratoriaus pasirinkimo ar pakeitimo procedūrą, jei jo teikiamos paslaugos ar jų kokybė netenkina, nes tik patys savininkai gali geriausiai užsitikrinti savo interesus. Sprendimo paskirti administratorių, kai savininkai jo nepasirinko, priėmimui neturėtų įtakos vertinamojo pobūdžio išvados, administratoriaus patirtis, administruojamų namų kiekis ar jų plotas, nes visi į sąrašą įrašyti asmenys turėtų vienodas galimybes būti paskirti administratoriais. Pažymėtina, kad, pavyzdžiui, didelis administruojamų namų kiekis ar jų plotas nebūtinai  vertintinas teigiamai (savininkai dažnai renkasi mažiau klientų turinčius administratorius tikėdamiesi sulaukti daugiau dėmesio), paslaugų kokybė dažnai priklauso nuo  vadybinį darbą joje dirbančių asmenų kompetencijų, o ne nuo įmonės veikimo trukmės.</w:t>
              </w:r>
            </w:p>
            <w:p>
              <w:pPr>
                <w:ind w:firstLine="567"/>
                <w:jc w:val="both"/>
                <w:rPr>
                  <w:rFonts w:eastAsia="Andale Sans UI"/>
                  <w:color w:val="000000"/>
                  <w:szCs w:val="24"/>
                  <w:lang w:bidi="en-US"/>
                </w:rPr>
              </w:pPr>
              <w:r>
                <w:rPr>
                  <w:rFonts w:eastAsia="Andale Sans UI"/>
                  <w:szCs w:val="24"/>
                  <w:lang w:bidi="en-US"/>
                </w:rPr>
                <w:t xml:space="preserve">Atsižvelgiant į įstatymo Nr. </w:t>
              </w:r>
              <w:r>
                <w:rPr>
                  <w:rFonts w:eastAsia="Andale Sans UI"/>
                  <w:color w:val="000000"/>
                  <w:szCs w:val="24"/>
                  <w:lang w:bidi="en-US"/>
                </w:rPr>
                <w:t>XIV-2624 nuostatas, s</w:t>
              </w:r>
              <w:r>
                <w:rPr>
                  <w:rFonts w:eastAsia="Andale Sans UI"/>
                  <w:szCs w:val="24"/>
                  <w:lang w:bidi="en-US"/>
                </w:rPr>
                <w:t xml:space="preserve">iūloma papildomai nustatyti, kad savivaldybės vykdomoji institucija priima sprendimą pašalinti asmenį iš sąrašo, </w:t>
              </w:r>
              <w:r>
                <w:rPr>
                  <w:rFonts w:eastAsia="Andale Sans UI"/>
                  <w:color w:val="000000"/>
                  <w:szCs w:val="24"/>
                  <w:lang w:bidi="en-US"/>
                </w:rPr>
                <w:t>konkrečios savivaldybės vykdomajai institucijai antrą kartą per vienus metus priėmus sprendimą atšaukti asmenį toje pačioje savivaldybėje už jam – fiziniam asmeniui arba juridinio asmens vadovui paskirtas administracines nuobaudas; reglamentuoti, kada iš sąrašo pašalintas asmuo gali teikti prašymą įrašyti jį į sąrašą.</w:t>
              </w:r>
            </w:p>
            <w:p>
              <w:pPr>
                <w:ind w:firstLine="567"/>
                <w:jc w:val="both"/>
                <w:rPr>
                  <w:rFonts w:eastAsia="Andale Sans UI"/>
                  <w:szCs w:val="24"/>
                  <w:lang w:bidi="en-US"/>
                </w:rPr>
              </w:pPr>
              <w:r>
                <w:rPr>
                  <w:rFonts w:eastAsia="Andale Sans UI"/>
                  <w:szCs w:val="24"/>
                  <w:lang w:bidi="en-US"/>
                </w:rPr>
                <w:t xml:space="preserve">Siūloma nustatyti, kad administratoriaus pasirinkimo procedūros pradžia laikoma diena, kurią paskelbtas pranešimas apie šaukiamą daugiabučių namų butų ir kitų patalpų savininkų susirinkimą arba organizuojamą balsavimą raštu; siūloma skiriant administratorių nustatyti tokį administravimo tarifą, kuris buvo pateiktas savininkams administratoriaus pasirinkimo procedūros pradžios dieną taip užtikrinant, kad pasirinkus administratorių, jo administravimo tarifas administratoriaus paskyrimo dieną nesikeis. </w:t>
              </w:r>
            </w:p>
            <w:p>
              <w:pPr>
                <w:ind w:firstLine="567"/>
                <w:jc w:val="both"/>
                <w:rPr>
                  <w:rFonts w:eastAsia="Andale Sans UI"/>
                  <w:szCs w:val="24"/>
                  <w:lang w:bidi="en-US"/>
                </w:rPr>
              </w:pPr>
              <w:r>
                <w:rPr>
                  <w:rFonts w:eastAsia="Andale Sans UI"/>
                  <w:szCs w:val="24"/>
                  <w:lang w:bidi="en-US"/>
                </w:rPr>
                <w:t xml:space="preserve">Siūloma reglamentuoti atvejus, kai savininkams pasirenkant administratorių du ir daugiau asmenų gavo vienodą balsų skaičių, nustatant, kad skiriamas administratorius, kuris paskyrimo dieną sąraše yra pirmesnis; nustatyti, kad neįvykus pakartotiniam savininkų balsavimui raštu ar jų susirinkimui dėl administratoriaus pasirinkimo, administratorių iš sąrašo, </w:t>
              </w:r>
              <w:r>
                <w:rPr>
                  <w:color w:val="000000"/>
                  <w:szCs w:val="24"/>
                  <w:lang w:bidi="en-US"/>
                </w:rPr>
                <w:t xml:space="preserve">pradedant nuo sąrašo pradžios, skiria eilės tvarka savivaldybės vykdomoji institucija, praleisdama administratorius, kurie tokiais atvejais jau buvo paskirti arba ne seniau kaip prieš 12 mėnesių iki administratoriaus parinkimo iš sąrašo dienos vieną ar daugiau kartų yra atsisakę būti paskirtais administratoriumi. Kai tokiais atvejais buvo paskirti visi asmenys, esantys sąraše, išskyrus tuos, kurie nebuvo paskirti dėl atsisakymo būti paskirtais administratoriumi, vėl pradedama nuo sąrašo pradžios skirti asmenis eilės tvarka. </w:t>
              </w:r>
              <w:r>
                <w:rPr>
                  <w:rFonts w:eastAsia="Andale Sans UI"/>
                  <w:szCs w:val="24"/>
                  <w:lang w:bidi="en-US"/>
                </w:rPr>
                <w:t>Priėmus šį siūlymą būtų sudarytos vienodos sąlygos asmenims būti paskirtiems administratoriais, jei savininkai nepasirinka administratoriaus.</w:t>
              </w:r>
            </w:p>
            <w:p>
              <w:pPr>
                <w:ind w:firstLine="567"/>
                <w:jc w:val="both"/>
                <w:rPr>
                  <w:rFonts w:eastAsia="Andale Sans UI"/>
                  <w:szCs w:val="24"/>
                  <w:lang w:bidi="en-US"/>
                </w:rPr>
              </w:pPr>
              <w:r>
                <w:rPr>
                  <w:rFonts w:eastAsia="Andale Sans UI"/>
                  <w:szCs w:val="24"/>
                  <w:lang w:bidi="en-US"/>
                </w:rPr>
                <w:t>Atsižvelgiant į tai, kad sąrašas skelbiamas savivaldybės interneto svetainėje, siekiant užtikrinti viešąjį interesą ir identifikuoti asmenis, kurie pretenduoja teikti administravimo paslaugas, turėtų būti viešinami tik būtiniausi asmens duomenys – vardas, pavardė ir gimimo data, ir šie duomenys turėtų būti skelbiami kol administratorius įrašytas sąraše, jo paskyrimo ir (ar) atšaukimo laikotarpiu.</w:t>
              </w:r>
            </w:p>
            <w:p>
              <w:pPr>
                <w:ind w:firstLine="567"/>
                <w:jc w:val="both"/>
                <w:rPr>
                  <w:rFonts w:eastAsia="Andale Sans UI"/>
                  <w:szCs w:val="24"/>
                  <w:lang w:bidi="en-US"/>
                </w:rPr>
              </w:pPr>
              <w:r>
                <w:rPr>
                  <w:rFonts w:eastAsia="Andale Sans UI"/>
                  <w:szCs w:val="24"/>
                  <w:lang w:bidi="en-US"/>
                </w:rPr>
                <w:t>Projekte siūloma patikslinti savivaldybės vykdomosios institucijos sprendime nurodomus duomenis (</w:t>
              </w:r>
              <w:r>
                <w:rPr>
                  <w:rFonts w:eastAsia="Andale Sans UI"/>
                  <w:color w:val="000000"/>
                  <w:szCs w:val="24"/>
                  <w:shd w:val="clear" w:color="auto" w:fill="FFFFFF"/>
                  <w:lang w:bidi="en-US"/>
                </w:rPr>
                <w:t xml:space="preserve">daugiabučio namo, kurio bendrojo naudojimo objektus administruoti skiriamas asmuo, adresas, </w:t>
              </w:r>
              <w:r>
                <w:rPr>
                  <w:rFonts w:eastAsia="Andale Sans UI"/>
                  <w:szCs w:val="24"/>
                  <w:shd w:val="clear" w:color="auto" w:fill="FFFFFF"/>
                  <w:lang w:bidi="en-US"/>
                </w:rPr>
                <w:t>numeris Nekilnojamojo turto registre, šio namo naudingas plotas, gyvenamųjų patalpų (butų) ir kitų patalpų skaičius, daugiabučiam namui priskirto žemės sklypo plotas ir patalpų savininkų teisės į jį ar jo dalį, informacija apie asmenį, kuris skiriamas administratoriumi (fizinio asmens vardas, pavardė, asmens kodas (jeigu jis suteiktas Gyventojų registro įstatymo nustatyta tvarka, kitais atvejais – gimimo data ir, jeigu suteiktas, – ILTU kodas),</w:t>
              </w:r>
              <w:r>
                <w:rPr>
                  <w:rFonts w:eastAsia="Andale Sans UI"/>
                  <w:color w:val="000000"/>
                  <w:szCs w:val="24"/>
                  <w:shd w:val="clear" w:color="auto" w:fill="FFFFFF"/>
                  <w:lang w:bidi="en-US"/>
                </w:rPr>
                <w:t xml:space="preserve"> veiklos vietos adresas, adresas dokumentams pateikti; juridinio asmens arba kitos organizacijos ar jų padalinio pavadinimas, teisinė forma, buveinė, kodas, pridėtinės vertės mokesčio mokėtojo kodas – jei juridinis asmuo pridėtinės vertės mokesčio mokėtojas)</w:t>
              </w:r>
              <w:r>
                <w:rPr>
                  <w:rFonts w:eastAsia="Andale Sans UI"/>
                  <w:szCs w:val="24"/>
                  <w:lang w:bidi="en-US"/>
                </w:rPr>
                <w:t xml:space="preserve">, kurie būtini </w:t>
              </w:r>
              <w:r>
                <w:rPr>
                  <w:rFonts w:eastAsia="Andale Sans UI"/>
                  <w:szCs w:val="24"/>
                  <w:shd w:val="clear" w:color="auto" w:fill="FFFFFF"/>
                  <w:lang w:bidi="en-US"/>
                </w:rPr>
                <w:t xml:space="preserve">Nekilnojamojo turto registro nuostatų nustatyta tvarka teikiant prašymą kartu su sprendimu Nekilnojamojo turto registro tvarkytojui dėl juridinio fakto „nustatytas bendrojo naudojimo objektų administravimas“ įregistravimo Nekilnojamojo turto registre. Pažymėtina, kad sprendime nurodomi duomenys (daugiabučio </w:t>
              </w:r>
              <w:r>
                <w:rPr>
                  <w:rFonts w:eastAsia="Andale Sans UI"/>
                  <w:szCs w:val="24"/>
                  <w:lang w:bidi="en-US"/>
                </w:rPr>
                <w:t xml:space="preserve">namo naudingas plotas, gyvenamųjų patalpų (butų) ir kitų patalpų skaičius, daugiabučiam namui priskirto žemės sklypo plotas ir patalpų savininkų teisės į jį ar jo dalį) </w:t>
              </w:r>
              <w:r>
                <w:rPr>
                  <w:rFonts w:eastAsia="Andale Sans UI"/>
                  <w:color w:val="000000"/>
                  <w:szCs w:val="24"/>
                  <w:shd w:val="clear" w:color="auto" w:fill="FFFFFF"/>
                  <w:lang w:bidi="en-US"/>
                </w:rPr>
                <w:t xml:space="preserve">labai svarbūs, nes jie parodo, kokius bendrojo naudojimo objektus (žemės sklypas yra bendrojo naudojimo objektas, kuris nėra pastate) ir kelių savininkų valdys administratorius, taip pat šie duomenys </w:t>
              </w:r>
              <w:r>
                <w:rPr>
                  <w:rFonts w:eastAsia="Andale Sans UI"/>
                  <w:szCs w:val="24"/>
                  <w:lang w:bidi="en-US"/>
                </w:rPr>
                <w:t>reikalingi siekiant nustatyti, kokius mokesčius, kokia proporcija ir keliems savininkams administratorius turės priskaityti.</w:t>
              </w:r>
              <w:r>
                <w:rPr>
                  <w:rFonts w:eastAsia="Andale Sans UI"/>
                  <w:color w:val="000000"/>
                  <w:szCs w:val="24"/>
                  <w:shd w:val="clear" w:color="auto" w:fill="FFFFFF"/>
                  <w:lang w:bidi="en-US"/>
                </w:rPr>
                <w:t xml:space="preserve"> Šie duomenys labai svarbūs, nes jie parodo kelių butų ir kitų patalpų savininkų bendrojo naudojimo objektus valdys administratorius, kokį žemės sklypą ir kam priklausantį jis valdys. </w:t>
              </w:r>
            </w:p>
            <w:p>
              <w:pPr>
                <w:ind w:firstLine="567"/>
                <w:jc w:val="both"/>
                <w:rPr>
                  <w:rFonts w:eastAsia="Andale Sans UI"/>
                  <w:szCs w:val="24"/>
                  <w:lang w:bidi="en-US"/>
                </w:rPr>
              </w:pPr>
              <w:r>
                <w:rPr>
                  <w:rFonts w:eastAsia="Andale Sans UI"/>
                  <w:color w:val="000000"/>
                  <w:szCs w:val="24"/>
                  <w:lang w:bidi="en-US"/>
                </w:rPr>
                <w:t>Projekte siūloma aiškiai nustatyti, kas teikia prašymą Nekilnojamojo turto registro tvarkytojui dėl</w:t>
              </w:r>
              <w:r>
                <w:rPr>
                  <w:rFonts w:eastAsia="Andale Sans UI"/>
                  <w:szCs w:val="24"/>
                  <w:lang w:bidi="en-US"/>
                </w:rPr>
                <w:t xml:space="preserve"> juridinio fakto „nustatytas bendrojo naudojimo objektų administravimas“ įregistravimo Nekilnojamojo turto registre. Praktikoje ir dabar prašymus dėl juridinio fakto įregistravimo teikia paskirti administratoriai.</w:t>
              </w:r>
            </w:p>
            <w:p>
              <w:pPr>
                <w:ind w:firstLine="567"/>
                <w:jc w:val="both"/>
                <w:rPr>
                  <w:rFonts w:eastAsia="Andale Sans UI"/>
                  <w:szCs w:val="24"/>
                  <w:lang w:bidi="en-US"/>
                </w:rPr>
              </w:pPr>
              <w:r>
                <w:rPr>
                  <w:rFonts w:eastAsia="Andale Sans UI"/>
                  <w:szCs w:val="24"/>
                  <w:lang w:bidi="en-US"/>
                </w:rPr>
                <w:t xml:space="preserve">Atsižvelgiant į tai, kad savininkai, norėdami pakeisti administratorių, kreipiasi į savivaldybės administraciją, kuri turi organizuoti balsavimą raštu ar šaukti susirinkimą ne tik dėl sprendimo pakeisti administratorių priėmimo, bet ir administratoriaus pasirinkimo pradėdama administratoriaus pasirinkimo procedūrą, Projekte siūloma šiuos sprendimus priimti vienu metu, taip sutrumpinant sprendimų priėmimo terminą ir taupant savivaldybės administracijos žmogiškuosius, administracinius ir finansinius išteklius. </w:t>
              </w:r>
            </w:p>
            <w:p>
              <w:pPr>
                <w:ind w:firstLine="567"/>
                <w:jc w:val="both"/>
                <w:rPr>
                  <w:rFonts w:eastAsia="Andale Sans UI"/>
                  <w:szCs w:val="24"/>
                  <w:lang w:bidi="en-US"/>
                </w:rPr>
              </w:pPr>
              <w:r>
                <w:rPr>
                  <w:rFonts w:eastAsia="Andale Sans UI"/>
                  <w:szCs w:val="24"/>
                  <w:lang w:bidi="en-US"/>
                </w:rPr>
                <w:t xml:space="preserve">Siekiant visų daugiabučių namų savininkų bendrojo naudojimo objektams valdyti paskirti administratorius ir išvengti atvejų, kai administratoriai atsisako administruoti „probleminius“ namus, Projekte siūloma asmenų, kurie ne vėliau kaip prieš metus  yra atsisakę būti paskirtais administratoriais, neskirti administratoriais, kai savininkai nepasirinko administratoriaus.   </w:t>
              </w:r>
            </w:p>
          </w:sdtContent>
        </w:sdt>
        <w:sdt>
          <w:sdtPr>
            <w:alias w:val="3 p."/>
            <w:tag w:val="part_646f342335cb447a9fa1fb58a61a901d"/>
            <w:lock w:val="sdtLocked"/>
            <w:richText/>
          </w:sdtPr>
          <w:sdtContent>
            <w:p>
              <w:pPr>
                <w:ind w:firstLine="567"/>
                <w:jc w:val="both"/>
                <w:rPr>
                  <w:rFonts w:eastAsia="Andale Sans UI"/>
                  <w:b/>
                  <w:bCs/>
                  <w:szCs w:val="24"/>
                  <w:lang w:bidi="en-US"/>
                </w:rPr>
              </w:pPr>
              <w:sdt>
                <w:sdtPr>
                  <w:alias w:val="Numeris"/>
                  <w:tag w:val="nr_646f342335cb447a9fa1fb58a61a901d"/>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rFonts w:eastAsia="Andale Sans UI"/>
                  <w:iCs/>
                  <w:szCs w:val="24"/>
                  <w:lang w:bidi="en-US"/>
                </w:rPr>
              </w:pPr>
              <w:r>
                <w:rPr>
                  <w:rFonts w:eastAsia="Andale Sans UI"/>
                  <w:iCs/>
                  <w:szCs w:val="24"/>
                  <w:lang w:bidi="en-US"/>
                </w:rPr>
                <w:t xml:space="preserve">Priėmus Projektą, papildomų lėšų iš savivaldybių ar valstybės biudžeto nereikės. Priėmus Projektą, bus įgyvendintas </w:t>
              </w:r>
              <w:r>
                <w:rPr>
                  <w:rFonts w:eastAsia="Andale Sans UI"/>
                  <w:szCs w:val="24"/>
                  <w:lang w:bidi="en-US"/>
                </w:rPr>
                <w:t xml:space="preserve">įstatymas Nr. </w:t>
              </w:r>
              <w:r>
                <w:rPr>
                  <w:rFonts w:eastAsia="Andale Sans UI"/>
                  <w:color w:val="000000"/>
                  <w:szCs w:val="24"/>
                  <w:lang w:bidi="en-US"/>
                </w:rPr>
                <w:t xml:space="preserve">XIV-2624 ir nustatyta </w:t>
              </w:r>
              <w:r>
                <w:rPr>
                  <w:rFonts w:eastAsia="Andale Sans UI"/>
                  <w:color w:val="1F1F1F"/>
                  <w:szCs w:val="24"/>
                  <w:shd w:val="clear" w:color="auto" w:fill="FFFFFF"/>
                  <w:lang w:eastAsia="lt-LT" w:bidi="en-US"/>
                </w:rPr>
                <w:t>b</w:t>
              </w:r>
              <w:r>
                <w:rPr>
                  <w:rFonts w:eastAsia="Andale Sans UI"/>
                  <w:color w:val="000000"/>
                  <w:szCs w:val="24"/>
                  <w:lang w:bidi="en-US"/>
                </w:rPr>
                <w:t>endrojo naudojimo objektų administratoriaus atrankos, skyrimo ir atšaukimo tvarka, kuri bus aktuali savivaldybių vykdomosioms institucijoms ir administracijai, asmenims, pretenduojantiems teikti ir teikiantiems daugiabučių namų butų ir kitų patalpų savininkų bendrojo naudojimo objektų administravimo paslaugas ir daugiabučių namų butų ir kitų patalpų savininkams.</w:t>
              </w:r>
            </w:p>
          </w:sdtContent>
        </w:sdt>
        <w:sdt>
          <w:sdtPr>
            <w:alias w:val="4 p."/>
            <w:tag w:val="part_766be615e44c451088af92a93d370716"/>
            <w:lock w:val="sdtLocked"/>
            <w:richText/>
          </w:sdtPr>
          <w:sdtContent>
            <w:p>
              <w:pPr>
                <w:shd w:val="clear" w:color="auto" w:fill="FFFFFF"/>
                <w:ind w:firstLine="567"/>
                <w:jc w:val="both"/>
                <w:textAlignment w:val="center"/>
                <w:rPr>
                  <w:szCs w:val="24"/>
                  <w:lang w:eastAsia="lt-LT" w:bidi="en-US"/>
                </w:rPr>
              </w:pPr>
              <w:sdt>
                <w:sdtPr>
                  <w:alias w:val="Numeris"/>
                  <w:tag w:val="nr_766be615e44c451088af92a93d370716"/>
                  <w:lock w:val="sdtLocked"/>
                  <w:richText/>
                </w:sdtPr>
                <w:sdtContent>
                  <w:r>
                    <w:rPr>
                      <w:rFonts w:eastAsia="Andale Sans UI"/>
                      <w:b/>
                      <w:bCs/>
                      <w:szCs w:val="24"/>
                      <w:lang w:bidi="en-US"/>
                    </w:rPr>
                    <w:t>4</w:t>
                  </w:r>
                </w:sdtContent>
              </w:sdt>
              <w:r>
                <w:rPr>
                  <w:rFonts w:eastAsia="Andale Sans UI"/>
                  <w:b/>
                  <w:bCs/>
                  <w:szCs w:val="24"/>
                  <w:lang w:bidi="en-US"/>
                </w:rPr>
                <w:t xml:space="preserve">. </w:t>
              </w:r>
              <w:r>
                <w:rPr>
                  <w:b/>
                  <w:bCs/>
                  <w:szCs w:val="24"/>
                  <w:lang w:eastAsia="lt-LT" w:bidi="en-US"/>
                </w:rPr>
                <w:t>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neprieštarauja Lietuvos Respublikos Vyriausybės programai.</w:t>
              </w:r>
            </w:p>
          </w:sdtContent>
        </w:sdt>
        <w:sdt>
          <w:sdtPr>
            <w:alias w:val="5 p."/>
            <w:tag w:val="part_0a6513a772894452909a3069353b4833"/>
            <w:lock w:val="sdtLocked"/>
            <w:richText/>
          </w:sdtPr>
          <w:sdtContent>
            <w:p>
              <w:pPr>
                <w:ind w:firstLine="567"/>
                <w:jc w:val="both"/>
                <w:rPr>
                  <w:rFonts w:eastAsia="Andale Sans UI"/>
                  <w:b/>
                  <w:bCs/>
                  <w:szCs w:val="24"/>
                  <w:lang w:bidi="en-US"/>
                </w:rPr>
              </w:pPr>
              <w:sdt>
                <w:sdtPr>
                  <w:alias w:val="Numeris"/>
                  <w:tag w:val="nr_0a6513a772894452909a3069353b4833"/>
                  <w:lock w:val="sdtLocked"/>
                  <w:richText/>
                </w:sdtPr>
                <w:sdtContent>
                  <w:r>
                    <w:rPr>
                      <w:b/>
                      <w:bCs/>
                      <w:szCs w:val="24"/>
                      <w:lang w:eastAsia="lt-LT" w:bidi="en-US"/>
                    </w:rPr>
                    <w:t>5</w:t>
                  </w:r>
                </w:sdtContent>
              </w:sdt>
              <w:r>
                <w:rPr>
                  <w:b/>
                  <w:bCs/>
                  <w:szCs w:val="24"/>
                  <w:lang w:eastAsia="lt-LT"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ind w:firstLine="567"/>
                <w:jc w:val="both"/>
                <w:rPr>
                  <w:rFonts w:eastAsia="Andale Sans UI"/>
                  <w:i/>
                  <w:iCs/>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w:t>
              </w:r>
            </w:p>
            <w:p>
              <w:pPr>
                <w:ind w:firstLine="567"/>
                <w:jc w:val="both"/>
                <w:rPr>
                  <w:rFonts w:eastAsia="Andale Sans UI"/>
                  <w:color w:val="000000"/>
                  <w:szCs w:val="24"/>
                  <w:lang w:bidi="en-US"/>
                </w:rPr>
              </w:pPr>
              <w:r>
                <w:rPr>
                  <w:rFonts w:eastAsia="Andale Sans UI"/>
                  <w:color w:val="000000"/>
                  <w:szCs w:val="24"/>
                  <w:lang w:bidi="en-US"/>
                </w:rPr>
                <w:t xml:space="preserve">Numatomas teigiamas </w:t>
              </w:r>
              <w:r>
                <w:rPr>
                  <w:rFonts w:eastAsia="Andale Sans UI"/>
                  <w:i/>
                  <w:iCs/>
                  <w:color w:val="000000"/>
                  <w:szCs w:val="24"/>
                  <w:lang w:bidi="en-US"/>
                </w:rPr>
                <w:t>poveikis daugiabučių namų butų ir kitų patalpų savininkų bendrojo naudojimo objektų administravimo sričiai</w:t>
              </w:r>
              <w:r>
                <w:rPr>
                  <w:rFonts w:eastAsia="Andale Sans UI"/>
                  <w:color w:val="000000"/>
                  <w:szCs w:val="24"/>
                  <w:lang w:bidi="en-US"/>
                </w:rPr>
                <w:t xml:space="preserve">, nes bus aiškiai sureguliuota administratorių atšaukimo tvarka, taip pat sureguliuota administratorių paskyrimo, kai butų ir kitų patalpų savininkai nepasirinko ar neatšaukė administratoriaus, tvarka. Sudarytos vienodos sąlygos visiems asmenims teikiantiems prašymus pretenduoti teikti administravimo paslaugas ar į sąrašą įrašytiems asmenims būti paskirtiems administruoti daugiabučius namus, kai savininkai administratoriaus nepasirinko, neatsižvelgiant į jų patirtį ar administruojamų namų skaičių. </w:t>
              </w:r>
            </w:p>
            <w:p>
              <w:pPr>
                <w:ind w:firstLine="567"/>
                <w:jc w:val="both"/>
                <w:rPr>
                  <w:rFonts w:eastAsia="Andale Sans UI"/>
                  <w:color w:val="000000"/>
                  <w:szCs w:val="24"/>
                  <w:lang w:bidi="en-US"/>
                </w:rPr>
              </w:pPr>
              <w:r>
                <w:rPr>
                  <w:rFonts w:eastAsia="Andale Sans UI"/>
                  <w:i/>
                  <w:iCs/>
                  <w:color w:val="000000"/>
                  <w:szCs w:val="24"/>
                  <w:lang w:bidi="en-US"/>
                </w:rPr>
                <w:t>Poveikis valstybės biudžetui ir (ar) savivaldybių biudžetams</w:t>
              </w:r>
              <w:r>
                <w:rPr>
                  <w:rFonts w:eastAsia="Andale Sans UI"/>
                  <w:color w:val="000000"/>
                  <w:szCs w:val="24"/>
                  <w:lang w:bidi="en-US"/>
                </w:rPr>
                <w:t xml:space="preserve"> nenumatomas, nes papildomų lėšų nereikės.</w:t>
              </w:r>
            </w:p>
            <w:p>
              <w:pPr>
                <w:ind w:firstLine="567"/>
                <w:jc w:val="both"/>
                <w:rPr>
                  <w:rFonts w:eastAsia="Andale Sans UI"/>
                  <w:color w:val="000000"/>
                  <w:szCs w:val="24"/>
                  <w:lang w:bidi="en-US"/>
                </w:rPr>
              </w:pPr>
              <w:r>
                <w:rPr>
                  <w:rFonts w:eastAsia="Andale Sans UI"/>
                  <w:i/>
                  <w:iCs/>
                  <w:color w:val="000000"/>
                  <w:szCs w:val="24"/>
                  <w:lang w:bidi="en-US"/>
                </w:rPr>
                <w:t>Poveikis administracinei naštai</w:t>
              </w:r>
              <w:r>
                <w:rPr>
                  <w:rFonts w:eastAsia="Andale Sans UI"/>
                  <w:color w:val="000000"/>
                  <w:szCs w:val="24"/>
                  <w:lang w:bidi="en-US"/>
                </w:rPr>
                <w:t xml:space="preserve"> nesikeis. Projekte nustatytas reikalavimas administratoriui </w:t>
              </w:r>
              <w:r>
                <w:rPr>
                  <w:rFonts w:eastAsia="Andale Sans UI"/>
                  <w:szCs w:val="24"/>
                  <w:lang w:bidi="en-US"/>
                </w:rPr>
                <w:t xml:space="preserve">Nekilnojamojo turto registro nuostatų nustatyta tvarka pateikia prašymą Nekilnojamojo turto registro tvarkytojui dėl juridinio fakto „nustatytas bendrojo naudojimo objektų administravimas“ įregistravimo Nekilnojamojo turto registre. Toks reikalavimas nustatytas galiojančiame teisės akte ir administratoriai jį vykdo. </w:t>
              </w:r>
            </w:p>
            <w:p>
              <w:pPr>
                <w:ind w:firstLine="567"/>
                <w:jc w:val="both"/>
                <w:rPr>
                  <w:rFonts w:eastAsia="Andale Sans UI"/>
                  <w:i/>
                  <w:iCs/>
                  <w:color w:val="000000"/>
                  <w:szCs w:val="24"/>
                  <w:lang w:bidi="en-US"/>
                </w:rPr>
              </w:pPr>
              <w:r>
                <w:rPr>
                  <w:rFonts w:eastAsia="Andale Sans UI"/>
                  <w:i/>
                  <w:iCs/>
                  <w:color w:val="000000"/>
                  <w:szCs w:val="24"/>
                  <w:lang w:bidi="en-US"/>
                </w:rPr>
                <w:t>Poveikis ekonominėms, verslo ir konkurencijos sąlygoms</w:t>
              </w:r>
            </w:p>
            <w:p>
              <w:pPr>
                <w:ind w:firstLine="567"/>
                <w:jc w:val="both"/>
                <w:rPr>
                  <w:rFonts w:eastAsia="Andale Sans UI"/>
                  <w:color w:val="000000"/>
                  <w:szCs w:val="24"/>
                  <w:lang w:bidi="en-US"/>
                </w:rPr>
              </w:pPr>
              <w:r>
                <w:rPr>
                  <w:rFonts w:eastAsia="Andale Sans UI"/>
                  <w:color w:val="000000"/>
                  <w:szCs w:val="24"/>
                  <w:lang w:bidi="en-US"/>
                </w:rPr>
                <w:t>Padidės konkurencija administravimo paslaugų teikimo srityje, kai administratorius paskiriamas, jei savininkai administratoriaus nepasirinko, nes administratoriai labiau konkuruos paslaugų kokybės (savininkai bus suinteresuoti pasirinkti administratorių, o ne gauti atsitiktinį iš sąrašo) srityje, o ne patirtimi ar administruojamų namų skaičiumi.</w:t>
              </w:r>
            </w:p>
            <w:p>
              <w:pPr>
                <w:ind w:firstLine="567"/>
                <w:jc w:val="both"/>
                <w:rPr>
                  <w:rFonts w:eastAsia="Andale Sans UI"/>
                  <w:i/>
                  <w:iCs/>
                  <w:color w:val="000000"/>
                  <w:szCs w:val="24"/>
                  <w:lang w:bidi="en-US"/>
                </w:rPr>
              </w:pPr>
              <w:r>
                <w:rPr>
                  <w:rFonts w:eastAsia="Andale Sans UI"/>
                  <w:i/>
                  <w:iCs/>
                  <w:color w:val="000000"/>
                  <w:szCs w:val="24"/>
                  <w:lang w:bidi="en-US"/>
                </w:rPr>
                <w:t>Poveikis socialinei aplinkai</w:t>
              </w:r>
            </w:p>
            <w:p>
              <w:pPr>
                <w:ind w:firstLine="567"/>
                <w:jc w:val="both"/>
                <w:rPr>
                  <w:rFonts w:eastAsia="Andale Sans UI"/>
                  <w:color w:val="000000"/>
                  <w:szCs w:val="24"/>
                  <w:lang w:bidi="en-US"/>
                </w:rPr>
              </w:pPr>
              <w:r>
                <w:rPr>
                  <w:rFonts w:eastAsia="Andale Sans UI"/>
                  <w:color w:val="000000"/>
                  <w:szCs w:val="24"/>
                  <w:lang w:bidi="en-US"/>
                </w:rPr>
                <w:t>Savininkai bus labiau suinteresuoti įsitraukti į administratoriaus pasirinkimo procedūrą, o ne laukti ir tikėtis, kad savivaldybė atrinks ir paskirs administratorių.</w:t>
              </w:r>
            </w:p>
            <w:p>
              <w:pPr>
                <w:ind w:firstLine="567"/>
                <w:jc w:val="both"/>
                <w:rPr>
                  <w:rFonts w:eastAsia="Andale Sans UI"/>
                  <w:szCs w:val="24"/>
                  <w:lang w:bidi="en-US"/>
                </w:rPr>
              </w:pPr>
              <w:r>
                <w:rPr>
                  <w:rFonts w:eastAsia="Andale Sans UI"/>
                  <w:i/>
                  <w:iCs/>
                  <w:color w:val="000000"/>
                  <w:szCs w:val="24"/>
                  <w:lang w:bidi="en-US"/>
                </w:rPr>
                <w:t>Poveikis viešojo valdymo sistemai</w:t>
              </w:r>
              <w:r>
                <w:rPr>
                  <w:rFonts w:eastAsia="Andale Sans UI"/>
                  <w:color w:val="000000"/>
                  <w:szCs w:val="24"/>
                  <w:lang w:bidi="en-US"/>
                </w:rPr>
                <w:t xml:space="preserve"> (viešajam administravimui) bus teigiamas, nes bus aiškiau reglamentuota savivaldybės vykdomosios institucijos ir administracijos sprendimų priėmimo tvarka. </w:t>
              </w:r>
            </w:p>
            <w:p>
              <w:pPr>
                <w:ind w:firstLine="567"/>
                <w:jc w:val="both"/>
                <w:rPr>
                  <w:rFonts w:eastAsia="Andale Sans UI"/>
                  <w:color w:val="000000"/>
                  <w:szCs w:val="24"/>
                  <w:lang w:bidi="en-US"/>
                </w:rPr>
              </w:pPr>
              <w:r>
                <w:rPr>
                  <w:rFonts w:eastAsia="Andale Sans UI"/>
                  <w:i/>
                  <w:iCs/>
                  <w:szCs w:val="24"/>
                  <w:lang w:bidi="en-US"/>
                </w:rPr>
                <w:t>Poveikis aplinkai ir klimato kaitai</w:t>
              </w:r>
              <w:r>
                <w:rPr>
                  <w:rFonts w:eastAsia="Andale Sans UI"/>
                  <w:szCs w:val="24"/>
                  <w:lang w:bidi="en-US"/>
                </w:rPr>
                <w:t xml:space="preserve"> nenumatomas.</w:t>
              </w:r>
            </w:p>
            <w:p>
              <w:pPr>
                <w:ind w:firstLine="567"/>
                <w:jc w:val="both"/>
                <w:rPr>
                  <w:rFonts w:eastAsia="Andale Sans UI"/>
                  <w:color w:val="000000"/>
                  <w:szCs w:val="24"/>
                  <w:lang w:bidi="en-US"/>
                </w:rPr>
              </w:pPr>
              <w:r>
                <w:rPr>
                  <w:rFonts w:eastAsia="Andale Sans UI"/>
                  <w:i/>
                  <w:iCs/>
                  <w:color w:val="000000"/>
                  <w:szCs w:val="24"/>
                  <w:lang w:bidi="en-US"/>
                </w:rPr>
                <w:t>Poveikis regionų plėtrai</w:t>
              </w:r>
              <w:r>
                <w:rPr>
                  <w:rFonts w:eastAsia="Andale Sans UI"/>
                  <w:color w:val="000000"/>
                  <w:szCs w:val="24"/>
                  <w:lang w:bidi="en-US"/>
                </w:rPr>
                <w:t xml:space="preserve"> nenumatomas.</w:t>
              </w:r>
            </w:p>
            <w:p>
              <w:pPr>
                <w:ind w:firstLine="567"/>
                <w:jc w:val="both"/>
                <w:rPr>
                  <w:rFonts w:eastAsia="Andale Sans UI"/>
                  <w:color w:val="000000"/>
                  <w:szCs w:val="24"/>
                  <w:lang w:bidi="en-US"/>
                </w:rPr>
              </w:pPr>
              <w:r>
                <w:rPr>
                  <w:rFonts w:eastAsia="Andale Sans UI"/>
                  <w:i/>
                  <w:iCs/>
                  <w:color w:val="000000"/>
                  <w:szCs w:val="24"/>
                  <w:lang w:bidi="en-US"/>
                </w:rPr>
                <w:t>Poveikis teisinei sistemai</w:t>
              </w:r>
              <w:r>
                <w:rPr>
                  <w:rFonts w:eastAsia="Andale Sans UI"/>
                  <w:color w:val="000000"/>
                  <w:szCs w:val="24"/>
                  <w:lang w:bidi="en-US"/>
                </w:rPr>
                <w:t xml:space="preserve"> bus teigiamas.</w:t>
              </w:r>
            </w:p>
            <w:p>
              <w:pPr>
                <w:ind w:firstLine="567"/>
                <w:jc w:val="both"/>
                <w:rPr>
                  <w:rFonts w:eastAsia="Andale Sans UI"/>
                  <w:szCs w:val="24"/>
                  <w:lang w:bidi="en-US"/>
                </w:rPr>
              </w:pPr>
              <w:r>
                <w:rPr>
                  <w:rFonts w:eastAsia="Andale Sans UI"/>
                  <w:i/>
                  <w:iCs/>
                  <w:color w:val="000000"/>
                  <w:szCs w:val="24"/>
                  <w:lang w:bidi="en-US"/>
                </w:rPr>
                <w:t>Poveikis kriminogeninei situacijai</w:t>
              </w:r>
              <w:r>
                <w:rPr>
                  <w:rFonts w:eastAsia="Andale Sans UI"/>
                  <w:color w:val="000000"/>
                  <w:szCs w:val="24"/>
                  <w:lang w:bidi="en-US"/>
                </w:rPr>
                <w:t xml:space="preserve"> nenumatomas.</w:t>
              </w:r>
            </w:p>
            <w:p>
              <w:pPr>
                <w:widowControl w:val="0"/>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Projekto numatomo teisinio reguliavimo poveikio vertinimas neatliekamas.</w:t>
              </w:r>
            </w:p>
            <w:p>
              <w:pPr>
                <w:widowControl w:val="0"/>
                <w:ind w:firstLine="567"/>
                <w:jc w:val="both"/>
                <w:rPr>
                  <w:rFonts w:eastAsia="Andale Sans UI"/>
                  <w: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iCs/>
                  <w:color w:val="000000"/>
                  <w:szCs w:val="24"/>
                  <w:lang w:bidi="en-US"/>
                </w:rPr>
                <w:t>Lietuvos Respublikos Seimui teiktinų įstatymų ar kitų Lietuvos Respublikos Seimo teisės aktų projektų poveikio vertinimo rezultatai pateikiami aiškinamajame rašte vadovaujantis Lietuvos Respublikos Seimo statuto 135 straipsnyje nustatytais reikalavimais</w:t>
              </w:r>
              <w:r>
                <w:rPr>
                  <w:rFonts w:eastAsia="Andale Sans UI"/>
                  <w:color w:val="000000"/>
                  <w:szCs w:val="24"/>
                  <w:lang w:bidi="en-US"/>
                </w:rPr>
                <w:t>).</w:t>
              </w:r>
            </w:p>
          </w:sdtContent>
        </w:sdt>
        <w:sdt>
          <w:sdtPr>
            <w:alias w:val="6 p."/>
            <w:tag w:val="part_90f1a1bb99c14c5f9da51d9b1dfcb978"/>
            <w:lock w:val="sdtLocked"/>
            <w:richText/>
          </w:sdtPr>
          <w:sdtContent>
            <w:p>
              <w:pPr>
                <w:ind w:firstLine="567"/>
                <w:jc w:val="both"/>
                <w:rPr>
                  <w:szCs w:val="24"/>
                  <w:lang w:eastAsia="lt-LT" w:bidi="en-US"/>
                </w:rPr>
              </w:pPr>
              <w:sdt>
                <w:sdtPr>
                  <w:alias w:val="Numeris"/>
                  <w:tag w:val="nr_90f1a1bb99c14c5f9da51d9b1dfcb978"/>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eastAsia="lt-LT" w:bidi="en-US"/>
                </w:rPr>
                <w:t>). (</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4"/>
              </w:r>
              <w:r>
                <w:rPr>
                  <w:rFonts w:eastAsia="Andale Sans U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 xml:space="preserve">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5fa4fd2ec1bd4e7a856704908344ee1b"/>
            <w:lock w:val="sdtLocked"/>
            <w:richText/>
          </w:sdtPr>
          <w:sdtContent>
            <w:p>
              <w:pPr>
                <w:ind w:firstLine="567"/>
                <w:jc w:val="both"/>
                <w:rPr>
                  <w:szCs w:val="24"/>
                  <w:lang w:eastAsia="lt-LT" w:bidi="en-US"/>
                </w:rPr>
              </w:pPr>
              <w:sdt>
                <w:sdtPr>
                  <w:alias w:val="Numeris"/>
                  <w:tag w:val="nr_5fa4fd2ec1bd4e7a856704908344ee1b"/>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5"/>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b5f8e00dc38b45d886ddc09e23523d30"/>
            <w:lock w:val="sdtLocked"/>
            <w:richText/>
          </w:sdtPr>
          <w:sdtContent>
            <w:p>
              <w:pPr>
                <w:ind w:firstLine="567"/>
                <w:jc w:val="both"/>
                <w:rPr>
                  <w:color w:val="000000"/>
                  <w:szCs w:val="24"/>
                  <w:lang w:eastAsia="lt-LT" w:bidi="en-US"/>
                </w:rPr>
              </w:pPr>
              <w:sdt>
                <w:sdtPr>
                  <w:alias w:val="Numeris"/>
                  <w:tag w:val="nr_b5f8e00dc38b45d886ddc09e23523d30"/>
                  <w:lock w:val="sdtLocked"/>
                  <w:richText/>
                </w:sdtPr>
                <w:sdtContent>
                  <w:r>
                    <w:rPr>
                      <w:rFonts w:eastAsia="Andale Sans UI"/>
                      <w:b/>
                      <w:bCs/>
                      <w:szCs w:val="24"/>
                      <w:lang w:bidi="en-US"/>
                    </w:rPr>
                    <w:t>8</w:t>
                  </w:r>
                </w:sdtContent>
              </w:sdt>
              <w:r>
                <w:rPr>
                  <w:rFonts w:eastAsia="Andale Sans UI"/>
                  <w:b/>
                  <w:bCs/>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6"/>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dc12998809864bd0acb8bf2c469fae73"/>
            <w:lock w:val="sdtLocked"/>
            <w:richText/>
          </w:sdtPr>
          <w:sdtContent>
            <w:p>
              <w:pPr>
                <w:ind w:firstLine="567"/>
                <w:jc w:val="both"/>
                <w:rPr>
                  <w:rFonts w:eastAsia="Andale Sans UI"/>
                  <w:i/>
                  <w:color w:val="000000"/>
                  <w:szCs w:val="24"/>
                  <w:lang w:bidi="en-US"/>
                </w:rPr>
              </w:pPr>
              <w:sdt>
                <w:sdtPr>
                  <w:alias w:val="Numeris"/>
                  <w:tag w:val="nr_dc12998809864bd0acb8bf2c469fae73"/>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p>
              <w:pPr>
                <w:ind w:firstLine="567"/>
                <w:jc w:val="both"/>
                <w:rPr>
                  <w:rFonts w:eastAsia="Andale Sans UI"/>
                  <w:b/>
                  <w:bCs/>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0 p."/>
            <w:tag w:val="part_e821a167e2be4a0bb3fb1f7040048053"/>
            <w:lock w:val="sdtLocked"/>
            <w:richText/>
          </w:sdtPr>
          <w:sdtContent>
            <w:p>
              <w:pPr>
                <w:ind w:firstLine="567"/>
                <w:jc w:val="both"/>
                <w:rPr>
                  <w:rFonts w:eastAsia="Andale Sans UI"/>
                  <w:b/>
                  <w:bCs/>
                  <w:szCs w:val="24"/>
                  <w:lang w:bidi="en-US"/>
                </w:rPr>
              </w:pPr>
              <w:sdt>
                <w:sdtPr>
                  <w:alias w:val="Numeris"/>
                  <w:tag w:val="nr_e821a167e2be4a0bb3fb1f7040048053"/>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rojekte vartojamos sąvokos aprobuotos Lietuvos Respublikos terminų banko įstatymo ir jo įgyvendinamųjų teisės aktų nustatyta tvarka. </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1 p."/>
            <w:tag w:val="part_29ae6b590d364ad6b7cde60cac6debf8"/>
            <w:lock w:val="sdtLocked"/>
            <w:richText/>
          </w:sdtPr>
          <w:sdtContent>
            <w:p>
              <w:pPr>
                <w:ind w:firstLine="567"/>
                <w:jc w:val="both"/>
                <w:rPr>
                  <w:rFonts w:eastAsia="Andale Sans UI"/>
                  <w:b/>
                  <w:bCs/>
                  <w:color w:val="000000"/>
                  <w:szCs w:val="24"/>
                  <w:lang w:bidi="en-US"/>
                </w:rPr>
              </w:pPr>
              <w:sdt>
                <w:sdtPr>
                  <w:alias w:val="Numeris"/>
                  <w:tag w:val="nr_29ae6b590d364ad6b7cde60cac6debf8"/>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val="en-US" w:eastAsia="lt-LT" w:bidi="en-US"/>
                </w:rPr>
              </w:pPr>
              <w:r>
                <w:rPr>
                  <w:rFonts w:eastAsia="Andale Sans UI"/>
                  <w:szCs w:val="24"/>
                  <w:lang w:bidi="en-US"/>
                </w:rPr>
                <w:t>P</w:t>
              </w:r>
              <w:r>
                <w:rPr>
                  <w:rFonts w:eastAsia="Andale Sans UI"/>
                  <w:szCs w:val="24"/>
                  <w:lang w:eastAsia="lt-LT" w:bidi="en-US"/>
                </w:rPr>
                <w:t>rojektas derintas su Aplinkos ministerijos duomenų apsaugos pareigūnu.</w:t>
              </w:r>
            </w:p>
            <w:p>
              <w:pPr>
                <w:ind w:firstLine="567"/>
                <w:jc w:val="both"/>
                <w:rPr>
                  <w:rFonts w:eastAsia="Andale Sans UI"/>
                  <w:b/>
                  <w:bCs/>
                  <w:szCs w:val="24"/>
                  <w:lang w:bidi="en-US"/>
                </w:rPr>
              </w:pPr>
              <w:r>
                <w:rPr>
                  <w:color w:val="000000"/>
                  <w:szCs w:val="24"/>
                  <w:lang w:eastAsia="lt-LT" w:bidi="en-US"/>
                </w:rPr>
                <w:t>(</w:t>
              </w:r>
              <w:r>
                <w:rPr>
                  <w:i/>
                  <w:iCs/>
                  <w:color w:val="000000"/>
                  <w:szCs w:val="24"/>
                  <w:lang w:eastAsia="lt-LT" w:bidi="en-US"/>
                </w:rPr>
                <w:t>Jeigu Projekto rengimą inicijavo</w:t>
              </w:r>
              <w:r>
                <w:rPr>
                  <w:color w:val="000000"/>
                  <w:szCs w:val="24"/>
                  <w:lang w:eastAsia="lt-LT" w:bidi="en-US"/>
                </w:rPr>
                <w:t xml:space="preserve"> </w:t>
              </w:r>
              <w:r>
                <w:rPr>
                  <w:i/>
                  <w:iCs/>
                  <w:color w:val="000000"/>
                  <w:szCs w:val="24"/>
                  <w:lang w:eastAsia="lt-LT" w:bidi="en-US"/>
                </w:rPr>
                <w:t>asmenys, kurie nėra valstybės politikai, valstybės pareigūnai, profesinės karo tarnybos kariai, valstybės ar savivaldybių institucijų ar įstaigų valstybės tarnautojai</w:t>
              </w:r>
              <w:r>
                <w:rPr>
                  <w:iCs/>
                  <w:color w:val="000000"/>
                  <w:szCs w:val="24"/>
                  <w:lang w:eastAsia="lt-LT" w:bidi="en-US"/>
                </w:rPr>
                <w:t>)</w:t>
              </w:r>
              <w:r>
                <w:rPr>
                  <w:color w:val="000000"/>
                  <w:szCs w:val="24"/>
                  <w:lang w:eastAsia="lt-LT" w:bidi="en-US"/>
                </w:rPr>
                <w:t xml:space="preserve"> Projekto rengimą inicijavo ...(</w:t>
              </w:r>
              <w:r>
                <w:rPr>
                  <w:i/>
                  <w:iCs/>
                  <w:color w:val="000000"/>
                  <w:szCs w:val="24"/>
                  <w:lang w:eastAsia="lt-LT" w:bidi="en-US"/>
                </w:rPr>
                <w:t>išvardijama</w:t>
              </w:r>
              <w:r>
                <w:rPr>
                  <w:color w:val="000000"/>
                  <w:szCs w:val="24"/>
                  <w:lang w:eastAsia="lt-LT" w:bidi="en-US"/>
                </w:rPr>
                <w:t>) (</w:t>
              </w:r>
              <w:r>
                <w:rPr>
                  <w:b/>
                  <w:bCs/>
                  <w:color w:val="000000"/>
                  <w:szCs w:val="24"/>
                  <w:lang w:eastAsia="lt-LT" w:bidi="en-US"/>
                </w:rPr>
                <w:t>arba</w:t>
              </w:r>
              <w:r>
                <w:rPr>
                  <w:color w:val="000000"/>
                  <w:szCs w:val="24"/>
                  <w:lang w:eastAsia="lt-LT" w:bidi="en-US"/>
                </w:rPr>
                <w:t xml:space="preserve"> Projektą parengė ir (ar) rengiant Projektą dalyvavo ...(</w:t>
              </w:r>
              <w:r>
                <w:rPr>
                  <w:i/>
                  <w:iCs/>
                  <w:color w:val="000000"/>
                  <w:szCs w:val="24"/>
                  <w:lang w:eastAsia="lt-LT" w:bidi="en-US"/>
                </w:rPr>
                <w:t>išvardijama</w:t>
              </w:r>
              <w:r>
                <w:rPr>
                  <w:iCs/>
                  <w:color w:val="000000"/>
                  <w:szCs w:val="24"/>
                  <w:lang w:eastAsia="lt-LT" w:bidi="en-US"/>
                </w:rPr>
                <w:t>) (</w:t>
              </w:r>
              <w:r>
                <w:rPr>
                  <w:i/>
                  <w:iCs/>
                  <w:color w:val="000000"/>
                  <w:szCs w:val="24"/>
                  <w:lang w:eastAsia="lt-LT" w:bidi="en-US"/>
                </w:rPr>
                <w:t>š</w:t>
              </w:r>
              <w:r>
                <w:rPr>
                  <w:rFonts w:eastAsia="Andale Sans UI"/>
                  <w:i/>
                  <w:color w:val="000000"/>
                  <w:szCs w:val="24"/>
                  <w:lang w:bidi="en-US"/>
                </w:rPr>
                <w:t>i informacija nurodoma aiškinamajame rašte, kai teikiamas įstatymo projektas</w:t>
              </w:r>
              <w:r>
                <w:rPr>
                  <w:rFonts w:eastAsia="Andale Sans UI"/>
                  <w:color w:val="000000"/>
                  <w:szCs w:val="24"/>
                  <w:lang w:bidi="en-US"/>
                </w:rPr>
                <w:t>).</w:t>
              </w:r>
            </w:p>
          </w:sdtContent>
        </w:sdt>
        <w:sdt>
          <w:sdtPr>
            <w:alias w:val="12 p."/>
            <w:tag w:val="part_6c6ccc785adf42a296dc1b44fc1b4cc6"/>
            <w:lock w:val="sdtLocked"/>
            <w:richText/>
          </w:sdtPr>
          <w:sdtContent>
            <w:p>
              <w:pPr>
                <w:ind w:firstLine="567"/>
                <w:jc w:val="both"/>
                <w:rPr>
                  <w:rFonts w:eastAsia="Andale Sans UI"/>
                  <w:b/>
                  <w:bCs/>
                  <w:i/>
                  <w:color w:val="000000"/>
                  <w:szCs w:val="24"/>
                  <w:lang w:bidi="en-US"/>
                </w:rPr>
              </w:pPr>
              <w:sdt>
                <w:sdtPr>
                  <w:alias w:val="Numeris"/>
                  <w:tag w:val="nr_6c6ccc785adf42a296dc1b44fc1b4cc6"/>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7"/>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 xml:space="preserve">neplanuojama. </w:t>
              </w:r>
            </w:p>
          </w:sdtContent>
        </w:sdt>
        <w:sdt>
          <w:sdtPr>
            <w:alias w:val="13 p."/>
            <w:tag w:val="part_d62ff675d4884e14bc8385fce312b23a"/>
            <w:lock w:val="sdtLocked"/>
            <w:richText/>
          </w:sdtPr>
          <w:sdtContent>
            <w:p>
              <w:pPr>
                <w:ind w:firstLine="567"/>
                <w:jc w:val="both"/>
                <w:rPr>
                  <w:rFonts w:eastAsia="Andale Sans UI"/>
                  <w:b/>
                  <w:bCs/>
                  <w:color w:val="000000"/>
                  <w:szCs w:val="24"/>
                  <w:lang w:bidi="en-US"/>
                </w:rPr>
              </w:pPr>
              <w:sdt>
                <w:sdtPr>
                  <w:alias w:val="Numeris"/>
                  <w:tag w:val="nr_d62ff675d4884e14bc8385fce312b23a"/>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 w:val="32"/>
                  <w:szCs w:val="24"/>
                  <w:lang w:bidi="en-US"/>
                </w:rPr>
                <w:t>☒</w:t>
              </w:r>
              <w:r>
                <w:rPr>
                  <w:rFonts w:eastAsia="Andale Sans UI"/>
                  <w:szCs w:val="24"/>
                  <w:lang w:bidi="en-US"/>
                </w:rPr>
                <w:t xml:space="preserve"> 10 darbo dienų (</w:t>
              </w:r>
              <w:r>
                <w:rPr>
                  <w:rFonts w:eastAsia="Andale Sans UI"/>
                  <w:i/>
                  <w:iCs/>
                  <w:szCs w:val="24"/>
                  <w:lang w:bidi="en-US"/>
                </w:rPr>
                <w:t>įrašomas ne trumpesnis nei 10 darbo dienų derinimo terminas arba ne trumpesnis nei 12 darbo dienų derinimo terminas, k</w:t>
              </w:r>
              <w:r>
                <w:rPr>
                  <w:rFonts w:eastAsia="Andale Sans UI"/>
                  <w:i/>
                  <w:iCs/>
                  <w:color w:val="000000"/>
                  <w:szCs w:val="24"/>
                  <w:lang w:bidi="en-US"/>
                </w:rPr>
                <w:t>ai pateikiami dideli (10 ar daugiau puslapių) ir (ar) </w:t>
              </w:r>
              <w:r>
                <w:rPr>
                  <w:rFonts w:eastAsia="Andale Sans UI"/>
                  <w:i/>
                  <w:iCs/>
                  <w:color w:val="000000"/>
                  <w:spacing w:val="-2"/>
                  <w:szCs w:val="24"/>
                  <w:lang w:bidi="en-US"/>
                </w:rPr>
                <w:t>sudėtingi Projektai (nustatantys naują teisinį reguliavimą ar iš esmės jį keičiantys</w:t>
              </w:r>
              <w:r>
                <w:rPr>
                  <w:rFonts w:eastAsia="Andale Sans UI"/>
                  <w:color w:val="000000"/>
                  <w:spacing w:val="-2"/>
                  <w:szCs w:val="24"/>
                  <w:lang w:bidi="en-US"/>
                </w:rPr>
                <w:t>)</w:t>
              </w:r>
              <w:r>
                <w:rPr>
                  <w:rFonts w:eastAsia="Andale Sans UI"/>
                  <w:szCs w:val="24"/>
                  <w:lang w:bidi="en-US"/>
                </w:rPr>
                <w:t>.</w:t>
              </w:r>
            </w:p>
            <w:p>
              <w:pPr>
                <w:ind w:firstLine="567"/>
                <w:jc w:val="both"/>
                <w:rPr>
                  <w:rFonts w:eastAsia="Andale Sans UI"/>
                  <w:szCs w:val="24"/>
                  <w:lang w:bidi="en-US"/>
                </w:rPr>
              </w:pPr>
              <w:r>
                <w:rPr>
                  <w:rFonts w:ascii="Segoe UI Symbol" w:eastAsia="MS Gothic" w:hAnsi="Segoe UI Symbol" w:cs="Segoe UI Symbol"/>
                  <w:sz w:val="32"/>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8"/>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p>
          </w:sdtContent>
        </w:sdt>
        <w:sdt>
          <w:sdtPr>
            <w:alias w:val="14 p."/>
            <w:tag w:val="part_b784dd179ead4b8eb1d380f5f46e0160"/>
            <w:lock w:val="sdtLocked"/>
            <w:richText/>
          </w:sdtPr>
          <w:sdtContent>
            <w:p>
              <w:pPr>
                <w:ind w:firstLine="567"/>
                <w:jc w:val="both"/>
                <w:rPr>
                  <w:rFonts w:eastAsia="Andale Sans UI"/>
                  <w:szCs w:val="24"/>
                  <w:lang w:bidi="en-US"/>
                </w:rPr>
              </w:pPr>
              <w:sdt>
                <w:sdtPr>
                  <w:alias w:val="Numeris"/>
                  <w:tag w:val="nr_b784dd179ead4b8eb1d380f5f46e0160"/>
                  <w:lock w:val="sdtLocked"/>
                  <w:richText/>
                </w:sdtPr>
                <w:sdtContent>
                  <w:r>
                    <w:rPr>
                      <w:rFonts w:eastAsia="Andale Sans UI"/>
                      <w:b/>
                      <w:bCs/>
                      <w:szCs w:val="24"/>
                      <w:lang w:bidi="en-US"/>
                    </w:rPr>
                    <w:t>14</w:t>
                  </w:r>
                </w:sdtContent>
              </w:sdt>
              <w:r>
                <w:rPr>
                  <w:rFonts w:eastAsia="Andale Sans UI"/>
                  <w:b/>
                  <w:bCs/>
                  <w:szCs w:val="24"/>
                  <w:lang w:bidi="en-US"/>
                </w:rPr>
                <w:t>. Projekto rengėjai</w:t>
              </w:r>
              <w:r>
                <w:rPr>
                  <w:rFonts w:eastAsia="Andale Sans UI"/>
                  <w:szCs w:val="24"/>
                  <w:lang w:bidi="en-US"/>
                </w:rPr>
                <w:t xml:space="preserve"> </w:t>
              </w:r>
            </w:p>
            <w:p>
              <w:pPr>
                <w:ind w:firstLine="567"/>
                <w:jc w:val="both"/>
                <w:rPr>
                  <w:rFonts w:eastAsia="Andale Sans UI"/>
                  <w:szCs w:val="24"/>
                  <w:lang w:bidi="en-US"/>
                </w:rPr>
              </w:pPr>
              <w:r>
                <w:rPr>
                  <w:rFonts w:eastAsia="Andale Sans UI"/>
                  <w:szCs w:val="24"/>
                  <w:lang w:bidi="en-US"/>
                </w:rPr>
                <w:t xml:space="preserve">Projektą parengė Aplinkos ministerijos </w:t>
              </w:r>
              <w:r>
                <w:rPr>
                  <w:rFonts w:eastAsia="Andale Sans UI"/>
                  <w:color w:val="000000"/>
                  <w:szCs w:val="24"/>
                  <w:lang w:eastAsia="lt-LT" w:bidi="en-US"/>
                </w:rPr>
                <w:t>Būsto politikos grupės</w:t>
              </w:r>
              <w:r>
                <w:rPr>
                  <w:rFonts w:eastAsia="Andale Sans UI"/>
                  <w:szCs w:val="24"/>
                  <w:lang w:eastAsia="lt-LT" w:bidi="en-US"/>
                </w:rPr>
                <w:t> </w:t>
              </w:r>
              <w:r>
                <w:rPr>
                  <w:rFonts w:eastAsia="Andale Sans UI"/>
                  <w:color w:val="000000"/>
                  <w:szCs w:val="24"/>
                  <w:lang w:eastAsia="lt-LT" w:bidi="en-US"/>
                </w:rPr>
                <w:t>(</w:t>
              </w:r>
              <w:r>
                <w:rPr>
                  <w:rFonts w:eastAsia="Andale Sans UI"/>
                  <w:color w:val="000000"/>
                  <w:szCs w:val="24"/>
                  <w:lang w:bidi="en-US"/>
                </w:rPr>
                <w:t xml:space="preserve">vadovė – Laura Lukoševičienė, tel. +370 695 48 717, el. p. laura.lukoseviciene@am.lt; tiesioginė vadovė – vyresnioji patarėja Gintarė Janiškienė, tel. +370 695 58 698, el. p. </w:t>
              </w:r>
              <w:r>
                <w:rPr>
                  <w:rFonts w:eastAsia="Andale Sans UI"/>
                  <w:color w:val="000080"/>
                  <w:szCs w:val="24"/>
                  <w:u w:val="single"/>
                  <w:lang w:bidi="en-US"/>
                </w:rPr>
                <w:t>gintare.janiskiene@am.lt</w:t>
              </w:r>
              <w:r>
                <w:rPr>
                  <w:rFonts w:eastAsia="Andale Sans UI"/>
                  <w:color w:val="000000"/>
                  <w:szCs w:val="24"/>
                  <w:lang w:bidi="en-US"/>
                </w:rPr>
                <w:t>.</w:t>
              </w:r>
              <w:r>
                <w:rPr>
                  <w:rFonts w:eastAsia="Andale Sans UI"/>
                  <w:szCs w:val="24"/>
                  <w:lang w:eastAsia="lt-LT" w:bidi="en-US"/>
                </w:rPr>
                <w:t xml:space="preserve">) </w:t>
              </w:r>
              <w:r>
                <w:rPr>
                  <w:rFonts w:eastAsia="Andale Sans UI"/>
                  <w:szCs w:val="24"/>
                  <w:lang w:bidi="en-US"/>
                </w:rPr>
                <w:t xml:space="preserve">vyriausioji specialistė Vaiva Rumbutienė (tel. +370 695 31 922, el. p. </w:t>
              </w:r>
              <w:r>
                <w:rPr>
                  <w:rFonts w:eastAsia="Andale Sans UI"/>
                  <w:color w:val="000080"/>
                  <w:szCs w:val="24"/>
                  <w:u w:val="single"/>
                  <w:lang w:bidi="en-US"/>
                </w:rPr>
                <w:t>vaiva.rumbutiene@am.lt</w:t>
              </w:r>
              <w:r>
                <w:rPr>
                  <w:rFonts w:eastAsia="Andale Sans UI"/>
                  <w:color w:val="000080"/>
                  <w:szCs w:val="24"/>
                  <w:u w:val="single"/>
                  <w:lang w:bidi="en-US"/>
                </w:rPr>
                <w:t xml:space="preserve">). </w:t>
              </w:r>
            </w:p>
            <w:p>
              <w:pPr>
                <w:ind w:firstLine="567"/>
                <w:jc w:val="both"/>
                <w:rPr>
                  <w:rFonts w:eastAsia="Andale Sans UI"/>
                  <w:szCs w:val="24"/>
                  <w:lang w:bidi="en-US"/>
                </w:rPr>
              </w:pPr>
              <w:r>
                <w:rPr>
                  <w:rFonts w:eastAsia="Andale Sans UI"/>
                  <w:szCs w:val="24"/>
                  <w:lang w:bidi="en-US"/>
                </w:rPr>
                <w:t>PRIDEDAMA:</w:t>
              </w:r>
            </w:p>
          </w:sdtContent>
        </w:sdt>
        <w:sdt>
          <w:sdtPr>
            <w:alias w:val="1 p."/>
            <w:tag w:val="part_2951d296d2a1427fa15d43c37e64b897"/>
            <w:lock w:val="sdtLocked"/>
            <w:richText/>
          </w:sdtPr>
          <w:sdtContent>
            <w:p>
              <w:pPr>
                <w:ind w:firstLine="567"/>
                <w:jc w:val="both"/>
                <w:rPr>
                  <w:color w:val="000000"/>
                  <w:szCs w:val="24"/>
                  <w:lang w:eastAsia="lt-LT" w:bidi="en-US"/>
                </w:rPr>
              </w:pPr>
              <w:sdt>
                <w:sdtPr>
                  <w:alias w:val="Numeris"/>
                  <w:tag w:val="nr_2951d296d2a1427fa15d43c37e64b897"/>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10 lapų.</w:t>
              </w:r>
            </w:p>
          </w:sdtContent>
        </w:sdt>
        <w:sdt>
          <w:sdtPr>
            <w:alias w:val="2 p."/>
            <w:tag w:val="part_489cc2de46f849ffaf48b12c213693cb"/>
            <w:lock w:val="sdtLocked"/>
            <w:richText/>
          </w:sdtPr>
          <w:sdtContent>
            <w:p>
              <w:pPr>
                <w:ind w:firstLine="567"/>
                <w:jc w:val="both"/>
                <w:rPr>
                  <w:color w:val="000000"/>
                  <w:szCs w:val="24"/>
                  <w:lang w:eastAsia="lt-LT" w:bidi="en-US"/>
                </w:rPr>
              </w:pPr>
              <w:sdt>
                <w:sdtPr>
                  <w:alias w:val="Numeris"/>
                  <w:tag w:val="nr_489cc2de46f849ffaf48b12c213693cb"/>
                  <w:lock w:val="sdtLocked"/>
                  <w:richText/>
                </w:sdtPr>
                <w:sdtContent>
                  <w:r>
                    <w:rPr>
                      <w:color w:val="000000"/>
                      <w:szCs w:val="24"/>
                      <w:lang w:eastAsia="lt-LT" w:bidi="en-US"/>
                    </w:rPr>
                    <w:t>2</w:t>
                  </w:r>
                </w:sdtContent>
              </w:sdt>
              <w:r>
                <w:rPr>
                  <w:color w:val="000000"/>
                  <w:szCs w:val="24"/>
                  <w:lang w:eastAsia="lt-LT" w:bidi="en-US"/>
                </w:rPr>
                <w:t>. Antikorupcinio vertinimo pažyma, 5 lapai.</w:t>
              </w:r>
            </w:p>
            <w:p>
              <w:pPr>
                <w:spacing w:line="276" w:lineRule="auto"/>
                <w:ind w:firstLine="567"/>
                <w:jc w:val="both"/>
                <w:rPr>
                  <w:color w:val="000000"/>
                  <w:szCs w:val="24"/>
                  <w:lang w:eastAsia="lt-LT" w:bidi="en-US"/>
                </w:rPr>
              </w:pPr>
            </w:p>
            <w:p>
              <w:pPr>
                <w:spacing w:line="276" w:lineRule="auto"/>
                <w:ind w:firstLine="567"/>
                <w:jc w:val="both"/>
                <w:rPr>
                  <w:color w:val="000000"/>
                  <w:szCs w:val="24"/>
                  <w:lang w:eastAsia="lt-LT" w:bidi="en-US"/>
                </w:rPr>
              </w:pPr>
            </w:p>
            <w:tbl>
              <w:tblPr>
                <w:tblW w:w="9781" w:type="dxa"/>
                <w:tblLayout w:type="fixed"/>
                <w:tblCellMar>
                  <w:left w:w="0" w:type="dxa"/>
                  <w:right w:w="0" w:type="dxa"/>
                </w:tblCellMar>
                <w:tblLook w:val="0000" w:firstRow="0" w:lastRow="0" w:firstColumn="0" w:lastColumn="0" w:noHBand="0" w:noVBand="0"/>
              </w:tblPr>
              <w:tblGrid>
                <w:gridCol w:w="4817"/>
                <w:gridCol w:w="4964"/>
              </w:tblGrid>
              <w:tr>
                <w:trPr>
                  <w:trHeight w:val="340"/>
                </w:trPr>
                <w:tc>
                  <w:tcPr>
                    <w:tcW w:w="4817" w:type="dxa"/>
                    <w:vAlign w:val="bottom"/>
                  </w:tcPr>
                  <w:p>
                    <w:pPr>
                      <w:suppressLineNumbers/>
                      <w:jc w:val="both"/>
                      <w:rPr>
                        <w:rFonts w:eastAsia="Andale Sans UI"/>
                        <w:szCs w:val="24"/>
                        <w:lang w:bidi="en-US"/>
                      </w:rPr>
                    </w:pPr>
                    <w:r>
                      <w:rPr>
                        <w:rFonts w:eastAsia="Andale Sans UI"/>
                        <w:szCs w:val="24"/>
                        <w:lang w:bidi="en-US"/>
                      </w:rPr>
                      <w:t>Aplinkos viceministrė</w:t>
                    </w:r>
                  </w:p>
                </w:tc>
                <w:tc>
                  <w:tcPr>
                    <w:tcW w:w="4964" w:type="dxa"/>
                    <w:vAlign w:val="bottom"/>
                  </w:tcPr>
                  <w:p>
                    <w:pPr>
                      <w:ind w:right="34"/>
                      <w:jc w:val="right"/>
                      <w:rPr>
                        <w:rFonts w:eastAsia="Andale Sans UI"/>
                        <w:szCs w:val="24"/>
                        <w:lang w:bidi="en-US"/>
                      </w:rPr>
                    </w:pPr>
                  </w:p>
                </w:tc>
              </w:tr>
              <w:tr>
                <w:trPr>
                  <w:cantSplit/>
                  <w:trHeight w:val="1071"/>
                </w:trPr>
                <w:tc>
                  <w:tcPr>
                    <w:tcW w:w="9781" w:type="dxa"/>
                    <w:gridSpan w:val="2"/>
                  </w:tcPr>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szCs w:val="24"/>
                        <w:lang w:bidi="en-US"/>
                      </w:rPr>
                    </w:pPr>
                    <w:r>
                      <w:rPr>
                        <w:rFonts w:eastAsia="Andale Sans UI" w:cs="Tahoma"/>
                        <w:szCs w:val="24"/>
                        <w:lang w:bidi="en-US"/>
                      </w:rPr>
                      <w:t xml:space="preserve">V. Rumbutienė, +370 695 31 922, el. p. </w:t>
                    </w:r>
                    <w:r>
                      <w:rPr>
                        <w:rFonts w:eastAsia="Andale Sans UI" w:cs="Tahoma"/>
                        <w:color w:val="000080"/>
                        <w:szCs w:val="24"/>
                        <w:u w:val="single"/>
                        <w:lang w:bidi="en-US"/>
                      </w:rPr>
                      <w:t>vaiva.rumbutiene@am.lt</w:t>
                    </w:r>
                  </w:p>
                </w:tc>
              </w:tr>
            </w:tbl>
            <w:p/>
            <w:p>
              <w:pPr>
                <w:jc w:val="center"/>
                <w:rPr>
                  <w:rFonts w:eastAsia="Andale Sans UI" w:cs="Tahoma"/>
                  <w:szCs w:val="24"/>
                  <w:lang w:bidi="en-US"/>
                </w:rPr>
                <w:sectPr>
                  <w:headerReference w:type="even" r:id="rId14"/>
                  <w:headerReference w:type="default" r:id="rId15"/>
                  <w:footerReference w:type="even" r:id="rId16"/>
                  <w:footerReference w:type="default" r:id="rId17"/>
                  <w:headerReference w:type="first" r:id="rId18"/>
                  <w:footerReference w:type="first" r:id="rId19"/>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GAVĖJŲ SĄRAŠAS</w:t>
              </w:r>
            </w:p>
            <w:p>
              <w:pPr>
                <w:ind w:firstLine="567"/>
                <w:jc w:val="center"/>
                <w:rPr>
                  <w:rFonts w:eastAsia="Andale Sans UI" w:cs="Tahoma"/>
                  <w:szCs w:val="24"/>
                  <w:lang w:bidi="en-US"/>
                </w:rPr>
              </w:pPr>
            </w:p>
          </w:sdtContent>
        </w:sdt>
        <w:sdt>
          <w:sdtPr>
            <w:alias w:val="signatura"/>
            <w:tag w:val="part_bbbfeb05642541f6a67911785a85f8dc"/>
            <w:lock w:val="sdtLocked"/>
            <w:richText/>
          </w:sdtPr>
          <w:sdtContent>
            <w:p>
              <w:pPr>
                <w:suppressLineNumbers/>
                <w:spacing w:line="276" w:lineRule="auto"/>
                <w:jc w:val="both"/>
                <w:rPr>
                  <w:rFonts w:eastAsia="Andale Sans UI" w:cs="Tahoma"/>
                  <w:color w:val="000000"/>
                  <w:szCs w:val="24"/>
                  <w:lang w:bidi="en-US"/>
                </w:rPr>
              </w:pPr>
              <w:r>
                <w:rPr>
                  <w:rFonts w:eastAsia="Andale Sans UI" w:cs="Tahoma"/>
                  <w:color w:val="000000"/>
                  <w:szCs w:val="24"/>
                  <w:lang w:bidi="en-US"/>
                </w:rPr>
                <w:t>Lietuvos Respublikos teisingumo ministerija</w:t>
              </w:r>
            </w:p>
            <w:p>
              <w:pPr>
                <w:suppressLineNumbers/>
                <w:spacing w:line="276" w:lineRule="auto"/>
                <w:jc w:val="both"/>
                <w:rPr>
                  <w:rFonts w:eastAsia="Andale Sans UI"/>
                  <w:position w:val="6"/>
                  <w:szCs w:val="24"/>
                  <w:lang w:bidi="en-US"/>
                </w:rPr>
              </w:pPr>
              <w:r>
                <w:rPr>
                  <w:rFonts w:eastAsia="Andale Sans UI" w:cs="Tahoma"/>
                  <w:color w:val="000000"/>
                  <w:szCs w:val="24"/>
                  <w:lang w:bidi="en-US"/>
                </w:rPr>
                <w:t>Lietuvos Respublikos ekonomikos ir inovacijų ministerija</w:t>
              </w:r>
            </w:p>
            <w:p>
              <w:pPr>
                <w:suppressLineNumbers/>
                <w:spacing w:line="276" w:lineRule="auto"/>
                <w:jc w:val="both"/>
                <w:rPr>
                  <w:rFonts w:eastAsia="Andale Sans UI" w:cs="Tahoma"/>
                  <w:szCs w:val="24"/>
                  <w:lang w:bidi="en-US"/>
                </w:rPr>
              </w:pPr>
              <w:r>
                <w:rPr>
                  <w:rFonts w:eastAsia="Andale Sans UI" w:cs="Tahoma"/>
                  <w:szCs w:val="24"/>
                  <w:lang w:bidi="en-US"/>
                </w:rPr>
                <w:t>Lietuvos Respublikos specialiųjų tyrimų tarnyba</w:t>
              </w:r>
            </w:p>
            <w:p>
              <w:pPr>
                <w:suppressLineNumbers/>
                <w:spacing w:line="276" w:lineRule="auto"/>
                <w:jc w:val="both"/>
                <w:rPr>
                  <w:rFonts w:eastAsia="Andale Sans UI" w:cs="Tahoma"/>
                  <w:szCs w:val="24"/>
                  <w:lang w:bidi="en-US"/>
                </w:rPr>
              </w:pPr>
              <w:r>
                <w:rPr>
                  <w:rFonts w:eastAsia="Andale Sans UI" w:cs="Tahoma"/>
                  <w:szCs w:val="24"/>
                  <w:lang w:bidi="en-US"/>
                </w:rPr>
                <w:t>Vyriausybės atstovų įstaiga</w:t>
              </w:r>
            </w:p>
            <w:p>
              <w:pPr>
                <w:suppressLineNumbers/>
                <w:spacing w:line="276" w:lineRule="auto"/>
                <w:jc w:val="both"/>
                <w:rPr>
                  <w:rFonts w:eastAsia="Andale Sans UI" w:cs="Tahoma"/>
                  <w:szCs w:val="24"/>
                  <w:lang w:bidi="en-US"/>
                </w:rPr>
              </w:pPr>
              <w:r>
                <w:rPr>
                  <w:rFonts w:eastAsia="Andale Sans UI" w:cs="Tahoma"/>
                  <w:szCs w:val="24"/>
                  <w:lang w:bidi="en-US"/>
                </w:rPr>
                <w:t>Valstybinė vartotojų teisių apsaugos tarnyba</w:t>
              </w:r>
            </w:p>
            <w:p>
              <w:pPr>
                <w:suppressLineNumbers/>
                <w:spacing w:line="276" w:lineRule="auto"/>
                <w:jc w:val="both"/>
                <w:rPr>
                  <w:rFonts w:eastAsia="Andale Sans UI" w:cs="Tahoma"/>
                  <w:szCs w:val="24"/>
                  <w:lang w:bidi="en-US"/>
                </w:rPr>
              </w:pPr>
              <w:r>
                <w:rPr>
                  <w:rFonts w:eastAsia="Andale Sans UI" w:cs="Tahoma"/>
                  <w:szCs w:val="24"/>
                  <w:lang w:bidi="en-US"/>
                </w:rPr>
                <w:t>Valstybės įmonė Registrų centras</w:t>
              </w:r>
            </w:p>
            <w:p>
              <w:pPr>
                <w:suppressLineNumbers/>
                <w:spacing w:line="276" w:lineRule="auto"/>
                <w:jc w:val="both"/>
                <w:rPr>
                  <w:rFonts w:eastAsia="Andale Sans UI" w:cs="Tahoma"/>
                  <w:szCs w:val="24"/>
                  <w:lang w:bidi="en-US"/>
                </w:rPr>
              </w:pPr>
              <w:r>
                <w:rPr>
                  <w:rFonts w:eastAsia="Andale Sans UI" w:cs="Tahoma"/>
                  <w:szCs w:val="24"/>
                  <w:lang w:bidi="en-US"/>
                </w:rPr>
                <w:t>Lietuvos savivaldybių asociacija</w:t>
              </w:r>
            </w:p>
            <w:p>
              <w:pPr>
                <w:spacing w:line="276" w:lineRule="auto"/>
                <w:jc w:val="both"/>
                <w:rPr>
                  <w:rFonts w:cs="Tahoma"/>
                  <w:color w:val="000000"/>
                  <w:szCs w:val="24"/>
                  <w:lang w:val="en-US"/>
                </w:rPr>
              </w:pPr>
              <w:r>
                <w:rPr>
                  <w:rFonts w:eastAsia="Andale Sans UI" w:cs="Tahoma"/>
                  <w:color w:val="000000"/>
                  <w:szCs w:val="24"/>
                  <w:bdr w:val="none" w:sz="0" w:space="0" w:color="auto" w:frame="1"/>
                  <w:lang w:bidi="en-US"/>
                </w:rPr>
                <w:t>Lietuvos respublikiniai būsto valdymo ir priežiūros rūmai</w:t>
              </w:r>
            </w:p>
            <w:p>
              <w:pPr>
                <w:spacing w:line="276" w:lineRule="auto"/>
                <w:jc w:val="both"/>
                <w:rPr>
                  <w:rFonts w:eastAsia="Andale Sans UI" w:cs="Tahoma"/>
                  <w:color w:val="000000"/>
                  <w:szCs w:val="24"/>
                  <w:lang w:val="en-US" w:bidi="en-US"/>
                </w:rPr>
              </w:pPr>
              <w:r>
                <w:rPr>
                  <w:rFonts w:eastAsia="Andale Sans UI" w:cs="Tahoma"/>
                  <w:color w:val="000000"/>
                  <w:szCs w:val="24"/>
                  <w:bdr w:val="none" w:sz="0" w:space="0" w:color="auto" w:frame="1"/>
                  <w:lang w:bidi="en-US"/>
                </w:rPr>
                <w:t>Asociacija Lietuvos butų ūkis</w:t>
              </w:r>
            </w:p>
            <w:p>
              <w:pPr>
                <w:spacing w:line="276" w:lineRule="auto"/>
                <w:jc w:val="both"/>
                <w:rPr>
                  <w:rFonts w:eastAsia="Andale Sans UI" w:cs="Tahoma"/>
                  <w:color w:val="000000"/>
                  <w:szCs w:val="24"/>
                  <w:bdr w:val="none" w:sz="0" w:space="0" w:color="auto" w:frame="1"/>
                  <w:lang w:bidi="en-US"/>
                </w:rPr>
              </w:pPr>
              <w:r>
                <w:rPr>
                  <w:rFonts w:eastAsia="Andale Sans UI" w:cs="Tahoma"/>
                  <w:color w:val="000000"/>
                  <w:szCs w:val="24"/>
                  <w:bdr w:val="none" w:sz="0" w:space="0" w:color="auto" w:frame="1"/>
                  <w:lang w:bidi="en-US"/>
                </w:rPr>
                <w:t>Lietuvos savivaldybių komunalinių įmonių asociacija</w:t>
              </w:r>
            </w:p>
            <w:p>
              <w:pPr>
                <w:suppressLineNumbers/>
                <w:spacing w:line="276" w:lineRule="auto"/>
                <w:jc w:val="both"/>
                <w:rPr>
                  <w:rFonts w:eastAsia="Andale Sans UI" w:cs="Tahoma"/>
                  <w:szCs w:val="24"/>
                  <w:lang w:bidi="en-US"/>
                </w:rPr>
              </w:pPr>
              <w:r>
                <w:rPr>
                  <w:rFonts w:eastAsia="Andale Sans UI" w:cs="Tahoma"/>
                  <w:szCs w:val="24"/>
                  <w:lang w:bidi="en-US"/>
                </w:rPr>
                <w:t>Valstybinė duomenų apsaugos inspekcija</w:t>
              </w:r>
            </w:p>
            <w:p>
              <w:pPr>
                <w:suppressLineNumbers/>
                <w:spacing w:line="276" w:lineRule="auto"/>
                <w:jc w:val="both"/>
                <w:rPr>
                  <w:rFonts w:eastAsia="Andale Sans UI" w:cs="Tahoma"/>
                  <w:szCs w:val="24"/>
                  <w:lang w:bidi="en-US"/>
                </w:rPr>
              </w:pPr>
              <w:r>
                <w:rPr>
                  <w:rFonts w:eastAsia="Andale Sans UI" w:cs="Tahoma"/>
                  <w:szCs w:val="24"/>
                  <w:lang w:bidi="en-US"/>
                </w:rPr>
                <w:t>Lietuvos Respublikos konkurencijos taryba</w:t>
              </w:r>
            </w:p>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tarSymbol">
    <w:charset w:val="00"/>
    <w:family w:val="auto"/>
    <w:pitch w:val="variable"/>
    <w:sig w:usb0="00000003" w:usb1="10008000" w:usb2="00000000" w:usb3="00000000" w:csb0="00000001"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3">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3"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5">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6">
    <w:p>
      <w:pPr>
        <w:jc w:val="both"/>
        <w:rPr>
          <w:sz w:val="20"/>
          <w:lang w:eastAsia="lt-LT"/>
        </w:rPr>
      </w:pPr>
      <w:r>
        <w:rPr>
          <w:rFonts w:eastAsia="Andale Sans UI"/>
          <w:sz w:val="20"/>
          <w:vertAlign w:val="superscript"/>
        </w:rPr>
        <w:footnoteRef/>
        <w:t xml:space="preserve"> </w:t>
      </w:r>
      <w:hyperlink r:id="rId5"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7">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938800">
      <w:bodyDiv w:val="1"/>
      <w:marLeft w:val="0"/>
      <w:marRight w:val="0"/>
      <w:marTop w:val="0"/>
      <w:marBottom w:val="0"/>
      <w:divBdr>
        <w:top w:val="none" w:sz="0" w:space="0" w:color="auto"/>
        <w:left w:val="none" w:sz="0" w:space="0" w:color="auto"/>
        <w:bottom w:val="none" w:sz="0" w:space="0" w:color="auto"/>
        <w:right w:val="none" w:sz="0" w:space="0" w:color="auto"/>
      </w:divBdr>
    </w:div>
    <w:div w:id="409078471">
      <w:bodyDiv w:val="1"/>
      <w:marLeft w:val="0"/>
      <w:marRight w:val="0"/>
      <w:marTop w:val="0"/>
      <w:marBottom w:val="0"/>
      <w:divBdr>
        <w:top w:val="none" w:sz="0" w:space="0" w:color="auto"/>
        <w:left w:val="none" w:sz="0" w:space="0" w:color="auto"/>
        <w:bottom w:val="none" w:sz="0" w:space="0" w:color="auto"/>
        <w:right w:val="none" w:sz="0" w:space="0" w:color="auto"/>
      </w:divBdr>
      <w:divsChild>
        <w:div w:id="1454980235">
          <w:marLeft w:val="0"/>
          <w:marRight w:val="0"/>
          <w:marTop w:val="0"/>
          <w:marBottom w:val="0"/>
          <w:divBdr>
            <w:top w:val="none" w:sz="0" w:space="0" w:color="auto"/>
            <w:left w:val="none" w:sz="0" w:space="0" w:color="auto"/>
            <w:bottom w:val="none" w:sz="0" w:space="0" w:color="auto"/>
            <w:right w:val="none" w:sz="0" w:space="0" w:color="auto"/>
          </w:divBdr>
        </w:div>
        <w:div w:id="1018433382">
          <w:marLeft w:val="0"/>
          <w:marRight w:val="0"/>
          <w:marTop w:val="0"/>
          <w:marBottom w:val="0"/>
          <w:divBdr>
            <w:top w:val="none" w:sz="0" w:space="0" w:color="auto"/>
            <w:left w:val="none" w:sz="0" w:space="0" w:color="auto"/>
            <w:bottom w:val="none" w:sz="0" w:space="0" w:color="auto"/>
            <w:right w:val="none" w:sz="0" w:space="0" w:color="auto"/>
          </w:divBdr>
        </w:div>
        <w:div w:id="1448888108">
          <w:marLeft w:val="0"/>
          <w:marRight w:val="0"/>
          <w:marTop w:val="0"/>
          <w:marBottom w:val="0"/>
          <w:divBdr>
            <w:top w:val="none" w:sz="0" w:space="0" w:color="auto"/>
            <w:left w:val="none" w:sz="0" w:space="0" w:color="auto"/>
            <w:bottom w:val="none" w:sz="0" w:space="0" w:color="auto"/>
            <w:right w:val="none" w:sz="0" w:space="0" w:color="auto"/>
          </w:divBdr>
        </w:div>
        <w:div w:id="1954749615">
          <w:marLeft w:val="0"/>
          <w:marRight w:val="0"/>
          <w:marTop w:val="0"/>
          <w:marBottom w:val="0"/>
          <w:divBdr>
            <w:top w:val="none" w:sz="0" w:space="0" w:color="auto"/>
            <w:left w:val="none" w:sz="0" w:space="0" w:color="auto"/>
            <w:bottom w:val="none" w:sz="0" w:space="0" w:color="auto"/>
            <w:right w:val="none" w:sz="0" w:space="0" w:color="auto"/>
          </w:divBdr>
        </w:div>
        <w:div w:id="2005432964">
          <w:marLeft w:val="0"/>
          <w:marRight w:val="0"/>
          <w:marTop w:val="0"/>
          <w:marBottom w:val="0"/>
          <w:divBdr>
            <w:top w:val="none" w:sz="0" w:space="0" w:color="auto"/>
            <w:left w:val="none" w:sz="0" w:space="0" w:color="auto"/>
            <w:bottom w:val="none" w:sz="0" w:space="0" w:color="auto"/>
            <w:right w:val="none" w:sz="0" w:space="0" w:color="auto"/>
          </w:divBdr>
        </w:div>
        <w:div w:id="1026253841">
          <w:marLeft w:val="0"/>
          <w:marRight w:val="0"/>
          <w:marTop w:val="0"/>
          <w:marBottom w:val="0"/>
          <w:divBdr>
            <w:top w:val="none" w:sz="0" w:space="0" w:color="auto"/>
            <w:left w:val="none" w:sz="0" w:space="0" w:color="auto"/>
            <w:bottom w:val="none" w:sz="0" w:space="0" w:color="auto"/>
            <w:right w:val="none" w:sz="0" w:space="0" w:color="auto"/>
          </w:divBdr>
        </w:div>
        <w:div w:id="45834222">
          <w:marLeft w:val="0"/>
          <w:marRight w:val="0"/>
          <w:marTop w:val="0"/>
          <w:marBottom w:val="0"/>
          <w:divBdr>
            <w:top w:val="none" w:sz="0" w:space="0" w:color="auto"/>
            <w:left w:val="none" w:sz="0" w:space="0" w:color="auto"/>
            <w:bottom w:val="none" w:sz="0" w:space="0" w:color="auto"/>
            <w:right w:val="none" w:sz="0" w:space="0" w:color="auto"/>
          </w:divBdr>
        </w:div>
        <w:div w:id="1138259315">
          <w:marLeft w:val="0"/>
          <w:marRight w:val="0"/>
          <w:marTop w:val="0"/>
          <w:marBottom w:val="0"/>
          <w:divBdr>
            <w:top w:val="none" w:sz="0" w:space="0" w:color="auto"/>
            <w:left w:val="none" w:sz="0" w:space="0" w:color="auto"/>
            <w:bottom w:val="none" w:sz="0" w:space="0" w:color="auto"/>
            <w:right w:val="none" w:sz="0" w:space="0" w:color="auto"/>
          </w:divBdr>
        </w:div>
        <w:div w:id="1782794227">
          <w:marLeft w:val="0"/>
          <w:marRight w:val="0"/>
          <w:marTop w:val="0"/>
          <w:marBottom w:val="0"/>
          <w:divBdr>
            <w:top w:val="none" w:sz="0" w:space="0" w:color="auto"/>
            <w:left w:val="none" w:sz="0" w:space="0" w:color="auto"/>
            <w:bottom w:val="none" w:sz="0" w:space="0" w:color="auto"/>
            <w:right w:val="none" w:sz="0" w:space="0" w:color="auto"/>
          </w:divBdr>
        </w:div>
        <w:div w:id="1300301908">
          <w:marLeft w:val="0"/>
          <w:marRight w:val="0"/>
          <w:marTop w:val="0"/>
          <w:marBottom w:val="0"/>
          <w:divBdr>
            <w:top w:val="none" w:sz="0" w:space="0" w:color="auto"/>
            <w:left w:val="none" w:sz="0" w:space="0" w:color="auto"/>
            <w:bottom w:val="none" w:sz="0" w:space="0" w:color="auto"/>
            <w:right w:val="none" w:sz="0" w:space="0" w:color="auto"/>
          </w:divBdr>
        </w:div>
      </w:divsChild>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594247647">
      <w:bodyDiv w:val="1"/>
      <w:marLeft w:val="0"/>
      <w:marRight w:val="0"/>
      <w:marTop w:val="0"/>
      <w:marBottom w:val="0"/>
      <w:divBdr>
        <w:top w:val="none" w:sz="0" w:space="0" w:color="auto"/>
        <w:left w:val="none" w:sz="0" w:space="0" w:color="auto"/>
        <w:bottom w:val="none" w:sz="0" w:space="0" w:color="auto"/>
        <w:right w:val="none" w:sz="0" w:space="0" w:color="auto"/>
      </w:divBdr>
    </w:div>
    <w:div w:id="670106798">
      <w:bodyDiv w:val="1"/>
      <w:marLeft w:val="0"/>
      <w:marRight w:val="0"/>
      <w:marTop w:val="0"/>
      <w:marBottom w:val="0"/>
      <w:divBdr>
        <w:top w:val="none" w:sz="0" w:space="0" w:color="auto"/>
        <w:left w:val="none" w:sz="0" w:space="0" w:color="auto"/>
        <w:bottom w:val="none" w:sz="0" w:space="0" w:color="auto"/>
        <w:right w:val="none" w:sz="0" w:space="0" w:color="auto"/>
      </w:divBdr>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040327560">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670673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DB68BCA9E3A0/asr"/>
  <Relationship Id="rId4" Type="http://schemas.openxmlformats.org/officeDocument/2006/relationships/hyperlink" TargetMode="External" Target="https://www.e-tar.lt/portal/lt/legalAct/TAR.EDD5FD371B32/asr"/>
  <Relationship Id="rId5"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E00E406859B043AF1B1B8B0FEBF9A8" ma:contentTypeVersion="14" ma:contentTypeDescription="Create a new document." ma:contentTypeScope="" ma:versionID="1269df2df2474458445ca79b4fb21275">
  <xsd:schema xmlns:xsd="http://www.w3.org/2001/XMLSchema" xmlns:xs="http://www.w3.org/2001/XMLSchema" xmlns:p="http://schemas.microsoft.com/office/2006/metadata/properties" xmlns:ns2="f46573e7-1cb1-4c74-94d1-72ab4ab94e29" xmlns:ns3="e071b7ad-ff5b-4ced-b7d1-c9f61865f966" targetNamespace="http://schemas.microsoft.com/office/2006/metadata/properties" ma:root="true" ma:fieldsID="7879038af560b6267937a684c8fe2d24" ns2:_="" ns3:_="">
    <xsd:import namespace="f46573e7-1cb1-4c74-94d1-72ab4ab94e29"/>
    <xsd:import namespace="e071b7ad-ff5b-4ced-b7d1-c9f61865f96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6573e7-1cb1-4c74-94d1-72ab4ab94e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071b7ad-ff5b-4ced-b7d1-c9f61865f96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5f5ec35-f5a1-4b78-a392-370007239181}" ma:internalName="TaxCatchAll" ma:showField="CatchAllData" ma:web="e071b7ad-ff5b-4ced-b7d1-c9f61865f966">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e071b7ad-ff5b-4ced-b7d1-c9f61865f966">
      <UserInfo>
        <DisplayName>Jurgita Užkurnienė</DisplayName>
        <AccountId>118</AccountId>
        <AccountType/>
      </UserInfo>
    </SharedWithUsers>
    <lcf76f155ced4ddcb4097134ff3c332f xmlns="f46573e7-1cb1-4c74-94d1-72ab4ab94e29">
      <Terms xmlns="http://schemas.microsoft.com/office/infopath/2007/PartnerControls"/>
    </lcf76f155ced4ddcb4097134ff3c332f>
    <TaxCatchAll xmlns="e071b7ad-ff5b-4ced-b7d1-c9f61865f9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87b560f2bd80445ab340003188f07928" PartId="69821586d59941338681cb20c2a7742e"/>
  <Part Type="pastraipa" DocPartId="82f9a0ef168f4977bc8db1db5addc75f" PartId="807fcbf89bea492cb055626a2a04c11d">
    <Part Type="punktas" Nr="1" Abbr="1 p." DocPartId="d036893d2c9b489aa29ad81e91803b35" PartId="b84570d84bf248ac8c89665527244d48"/>
    <Part Type="punktas" Nr="2" Abbr="2 p." DocPartId="f6951b5c91c84ac283e9d7d5790334b8" PartId="66d5e33f6edb4f7d9b4c73bdc712cd7d"/>
    <Part Type="punktas" Nr="3" Abbr="3 p." DocPartId="e01cd08ff72c4f59adddb81fc84a2783" PartId="646f342335cb447a9fa1fb58a61a901d"/>
    <Part Type="punktas" Nr="4" Abbr="4 p." DocPartId="49e0072b620e4ce2976eb45c7a9527d0" PartId="766be615e44c451088af92a93d370716"/>
    <Part Type="punktas" Nr="5" Abbr="5 p." DocPartId="af7247b8354d4ba89b7ea630e52862ef" PartId="0a6513a772894452909a3069353b4833"/>
    <Part Type="punktas" Nr="6" Abbr="6 p." DocPartId="8008f30d7c2945f59cd946fa97446cc9" PartId="90f1a1bb99c14c5f9da51d9b1dfcb978"/>
    <Part Type="punktas" Nr="7" Abbr="7 p." DocPartId="ee2eb188f65a4afd91a64bf4bc73fb80" PartId="5fa4fd2ec1bd4e7a856704908344ee1b"/>
    <Part Type="punktas" Nr="8" Abbr="8 p." DocPartId="c2aecd75ad9b4e048653651f2b017a0c" PartId="b5f8e00dc38b45d886ddc09e23523d30"/>
    <Part Type="punktas" Nr="9" Abbr="9 p." DocPartId="5e0052a357a740f588ed73d654f03801" PartId="dc12998809864bd0acb8bf2c469fae73"/>
    <Part Type="punktas" Nr="10" Abbr="10 p." DocPartId="9bd88f7a34e1484babf7b015ec8abe65" PartId="e821a167e2be4a0bb3fb1f7040048053"/>
    <Part Type="punktas" Nr="11" Abbr="11 p." DocPartId="7fb3f234b34643238279a6c16c8473e6" PartId="29ae6b590d364ad6b7cde60cac6debf8"/>
    <Part Type="punktas" Nr="12" Abbr="12 p." DocPartId="86867b279a8944ee94e56d982658b276" PartId="6c6ccc785adf42a296dc1b44fc1b4cc6"/>
    <Part Type="punktas" Nr="13" Abbr="13 p." DocPartId="3415edd2164941bd8e5a375fe0deef91" PartId="d62ff675d4884e14bc8385fce312b23a"/>
    <Part Type="punktas" Nr="14" Abbr="14 p." DocPartId="a66cf16657ab4abda9057c83c8dd4f83" PartId="b784dd179ead4b8eb1d380f5f46e0160"/>
    <Part Type="punktas" Nr="1" Abbr="1 p." Notes="Numeris ne iš eilės. Trūksta dalių? [DocDalys]" DocPartId="90dc32cf35f842c7bac5c3d8a0464f26" PartId="2951d296d2a1427fa15d43c37e64b897"/>
    <Part Type="punktas" Nr="2" Abbr="2 p." DocPartId="c23dccfd6a3c44e59e0a5201e67c162b" PartId="489cc2de46f849ffaf48b12c213693cb"/>
    <Part Type="signatura" DocPartId="6775cdd823b14a3ea7820d8957d97d36" PartId="bbbfeb05642541f6a67911785a85f8dc"/>
  </Part>
</Parts>
</file>

<file path=customXml/itemProps1.xml><?xml version="1.0" encoding="utf-8"?>
<ds:datastoreItem xmlns:ds="http://schemas.openxmlformats.org/officeDocument/2006/customXml" ds:itemID="{4BE914BE-FE81-4D54-9067-7AE61A443E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6573e7-1cb1-4c74-94d1-72ab4ab94e29"/>
    <ds:schemaRef ds:uri="e071b7ad-ff5b-4ced-b7d1-c9f61865f9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2ECC1323-9F72-4681-9895-5BB6B34E3FBB}">
  <ds:schemaRefs>
    <ds:schemaRef ds:uri="http://schemas.openxmlformats.org/package/2006/metadata/core-properties"/>
    <ds:schemaRef ds:uri="http://schemas.microsoft.com/office/2006/metadata/properties"/>
    <ds:schemaRef ds:uri="http://purl.org/dc/dcmitype/"/>
    <ds:schemaRef ds:uri="http://purl.org/dc/terms/"/>
    <ds:schemaRef ds:uri="http://schemas.microsoft.com/office/2006/documentManagement/types"/>
    <ds:schemaRef ds:uri="2ad30025-d0d5-4532-b26e-26983efa1e1c"/>
    <ds:schemaRef ds:uri="http://purl.org/dc/elements/1.1/"/>
    <ds:schemaRef ds:uri="http://schemas.microsoft.com/office/infopath/2007/PartnerControls"/>
    <ds:schemaRef ds:uri="58c6f6df-7e1f-4a2e-8979-e3f4c92e56f2"/>
    <ds:schemaRef ds:uri="http://www.w3.org/XML/1998/namespace"/>
    <ds:schemaRef ds:uri="e071b7ad-ff5b-4ced-b7d1-c9f61865f966"/>
    <ds:schemaRef ds:uri="f46573e7-1cb1-4c74-94d1-72ab4ab94e29"/>
  </ds:schemaRefs>
</ds:datastoreItem>
</file>

<file path=customXml/itemProps4.xml><?xml version="1.0" encoding="utf-8"?>
<ds:datastoreItem xmlns:ds="http://schemas.openxmlformats.org/officeDocument/2006/customXml" ds:itemID="{D58F8E1F-7D29-4858-9F34-29E347A23B94}">
  <ds:schemaRefs>
    <ds:schemaRef ds:uri="http://schemas.openxmlformats.org/officeDocument/2006/bibliography"/>
  </ds:schemaRefs>
</ds:datastoreItem>
</file>

<file path=customXml/itemProps5.xml><?xml version="1.0" encoding="utf-8"?>
<ds:datastoreItem xmlns:ds="http://schemas.openxmlformats.org/officeDocument/2006/customXml" ds:itemID="{042B9D8F-375F-4E00-AF83-F97C59475A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2933</Words>
  <Characters>22236</Characters>
  <Application>Microsoft Office Word</Application>
  <DocSecurity>4</DocSecurity>
  <Lines>370</Lines>
  <Paragraphs>117</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25052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2024-12-12T05:08:00Z</dcterms:created>
  <dcterms:modified xsi:type="dcterms:W3CDTF">2024-12-12T05:08:00Z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0x010100C9E00E406859B043AF1B1B8B0FEBF9A8</vt:lpwstr>
  </property>
  <property fmtid="{D5CDD505-2E9C-101B-9397-08002B2CF9AE}" pid="3" name="MediaServiceImageTags">
    <vt:lpwstr/>
  </property>
</Properties>
</file>