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ea88dc2809433da57d318b70b272cf"/>
        <w:lock w:val="sdtLocked"/>
        <w:richText/>
      </w:sdtPr>
      <w:sdtContent>
        <w:p>
          <w:pPr>
            <w:jc w:val="center"/>
            <w:rPr>
              <w:b/>
              <w:szCs w:val="24"/>
              <w:lang w:eastAsia="lt-LT"/>
            </w:rPr>
          </w:pPr>
          <w:r>
            <w:rPr>
              <w:b/>
              <w:szCs w:val="24"/>
              <w:lang w:eastAsia="lt-LT"/>
            </w:rPr>
            <w:t>LIETUVOS RESPUBLIKOS MENO KŪRĖJO IR MENO KŪRĖJŲ ORGANIZACIJŲ STATUSO ĮSTATYMO NR. I-1494 PAKEITIMO ĮSTATYMO, LIETUVOS RESPUBLIKOS SVEIKATOS DRAUDIMO ĮSTATYMO NR. I-1343 17 STRAIPSNIO PAKEITIMO ĮSTATYMO, LIETUVOS RESPUBLIKOS VALSTYBINIO SOCIALINIO DRAUDIMO ĮSTATYMO NR. I-1336 6, 10 IR 12 STRAIPSNIŲ PAKEITIMO ĮSTATYMO PROJEKTŲ</w:t>
          </w:r>
        </w:p>
        <w:p>
          <w:pPr>
            <w:jc w:val="center"/>
            <w:rPr>
              <w:b/>
              <w:caps/>
              <w:szCs w:val="24"/>
              <w:lang w:eastAsia="lt-LT"/>
            </w:rPr>
          </w:pPr>
          <w:r>
            <w:rPr>
              <w:b/>
              <w:caps/>
              <w:szCs w:val="24"/>
              <w:lang w:eastAsia="lt-LT"/>
            </w:rPr>
            <w:t>aiškinamasis raštas</w:t>
          </w:r>
        </w:p>
        <w:p>
          <w:pPr>
            <w:jc w:val="both"/>
            <w:rPr>
              <w:b/>
              <w:caps/>
              <w:szCs w:val="24"/>
              <w:lang w:eastAsia="lt-LT"/>
            </w:rPr>
          </w:pPr>
        </w:p>
        <w:sdt>
          <w:sdtPr>
            <w:alias w:val="1 p."/>
            <w:tag w:val="part_76bac36c75794b1c91d34abcf3c5e90f"/>
            <w:lock w:val="sdtLocked"/>
            <w:richText/>
          </w:sdtPr>
          <w:sdtContent>
            <w:p>
              <w:pPr>
                <w:ind w:firstLine="567"/>
                <w:jc w:val="both"/>
                <w:rPr>
                  <w:b/>
                  <w:szCs w:val="24"/>
                  <w:lang w:eastAsia="lt-LT"/>
                </w:rPr>
              </w:pPr>
              <w:sdt>
                <w:sdtPr>
                  <w:alias w:val="Numeris"/>
                  <w:tag w:val="nr_76bac36c75794b1c91d34abcf3c5e90f"/>
                  <w:lock w:val="sdtLocked"/>
                  <w:richText/>
                </w:sdtPr>
                <w:sdtContent>
                  <w:r>
                    <w:rPr>
                      <w:b/>
                      <w:caps/>
                      <w:szCs w:val="24"/>
                      <w:lang w:eastAsia="lt-LT"/>
                    </w:rPr>
                    <w:t>1</w:t>
                  </w:r>
                </w:sdtContent>
              </w:sdt>
              <w:r>
                <w:rPr>
                  <w:b/>
                  <w:caps/>
                  <w:szCs w:val="24"/>
                  <w:lang w:eastAsia="lt-LT"/>
                </w:rPr>
                <w:t>. Į</w:t>
              </w:r>
              <w:r>
                <w:rPr>
                  <w:b/>
                  <w:szCs w:val="24"/>
                  <w:lang w:eastAsia="lt-LT"/>
                </w:rPr>
                <w:t>statymų projektų rengimą paskatinusios priežastys, parengtų projektų tikslai ir uždaviniai</w:t>
              </w:r>
            </w:p>
            <w:p>
              <w:pPr>
                <w:ind w:firstLine="567"/>
                <w:jc w:val="both"/>
                <w:rPr>
                  <w:color w:val="000000"/>
                  <w:szCs w:val="24"/>
                </w:rPr>
              </w:pPr>
              <w:r>
                <w:rPr>
                  <w:color w:val="000000"/>
                  <w:szCs w:val="24"/>
                </w:rPr>
                <w:t xml:space="preserve">Lietuvos Respublikos meno kūrėjo ir meno kūrėjų organizacijų statuso įstatymo </w:t>
              </w:r>
              <w:r>
                <w:rPr>
                  <w:bCs/>
                  <w:color w:val="000000"/>
                  <w:szCs w:val="24"/>
                </w:rPr>
                <w:t xml:space="preserve">Nr. I-1494 </w:t>
              </w:r>
              <w:r>
                <w:rPr>
                  <w:color w:val="000000"/>
                  <w:szCs w:val="24"/>
                </w:rPr>
                <w:t xml:space="preserve">pakeitimo įstatymo projektas (toliau – Meno kūrėjo ir meno kūrėjų organizacijų statuso įstatymo projektas), </w:t>
              </w:r>
              <w:r>
                <w:rPr>
                  <w:szCs w:val="24"/>
                  <w:lang w:eastAsia="lt-LT"/>
                </w:rPr>
                <w:t>Lietuvos Respublikos sveikatos</w:t>
              </w:r>
              <w:r>
                <w:rPr>
                  <w:b/>
                  <w:szCs w:val="24"/>
                  <w:lang w:eastAsia="lt-LT"/>
                </w:rPr>
                <w:t xml:space="preserve"> </w:t>
              </w:r>
              <w:r>
                <w:rPr>
                  <w:szCs w:val="24"/>
                  <w:lang w:eastAsia="lt-LT"/>
                </w:rPr>
                <w:t>draudimo įstatymo</w:t>
              </w:r>
              <w:r>
                <w:rPr>
                  <w:b/>
                  <w:szCs w:val="24"/>
                  <w:lang w:eastAsia="lt-LT"/>
                </w:rPr>
                <w:t xml:space="preserve"> </w:t>
              </w:r>
              <w:r>
                <w:rPr>
                  <w:szCs w:val="24"/>
                  <w:lang w:eastAsia="lt-LT"/>
                </w:rPr>
                <w:t>Nr. I-1343 17 straipsnio pakeitimo įstatymo projektas (toliau – Sveikatos</w:t>
              </w:r>
              <w:r>
                <w:rPr>
                  <w:b/>
                  <w:szCs w:val="24"/>
                  <w:lang w:eastAsia="lt-LT"/>
                </w:rPr>
                <w:t xml:space="preserve"> </w:t>
              </w:r>
              <w:r>
                <w:rPr>
                  <w:szCs w:val="24"/>
                  <w:lang w:eastAsia="lt-LT"/>
                </w:rPr>
                <w:t>draudimo įstatymo projektas)</w:t>
              </w:r>
              <w:r>
                <w:rPr>
                  <w:b/>
                  <w:szCs w:val="24"/>
                  <w:lang w:eastAsia="lt-LT"/>
                </w:rPr>
                <w:t xml:space="preserve"> </w:t>
              </w:r>
              <w:r>
                <w:rPr>
                  <w:szCs w:val="24"/>
                  <w:lang w:eastAsia="lt-LT"/>
                </w:rPr>
                <w:t xml:space="preserve">ir Lietuvos Respublikos valstybinio socialinio draudimo įstatymo Nr. I-1336 6, 10 ir 12 straipsnių pakeitimo įstatymo projektas (toliau – Valstybinio socialinio draudimo įstatymo projektas) (toliau, kai minimi visi kartu – Įstatymų projektai) parengti vadovaujantis Lietuvos Respublikos kultūros ministerijos centralizuoto vidaus audito skyriaus 2018 m. lapkričio 28 d. vidaus ataskaitoje Nr. VA-6 „Rizikų, susijusių su meno kūrėjo statuso suteikimu (netekimu) bei meno kūrėjų socialinės apsaugos programos administravimu, valdymo vertinimu“ pateiktomis rekomendacijomis dėl pasikeitusios Lietuvos Respublikos Vyriausybės strateginio planavimo metodikos, atsiradusios būtinybės </w:t>
              </w:r>
              <w:r>
                <w:rPr>
                  <w:szCs w:val="24"/>
                </w:rPr>
                <w:t xml:space="preserve">Meno kūrėjų socialinės apsaugos programos nuostatus (patvirtinti Lietuvos Respublikos </w:t>
              </w:r>
              <w:r>
                <w:rPr>
                  <w:bCs/>
                  <w:color w:val="000000"/>
                  <w:szCs w:val="24"/>
                </w:rPr>
                <w:t xml:space="preserve">Vyriausybės 2011 m. kovo 16 d. nutarimu Nr. 316 „Dėl Meno kūrėjų socialinės apsaugos programos“) </w:t>
              </w:r>
              <w:r>
                <w:rPr>
                  <w:szCs w:val="24"/>
                </w:rPr>
                <w:t xml:space="preserve">perkelti į </w:t>
              </w:r>
              <w:r>
                <w:rPr>
                  <w:bCs/>
                  <w:color w:val="000000"/>
                  <w:szCs w:val="24"/>
                </w:rPr>
                <w:t xml:space="preserve">kultūros ministro ir socialinės apsaugos ir darbo ministro nustatytą tvarką. Taip pat </w:t>
              </w:r>
              <w:r>
                <w:rPr>
                  <w:color w:val="000000"/>
                  <w:szCs w:val="24"/>
                </w:rPr>
                <w:t>siekiant mažinti Vyriausybės teisėkūros apimtis ir su tuo susijusį administracinių resursų poreikį bei atsižvelgiant į Ekonominio bendradarbiavimo ir plėtros organizacijos (EBPO) kritiką dėl pernelyg didelio Vyriausybės priimamų nutarimų skaičiaus bei teisėkūros nestabilumo, siūloma meno kūrėjų socialinę apsaugą reglamentuojančių įgyvendinamųjų teisės aktų priėmimą pavesti kultūros ministrui, socialinės apsaugos ir darbo ministrui ir sveikatos apsaugos ministrui.</w:t>
              </w:r>
            </w:p>
            <w:p>
              <w:pPr>
                <w:ind w:firstLine="567"/>
                <w:jc w:val="both"/>
                <w:rPr>
                  <w:bCs/>
                  <w:szCs w:val="24"/>
                </w:rPr>
              </w:pPr>
              <w:r>
                <w:rPr>
                  <w:bCs/>
                  <w:szCs w:val="24"/>
                </w:rPr>
                <w:t xml:space="preserve">Įstatymų projektų tikslas – </w:t>
              </w:r>
              <w:r>
                <w:rPr>
                  <w:szCs w:val="24"/>
                  <w:lang w:eastAsia="lt-LT"/>
                </w:rPr>
                <w:t>supaprastinti meno kūrėjo ir meno kūrėjų organizacijos statuso suteikimo ir netekimo sąlygas ir tvarką.</w:t>
              </w:r>
            </w:p>
            <w:p>
              <w:pPr>
                <w:widowControl w:val="0"/>
                <w:suppressAutoHyphens/>
                <w:ind w:firstLine="567"/>
                <w:jc w:val="both"/>
                <w:rPr>
                  <w:szCs w:val="24"/>
                  <w:lang w:eastAsia="lt-LT"/>
                </w:rPr>
              </w:pPr>
              <w:r>
                <w:rPr>
                  <w:bCs/>
                  <w:szCs w:val="24"/>
                </w:rPr>
                <w:t xml:space="preserve">Įstatymų projektais siekiama įgyvendinti šiuos uždavinius: </w:t>
              </w:r>
              <w:r>
                <w:rPr>
                  <w:szCs w:val="24"/>
                  <w:lang w:eastAsia="lt-LT"/>
                </w:rPr>
                <w:t xml:space="preserve">suvienodinti ir išsamiau reglamentuoti meno kūrėjo ir meno kūrėjų organizacijos statuso suteikimo, panaikinimo ar atsisakymo panaikinti statusą pagrindus ir tvarką, įtvirtinti galimybes gauti meno kūrėjo statusą ir pretenduoti į galiojančias meno kūrėjams suteikiamas papildomas socialines garantijas </w:t>
              </w:r>
              <w:r>
                <w:rPr>
                  <w:szCs w:val="24"/>
                </w:rPr>
                <w:t xml:space="preserve">Lietuvos Respublikos piliečiui, kitos Europos Sąjungos valstybės narės piliečiui ar kitam Lietuvos Respublikoje teisėtai nuolat gyvenančiam meno kūrėjui bei patikslinti </w:t>
              </w:r>
              <w:r>
                <w:rPr>
                  <w:szCs w:val="24"/>
                  <w:lang w:eastAsia="lt-LT"/>
                </w:rPr>
                <w:t xml:space="preserve">meno kūrėjo ir meno kūrėjų organizacijos statuso netekimo priežastis. </w:t>
              </w:r>
            </w:p>
            <w:p>
              <w:pPr>
                <w:rPr>
                  <w:sz w:val="18"/>
                  <w:szCs w:val="18"/>
                </w:rPr>
              </w:pPr>
            </w:p>
          </w:sdtContent>
        </w:sdt>
        <w:sdt>
          <w:sdtPr>
            <w:alias w:val="2 p."/>
            <w:tag w:val="part_3d8660259cc5445d84ccb7d010061cd9"/>
            <w:lock w:val="sdtLocked"/>
            <w:richText/>
          </w:sdtPr>
          <w:sdtContent>
            <w:p>
              <w:pPr>
                <w:ind w:firstLine="567"/>
                <w:jc w:val="both"/>
                <w:rPr>
                  <w:b/>
                  <w:szCs w:val="24"/>
                </w:rPr>
              </w:pPr>
              <w:sdt>
                <w:sdtPr>
                  <w:alias w:val="Numeris"/>
                  <w:tag w:val="nr_3d8660259cc5445d84ccb7d010061cd9"/>
                  <w:lock w:val="sdtLocked"/>
                  <w:richText/>
                </w:sdtPr>
                <w:sdtContent>
                  <w:r>
                    <w:rPr>
                      <w:b/>
                      <w:szCs w:val="24"/>
                    </w:rPr>
                    <w:t>2</w:t>
                  </w:r>
                </w:sdtContent>
              </w:sdt>
              <w:r>
                <w:rPr>
                  <w:b/>
                  <w:szCs w:val="24"/>
                </w:rPr>
                <w:t>. Įstatymų projektų iniciatoriai (institucija, asmenys ar piliečių įgalioti atstovai) ir rengėjai</w:t>
              </w:r>
            </w:p>
            <w:p>
              <w:pPr>
                <w:ind w:firstLine="851"/>
                <w:jc w:val="both"/>
                <w:rPr>
                  <w:color w:val="0000FF"/>
                  <w:szCs w:val="24"/>
                  <w:u w:val="single"/>
                </w:rPr>
              </w:pPr>
              <w:r>
                <w:rPr>
                  <w:szCs w:val="24"/>
                  <w:lang w:eastAsia="lt-LT"/>
                </w:rPr>
                <w:t xml:space="preserve">Įstatymų projektus parengė Kultūros ministerijos Profesionaliosios kūrybos ir tarptautiškumo politikos grupės (vadovė Janina Krušinskaitė (tel. 8 608 45515, el. p. </w:t>
              </w:r>
              <w:r>
                <w:rPr>
                  <w:color w:val="0000FF"/>
                  <w:szCs w:val="24"/>
                  <w:u w:val="single"/>
                  <w:lang w:eastAsia="lt-LT"/>
                </w:rPr>
                <w:t>janina.krusinskaite@lrkm.lt</w:t>
              </w:r>
              <w:r>
                <w:rPr>
                  <w:color w:val="0000FF"/>
                  <w:szCs w:val="24"/>
                  <w:u w:val="single"/>
                  <w:lang w:eastAsia="lt-LT"/>
                </w:rPr>
                <w:t>)</w:t>
              </w:r>
              <w:r>
                <w:rPr>
                  <w:szCs w:val="24"/>
                  <w:lang w:eastAsia="lt-LT"/>
                </w:rPr>
                <w:t xml:space="preserve"> vyriausioji specialistė Jolanta Meiduvienė (tel. 8 608 45492, el. p. </w:t>
              </w:r>
              <w:r>
                <w:rPr>
                  <w:color w:val="0000FF"/>
                  <w:szCs w:val="24"/>
                  <w:u w:val="single"/>
                </w:rPr>
                <w:t>jolanta.meiduviene@lrkm.lt</w:t>
              </w:r>
              <w:r>
                <w:rPr>
                  <w:color w:val="0000FF"/>
                  <w:szCs w:val="24"/>
                  <w:u w:val="single"/>
                </w:rPr>
                <w:t>)</w:t>
              </w:r>
              <w:r>
                <w:rPr>
                  <w:szCs w:val="24"/>
                </w:rPr>
                <w:t>.</w:t>
              </w:r>
            </w:p>
            <w:p>
              <w:pPr>
                <w:ind w:firstLine="851"/>
                <w:jc w:val="both"/>
                <w:rPr>
                  <w:szCs w:val="24"/>
                  <w:lang w:eastAsia="lt-LT"/>
                </w:rPr>
              </w:pPr>
            </w:p>
          </w:sdtContent>
        </w:sdt>
        <w:sdt>
          <w:sdtPr>
            <w:alias w:val="3 p."/>
            <w:tag w:val="part_ff16c4040d5e49849181319fe875d558"/>
            <w:lock w:val="sdtLocked"/>
            <w:richText/>
          </w:sdtPr>
          <w:sdtContent>
            <w:p>
              <w:pPr>
                <w:ind w:firstLine="567"/>
                <w:jc w:val="both"/>
                <w:rPr>
                  <w:b/>
                  <w:szCs w:val="24"/>
                </w:rPr>
              </w:pPr>
              <w:sdt>
                <w:sdtPr>
                  <w:alias w:val="Numeris"/>
                  <w:tag w:val="nr_ff16c4040d5e49849181319fe875d558"/>
                  <w:lock w:val="sdtLocked"/>
                  <w:richText/>
                </w:sdtPr>
                <w:sdtContent>
                  <w:r>
                    <w:rPr>
                      <w:b/>
                      <w:szCs w:val="24"/>
                    </w:rPr>
                    <w:t>3</w:t>
                  </w:r>
                </w:sdtContent>
              </w:sdt>
              <w:r>
                <w:rPr>
                  <w:b/>
                  <w:szCs w:val="24"/>
                </w:rPr>
                <w:t>. Kaip šiuo metu reguliuojami įstatymų projektuose aptarti teisiniai santykiai</w:t>
              </w:r>
            </w:p>
            <w:p>
              <w:pPr>
                <w:tabs>
                  <w:tab w:val="left" w:pos="709"/>
                </w:tabs>
                <w:ind w:firstLine="567"/>
                <w:jc w:val="both"/>
                <w:rPr>
                  <w:szCs w:val="24"/>
                  <w:lang w:eastAsia="lt-LT"/>
                </w:rPr>
              </w:pPr>
              <w:r>
                <w:rPr>
                  <w:szCs w:val="24"/>
                  <w:lang w:eastAsia="lt-LT"/>
                </w:rPr>
                <w:t>Šiuo metu galiojančiame Meno kūrėjo ir meno kūrėjų organizacijų statuso įstatyme nėra aiškiai reglamentuotos meno kūrėjo ir meno kūrėjų organizacijos statuso suteikimo ir netekimo sąlygos bei tvarka. Minėtame įstatyme yra reglamentuoti meno kūrėjo statuso suteikimo pagrindai, tačiau nėra nustatytos konkrečios procedūros, terminai (</w:t>
              </w:r>
              <w:r>
                <w:rPr>
                  <w:szCs w:val="24"/>
                </w:rPr>
                <w:t>neįtvirtintas pretendentų, siekiančių gauti meno kūrėjo ar meno kūrėjų organizacijos statusą pateiktų prašymų nagrinėjimo terminas, sprendimo panaikinti ar atsisakyti panaikinti meno kūrėjo ir menų kūrėjų organizacijos statuso terminas ir kt.)</w:t>
              </w:r>
              <w:r>
                <w:rPr>
                  <w:szCs w:val="24"/>
                  <w:lang w:eastAsia="lt-LT"/>
                </w:rPr>
                <w:t xml:space="preserve"> kas nulėmė skirtingą teisinio reguliavimo taikymą. Atkreiptinas dėmesys, kad Meno kūrėjo ir meno kūrėjų organizacijų statuso įstatyme yra nustatyti septyni statuso suteikimo pagrindai.</w:t>
              </w:r>
            </w:p>
            <w:p>
              <w:pPr>
                <w:tabs>
                  <w:tab w:val="left" w:pos="709"/>
                </w:tabs>
                <w:ind w:firstLine="567"/>
                <w:jc w:val="both"/>
                <w:rPr>
                  <w:szCs w:val="24"/>
                  <w:lang w:eastAsia="lt-LT"/>
                </w:rPr>
              </w:pPr>
              <w:r>
                <w:rPr>
                  <w:color w:val="000000"/>
                  <w:szCs w:val="24"/>
                </w:rPr>
                <w:t xml:space="preserve">Meno kūrėjo ir meno kūrėjų organizacijų statuso įstatymo projekte </w:t>
              </w:r>
              <w:r>
                <w:rPr>
                  <w:szCs w:val="24"/>
                  <w:lang w:eastAsia="lt-LT"/>
                </w:rPr>
                <w:t>įtvirtintas naujas meno kūrėjo ir meno kūrėjų organizacijos statuso panaikinimo pagrindas – meno kūrėjo statusas panaikinimas meno kūrėjo ir meno kūrėjų organizacijos prašymu. Galiojančiame įstatyme įtvirtintas meno kūrėjų organizacijos įstatų ir turto bei pajamų teisinis reguliavimas nebus reglamentuojamas naujoje įstatymo redakcijoje, nes tokie santykiai yra įtvirtinti Lietuvos Respublikos civiliniame kodekse ir Lietuvos Respublikos asociacijų įstatyme.</w:t>
              </w:r>
            </w:p>
            <w:p>
              <w:pPr>
                <w:tabs>
                  <w:tab w:val="left" w:pos="709"/>
                </w:tabs>
                <w:ind w:firstLine="567"/>
                <w:jc w:val="both"/>
                <w:rPr>
                  <w:szCs w:val="24"/>
                  <w:lang w:eastAsia="lt-LT"/>
                </w:rPr>
              </w:pPr>
              <w:r>
                <w:rPr>
                  <w:szCs w:val="24"/>
                  <w:lang w:eastAsia="lt-LT"/>
                </w:rPr>
                <w:t>Taip pat minėtame įstatyme nebuvo reglamentuota kūrybinių prastovų išmokų skyrimo ir mokėjimo tvarka ir socialinė apsauga, šie teisiniai santykiai buvo įtvirtinti poįstatyminiame teisės akte – Lietuvos Respublikos Vyriausybės 2011 m. kovo 16 d. nutarimu Nr. 316 „Dėl meno kūrėjų socialinės apsaugos programos“ patvirtintoje Meno kūrėjų socialinės apsaugos programoje (toliau – Meno kūrėjų socialinės apsaugos programa).</w:t>
              </w:r>
            </w:p>
            <w:p>
              <w:pPr>
                <w:tabs>
                  <w:tab w:val="left" w:pos="709"/>
                </w:tabs>
                <w:ind w:firstLine="567"/>
                <w:jc w:val="both"/>
                <w:rPr>
                  <w:szCs w:val="24"/>
                  <w:lang w:eastAsia="lt-LT"/>
                </w:rPr>
              </w:pPr>
              <w:r>
                <w:rPr>
                  <w:szCs w:val="24"/>
                  <w:lang w:eastAsia="lt-LT"/>
                </w:rPr>
                <w:t xml:space="preserve">Šiuo metu galiojančiuose Sveikatos draudimo įstatymo 17 straipsnyje 3 dalyje ir Valstybinio socialinio draudimo įstatymo 12 straipsnio 1 dalyje yra įtvirtinta, kad </w:t>
              </w:r>
              <w:r>
                <w:rPr>
                  <w:color w:val="000000"/>
                  <w:szCs w:val="24"/>
                </w:rPr>
                <w:t xml:space="preserve">už meno kūrėjus, </w:t>
              </w:r>
              <w:r>
                <w:rPr>
                  <w:szCs w:val="24"/>
                </w:rPr>
                <w:t xml:space="preserve">negaunančius pajamų pagal autorinę sutartį </w:t>
              </w:r>
              <w:r>
                <w:rPr>
                  <w:color w:val="000000"/>
                  <w:szCs w:val="24"/>
                </w:rPr>
                <w:t xml:space="preserve">privalomojo sveikatos draudimo įmokas ir socialinio draudimo įmokas sumoka Lietuvos Respublikos atitinkamų metų valstybės biudžeto ir savivaldybių biudžetų finansinių rodiklių patvirtinimo įstatyme nurodytas draudėjas (valstybės biudžeto asignavimų valdytojas) iš Meno kūrėjų socialinės apsaugos programos lėšų Vyriausybės nustatyta tvarka, tačiau nauju teisiniu reguliavimu siekiama pakeisti tokį norminį teisės aktą tvirtinantį subjektą, t. y. tvarka būtų nustatyta ne Vyriausybės, o pagal kompetenciją atitinkamų ministrų priimtuose teisės aktuose. </w:t>
              </w:r>
            </w:p>
            <w:p>
              <w:pPr>
                <w:tabs>
                  <w:tab w:val="left" w:pos="709"/>
                </w:tabs>
                <w:ind w:firstLine="567"/>
                <w:jc w:val="both"/>
                <w:rPr>
                  <w:szCs w:val="24"/>
                  <w:lang w:eastAsia="lt-LT"/>
                </w:rPr>
              </w:pPr>
              <w:r>
                <w:rPr>
                  <w:szCs w:val="24"/>
                  <w:lang w:eastAsia="lt-LT"/>
                </w:rPr>
                <w:t>Valstybinio socialinio draudimo įstatymo 6 straipsnio 7 dalyje ir 10 straipsnio 2 dalyje įtvirtinta netiksli sąvoka „Meno kūrėjo statusą turintys darbingo amžiaus asmenys“, kuri nustato meno kūrėjams tam tikrą teisinį neapibrėžtumą, nenurodant konkrečios metų amžiaus ribos.</w:t>
              </w:r>
            </w:p>
            <w:p>
              <w:pPr>
                <w:tabs>
                  <w:tab w:val="left" w:pos="993"/>
                </w:tabs>
                <w:jc w:val="both"/>
                <w:rPr>
                  <w:szCs w:val="24"/>
                </w:rPr>
              </w:pPr>
            </w:p>
          </w:sdtContent>
        </w:sdt>
        <w:sdt>
          <w:sdtPr>
            <w:alias w:val="4 p."/>
            <w:tag w:val="part_577610675df141ddaa6f5f650c968e43"/>
            <w:lock w:val="sdtLocked"/>
            <w:richText/>
          </w:sdtPr>
          <w:sdtContent>
            <w:p>
              <w:pPr>
                <w:ind w:firstLine="567"/>
                <w:jc w:val="both"/>
                <w:rPr>
                  <w:b/>
                  <w:szCs w:val="24"/>
                </w:rPr>
              </w:pPr>
              <w:sdt>
                <w:sdtPr>
                  <w:alias w:val="Numeris"/>
                  <w:tag w:val="nr_577610675df141ddaa6f5f650c968e43"/>
                  <w:lock w:val="sdtLocked"/>
                  <w:richText/>
                </w:sdtPr>
                <w:sdtContent>
                  <w:r>
                    <w:rPr>
                      <w:b/>
                      <w:szCs w:val="24"/>
                    </w:rPr>
                    <w:t>4</w:t>
                  </w:r>
                </w:sdtContent>
              </w:sdt>
              <w:r>
                <w:rPr>
                  <w:b/>
                  <w:szCs w:val="24"/>
                </w:rPr>
                <w:t>. Kokios siūlomos naujos teisinio reglamentavimo nuostatos ir kokių teigiamų rezultatų laukiama</w:t>
              </w:r>
            </w:p>
            <w:p>
              <w:pPr>
                <w:tabs>
                  <w:tab w:val="left" w:pos="709"/>
                  <w:tab w:val="left" w:pos="851"/>
                </w:tabs>
                <w:ind w:firstLine="567"/>
                <w:jc w:val="both"/>
                <w:rPr>
                  <w:color w:val="000000"/>
                  <w:szCs w:val="24"/>
                </w:rPr>
              </w:pPr>
              <w:r>
                <w:rPr>
                  <w:color w:val="000000"/>
                  <w:szCs w:val="24"/>
                </w:rPr>
                <w:t>Meno kūrėjo ir meno kūrėjų organizacijų statuso įstatymo projektu siūloma:</w:t>
              </w:r>
            </w:p>
          </w:sdtContent>
        </w:sdt>
        <w:sdt>
          <w:sdtPr>
            <w:alias w:val="1 p."/>
            <w:tag w:val="part_96c194d8235f460db24f4c406e222cf7"/>
            <w:lock w:val="sdtLocked"/>
            <w:richText/>
          </w:sdtPr>
          <w:sdtContent>
            <w:p>
              <w:pPr>
                <w:widowControl w:val="0"/>
                <w:tabs>
                  <w:tab w:val="left" w:pos="851"/>
                </w:tabs>
                <w:suppressAutoHyphens/>
                <w:ind w:firstLine="567"/>
                <w:jc w:val="both"/>
                <w:rPr>
                  <w:szCs w:val="24"/>
                  <w:lang w:eastAsia="lt-LT"/>
                </w:rPr>
              </w:pPr>
              <w:sdt>
                <w:sdtPr>
                  <w:alias w:val="Numeris"/>
                  <w:tag w:val="nr_96c194d8235f460db24f4c406e222cf7"/>
                  <w:lock w:val="sdtLocked"/>
                  <w:richText/>
                </w:sdtPr>
                <w:sdtContent>
                  <w:r>
                    <w:rPr>
                      <w:szCs w:val="24"/>
                      <w:lang w:eastAsia="lt-LT"/>
                    </w:rPr>
                    <w:t>1</w:t>
                  </w:r>
                </w:sdtContent>
              </w:sdt>
              <w:r>
                <w:rPr>
                  <w:szCs w:val="24"/>
                  <w:lang w:eastAsia="lt-LT"/>
                </w:rPr>
                <w:t>.</w:t>
                <w:tab/>
                <w:t xml:space="preserve">Papildyti pagrindines šio įstatymo sąvokas apibrėžiant naujai „Kūrybinės prastovos“ ir „Kūrybinės prastovos išmokos“ sąvokas, kurios buvo apibrėžtos Meno kūrėjų socialinės apsaugos programoje. Taip pat papildyti „Meno kūrėjo“ sąvoką, nurodant, kad profesionaliai meno kūrinius kuriantis ar juos savitai atliekantis asmuo, gali būti ne tik Lietuvos Respublikos pilietis, bet ir kitos Europos Sąjungos valstybės narės pilietis ar kitas Lietuvos Respublikoje teisėtai nuolat gyvenantis asmuo, kuriam yra suteiktas meno kūrėjo statusas. </w:t>
              </w:r>
            </w:p>
            <w:p>
              <w:pPr>
                <w:widowControl w:val="0"/>
                <w:suppressAutoHyphens/>
                <w:ind w:firstLine="567"/>
                <w:jc w:val="both"/>
                <w:rPr>
                  <w:szCs w:val="24"/>
                </w:rPr>
              </w:pPr>
              <w:r>
                <w:rPr>
                  <w:szCs w:val="24"/>
                  <w:lang w:eastAsia="lt-LT"/>
                </w:rPr>
                <w:t>Taip pat atkreiptinas dėmesys, kad iki šiol nebuvo reglamentuotas kitų šalių piliečių kreipimasis dėl meno kūrėjo statuso suteikimo. Todėl nauju teisiniu reguliavimu numatoma, kad kitos šalies asmuo turi teisę kreiptis dėl meno kūrėjo statuso suteikimo, pateikdamas dokumentus, įrodančius, kad turi darbo ar verslo vizą</w:t>
              </w:r>
              <w:r>
                <w:rPr>
                  <w:color w:val="000000"/>
                  <w:szCs w:val="24"/>
                </w:rPr>
                <w:t>, jo veiklos objektas yra Lietuvos menas ir kultūra bei jų sklaida, moka valstybinio socialinio draudimo ir privalomo sveikatos draudimo įmokas Lietuvoje, ir jo</w:t>
              </w:r>
              <w:r>
                <w:rPr>
                  <w:b/>
                  <w:color w:val="000000"/>
                  <w:szCs w:val="24"/>
                </w:rPr>
                <w:t xml:space="preserve"> </w:t>
              </w:r>
              <w:r>
                <w:rPr>
                  <w:color w:val="000000"/>
                  <w:szCs w:val="24"/>
                </w:rPr>
                <w:t xml:space="preserve">meno kūryba atitinka bent vieną iš meno kūrėjo statuso suteikimo pagrindų. </w:t>
              </w:r>
              <w:r>
                <w:rPr>
                  <w:szCs w:val="24"/>
                </w:rPr>
                <w:t>Remiantis Teisingumo Teismo praktika, Europos Sąjungos pilietis, kiek tai susiję su galimybe gauti socialines išmokas, gali reikalauti, kad jam būtų taikomas vienodas požiūris kaip ir į priimančiosios valstybės narės piliečius, jeigu jo gyvenimas priimančiosios valstybės narės teritorijoje atitinka Direktyvos </w:t>
              </w:r>
              <w:fldSimple w:instr="HYPERLINK http://eur-lex.europa.eu/legal-content/LIT/TXT/?uri=CELEX:32004L0038&amp;locale=lt \t _blank">
                <w:r>
                  <w:rPr>
                    <w:szCs w:val="24"/>
                    <w:u w:val="single"/>
                    <w:color w:val="0000FF" w:themeColor="hyperlink"/>
                  </w:rPr>
                  <w:t>2004/38/EB</w:t>
                </w:r>
              </w:fldSimple>
              <w:r>
                <w:rPr>
                  <w:szCs w:val="24"/>
                </w:rPr>
                <w:t xml:space="preserve"> sąlygas. Vadovaujantis Direktyvos </w:t>
              </w:r>
              <w:fldSimple w:instr="HYPERLINK http://eur-lex.europa.eu/legal-content/LIT/TXT/?uri=CELEX:32004L0038&amp;locale=lt \t _blank">
                <w:r>
                  <w:rPr>
                    <w:szCs w:val="24"/>
                    <w:u w:val="single"/>
                    <w:color w:val="0000FF" w:themeColor="hyperlink"/>
                  </w:rPr>
                  <w:t>2004/38/EB</w:t>
                </w:r>
              </w:fldSimple>
              <w:r>
                <w:rPr>
                  <w:szCs w:val="24"/>
                </w:rPr>
                <w:t xml:space="preserve"> 7 str. 1 d. a p. darbuotojams ir savarankiškai dirbantiems asmenims bei tokį statusą pagal 7 str. 3 d. išlaikiusiems asmenims, gyvenantiems priimančiojoje valstybėje narėje ilgiau kaip tris mėnesius, nėra nustatyti jokie papildomi reikalavimai gyvenimui priimančiojoje valstybėje narėje. Tuo tarpu 7 str. 1 d. b p. numatyta, kad ekonomiškai neaktyvūs Europos Sąjungos piliečiai, gyvenantys priimančiojoje valstybėje narėje ilgiau nei tris mėnesius, turi turėti pakankamai išteklių, kad per savo gyvenimo šalyje laikotarpį netaptų našta priimančiosios valstybės narės socialinės paramos sistemai. Taigi ekonomiškai aktyvūs meno kūrėjai (dirbantys pagal darbo sutartį arba savarankiškai dirbantys bei tokį statusą išlaikantys), gyvenantys Lietuvos Respublikoje ilgiau kaip tris mėnesius, turi vienodas teises į socialinę paramą kaip ir Lietuvos Respublikos piliečiai.</w:t>
              </w:r>
            </w:p>
          </w:sdtContent>
        </w:sdt>
        <w:sdt>
          <w:sdtPr>
            <w:alias w:val="3 p."/>
            <w:tag w:val="part_40c85e5a6a9c42b4a47d4b29b5bf9205"/>
            <w:lock w:val="sdtLocked"/>
            <w:richText/>
          </w:sdtPr>
          <w:sdtContent>
            <w:p>
              <w:pPr>
                <w:widowControl w:val="0"/>
                <w:suppressAutoHyphens/>
                <w:ind w:firstLine="567"/>
                <w:jc w:val="both"/>
                <w:rPr>
                  <w:szCs w:val="24"/>
                  <w:lang w:eastAsia="lt-LT"/>
                </w:rPr>
              </w:pPr>
              <w:sdt>
                <w:sdtPr>
                  <w:alias w:val="Numeris"/>
                  <w:tag w:val="nr_40c85e5a6a9c42b4a47d4b29b5bf9205"/>
                  <w:lock w:val="sdtLocked"/>
                  <w:richText/>
                </w:sdtPr>
                <w:sdtContent>
                  <w:r>
                    <w:rPr>
                      <w:szCs w:val="24"/>
                      <w:lang w:eastAsia="lt-LT"/>
                    </w:rPr>
                    <w:t>3</w:t>
                  </w:r>
                </w:sdtContent>
              </w:sdt>
              <w:r>
                <w:rPr>
                  <w:szCs w:val="24"/>
                  <w:lang w:eastAsia="lt-LT"/>
                </w:rPr>
                <w:t>. Tikslinti meno kūrėjo ir meno kūrėjų organizacijos statuso suteikimo pagrindus, t. y. meno kūrėjo statusą suteikti ne tik Lietuvos, bet ir Europos Sąjungos ir kitų šalių piliečiams, kurie vykdo veiklą Lietuvoje ir kurių meno kūryba atitinka bent vieną iš kriterijų, kurie nustato konkrečius meno kūrėjo statuso suteikimo pagrindus, o meno kūrėjų organizacijai toks statusas yra suteikiamas jei ji atitinka visas sąlygas, t. y. baigtinį nustatytų reikalavimų sąrašą, statusui suteikti.</w:t>
              </w:r>
            </w:p>
            <w:p>
              <w:pPr>
                <w:widowControl w:val="0"/>
                <w:tabs>
                  <w:tab w:val="left" w:pos="0"/>
                  <w:tab w:val="left" w:pos="993"/>
                  <w:tab w:val="left" w:pos="1276"/>
                </w:tabs>
                <w:suppressAutoHyphens/>
                <w:ind w:firstLine="360"/>
                <w:jc w:val="both"/>
                <w:rPr>
                  <w:szCs w:val="24"/>
                </w:rPr>
              </w:pPr>
              <w:r>
                <w:rPr>
                  <w:szCs w:val="24"/>
                  <w:lang w:eastAsia="lt-LT"/>
                </w:rPr>
                <w:t xml:space="preserve">Atkreiptinas dėmesys, kad nauju teisiniu reguliavimu siekiama įtvirtinti, kad meno kūrėjų organizacijos statuso suteikimo asociacijai vienas iš privalomų statuso suteikimo pagrindų būtų reikalavimas, kad asociacijos </w:t>
              </w:r>
              <w:r>
                <w:rPr>
                  <w:szCs w:val="24"/>
                </w:rPr>
                <w:t>nariais galės būti ne tik meno kūrėjo statusą turintys meno kūrėjai, tačiau į tokių asociacijų veiklą galėtų būti įtraukti ir profesionaliai tobulėjantys ir siekiantys meno kūrėjo statuso jaunieji kūrėjai.</w:t>
              </w:r>
              <w:r>
                <w:rPr>
                  <w:szCs w:val="24"/>
                  <w:lang w:eastAsia="lt-LT"/>
                </w:rPr>
                <w:t xml:space="preserve"> Įstatymu taip pat siekiama suvienodinti meno kūrėjo statuso suteikimo sąlygas suteikiant ar panaikinant meno kūrėjo statusą </w:t>
              </w:r>
              <w:r>
                <w:rPr>
                  <w:szCs w:val="24"/>
                </w:rPr>
                <w:t>Meno kūrėjo ir meno kūrėjų organizacijos statuso suteikimo taisyklėse kultūros ministro nustatyta tvarka. Šią tvarką tvirtintų kultūros ministras.</w:t>
              </w:r>
            </w:p>
          </w:sdtContent>
        </w:sdt>
        <w:sdt>
          <w:sdtPr>
            <w:alias w:val="4 p."/>
            <w:tag w:val="part_b983285b88a64b58b7660a7356dae93b"/>
            <w:lock w:val="sdtLocked"/>
            <w:richText/>
          </w:sdtPr>
          <w:sdtContent>
            <w:p>
              <w:pPr>
                <w:widowControl w:val="0"/>
                <w:tabs>
                  <w:tab w:val="left" w:pos="0"/>
                  <w:tab w:val="left" w:pos="993"/>
                  <w:tab w:val="left" w:pos="1276"/>
                </w:tabs>
                <w:suppressAutoHyphens/>
                <w:ind w:firstLine="567"/>
                <w:jc w:val="both"/>
                <w:rPr>
                  <w:szCs w:val="24"/>
                </w:rPr>
              </w:pPr>
              <w:sdt>
                <w:sdtPr>
                  <w:alias w:val="Numeris"/>
                  <w:tag w:val="nr_b983285b88a64b58b7660a7356dae93b"/>
                  <w:lock w:val="sdtLocked"/>
                  <w:richText/>
                </w:sdtPr>
                <w:sdtContent>
                  <w:r>
                    <w:rPr>
                      <w:szCs w:val="24"/>
                    </w:rPr>
                    <w:t>4</w:t>
                  </w:r>
                </w:sdtContent>
              </w:sdt>
              <w:r>
                <w:rPr>
                  <w:szCs w:val="24"/>
                </w:rPr>
                <w:t>.</w:t>
                <w:tab/>
                <w:t xml:space="preserve">Tikslinti procedūras, nustatant šiuos terminus, t. y. </w:t>
              </w:r>
              <w:r>
                <w:rPr>
                  <w:szCs w:val="24"/>
                  <w:lang w:eastAsia="lt-LT"/>
                </w:rPr>
                <w:t xml:space="preserve">įtvirtinti </w:t>
              </w:r>
              <w:r>
                <w:rPr>
                  <w:szCs w:val="24"/>
                </w:rPr>
                <w:t xml:space="preserve">pretendentų, siekiančių gauti meno kūrėjo ar meno kūrėjų organizacijos statusą per </w:t>
              </w:r>
              <w:r>
                <w:rPr>
                  <w:szCs w:val="24"/>
                  <w:lang w:eastAsia="lt-LT"/>
                </w:rPr>
                <w:t>30 darbo dienų nuo prašymo pateikimo dienos nagrinėjimo terminą</w:t>
              </w:r>
              <w:r>
                <w:rPr>
                  <w:szCs w:val="24"/>
                </w:rPr>
                <w:t xml:space="preserve">. Taip pat </w:t>
              </w:r>
              <w:r>
                <w:rPr>
                  <w:szCs w:val="24"/>
                  <w:lang w:eastAsia="lt-LT"/>
                </w:rPr>
                <w:t>įtvirtinti sprendimo panaikinti ar atsisakyti panaikinti meno kūrėjo ir meno kūrėjų organizacijos statusą per 10 darbo dienų terminą ir sutrumpinti terminą, per kurį yra informuojami meno kūrėjai ir meno kūrėjų organizacijos apie priimtus sprendimus dėl meno kūrėjo ir meno kūrėjų organizacijų statuso netekimo nuo 5 iki 3 darbo dienų bei nustatyti sprendimo įsigaliojimo tvarką.</w:t>
              </w:r>
            </w:p>
          </w:sdtContent>
        </w:sdt>
        <w:sdt>
          <w:sdtPr>
            <w:alias w:val="5 p."/>
            <w:tag w:val="part_d74598df61494af58fe8d2ce3e757bec"/>
            <w:lock w:val="sdtLocked"/>
            <w:richText/>
          </w:sdtPr>
          <w:sdtContent>
            <w:p>
              <w:pPr>
                <w:tabs>
                  <w:tab w:val="left" w:pos="0"/>
                  <w:tab w:val="left" w:pos="567"/>
                  <w:tab w:val="left" w:pos="709"/>
                  <w:tab w:val="left" w:pos="993"/>
                </w:tabs>
                <w:ind w:firstLine="567"/>
                <w:jc w:val="both"/>
                <w:rPr>
                  <w:szCs w:val="24"/>
                  <w:lang w:eastAsia="lt-LT"/>
                </w:rPr>
              </w:pPr>
              <w:sdt>
                <w:sdtPr>
                  <w:alias w:val="Numeris"/>
                  <w:tag w:val="nr_d74598df61494af58fe8d2ce3e757bec"/>
                  <w:lock w:val="sdtLocked"/>
                  <w:richText/>
                </w:sdtPr>
                <w:sdtContent>
                  <w:r>
                    <w:rPr>
                      <w:szCs w:val="24"/>
                      <w:lang w:eastAsia="lt-LT"/>
                    </w:rPr>
                    <w:t>5</w:t>
                  </w:r>
                </w:sdtContent>
              </w:sdt>
              <w:r>
                <w:rPr>
                  <w:szCs w:val="24"/>
                  <w:lang w:eastAsia="lt-LT"/>
                </w:rPr>
                <w:t>.</w:t>
                <w:tab/>
                <w:t xml:space="preserve">Tikslinti meno kūrėjo statuso netekimo pagrindus – atsisakyti </w:t>
              </w:r>
              <w:r>
                <w:rPr>
                  <w:szCs w:val="24"/>
                </w:rPr>
                <w:t xml:space="preserve">meno kūrėjo </w:t>
              </w:r>
              <w:r>
                <w:rPr>
                  <w:szCs w:val="24"/>
                  <w:lang w:eastAsia="lt-LT"/>
                </w:rPr>
                <w:t>statusą turinčių asmenų</w:t>
              </w:r>
              <w:r>
                <w:rPr>
                  <w:bCs/>
                  <w:szCs w:val="24"/>
                  <w:lang w:eastAsia="lt-LT"/>
                </w:rPr>
                <w:t xml:space="preserve"> </w:t>
              </w:r>
              <w:r>
                <w:rPr>
                  <w:szCs w:val="24"/>
                </w:rPr>
                <w:t>kūrybinės veiklos rezultatų sklaidos stebėsenos visuomenės kultūros raidoje, nes meno kūrėjo statusas suteikiamas profesionalųjį meną kuriančiam asmeniui, jei jo meno kūryba atitinka statuso suteikimo pagrindus, juos siejant su kūrybiniais veiklos rezultatais ir jų sklaida, todėl tolimesnė jų veiklos stebėsena nebus vykdoma, nes statusas asmenims suteikiamas už nuopelnus ir jau įvertintus kūrybinės veiklos rezultatus.</w:t>
              </w:r>
            </w:p>
          </w:sdtContent>
        </w:sdt>
        <w:sdt>
          <w:sdtPr>
            <w:alias w:val="6 p."/>
            <w:tag w:val="part_d0a63d9aa2784f159263e5a8f3aa7c37"/>
            <w:lock w:val="sdtLocked"/>
            <w:richText/>
          </w:sdtPr>
          <w:sdtContent>
            <w:p>
              <w:pPr>
                <w:tabs>
                  <w:tab w:val="left" w:pos="0"/>
                  <w:tab w:val="left" w:pos="851"/>
                </w:tabs>
                <w:ind w:firstLine="851"/>
                <w:jc w:val="both"/>
                <w:rPr>
                  <w:szCs w:val="24"/>
                </w:rPr>
              </w:pPr>
              <w:sdt>
                <w:sdtPr>
                  <w:alias w:val="Numeris"/>
                  <w:tag w:val="nr_d0a63d9aa2784f159263e5a8f3aa7c37"/>
                  <w:lock w:val="sdtLocked"/>
                  <w:richText/>
                </w:sdtPr>
                <w:sdtContent>
                  <w:r>
                    <w:rPr>
                      <w:szCs w:val="24"/>
                    </w:rPr>
                    <w:t>6</w:t>
                  </w:r>
                </w:sdtContent>
              </w:sdt>
              <w:r>
                <w:rPr>
                  <w:szCs w:val="24"/>
                </w:rPr>
                <w:t>.</w:t>
                <w:tab/>
              </w:r>
              <w:r>
                <w:rPr>
                  <w:color w:val="000000"/>
                  <w:szCs w:val="24"/>
                </w:rPr>
                <w:t xml:space="preserve">Meno kūrėjo ir meno kūrėjų organizacijų statuso įstatymo </w:t>
              </w:r>
              <w:r>
                <w:rPr>
                  <w:szCs w:val="24"/>
                </w:rPr>
                <w:t xml:space="preserve">projektu yra įtvirtinama meno kūrėjų ir meno kūrėjų organizacijų teisė į valstybės paramą. Meno kūrėjų socialinės apsaugos programos nuostatos (patvirtinti Lietuvos Respublikos </w:t>
              </w:r>
              <w:r>
                <w:rPr>
                  <w:bCs/>
                  <w:szCs w:val="24"/>
                </w:rPr>
                <w:t xml:space="preserve">Vyriausybės 2011 m. kovo 16 d. nutarimu    Nr. 316 „Dėl Meno kūrėjų socialinės apsaugos programos“) </w:t>
              </w:r>
              <w:r>
                <w:rPr>
                  <w:szCs w:val="24"/>
                </w:rPr>
                <w:t xml:space="preserve">perkeliamos į šį Įstatymo projektą. </w:t>
              </w:r>
              <w:r>
                <w:rPr>
                  <w:szCs w:val="24"/>
                  <w:lang w:eastAsia="lt-LT"/>
                </w:rPr>
                <w:t>Lėšos kaip ir iki šio įstatymo įsigaliojimo, taip ir po jo, nustatomos Lietuvos Respublikos atitinkamų metų valstybės biudžeto ir savivaldybių biudžetų finansinių rodiklių patvirtinimo įstatyme.</w:t>
              </w:r>
            </w:p>
            <w:p>
              <w:pPr>
                <w:tabs>
                  <w:tab w:val="left" w:pos="0"/>
                  <w:tab w:val="left" w:pos="851"/>
                </w:tabs>
                <w:ind w:firstLine="851"/>
                <w:jc w:val="both"/>
                <w:rPr>
                  <w:szCs w:val="24"/>
                  <w:lang w:eastAsia="lt-LT"/>
                </w:rPr>
              </w:pPr>
              <w:r>
                <w:rPr>
                  <w:szCs w:val="24"/>
                  <w:lang w:eastAsia="lt-LT"/>
                </w:rPr>
                <w:t xml:space="preserve">Kūrybinės prastovos išmokos skiriamos, </w:t>
              </w:r>
              <w:r>
                <w:rPr>
                  <w:szCs w:val="24"/>
                </w:rPr>
                <w:t xml:space="preserve">jeigu meno kūrėjas laikinai neturi sąlygų vykdyti meno kūrybos ir (ar) jos rezultatų sklaidos ir jo pajamų pagal individualiai sudarytas autorines ar atlikėjų intelektinių paslaugų sutartis, ar autorių ir atlikėjų teisių kolektyvinio administravimo asociacijų suteiktas licencijas, iš individualios veiklos gautų pajamų, ar su darbo santykiais  ar jų esmę atitinkančiais santykiais susijusių pajamų, ar kitų pajamų, įskaitant valstybinio socialinio draudimo išmokas, iš Garantinio fondo mokamas išmokas, ar išmokas savarankiškai dirbančiam asmeniui ir darbo paieškos išmokas, stipendijas (mokslinei, kūrybinei veiklai skirtas ar kitų veiklos sričių stipendijas), gautų per paskutinius 3 mėnesius iki kūrybinės prastovos atsiradimo laikotarpio, suma nesudaro atitinkamų metų Lietuvos Respublikos Vyriausybės patvirtintų 6 minimaliųjų mėnesinių algų dydžio sumos. Meno kūrėjui kūrybinės prastovos išmokos mokėjimas nutraukiamas, jeigu kūrybinės prastovos metu jo gaunamų nurodytų pajamų suma yra lygi ar viršija atitinkamų metų Lietuvos Respublikos Vyriausybės patvirtintą 1 minimaliosios mėnesinės algos dydžio sumą.</w:t>
              </w:r>
            </w:p>
          </w:sdtContent>
        </w:sdt>
        <w:sdt>
          <w:sdtPr>
            <w:alias w:val="7 p."/>
            <w:tag w:val="part_2e0c01977a8a4b13babfe93a52caf682"/>
            <w:lock w:val="sdtLocked"/>
            <w:richText/>
          </w:sdtPr>
          <w:sdtContent>
            <w:p>
              <w:pPr>
                <w:tabs>
                  <w:tab w:val="left" w:pos="709"/>
                </w:tabs>
                <w:ind w:firstLine="709"/>
                <w:jc w:val="both"/>
                <w:rPr>
                  <w:szCs w:val="24"/>
                  <w:lang w:eastAsia="lt-LT"/>
                </w:rPr>
              </w:pPr>
              <w:sdt>
                <w:sdtPr>
                  <w:alias w:val="Numeris"/>
                  <w:tag w:val="nr_2e0c01977a8a4b13babfe93a52caf682"/>
                  <w:lock w:val="sdtLocked"/>
                  <w:richText/>
                </w:sdtPr>
                <w:sdtContent>
                  <w:r>
                    <w:rPr>
                      <w:szCs w:val="24"/>
                      <w:lang w:eastAsia="lt-LT"/>
                    </w:rPr>
                    <w:t>7</w:t>
                  </w:r>
                </w:sdtContent>
              </w:sdt>
              <w:r>
                <w:rPr>
                  <w:szCs w:val="24"/>
                  <w:lang w:eastAsia="lt-LT"/>
                </w:rPr>
                <w:t xml:space="preserve">. Nauju teisiniu reguliavimu siūloma Sveikatos draudimo įstatymo ir Valstybinio socialinio draudimo įstatymo nuostatuose įtvirtinti, kad </w:t>
              </w:r>
              <w:r>
                <w:rPr>
                  <w:color w:val="000000"/>
                  <w:szCs w:val="24"/>
                </w:rPr>
                <w:t xml:space="preserve">už meno kūrėjus, </w:t>
              </w:r>
              <w:r>
                <w:rPr>
                  <w:szCs w:val="24"/>
                </w:rPr>
                <w:t xml:space="preserve">negaunančius pajamų pagal autorinę sutartį ir pagal individualią veiklą, </w:t>
              </w:r>
              <w:r>
                <w:rPr>
                  <w:color w:val="000000"/>
                  <w:szCs w:val="24"/>
                </w:rPr>
                <w:t>privalomojo sveikatos draudimo įmokas ir socialinio draudimo įmokas sumokės Lietuvos Respublikos atitinkamų metų valstybės biudžeto ir savivaldybių biudžetų finansinių rodiklių patvirtinimo įstatyme nurodytas draudėjas (valstybės biudžeto asignavimų valdytojas) iš Meno kūrėjų socialinės apsaugos programos lėšų ne Vyriausybės nustatyta tvarka, o pagal kompetenciją susijusių ministrų nustatyta tvarka. Taip pat siūloma patikslinti</w:t>
              </w:r>
              <w:r>
                <w:rPr>
                  <w:szCs w:val="24"/>
                  <w:lang w:eastAsia="lt-LT"/>
                </w:rPr>
                <w:t xml:space="preserve"> Valstybinio socialinio draudimo įstatyme sąvoką – vietoje „meno kūrėjo statusą turintys darbingo amžiaus asmenys“ įrašyti „Meno kūrėjai, kuriems nėra sukakęs senatvės pensijos amžius“. </w:t>
              </w:r>
            </w:p>
            <w:p>
              <w:pPr>
                <w:tabs>
                  <w:tab w:val="left" w:pos="709"/>
                </w:tabs>
                <w:ind w:firstLine="567"/>
                <w:jc w:val="both"/>
                <w:rPr>
                  <w:szCs w:val="24"/>
                </w:rPr>
              </w:pPr>
              <w:r>
                <w:rPr>
                  <w:szCs w:val="24"/>
                </w:rPr>
                <w:t xml:space="preserve">Meno kūrėjo statusą turintys asmenys, yra meno kūrinius kuriantys, juos savitai atliekantys fiziniai asmenys. Šie asmenys, ypatingai pastaruoju laikotarpiu neapsiriboja vien tik autorinių sutarčių sudarymu. Tad siūloma neapsiriboti jau daugelį metų liekančia ta pačia tik autorinės sutarties privalomojo sveikatos draudimo galimybe, ir atsižvelgus į tai, praplėsti tokį reguliavimą, siekiant, kad už meno kūrėjus, vykdančius individualią veiklą, bet negaunančius pajamų nei pagal autorinę sutartį, nei pagal individualią veiklą, būtų mokamos valstybės įmokos meno kūrėjo statusą turintiems asmenims. </w:t>
              </w:r>
            </w:p>
            <w:p>
              <w:pPr>
                <w:ind w:firstLine="720"/>
                <w:jc w:val="both"/>
                <w:rPr>
                  <w:bCs/>
                  <w:color w:val="000000"/>
                  <w:szCs w:val="24"/>
                </w:rPr>
              </w:pPr>
            </w:p>
          </w:sdtContent>
        </w:sdt>
        <w:sdt>
          <w:sdtPr>
            <w:alias w:val="5 p."/>
            <w:tag w:val="part_94cfad8e9d4241c0a30e7afe9813e4f4"/>
            <w:lock w:val="sdtLocked"/>
            <w:richText/>
          </w:sdtPr>
          <w:sdtContent>
            <w:p>
              <w:pPr>
                <w:ind w:firstLine="567"/>
                <w:jc w:val="both"/>
                <w:rPr>
                  <w:b/>
                  <w:bCs/>
                  <w:szCs w:val="24"/>
                  <w:lang w:eastAsia="lt-LT"/>
                </w:rPr>
              </w:pPr>
              <w:sdt>
                <w:sdtPr>
                  <w:alias w:val="Numeris"/>
                  <w:tag w:val="nr_94cfad8e9d4241c0a30e7afe9813e4f4"/>
                  <w:lock w:val="sdtLocked"/>
                  <w:richText/>
                </w:sdtPr>
                <w:sdtContent>
                  <w:r>
                    <w:rPr>
                      <w:b/>
                      <w:bCs/>
                      <w:szCs w:val="24"/>
                      <w:lang w:eastAsia="lt-LT"/>
                    </w:rPr>
                    <w:t>5</w:t>
                  </w:r>
                </w:sdtContent>
              </w:sdt>
              <w:r>
                <w:rPr>
                  <w:b/>
                  <w:bCs/>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567"/>
                <w:jc w:val="both"/>
                <w:rPr>
                  <w:szCs w:val="24"/>
                </w:rPr>
              </w:pPr>
              <w:r>
                <w:rPr>
                  <w:szCs w:val="24"/>
                </w:rPr>
                <w:t xml:space="preserve">Teigiama siūlomo reguliavimo pasekmė – </w:t>
              </w:r>
              <w:r>
                <w:rPr>
                  <w:color w:val="201F1E"/>
                  <w:szCs w:val="24"/>
                  <w:shd w:val="clear" w:color="auto" w:fill="FFFFFF"/>
                </w:rPr>
                <w:t xml:space="preserve">atsižvelgiant į visuomenės ir kultūros bendruomenės pokyčius, </w:t>
              </w:r>
              <w:r>
                <w:rPr>
                  <w:szCs w:val="24"/>
                </w:rPr>
                <w:t xml:space="preserve">užtikrinti tolydesnį </w:t>
              </w:r>
              <w:r>
                <w:rPr>
                  <w:szCs w:val="24"/>
                  <w:shd w:val="clear" w:color="auto" w:fill="FFFFFF"/>
                </w:rPr>
                <w:t>meno kūrėjų poreikių</w:t>
              </w:r>
              <w:r>
                <w:rPr>
                  <w:szCs w:val="24"/>
                </w:rPr>
                <w:t xml:space="preserve"> atstovavimą ir atliepti </w:t>
              </w:r>
              <w:r>
                <w:rPr>
                  <w:szCs w:val="24"/>
                  <w:shd w:val="clear" w:color="auto" w:fill="FFFFFF"/>
                </w:rPr>
                <w:t>visų profesionalaus meno sričių interesus</w:t>
              </w:r>
              <w:r>
                <w:rPr>
                  <w:szCs w:val="24"/>
                </w:rPr>
                <w:t>.</w:t>
              </w:r>
            </w:p>
            <w:p>
              <w:pPr>
                <w:ind w:firstLine="567"/>
                <w:jc w:val="both"/>
                <w:rPr>
                  <w:szCs w:val="24"/>
                </w:rPr>
              </w:pPr>
              <w:r>
                <w:rPr>
                  <w:szCs w:val="24"/>
                  <w:shd w:val="clear" w:color="auto" w:fill="FFFFFF"/>
                </w:rPr>
                <w:t>Teigiamas poveikis meno kūrėjams – gerinama socialinės apsaugos aplinka ir sudaromos geresnės finansinės sąlygos meno kūrybai ir jos rezultatų sklaidai.</w:t>
              </w:r>
            </w:p>
            <w:p>
              <w:pPr>
                <w:ind w:firstLine="567"/>
                <w:jc w:val="both"/>
                <w:rPr>
                  <w:szCs w:val="24"/>
                  <w:lang w:eastAsia="lt-LT"/>
                </w:rPr>
              </w:pPr>
              <w:r>
                <w:rPr>
                  <w:szCs w:val="24"/>
                  <w:lang w:eastAsia="lt-LT"/>
                </w:rPr>
                <w:t>Neigiamų pasekmių nenumatoma.</w:t>
              </w:r>
            </w:p>
            <w:p>
              <w:pPr>
                <w:ind w:firstLine="851"/>
                <w:jc w:val="both"/>
                <w:rPr>
                  <w:b/>
                  <w:bCs/>
                  <w:szCs w:val="24"/>
                  <w:lang w:eastAsia="lt-LT"/>
                </w:rPr>
              </w:pPr>
            </w:p>
          </w:sdtContent>
        </w:sdt>
        <w:sdt>
          <w:sdtPr>
            <w:alias w:val="6 p."/>
            <w:tag w:val="part_fc140d7b3ccc4b3bbb2af10147472227"/>
            <w:lock w:val="sdtLocked"/>
            <w:richText/>
          </w:sdtPr>
          <w:sdtContent>
            <w:p>
              <w:pPr>
                <w:ind w:firstLine="567"/>
                <w:jc w:val="both"/>
                <w:rPr>
                  <w:szCs w:val="24"/>
                  <w:lang w:eastAsia="lt-LT"/>
                </w:rPr>
              </w:pPr>
              <w:sdt>
                <w:sdtPr>
                  <w:alias w:val="Numeris"/>
                  <w:tag w:val="nr_fc140d7b3ccc4b3bbb2af10147472227"/>
                  <w:lock w:val="sdtLocked"/>
                  <w:richText/>
                </w:sdtPr>
                <w:sdtContent>
                  <w:r>
                    <w:rPr>
                      <w:b/>
                      <w:bCs/>
                      <w:szCs w:val="24"/>
                      <w:lang w:eastAsia="lt-LT"/>
                    </w:rPr>
                    <w:t>6</w:t>
                  </w:r>
                </w:sdtContent>
              </w:sdt>
              <w:r>
                <w:rPr>
                  <w:b/>
                  <w:bCs/>
                  <w:szCs w:val="24"/>
                  <w:lang w:eastAsia="lt-LT"/>
                </w:rPr>
                <w:t>. Kokią įtaką priimti įstatymai turės kriminogeninei situacijai, korupcijai</w:t>
              </w:r>
              <w:r>
                <w:rPr>
                  <w:szCs w:val="24"/>
                  <w:lang w:eastAsia="lt-LT"/>
                </w:rPr>
                <w:t xml:space="preserve"> </w:t>
              </w:r>
            </w:p>
            <w:p>
              <w:pPr>
                <w:ind w:firstLine="567"/>
                <w:jc w:val="both"/>
                <w:rPr>
                  <w:szCs w:val="24"/>
                </w:rPr>
              </w:pPr>
              <w:r>
                <w:rPr>
                  <w:color w:val="000000"/>
                  <w:szCs w:val="24"/>
                </w:rPr>
                <w:t xml:space="preserve">Priimti Įstatymų projektai įtakos korupcijai ir šalies kriminogeninei situacijai neturės. </w:t>
              </w:r>
            </w:p>
            <w:p>
              <w:pPr>
                <w:ind w:firstLine="851"/>
                <w:jc w:val="both"/>
                <w:rPr>
                  <w:b/>
                  <w:bCs/>
                  <w:szCs w:val="24"/>
                  <w:lang w:eastAsia="lt-LT"/>
                </w:rPr>
              </w:pPr>
            </w:p>
          </w:sdtContent>
        </w:sdt>
        <w:sdt>
          <w:sdtPr>
            <w:alias w:val="7 p."/>
            <w:tag w:val="part_caf8a65a9ed1498daa2b2152f5f38e52"/>
            <w:lock w:val="sdtLocked"/>
            <w:richText/>
          </w:sdtPr>
          <w:sdtContent>
            <w:p>
              <w:pPr>
                <w:ind w:firstLine="567"/>
                <w:jc w:val="both"/>
                <w:rPr>
                  <w:b/>
                  <w:bCs/>
                  <w:szCs w:val="24"/>
                  <w:lang w:eastAsia="lt-LT"/>
                </w:rPr>
              </w:pPr>
              <w:sdt>
                <w:sdtPr>
                  <w:alias w:val="Numeris"/>
                  <w:tag w:val="nr_caf8a65a9ed1498daa2b2152f5f38e52"/>
                  <w:lock w:val="sdtLocked"/>
                  <w:richText/>
                </w:sdtPr>
                <w:sdtContent>
                  <w:r>
                    <w:rPr>
                      <w:b/>
                      <w:bCs/>
                      <w:szCs w:val="24"/>
                      <w:lang w:eastAsia="lt-LT"/>
                    </w:rPr>
                    <w:t>7</w:t>
                  </w:r>
                </w:sdtContent>
              </w:sdt>
              <w:r>
                <w:rPr>
                  <w:b/>
                  <w:bCs/>
                  <w:szCs w:val="24"/>
                  <w:lang w:eastAsia="lt-LT"/>
                </w:rPr>
                <w:t>. Kaip įstatymų įgyvendinimas atsilieps verslo sąlygoms ir jo plėtrai</w:t>
              </w:r>
            </w:p>
            <w:p>
              <w:pPr>
                <w:ind w:firstLine="567"/>
                <w:jc w:val="both"/>
                <w:rPr>
                  <w:szCs w:val="24"/>
                </w:rPr>
              </w:pPr>
              <w:r>
                <w:rPr>
                  <w:szCs w:val="24"/>
                </w:rPr>
                <w:t>Priimti Įstatymų projektai įtakos verslo sąlygoms ir jos plėtrai neturės.</w:t>
              </w:r>
            </w:p>
            <w:p>
              <w:pPr>
                <w:ind w:firstLine="567"/>
                <w:jc w:val="both"/>
                <w:rPr>
                  <w:szCs w:val="24"/>
                </w:rPr>
              </w:pPr>
            </w:p>
          </w:sdtContent>
        </w:sdt>
        <w:sdt>
          <w:sdtPr>
            <w:alias w:val="8 p."/>
            <w:tag w:val="part_0f00be6c6d33488d94d4ce62c536c9fb"/>
            <w:lock w:val="sdtLocked"/>
            <w:richText/>
          </w:sdtPr>
          <w:sdtContent>
            <w:p>
              <w:pPr>
                <w:ind w:firstLine="567"/>
                <w:rPr>
                  <w:b/>
                  <w:bCs/>
                  <w:szCs w:val="24"/>
                  <w:lang w:eastAsia="lt-LT"/>
                </w:rPr>
              </w:pPr>
              <w:sdt>
                <w:sdtPr>
                  <w:alias w:val="Numeris"/>
                  <w:tag w:val="nr_0f00be6c6d33488d94d4ce62c536c9fb"/>
                  <w:lock w:val="sdtLocked"/>
                  <w:richText/>
                </w:sdtPr>
                <w:sdtContent>
                  <w:r>
                    <w:rPr>
                      <w:b/>
                      <w:bCs/>
                      <w:szCs w:val="24"/>
                      <w:lang w:eastAsia="lt-LT"/>
                    </w:rPr>
                    <w:t>8</w:t>
                  </w:r>
                </w:sdtContent>
              </w:sdt>
              <w:r>
                <w:rPr>
                  <w:b/>
                  <w:bCs/>
                  <w:szCs w:val="24"/>
                  <w:lang w:eastAsia="lt-LT"/>
                </w:rPr>
                <w:t>. Ar įstatymo projektas neprieštarauja strateginio lygmens planavimo dokumentams</w:t>
              </w:r>
            </w:p>
            <w:p>
              <w:pPr>
                <w:ind w:firstLine="567"/>
                <w:rPr>
                  <w:szCs w:val="24"/>
                  <w:lang w:eastAsia="lt-LT"/>
                </w:rPr>
              </w:pPr>
              <w:r>
                <w:rPr>
                  <w:szCs w:val="24"/>
                  <w:lang w:eastAsia="lt-LT"/>
                </w:rPr>
                <w:t>Įstatymų projektai neprieštarauja strateginio lygmens planavimo dokumentams.</w:t>
              </w:r>
            </w:p>
            <w:p>
              <w:pPr>
                <w:ind w:firstLine="567"/>
                <w:jc w:val="both"/>
                <w:rPr>
                  <w:szCs w:val="24"/>
                </w:rPr>
              </w:pPr>
            </w:p>
          </w:sdtContent>
        </w:sdt>
        <w:sdt>
          <w:sdtPr>
            <w:alias w:val="9 p."/>
            <w:tag w:val="part_1daa7928920c4a4a81e92742937d31fd"/>
            <w:lock w:val="sdtLocked"/>
            <w:richText/>
          </w:sdtPr>
          <w:sdtContent>
            <w:p>
              <w:pPr>
                <w:ind w:firstLine="567"/>
                <w:jc w:val="both"/>
                <w:rPr>
                  <w:b/>
                  <w:bCs/>
                  <w:szCs w:val="24"/>
                  <w:lang w:eastAsia="lt-LT"/>
                </w:rPr>
              </w:pPr>
              <w:sdt>
                <w:sdtPr>
                  <w:alias w:val="Numeris"/>
                  <w:tag w:val="nr_1daa7928920c4a4a81e92742937d31fd"/>
                  <w:lock w:val="sdtLocked"/>
                  <w:richText/>
                </w:sdtPr>
                <w:sdtContent>
                  <w:r>
                    <w:rPr>
                      <w:b/>
                      <w:bCs/>
                      <w:szCs w:val="24"/>
                      <w:lang w:eastAsia="lt-LT"/>
                    </w:rPr>
                    <w:t>9</w:t>
                  </w:r>
                </w:sdtContent>
              </w:sdt>
              <w:r>
                <w:rPr>
                  <w:b/>
                  <w:bCs/>
                  <w:szCs w:val="24"/>
                  <w:lang w:eastAsia="lt-LT"/>
                </w:rPr>
                <w:t>. Įstatymų inkorporavimas į teisinę sistemą, kokius teisės aktus būtina priimti, kokius galiojančius teisės aktus reikia pakeisti ar pripažinti netekusiais galios</w:t>
              </w:r>
            </w:p>
            <w:p>
              <w:pPr>
                <w:ind w:firstLine="567"/>
                <w:jc w:val="both"/>
                <w:rPr>
                  <w:b/>
                  <w:bCs/>
                  <w:szCs w:val="24"/>
                  <w:lang w:eastAsia="lt-LT"/>
                </w:rPr>
              </w:pPr>
              <w:r>
                <w:rPr>
                  <w:color w:val="000000"/>
                  <w:szCs w:val="24"/>
                </w:rPr>
                <w:t>Kultūros ministerija turės parengti Lietuvos Respublikos Vyriausybės nutarimo „Dėl Lietuvos Respublikos Vyriausybės 2011 m. kovo 16 d. nutarimo Nr. 316 „Dėl Meno kūrėjų socialinės apsaugos programos“ pripažinimo netekusiu galios“ projektą.</w:t>
              </w:r>
            </w:p>
          </w:sdtContent>
        </w:sdt>
        <w:sdt>
          <w:sdtPr>
            <w:alias w:val="10 p."/>
            <w:tag w:val="part_e46dbfe903cf41979baca0cbb90cb3c8"/>
            <w:lock w:val="sdtLocked"/>
            <w:richText/>
          </w:sdtPr>
          <w:sdtContent>
            <w:p>
              <w:pPr>
                <w:tabs>
                  <w:tab w:val="left" w:pos="851"/>
                </w:tabs>
                <w:ind w:firstLine="567"/>
                <w:jc w:val="both"/>
                <w:rPr>
                  <w:szCs w:val="24"/>
                </w:rPr>
              </w:pPr>
              <w:sdt>
                <w:sdtPr>
                  <w:alias w:val="Numeris"/>
                  <w:tag w:val="nr_e46dbfe903cf41979baca0cbb90cb3c8"/>
                  <w:lock w:val="sdtLocked"/>
                  <w:richText/>
                </w:sdtPr>
                <w:sdtContent>
                  <w:r>
                    <w:rPr>
                      <w:b/>
                      <w:bCs/>
                      <w:szCs w:val="24"/>
                      <w:lang w:eastAsia="lt-LT"/>
                    </w:rPr>
                    <w:t>10</w:t>
                  </w:r>
                </w:sdtContent>
              </w:sdt>
              <w:r>
                <w:rPr>
                  <w:b/>
                  <w:bCs/>
                  <w:szCs w:val="24"/>
                  <w:lang w:eastAsia="lt-LT"/>
                </w:rPr>
                <w:t>.</w:t>
              </w:r>
              <w:r>
                <w:rPr>
                  <w:szCs w:val="24"/>
                  <w:lang w:eastAsia="lt-LT"/>
                </w:rPr>
                <w:t xml:space="preserve"> </w:t>
              </w:r>
              <w:r>
                <w:rPr>
                  <w:b/>
                  <w:bCs/>
                  <w:szCs w:val="24"/>
                  <w:lang w:eastAsia="lt-LT"/>
                </w:rPr>
                <w:t>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ind w:firstLine="567"/>
                <w:jc w:val="both"/>
                <w:rPr>
                  <w:b/>
                  <w:szCs w:val="24"/>
                </w:rPr>
              </w:pPr>
              <w:r>
                <w:rPr>
                  <w:szCs w:val="24"/>
                  <w:lang w:eastAsia="lt-LT"/>
                </w:rPr>
                <w:t xml:space="preserve">Įstatymų projektai parengti laikantis Lietuvos Respublikos valstybinės kalbos įstatymo, Lietuvos Respublikos teisėkūros pagrindų įstatymo reikalavimų ir atitinka bendrinės lietuvių kalbos normas. Tikslinamos </w:t>
              </w:r>
              <w:r>
                <w:rPr>
                  <w:color w:val="000000"/>
                  <w:szCs w:val="24"/>
                </w:rPr>
                <w:t>Meno kūrėjo ir meno kūrėjų organizacijų statuso įstatymo projekto sąvokos ir jas įvardijantys terminai yra derinami su Valstybinės lietuvių kalbos komisija, kitos sąvokos yra įtvirtintos Terminų banko įstatymo ir jo įgyvendinamųjų teisės aktų nustatyta tvarka.</w:t>
              </w:r>
            </w:p>
            <w:p>
              <w:pPr>
                <w:ind w:firstLine="851"/>
                <w:jc w:val="both"/>
                <w:rPr>
                  <w:b/>
                  <w:bCs/>
                  <w:szCs w:val="24"/>
                  <w:lang w:eastAsia="lt-LT"/>
                </w:rPr>
              </w:pPr>
            </w:p>
          </w:sdtContent>
        </w:sdt>
        <w:sdt>
          <w:sdtPr>
            <w:alias w:val="11 p."/>
            <w:tag w:val="part_9f6bf17a318d4f29a17c4e7aaaf70a8a"/>
            <w:lock w:val="sdtLocked"/>
            <w:richText/>
          </w:sdtPr>
          <w:sdtContent>
            <w:p>
              <w:pPr>
                <w:ind w:firstLine="567"/>
                <w:jc w:val="both"/>
                <w:rPr>
                  <w:b/>
                  <w:bCs/>
                  <w:szCs w:val="24"/>
                  <w:lang w:eastAsia="lt-LT"/>
                </w:rPr>
              </w:pPr>
              <w:sdt>
                <w:sdtPr>
                  <w:alias w:val="Numeris"/>
                  <w:tag w:val="nr_9f6bf17a318d4f29a17c4e7aaaf70a8a"/>
                  <w:lock w:val="sdtLocked"/>
                  <w:richText/>
                </w:sdtPr>
                <w:sdtContent>
                  <w:r>
                    <w:rPr>
                      <w:b/>
                      <w:bCs/>
                      <w:szCs w:val="24"/>
                      <w:lang w:eastAsia="lt-LT"/>
                    </w:rPr>
                    <w:t>11</w:t>
                  </w:r>
                </w:sdtContent>
              </w:sdt>
              <w:r>
                <w:rPr>
                  <w:b/>
                  <w:bCs/>
                  <w:szCs w:val="24"/>
                  <w:lang w:eastAsia="lt-LT"/>
                </w:rPr>
                <w:t>. Ar įstatymų projektai atitinka Žmogaus teisių ir pagrindinių laisvių apsaugos konvencijos nuostatas ir Europos Sąjungos dokumentus</w:t>
              </w:r>
            </w:p>
            <w:p>
              <w:pPr>
                <w:ind w:firstLine="567"/>
                <w:jc w:val="both"/>
                <w:rPr>
                  <w:szCs w:val="24"/>
                </w:rPr>
              </w:pPr>
              <w:r>
                <w:rPr>
                  <w:szCs w:val="24"/>
                </w:rPr>
                <w:t xml:space="preserve">Įstatymų projektų nuostatos neprieštarauja Europos žmogaus teisių ir pagrindinių laisvių apsaugos konvencijos nuostatoms, Europos Sąjungos teisės aktams. </w:t>
              </w:r>
            </w:p>
            <w:p>
              <w:pPr>
                <w:ind w:firstLine="851"/>
                <w:jc w:val="both"/>
                <w:rPr>
                  <w:b/>
                  <w:bCs/>
                  <w:szCs w:val="24"/>
                  <w:lang w:eastAsia="lt-LT"/>
                </w:rPr>
              </w:pPr>
            </w:p>
          </w:sdtContent>
        </w:sdt>
        <w:sdt>
          <w:sdtPr>
            <w:alias w:val="12 p."/>
            <w:tag w:val="part_4ce178f3ed3b4c55add11e8c772d4918"/>
            <w:lock w:val="sdtLocked"/>
            <w:richText/>
          </w:sdtPr>
          <w:sdtContent>
            <w:p>
              <w:pPr>
                <w:ind w:firstLine="567"/>
                <w:jc w:val="both"/>
                <w:rPr>
                  <w:b/>
                  <w:bCs/>
                  <w:szCs w:val="24"/>
                  <w:lang w:eastAsia="lt-LT"/>
                </w:rPr>
              </w:pPr>
              <w:sdt>
                <w:sdtPr>
                  <w:alias w:val="Numeris"/>
                  <w:tag w:val="nr_4ce178f3ed3b4c55add11e8c772d4918"/>
                  <w:lock w:val="sdtLocked"/>
                  <w:richText/>
                </w:sdtPr>
                <w:sdtContent>
                  <w:r>
                    <w:rPr>
                      <w:b/>
                      <w:bCs/>
                      <w:szCs w:val="24"/>
                      <w:lang w:eastAsia="lt-LT"/>
                    </w:rPr>
                    <w:t>12</w:t>
                  </w:r>
                </w:sdtContent>
              </w:sdt>
              <w:r>
                <w:rPr>
                  <w:b/>
                  <w:bCs/>
                  <w:szCs w:val="24"/>
                  <w:lang w:eastAsia="lt-LT"/>
                </w:rPr>
                <w:t>. Jeigu įstatymams įgyvendinti reikia įgyvendinamųjų teisės aktų, kas ir kada juos turėtų priimti</w:t>
              </w:r>
            </w:p>
            <w:p>
              <w:pPr>
                <w:tabs>
                  <w:tab w:val="left" w:pos="993"/>
                </w:tabs>
                <w:ind w:firstLine="567"/>
                <w:jc w:val="both"/>
                <w:rPr>
                  <w:rFonts w:eastAsia="Calibri"/>
                  <w:bCs/>
                  <w:szCs w:val="24"/>
                </w:rPr>
              </w:pPr>
              <w:r>
                <w:rPr>
                  <w:rFonts w:eastAsia="Calibri"/>
                  <w:bCs/>
                  <w:szCs w:val="24"/>
                </w:rPr>
                <w:t xml:space="preserve">Iki įstatymų įsigaliojimo, turės būti pripažinti netekusiais galios: </w:t>
              </w:r>
            </w:p>
          </w:sdtContent>
        </w:sdt>
        <w:sdt>
          <w:sdtPr>
            <w:alias w:val="1 p."/>
            <w:tag w:val="part_2cc95e46eabb44bb91cd83fb11dc1c62"/>
            <w:lock w:val="sdtLocked"/>
            <w:richText/>
          </w:sdtPr>
          <w:sdtContent>
            <w:p>
              <w:pPr>
                <w:tabs>
                  <w:tab w:val="left" w:pos="993"/>
                </w:tabs>
                <w:ind w:firstLine="567"/>
                <w:jc w:val="both"/>
                <w:rPr>
                  <w:color w:val="000000"/>
                  <w:szCs w:val="24"/>
                </w:rPr>
              </w:pPr>
              <w:sdt>
                <w:sdtPr>
                  <w:alias w:val="Numeris"/>
                  <w:tag w:val="nr_2cc95e46eabb44bb91cd83fb11dc1c62"/>
                  <w:lock w:val="sdtLocked"/>
                  <w:richText/>
                </w:sdtPr>
                <w:sdtContent>
                  <w:r>
                    <w:rPr>
                      <w:rFonts w:eastAsia="Calibri"/>
                      <w:bCs/>
                      <w:szCs w:val="24"/>
                    </w:rPr>
                    <w:t>1</w:t>
                  </w:r>
                </w:sdtContent>
              </w:sdt>
              <w:r>
                <w:rPr>
                  <w:rFonts w:eastAsia="Calibri"/>
                  <w:bCs/>
                  <w:szCs w:val="24"/>
                </w:rPr>
                <w:t xml:space="preserve">. </w:t>
              </w:r>
              <w:r>
                <w:rPr>
                  <w:color w:val="000000"/>
                  <w:szCs w:val="24"/>
                </w:rPr>
                <w:t>Lietuvos Respublikos Vyriausybės 2011 m. kovo 16 d. nutarimas Nr. 316 „Dėl Meno kūrėjų socialinės apsaugos programos“ su visais pakeitimais ir papildymais;</w:t>
              </w:r>
            </w:p>
          </w:sdtContent>
        </w:sdt>
        <w:sdt>
          <w:sdtPr>
            <w:alias w:val="2 p."/>
            <w:tag w:val="part_7a8af96ff54647bea271c685ff4e9e19"/>
            <w:lock w:val="sdtLocked"/>
            <w:richText/>
          </w:sdtPr>
          <w:sdtContent>
            <w:p>
              <w:pPr>
                <w:tabs>
                  <w:tab w:val="left" w:pos="851"/>
                </w:tabs>
                <w:ind w:firstLine="567"/>
                <w:jc w:val="both"/>
                <w:rPr>
                  <w:szCs w:val="24"/>
                </w:rPr>
              </w:pPr>
              <w:sdt>
                <w:sdtPr>
                  <w:alias w:val="Numeris"/>
                  <w:tag w:val="nr_7a8af96ff54647bea271c685ff4e9e19"/>
                  <w:lock w:val="sdtLocked"/>
                  <w:richText/>
                </w:sdtPr>
                <w:sdtContent>
                  <w:r>
                    <w:rPr>
                      <w:rFonts w:eastAsia="Calibri"/>
                      <w:bCs/>
                      <w:szCs w:val="24"/>
                    </w:rPr>
                    <w:t>2</w:t>
                  </w:r>
                </w:sdtContent>
              </w:sdt>
              <w:r>
                <w:rPr>
                  <w:rFonts w:eastAsia="Calibri"/>
                  <w:bCs/>
                  <w:szCs w:val="24"/>
                </w:rPr>
                <w:t xml:space="preserve">. </w:t>
              </w:r>
              <w:r>
                <w:rPr>
                  <w:color w:val="000000"/>
                  <w:szCs w:val="24"/>
                </w:rPr>
                <w:t xml:space="preserve">Lietuvos Respublikos kultūros ministro </w:t>
              </w:r>
              <w:r>
                <w:rPr>
                  <w:szCs w:val="24"/>
                </w:rPr>
                <w:t>2014 m. gegužės 8 d. įsakymas Nr. ĮV-332 „Dėl Meno kūrėjų socialinės apsaugos komisijos sudėties ir darbo reglamento patvirtinimo“.</w:t>
              </w:r>
            </w:p>
            <w:p>
              <w:pPr>
                <w:tabs>
                  <w:tab w:val="left" w:pos="851"/>
                </w:tabs>
                <w:ind w:left="567"/>
                <w:jc w:val="both"/>
                <w:rPr>
                  <w:szCs w:val="24"/>
                </w:rPr>
              </w:pPr>
              <w:r>
                <w:rPr>
                  <w:szCs w:val="24"/>
                </w:rPr>
                <w:t>Taip pat turės būti pakeisti:</w:t>
              </w:r>
            </w:p>
          </w:sdtContent>
        </w:sdt>
        <w:sdt>
          <w:sdtPr>
            <w:alias w:val="1 p."/>
            <w:tag w:val="part_89afa7b9fa184a069cf32d53488f8ee4"/>
            <w:lock w:val="sdtLocked"/>
            <w:richText/>
          </w:sdtPr>
          <w:sdtContent>
            <w:p>
              <w:pPr>
                <w:tabs>
                  <w:tab w:val="left" w:pos="851"/>
                </w:tabs>
                <w:ind w:firstLine="567"/>
                <w:jc w:val="both"/>
                <w:rPr>
                  <w:color w:val="000000"/>
                  <w:szCs w:val="24"/>
                </w:rPr>
              </w:pPr>
              <w:sdt>
                <w:sdtPr>
                  <w:alias w:val="Numeris"/>
                  <w:tag w:val="nr_89afa7b9fa184a069cf32d53488f8ee4"/>
                  <w:lock w:val="sdtLocked"/>
                  <w:richText/>
                </w:sdtPr>
                <w:sdtContent>
                  <w:r>
                    <w:rPr>
                      <w:color w:val="000000"/>
                      <w:szCs w:val="24"/>
                    </w:rPr>
                    <w:t>1</w:t>
                  </w:r>
                </w:sdtContent>
              </w:sdt>
              <w:r>
                <w:rPr>
                  <w:color w:val="000000"/>
                  <w:szCs w:val="24"/>
                </w:rPr>
                <w:t>.</w:t>
                <w:tab/>
                <w:t>Lietuvos Respublikos Vyriausybės 2007 m. rugsėjo 11 d. nutarimas Nr. 968 „D</w:t>
              </w:r>
              <w:r>
                <w:rPr>
                  <w:bCs/>
                  <w:color w:val="000000"/>
                  <w:szCs w:val="24"/>
                </w:rPr>
                <w:t>ėl Lietuvos Respublikos draudžiamųjų privalomuoju sveikatos draudimu registro steigimo, jo nuostatų patvirtinimo ir veiklos pradžios nustatymo</w:t>
              </w:r>
              <w:r>
                <w:rPr>
                  <w:color w:val="000000"/>
                  <w:szCs w:val="24"/>
                </w:rPr>
                <w:t>“;</w:t>
              </w:r>
            </w:p>
          </w:sdtContent>
        </w:sdt>
        <w:sdt>
          <w:sdtPr>
            <w:alias w:val="2 p."/>
            <w:tag w:val="part_d3d9014c748d4041b6a011b52d8ca65d"/>
            <w:lock w:val="sdtLocked"/>
            <w:richText/>
          </w:sdtPr>
          <w:sdtContent>
            <w:p>
              <w:pPr>
                <w:tabs>
                  <w:tab w:val="left" w:pos="851"/>
                </w:tabs>
                <w:ind w:firstLine="567"/>
                <w:jc w:val="both"/>
                <w:rPr>
                  <w:szCs w:val="24"/>
                </w:rPr>
              </w:pPr>
              <w:sdt>
                <w:sdtPr>
                  <w:alias w:val="Numeris"/>
                  <w:tag w:val="nr_d3d9014c748d4041b6a011b52d8ca65d"/>
                  <w:lock w:val="sdtLocked"/>
                  <w:richText/>
                </w:sdtPr>
                <w:sdtContent>
                  <w:r>
                    <w:rPr>
                      <w:szCs w:val="24"/>
                    </w:rPr>
                    <w:t>2</w:t>
                  </w:r>
                </w:sdtContent>
              </w:sdt>
              <w:r>
                <w:rPr>
                  <w:szCs w:val="24"/>
                </w:rPr>
                <w:t>.</w:t>
                <w:tab/>
              </w:r>
              <w:r>
                <w:rPr>
                  <w:color w:val="000000"/>
                  <w:szCs w:val="24"/>
                </w:rPr>
                <w:t>Lietuvos Respublikos kultūros ministro 2016 m. gegužės 23 d. įsakymas Nr. ĮV-410 „Dėl Meno kūrėjo ir meno kūrėjų organizacijų statuso suteikimo tarybos nuostatų patvirtinimo“.</w:t>
              </w:r>
            </w:p>
          </w:sdtContent>
        </w:sdt>
        <w:sdt>
          <w:sdtPr>
            <w:alias w:val="3 p."/>
            <w:tag w:val="part_b6b11bdcda974be8b51022edd78876bf"/>
            <w:lock w:val="sdtLocked"/>
            <w:richText/>
          </w:sdtPr>
          <w:sdtContent>
            <w:p>
              <w:pPr>
                <w:tabs>
                  <w:tab w:val="left" w:pos="851"/>
                </w:tabs>
                <w:ind w:firstLine="567"/>
                <w:jc w:val="both"/>
                <w:rPr>
                  <w:szCs w:val="24"/>
                </w:rPr>
              </w:pPr>
              <w:sdt>
                <w:sdtPr>
                  <w:alias w:val="Numeris"/>
                  <w:tag w:val="nr_b6b11bdcda974be8b51022edd78876bf"/>
                  <w:lock w:val="sdtLocked"/>
                  <w:richText/>
                </w:sdtPr>
                <w:sdtContent>
                  <w:r>
                    <w:rPr>
                      <w:szCs w:val="24"/>
                    </w:rPr>
                    <w:t>3</w:t>
                  </w:r>
                </w:sdtContent>
              </w:sdt>
              <w:r>
                <w:rPr>
                  <w:szCs w:val="24"/>
                </w:rPr>
                <w:t>.</w:t>
                <w:tab/>
              </w:r>
              <w:r>
                <w:rPr>
                  <w:color w:val="000000"/>
                  <w:szCs w:val="24"/>
                </w:rPr>
                <w:t>Lietuvos Respublikos kultūros ministro 2011 m. kovo 7 d. įsakymas Nr. ĮV-151 „Dėl Lietuvos Respublikos kultūros ministro 2005 m. kovo 3 d. įsakymo Nr. ĮV-77 „Dėl meno kūrėjo ir meno kūrėjų organizacijos statuso suteikimo taisyklių patvirtinimo“ pakeitimo“ .</w:t>
              </w:r>
              <w:r>
                <w:rPr>
                  <w:szCs w:val="24"/>
                </w:rPr>
                <w:t xml:space="preserve"> </w:t>
              </w:r>
            </w:p>
            <w:p>
              <w:pPr>
                <w:tabs>
                  <w:tab w:val="left" w:pos="993"/>
                </w:tabs>
                <w:ind w:firstLine="567"/>
                <w:jc w:val="both"/>
                <w:rPr>
                  <w:bCs/>
                  <w:szCs w:val="24"/>
                  <w:lang w:eastAsia="lt-LT"/>
                </w:rPr>
              </w:pPr>
              <w:r>
                <w:rPr>
                  <w:bCs/>
                  <w:szCs w:val="24"/>
                  <w:lang w:eastAsia="lt-LT"/>
                </w:rPr>
                <w:t xml:space="preserve">Iki įstatymų įsigaliojimo kultūros ministras: </w:t>
              </w:r>
            </w:p>
          </w:sdtContent>
        </w:sdt>
        <w:sdt>
          <w:sdtPr>
            <w:alias w:val="1 p."/>
            <w:tag w:val="part_b2f3abae387b4feea77fe4d73e98c7d6"/>
            <w:lock w:val="sdtLocked"/>
            <w:richText/>
          </w:sdtPr>
          <w:sdtContent>
            <w:p>
              <w:pPr>
                <w:tabs>
                  <w:tab w:val="left" w:pos="993"/>
                </w:tabs>
                <w:ind w:firstLine="567"/>
                <w:jc w:val="both"/>
                <w:rPr>
                  <w:bCs/>
                  <w:szCs w:val="24"/>
                  <w:lang w:eastAsia="lt-LT"/>
                </w:rPr>
              </w:pPr>
              <w:sdt>
                <w:sdtPr>
                  <w:alias w:val="Numeris"/>
                  <w:tag w:val="nr_b2f3abae387b4feea77fe4d73e98c7d6"/>
                  <w:lock w:val="sdtLocked"/>
                  <w:richText/>
                </w:sdtPr>
                <w:sdtContent>
                  <w:r>
                    <w:rPr>
                      <w:bCs/>
                      <w:szCs w:val="24"/>
                      <w:lang w:eastAsia="lt-LT"/>
                    </w:rPr>
                    <w:t>1</w:t>
                  </w:r>
                </w:sdtContent>
              </w:sdt>
              <w:r>
                <w:rPr>
                  <w:bCs/>
                  <w:szCs w:val="24"/>
                  <w:lang w:eastAsia="lt-LT"/>
                </w:rPr>
                <w:t xml:space="preserve">.  priims </w:t>
              </w:r>
              <w:r>
                <w:rPr>
                  <w:szCs w:val="24"/>
                </w:rPr>
                <w:t xml:space="preserve">Kūrybinių prastovų meno kūrėjams skyrimo ir mokėjimo </w:t>
              </w:r>
              <w:r>
                <w:rPr>
                  <w:color w:val="000000"/>
                  <w:szCs w:val="24"/>
                </w:rPr>
                <w:t>tvarkos aprašą</w:t>
              </w:r>
              <w:r>
                <w:rPr>
                  <w:bCs/>
                  <w:szCs w:val="24"/>
                  <w:lang w:eastAsia="lt-LT"/>
                </w:rPr>
                <w:t>;</w:t>
              </w:r>
            </w:p>
          </w:sdtContent>
        </w:sdt>
        <w:sdt>
          <w:sdtPr>
            <w:alias w:val="2 p."/>
            <w:tag w:val="part_31de6f9230274d5fa6de3a30322db8a2"/>
            <w:lock w:val="sdtLocked"/>
            <w:richText/>
          </w:sdtPr>
          <w:sdtContent>
            <w:p>
              <w:pPr>
                <w:tabs>
                  <w:tab w:val="left" w:pos="993"/>
                </w:tabs>
                <w:ind w:firstLine="567"/>
                <w:jc w:val="both"/>
                <w:rPr>
                  <w:bCs/>
                  <w:szCs w:val="24"/>
                  <w:lang w:eastAsia="lt-LT"/>
                </w:rPr>
              </w:pPr>
              <w:sdt>
                <w:sdtPr>
                  <w:alias w:val="Numeris"/>
                  <w:tag w:val="nr_31de6f9230274d5fa6de3a30322db8a2"/>
                  <w:lock w:val="sdtLocked"/>
                  <w:richText/>
                </w:sdtPr>
                <w:sdtContent>
                  <w:r>
                    <w:rPr>
                      <w:bCs/>
                      <w:szCs w:val="24"/>
                      <w:lang w:eastAsia="lt-LT"/>
                    </w:rPr>
                    <w:t>2</w:t>
                  </w:r>
                </w:sdtContent>
              </w:sdt>
              <w:r>
                <w:rPr>
                  <w:bCs/>
                  <w:szCs w:val="24"/>
                  <w:lang w:eastAsia="lt-LT"/>
                </w:rPr>
                <w:t>. kartu su socialinės apsaugos ir darbo ministru, priims Socialinio draudimo įmokų mokėjimo meno kūrėjams tvarkos aprašą;</w:t>
              </w:r>
            </w:p>
          </w:sdtContent>
        </w:sdt>
        <w:sdt>
          <w:sdtPr>
            <w:alias w:val="3 p."/>
            <w:tag w:val="part_8a62a7cbb96d43cc8b6c9893e6f3d3a7"/>
            <w:lock w:val="sdtLocked"/>
            <w:richText/>
          </w:sdtPr>
          <w:sdtContent>
            <w:p>
              <w:pPr>
                <w:tabs>
                  <w:tab w:val="left" w:pos="993"/>
                </w:tabs>
                <w:ind w:firstLine="567"/>
                <w:jc w:val="both"/>
                <w:rPr>
                  <w:bCs/>
                  <w:szCs w:val="24"/>
                  <w:lang w:eastAsia="lt-LT"/>
                </w:rPr>
              </w:pPr>
              <w:sdt>
                <w:sdtPr>
                  <w:alias w:val="Numeris"/>
                  <w:tag w:val="nr_8a62a7cbb96d43cc8b6c9893e6f3d3a7"/>
                  <w:lock w:val="sdtLocked"/>
                  <w:richText/>
                </w:sdtPr>
                <w:sdtContent>
                  <w:r>
                    <w:rPr>
                      <w:bCs/>
                      <w:szCs w:val="24"/>
                      <w:lang w:eastAsia="lt-LT"/>
                    </w:rPr>
                    <w:t>3</w:t>
                  </w:r>
                </w:sdtContent>
              </w:sdt>
              <w:r>
                <w:rPr>
                  <w:bCs/>
                  <w:szCs w:val="24"/>
                  <w:lang w:eastAsia="lt-LT"/>
                </w:rPr>
                <w:t>. kartu su sveikatos apsaugos ministru priims Sveikatos draudimo įmokų meno kūrėjams mokėjimo tvarkos aprašą.</w:t>
              </w:r>
            </w:p>
            <w:p>
              <w:pPr>
                <w:tabs>
                  <w:tab w:val="left" w:pos="993"/>
                </w:tabs>
                <w:ind w:firstLine="567"/>
                <w:jc w:val="both"/>
                <w:rPr>
                  <w:bCs/>
                  <w:szCs w:val="24"/>
                  <w:lang w:eastAsia="lt-LT"/>
                </w:rPr>
              </w:pPr>
            </w:p>
            <w:p>
              <w:pPr>
                <w:ind w:firstLine="567"/>
                <w:jc w:val="both"/>
                <w:rPr>
                  <w:b/>
                  <w:bCs/>
                  <w:szCs w:val="24"/>
                </w:rPr>
              </w:pPr>
            </w:p>
          </w:sdtContent>
        </w:sdt>
        <w:sdt>
          <w:sdtPr>
            <w:alias w:val="13 p."/>
            <w:tag w:val="part_863cdc2bd3c4438ca134b3b3616a7ede"/>
            <w:lock w:val="sdtLocked"/>
            <w:richText/>
          </w:sdtPr>
          <w:sdtContent>
            <w:p>
              <w:pPr>
                <w:ind w:firstLine="567"/>
                <w:jc w:val="both"/>
                <w:rPr>
                  <w:szCs w:val="24"/>
                </w:rPr>
              </w:pPr>
              <w:sdt>
                <w:sdtPr>
                  <w:alias w:val="Numeris"/>
                  <w:tag w:val="nr_863cdc2bd3c4438ca134b3b3616a7ede"/>
                  <w:lock w:val="sdtLocked"/>
                  <w:richText/>
                </w:sdtPr>
                <w:sdtContent>
                  <w:r>
                    <w:rPr>
                      <w:b/>
                      <w:bCs/>
                      <w:szCs w:val="24"/>
                    </w:rPr>
                    <w:t>13</w:t>
                  </w:r>
                </w:sdtContent>
              </w:sdt>
              <w:r>
                <w:rPr>
                  <w:b/>
                  <w:bCs/>
                  <w:szCs w:val="24"/>
                </w:rPr>
                <w:t>. Kiek valstybės, savivaldybių biudžetų ir kitų valstybės įsteigtų fondų lėšų prireiks įstatymams įgyvendinti, ar bus galima sutaupyti (pateikiami prognozuojami rodikliai einamaisiais ir artimiausiais 3 biudžetiniais metais)</w:t>
              </w:r>
            </w:p>
            <w:p>
              <w:pPr>
                <w:tabs>
                  <w:tab w:val="left" w:pos="993"/>
                </w:tabs>
                <w:ind w:firstLine="868"/>
                <w:jc w:val="both"/>
                <w:rPr>
                  <w:strike/>
                  <w:szCs w:val="24"/>
                </w:rPr>
              </w:pPr>
              <w:r>
                <w:rPr>
                  <w:szCs w:val="24"/>
                </w:rPr>
                <w:t>Priimtų Įstatymų projektų įgyvendinimas papildomų išlaidų iš valstybės, savivaldybės biudžetų nepareikalaus.</w:t>
              </w:r>
            </w:p>
            <w:p>
              <w:pPr>
                <w:ind w:firstLine="567"/>
                <w:jc w:val="both"/>
                <w:rPr>
                  <w:szCs w:val="24"/>
                </w:rPr>
              </w:pPr>
            </w:p>
          </w:sdtContent>
        </w:sdt>
        <w:sdt>
          <w:sdtPr>
            <w:alias w:val="14 p."/>
            <w:tag w:val="part_818ae7bc579e4f90923a8fd10128d72f"/>
            <w:lock w:val="sdtLocked"/>
            <w:richText/>
          </w:sdtPr>
          <w:sdtContent>
            <w:p>
              <w:pPr>
                <w:ind w:firstLine="567"/>
                <w:jc w:val="both"/>
                <w:rPr>
                  <w:szCs w:val="24"/>
                </w:rPr>
              </w:pPr>
              <w:sdt>
                <w:sdtPr>
                  <w:alias w:val="Numeris"/>
                  <w:tag w:val="nr_818ae7bc579e4f90923a8fd10128d72f"/>
                  <w:lock w:val="sdtLocked"/>
                  <w:richText/>
                </w:sdtPr>
                <w:sdtContent>
                  <w:r>
                    <w:rPr>
                      <w:b/>
                      <w:bCs/>
                      <w:szCs w:val="24"/>
                    </w:rPr>
                    <w:t>14</w:t>
                  </w:r>
                </w:sdtContent>
              </w:sdt>
              <w:r>
                <w:rPr>
                  <w:b/>
                  <w:bCs/>
                  <w:szCs w:val="24"/>
                </w:rPr>
                <w:t>. Įstatymų projektų rengimo metu gauti specialistų vertinimai ir išvados</w:t>
              </w:r>
            </w:p>
            <w:p>
              <w:pPr>
                <w:tabs>
                  <w:tab w:val="left" w:pos="567"/>
                </w:tabs>
                <w:ind w:firstLine="620"/>
                <w:jc w:val="both"/>
                <w:rPr>
                  <w:szCs w:val="24"/>
                </w:rPr>
              </w:pPr>
              <w:r>
                <w:rPr>
                  <w:szCs w:val="24"/>
                </w:rPr>
                <w:t>Meno kūrėjų organizacijos, kultūros bendruomenė, suinteresuotos organizacijos ir institucijos aptarė Meno kūrėjo ir meno kūrėjų organizacijų statuso įstatymo pakeitimo tikslus Kultūros ministerijos organizuotų nuotolinių susitikimų metu.</w:t>
              </w:r>
            </w:p>
            <w:p>
              <w:pPr>
                <w:tabs>
                  <w:tab w:val="left" w:pos="567"/>
                </w:tabs>
                <w:ind w:firstLine="567"/>
                <w:jc w:val="both"/>
                <w:rPr>
                  <w:szCs w:val="24"/>
                </w:rPr>
              </w:pPr>
              <w:r>
                <w:rPr>
                  <w:szCs w:val="24"/>
                </w:rPr>
                <w:t>Su visuomene konsultuojamasi įstatymo projektą skelbiant Lietuvos Respublikos Seimo Teisės aktų informacinėje sistemoje.</w:t>
              </w:r>
            </w:p>
            <w:p>
              <w:pPr>
                <w:ind w:firstLine="851"/>
                <w:jc w:val="both"/>
                <w:rPr>
                  <w:b/>
                  <w:bCs/>
                  <w:szCs w:val="24"/>
                  <w:lang w:eastAsia="lt-LT"/>
                </w:rPr>
              </w:pPr>
            </w:p>
          </w:sdtContent>
        </w:sdt>
        <w:sdt>
          <w:sdtPr>
            <w:alias w:val="15 p."/>
            <w:tag w:val="part_e8d1bb0c7e9e4f89a31ff40e5811e7f1"/>
            <w:lock w:val="sdtLocked"/>
            <w:richText/>
          </w:sdtPr>
          <w:sdtContent>
            <w:p>
              <w:pPr>
                <w:ind w:firstLine="567"/>
                <w:jc w:val="both"/>
                <w:rPr>
                  <w:szCs w:val="24"/>
                </w:rPr>
              </w:pPr>
              <w:sdt>
                <w:sdtPr>
                  <w:alias w:val="Numeris"/>
                  <w:tag w:val="nr_e8d1bb0c7e9e4f89a31ff40e5811e7f1"/>
                  <w:lock w:val="sdtLocked"/>
                  <w:richText/>
                </w:sdtPr>
                <w:sdtContent>
                  <w:r>
                    <w:rPr>
                      <w:b/>
                      <w:bCs/>
                      <w:szCs w:val="24"/>
                      <w:lang w:eastAsia="lt-LT"/>
                    </w:rPr>
                    <w:t>15</w:t>
                  </w:r>
                </w:sdtContent>
              </w:sdt>
              <w:r>
                <w:rPr>
                  <w:b/>
                  <w:bCs/>
                  <w:szCs w:val="24"/>
                  <w:lang w:eastAsia="lt-LT"/>
                </w:rPr>
                <w:t xml:space="preserve">. Reikšminiai žodžiai, kurių reikia šiems projektams įtraukti į kompiuterinę paieškos sistemą, įskaitant Europos žodyno </w:t>
              </w:r>
              <w:r>
                <w:rPr>
                  <w:b/>
                  <w:bCs/>
                  <w:i/>
                  <w:iCs/>
                  <w:szCs w:val="24"/>
                  <w:lang w:eastAsia="lt-LT"/>
                </w:rPr>
                <w:t xml:space="preserve">Eurovoc </w:t>
              </w:r>
              <w:r>
                <w:rPr>
                  <w:b/>
                  <w:bCs/>
                  <w:szCs w:val="24"/>
                  <w:lang w:eastAsia="lt-LT"/>
                </w:rPr>
                <w:t>terminus, temas ir sritis</w:t>
              </w:r>
            </w:p>
            <w:p>
              <w:pPr>
                <w:tabs>
                  <w:tab w:val="left" w:pos="993"/>
                </w:tabs>
                <w:ind w:firstLine="993"/>
                <w:jc w:val="both"/>
                <w:rPr>
                  <w:color w:val="000000"/>
                  <w:szCs w:val="24"/>
                </w:rPr>
              </w:pPr>
              <w:r>
                <w:rPr>
                  <w:color w:val="000000"/>
                  <w:szCs w:val="24"/>
                </w:rPr>
                <w:t xml:space="preserve">Reikšminiai įstatymo projekto žodžiai: „meno kūrėjas“, „meno kūrėjų organizacija“, </w:t>
              </w:r>
              <w:r>
                <w:rPr>
                  <w:szCs w:val="24"/>
                </w:rPr>
                <w:t>„kūrybinė prastova“, „kūrybinės prastovos išmoka“.</w:t>
              </w:r>
            </w:p>
            <w:p>
              <w:pPr>
                <w:ind w:firstLine="851"/>
                <w:jc w:val="both"/>
                <w:rPr>
                  <w:b/>
                  <w:bCs/>
                  <w:szCs w:val="24"/>
                  <w:lang w:eastAsia="lt-LT"/>
                </w:rPr>
              </w:pPr>
            </w:p>
          </w:sdtContent>
        </w:sdt>
        <w:sdt>
          <w:sdtPr>
            <w:alias w:val="16 p."/>
            <w:tag w:val="part_9f74e6a54f7747828903edfeddc5bb27"/>
            <w:lock w:val="sdtLocked"/>
            <w:richText/>
          </w:sdtPr>
          <w:sdtContent>
            <w:p>
              <w:pPr>
                <w:ind w:firstLine="567"/>
                <w:jc w:val="both"/>
                <w:rPr>
                  <w:b/>
                  <w:bCs/>
                  <w:szCs w:val="24"/>
                  <w:lang w:eastAsia="lt-LT"/>
                </w:rPr>
              </w:pPr>
              <w:sdt>
                <w:sdtPr>
                  <w:alias w:val="Numeris"/>
                  <w:tag w:val="nr_9f74e6a54f7747828903edfeddc5bb27"/>
                  <w:lock w:val="sdtLocked"/>
                  <w:richText/>
                </w:sdtPr>
                <w:sdtContent>
                  <w:r>
                    <w:rPr>
                      <w:b/>
                      <w:bCs/>
                      <w:szCs w:val="24"/>
                      <w:lang w:eastAsia="lt-LT"/>
                    </w:rPr>
                    <w:t>16</w:t>
                  </w:r>
                </w:sdtContent>
              </w:sdt>
              <w:r>
                <w:rPr>
                  <w:b/>
                  <w:bCs/>
                  <w:szCs w:val="24"/>
                  <w:lang w:eastAsia="lt-LT"/>
                </w:rPr>
                <w:t xml:space="preserve">. Kiti, iniciatorių nuomone, reikalingi pagrindimai ir paaiškinimai </w:t>
              </w:r>
            </w:p>
            <w:p>
              <w:pPr>
                <w:ind w:firstLine="567"/>
                <w:jc w:val="both"/>
                <w:rPr>
                  <w:szCs w:val="24"/>
                </w:rPr>
              </w:pPr>
              <w:r>
                <w:rPr>
                  <w:szCs w:val="24"/>
                </w:rPr>
                <w:t>Nėra.</w:t>
              </w:r>
            </w:p>
            <w:p/>
          </w:sdtContent>
        </w:sdt>
      </w:sdtContent>
    </w:sdt>
    <w:sectPr>
      <w:footerReference w:type="default" r:id="rId11"/>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75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A7C27A-36A7-49F4-A50C-8AF1617BFD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8781984">
      <w:bodyDiv w:val="1"/>
      <w:marLeft w:val="0"/>
      <w:marRight w:val="0"/>
      <w:marTop w:val="0"/>
      <w:marBottom w:val="0"/>
      <w:divBdr>
        <w:top w:val="none" w:sz="0" w:space="0" w:color="auto"/>
        <w:left w:val="none" w:sz="0" w:space="0" w:color="auto"/>
        <w:bottom w:val="none" w:sz="0" w:space="0" w:color="auto"/>
        <w:right w:val="none" w:sz="0" w:space="0" w:color="auto"/>
      </w:divBdr>
    </w:div>
    <w:div w:id="1455901006">
      <w:bodyDiv w:val="1"/>
      <w:marLeft w:val="0"/>
      <w:marRight w:val="0"/>
      <w:marTop w:val="0"/>
      <w:marBottom w:val="0"/>
      <w:divBdr>
        <w:top w:val="none" w:sz="0" w:space="0" w:color="auto"/>
        <w:left w:val="none" w:sz="0" w:space="0" w:color="auto"/>
        <w:bottom w:val="none" w:sz="0" w:space="0" w:color="auto"/>
        <w:right w:val="none" w:sz="0" w:space="0" w:color="auto"/>
      </w:divBdr>
    </w:div>
    <w:div w:id="1460031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oter" Target="footer1.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7A5DF9AFF8C0E4F8F4E9E56EF7DF167" ma:contentTypeVersion="7" ma:contentTypeDescription="Kurkite naują dokumentą." ma:contentTypeScope="" ma:versionID="d9beca1d59cc7c3a788769a0c6ffe22f">
  <xsd:schema xmlns:xsd="http://www.w3.org/2001/XMLSchema" xmlns:xs="http://www.w3.org/2001/XMLSchema" xmlns:p="http://schemas.microsoft.com/office/2006/metadata/properties" xmlns:ns3="76e372ef-9bd5-4606-9cd8-1cceb11e07d2" xmlns:ns4="348a7710-7993-4720-a505-700ae672828a" targetNamespace="http://schemas.microsoft.com/office/2006/metadata/properties" ma:root="true" ma:fieldsID="66415a12f5486f79eb9a014dc762c0f8" ns3:_="" ns4:_="">
    <xsd:import namespace="76e372ef-9bd5-4606-9cd8-1cceb11e07d2"/>
    <xsd:import namespace="348a7710-7993-4720-a505-700ae672828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e372ef-9bd5-4606-9cd8-1cceb11e07d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8a7710-7993-4720-a505-700ae672828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e6f7bc58a7d44bf9abe25dc3d354ff9" PartId="62ea88dc2809433da57d318b70b272cf">
    <Part Type="punktas" Nr="1" Abbr="1 p." DocPartId="18d388edaadc499c8c2a0750830a8b61" PartId="76bac36c75794b1c91d34abcf3c5e90f"/>
    <Part Type="punktas" Nr="2" Abbr="2 p." DocPartId="1e4aec55994d4bb58c3d9d8605085020" PartId="3d8660259cc5445d84ccb7d010061cd9"/>
    <Part Type="punktas" Nr="3" Abbr="3 p." DocPartId="49bcd774a6d342a7b62b968ca1102d92" PartId="ff16c4040d5e49849181319fe875d558"/>
    <Part Type="punktas" Nr="4" Abbr="4 p." DocPartId="42ad9bcae26741199b6da4d1089b10cc" PartId="577610675df141ddaa6f5f650c968e43"/>
    <Part Type="punktas" Nr="1" Abbr="1 p." Notes="Numeris ne iš eilės. Trūksta dalių? [DocDalys]" DocPartId="47ef72c71acb4463ab33d8eaad4f0169" PartId="96c194d8235f460db24f4c406e222cf7"/>
    <Part Type="punktas" Nr="3" Abbr="3 p." Notes="Numeris ne iš eilės. Trūksta dalių? [DocDalys]" DocPartId="809b64df76c54047923125014b6a5cc4" PartId="40c85e5a6a9c42b4a47d4b29b5bf9205"/>
    <Part Type="punktas" Nr="4" Abbr="4 p." DocPartId="7f84f3adfd304c8e8f465682277cc52e" PartId="b983285b88a64b58b7660a7356dae93b"/>
    <Part Type="punktas" Nr="5" Abbr="5 p." DocPartId="987a2ba6800342acb6c2ae5977df2eaf" PartId="d74598df61494af58fe8d2ce3e757bec"/>
    <Part Type="punktas" Nr="6" Abbr="6 p." DocPartId="d42011ae261940869ebca09a4ad7c19b" PartId="d0a63d9aa2784f159263e5a8f3aa7c37"/>
    <Part Type="punktas" Nr="7" Abbr="7 p." DocPartId="b0b7ad3e8c464afaafa4f6c773a398ec" PartId="2e0c01977a8a4b13babfe93a52caf682"/>
    <Part Type="punktas" Nr="5" Abbr="5 p." Notes="Numeris ne iš eilės. Trūksta dalių? [DocDalys]" DocPartId="982226d1057641f5acdf3a93561dcb2f" PartId="94cfad8e9d4241c0a30e7afe9813e4f4"/>
    <Part Type="punktas" Nr="6" Abbr="6 p." DocPartId="4c2d1c3a78ea4d79b3b5fa3305010d33" PartId="fc140d7b3ccc4b3bbb2af10147472227"/>
    <Part Type="punktas" Nr="7" Abbr="7 p." DocPartId="afbe74113c5b4a24a4cf1f3c1e22dd14" PartId="caf8a65a9ed1498daa2b2152f5f38e52"/>
    <Part Type="punktas" Nr="8" Abbr="8 p." DocPartId="cd5c417ff06c4b68b8db7fd2b2479c30" PartId="0f00be6c6d33488d94d4ce62c536c9fb"/>
    <Part Type="punktas" Nr="9" Abbr="9 p." DocPartId="c5c1de3d57f142bda958cb9ee2f268c3" PartId="1daa7928920c4a4a81e92742937d31fd"/>
    <Part Type="punktas" Nr="10" Abbr="10 p." DocPartId="9e77201e7eb8448a8a1eb417aa9cdbd7" PartId="e46dbfe903cf41979baca0cbb90cb3c8"/>
    <Part Type="punktas" Nr="11" Abbr="11 p." DocPartId="c0910cdb98ff46028172e49feb49b4a3" PartId="9f6bf17a318d4f29a17c4e7aaaf70a8a"/>
    <Part Type="punktas" Nr="12" Abbr="12 p." DocPartId="cfca0d78629f4d9ea200b49c7cdc4427" PartId="4ce178f3ed3b4c55add11e8c772d4918"/>
    <Part Type="punktas" Nr="1" Abbr="1 p." Notes="Numeris ne iš eilės. Trūksta dalių? [DocDalys]" DocPartId="c91ed3a657114c848a7a7f35d00933fd" PartId="2cc95e46eabb44bb91cd83fb11dc1c62"/>
    <Part Type="punktas" Nr="2" Abbr="2 p." DocPartId="e3585d5034334fc19c2b93612befe6d9" PartId="7a8af96ff54647bea271c685ff4e9e19"/>
    <Part Type="punktas" Nr="1" Abbr="1 p." Notes="Numeris ne iš eilės. Trūksta dalių? [DocDalys]" DocPartId="cf11286e48794e39bceae598882d5a2c" PartId="89afa7b9fa184a069cf32d53488f8ee4"/>
    <Part Type="punktas" Nr="2" Abbr="2 p." DocPartId="5c18613be6124a65b6b86a238e5e4c15" PartId="d3d9014c748d4041b6a011b52d8ca65d"/>
    <Part Type="punktas" Nr="3" Abbr="3 p." DocPartId="4978841c48bb4b5dae5d8906fd1e8888" PartId="b6b11bdcda974be8b51022edd78876bf"/>
    <Part Type="punktas" Nr="1" Abbr="1 p." Notes="Numeris ne iš eilės. Trūksta dalių? [DocDalys]" DocPartId="76fa246209954893b43ec88f9eada2b6" PartId="b2f3abae387b4feea77fe4d73e98c7d6"/>
    <Part Type="punktas" Nr="2" Abbr="2 p." DocPartId="7436e2fe288a4d889dd335fb00cc477d" PartId="31de6f9230274d5fa6de3a30322db8a2"/>
    <Part Type="punktas" Nr="3" Abbr="3 p." DocPartId="bbc03fb06b184ba1a83edfc0f59560d8" PartId="8a62a7cbb96d43cc8b6c9893e6f3d3a7"/>
    <Part Type="punktas" Nr="13" Abbr="13 p." Notes="Numeris ne iš eilės. Trūksta dalių? [DocDalys]" DocPartId="dce97c24f5a5494dab3f5b00eeeded55" PartId="863cdc2bd3c4438ca134b3b3616a7ede"/>
    <Part Type="punktas" Nr="14" Abbr="14 p." DocPartId="c0ead48a54e84983aa519d29097b194a" PartId="818ae7bc579e4f90923a8fd10128d72f"/>
    <Part Type="punktas" Nr="15" Abbr="15 p." DocPartId="e335a3f72f484054b558655ef471622f" PartId="e8d1bb0c7e9e4f89a31ff40e5811e7f1"/>
    <Part Type="punktas" Nr="16" Abbr="16 p." DocPartId="fa7ea5a2487343ffb333050ad5e3f60b" PartId="9f74e6a54f7747828903edfeddc5bb27"/>
  </Part>
</Parts>
</file>

<file path=customXml/itemProps1.xml><?xml version="1.0" encoding="utf-8"?>
<ds:datastoreItem xmlns:ds="http://schemas.openxmlformats.org/officeDocument/2006/customXml" ds:itemID="{18841C38-7C02-40EF-B729-1B1F31037F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e372ef-9bd5-4606-9cd8-1cceb11e07d2"/>
    <ds:schemaRef ds:uri="348a7710-7993-4720-a505-700ae67282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4E5D0F-61C9-4B2B-B418-1AA9AC0B6A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F4B79C-68F7-4031-80C6-FDDEC74D1E0B}">
  <ds:schemaRefs>
    <ds:schemaRef ds:uri="http://schemas.microsoft.com/sharepoint/v3/contenttype/forms"/>
  </ds:schemaRefs>
</ds:datastoreItem>
</file>

<file path=customXml/itemProps4.xml><?xml version="1.0" encoding="utf-8"?>
<ds:datastoreItem xmlns:ds="http://schemas.openxmlformats.org/officeDocument/2006/customXml" ds:itemID="{B061F442-FD2C-4A02-88AB-5A655DF961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2457</Words>
  <Characters>17103</Characters>
  <Application>Microsoft Office Word</Application>
  <DocSecurity>4</DocSecurity>
  <Lines>251</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2022-01-17T14:30:00Z</dcterms:created>
  <dc:creator>Jolanta Meiduvienė</dc:creator>
  <lastModifiedBy>adlibuser</lastModifiedBy>
  <lastPrinted>2021-10-21T14:18:00Z</lastPrinted>
  <dcterms:modified xsi:type="dcterms:W3CDTF">2022-01-17T14:30:00Z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0x01010077A5DF9AFF8C0E4F8F4E9E56EF7DF167</vt:lpwstr>
  </property>
</Properties>
</file>