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99a41071e234b0fb34e8fdb739b355e"/>
        <w:lock w:val="sdtLocked"/>
        <w:richText/>
      </w:sdtPr>
      <w:sdtContent>
        <w:p>
          <w:pPr>
            <w:widowControl w:val="0"/>
            <w:tabs>
              <w:tab w:val="left" w:pos="960"/>
            </w:tabs>
            <w:suppressAutoHyphens/>
            <w:jc w:val="center"/>
            <w:rPr>
              <w:rFonts w:eastAsia="HG Mincho Light J"/>
              <w:b/>
              <w:bCs/>
              <w:color w:val="000000"/>
              <w:kern w:val="1"/>
              <w:szCs w:val="24"/>
              <w:lang w:eastAsia="ar-SA"/>
            </w:rPr>
          </w:pPr>
          <w:r>
            <w:rPr>
              <w:rFonts w:eastAsia="HG Mincho Light J"/>
              <w:b/>
              <w:bCs/>
              <w:color w:val="000000"/>
              <w:kern w:val="1"/>
              <w:szCs w:val="24"/>
              <w:lang w:eastAsia="ar-SA"/>
            </w:rPr>
            <w:t>ŠIAULIŲ MIESTO SAVIVALDYBĖS ADMINISTRACIJOS</w:t>
          </w:r>
        </w:p>
        <w:sdt>
          <w:sdtPr>
            <w:alias w:val="skyrius"/>
            <w:tag w:val="part_0e36ce519b7545b4a25271c29450b111"/>
            <w:lock w:val="sdtLocked"/>
            <w:richText/>
          </w:sdtPr>
          <w:sdtContent>
            <w:p>
              <w:pPr>
                <w:widowControl w:val="0"/>
                <w:suppressAutoHyphens/>
                <w:jc w:val="center"/>
                <w:rPr>
                  <w:rFonts w:eastAsia="HG Mincho Light J"/>
                  <w:b/>
                  <w:bCs/>
                  <w:color w:val="000000"/>
                  <w:kern w:val="1"/>
                  <w:szCs w:val="24"/>
                  <w:lang w:eastAsia="ar-SA"/>
                </w:rPr>
              </w:pPr>
              <w:r>
                <w:rPr>
                  <w:rFonts w:eastAsia="HG Mincho Light J"/>
                  <w:b/>
                  <w:bCs/>
                  <w:color w:val="000000"/>
                  <w:kern w:val="1"/>
                  <w:szCs w:val="24"/>
                  <w:lang w:eastAsia="ar-SA"/>
                </w:rPr>
                <w:t>EKONOMIKOS SKYRIUS</w:t>
              </w:r>
            </w:p>
            <w:p>
              <w:pPr>
                <w:rPr>
                  <w:sz w:val="10"/>
                  <w:szCs w:val="10"/>
                </w:rPr>
              </w:pPr>
            </w:p>
            <w:p>
              <w:pPr>
                <w:widowControl w:val="0"/>
                <w:suppressLineNumbers/>
                <w:tabs>
                  <w:tab w:val="left" w:pos="0"/>
                </w:tabs>
                <w:suppressAutoHyphens/>
                <w:spacing w:line="100" w:lineRule="atLeast"/>
                <w:rPr>
                  <w:rFonts w:eastAsia="HG Mincho Light J"/>
                  <w:color w:val="000000"/>
                  <w:kern w:val="1"/>
                  <w:szCs w:val="24"/>
                  <w:lang w:eastAsia="ar-SA"/>
                </w:rPr>
              </w:pPr>
            </w:p>
            <w:p>
              <w:pPr>
                <w:rPr>
                  <w:sz w:val="10"/>
                  <w:szCs w:val="10"/>
                </w:rPr>
              </w:pPr>
            </w:p>
            <w:sdt>
              <w:sdtPr>
                <w:alias w:val="Pavadinimas"/>
                <w:tag w:val="title_0e36ce519b7545b4a25271c29450b111"/>
                <w:lock w:val="sdtLocked"/>
                <w:richText/>
              </w:sdtPr>
              <w:sdtContent>
                <w:p>
                  <w:pPr>
                    <w:widowControl w:val="0"/>
                    <w:suppressAutoHyphens/>
                    <w:jc w:val="center"/>
                    <w:rPr>
                      <w:rFonts w:eastAsia="HG Mincho Light J" w:cs="Calibri"/>
                      <w:b/>
                      <w:color w:val="000000"/>
                      <w:kern w:val="1"/>
                      <w:lang w:eastAsia="ar-SA"/>
                    </w:rPr>
                  </w:pPr>
                  <w:r>
                    <w:rPr>
                      <w:rFonts w:eastAsia="HG Mincho Light J" w:cs="Calibri"/>
                      <w:b/>
                      <w:color w:val="000000"/>
                      <w:kern w:val="1"/>
                      <w:lang w:eastAsia="ar-SA"/>
                    </w:rPr>
                    <w:t>SPRENDIMO</w:t>
                  </w:r>
                </w:p>
                <w:p>
                  <w:pPr>
                    <w:widowControl w:val="0"/>
                    <w:suppressAutoHyphens/>
                    <w:jc w:val="center"/>
                    <w:rPr>
                      <w:rFonts w:eastAsia="HG Mincho Light J"/>
                      <w:b/>
                      <w:bCs/>
                      <w:color w:val="000000"/>
                      <w:kern w:val="1"/>
                      <w:szCs w:val="24"/>
                      <w:lang w:eastAsia="ar-SA"/>
                    </w:rPr>
                  </w:pPr>
                  <w:r>
                    <w:rPr>
                      <w:rFonts w:eastAsia="HG Mincho Light J" w:cs="Calibri"/>
                      <w:b/>
                      <w:color w:val="000000"/>
                      <w:kern w:val="1"/>
                      <w:lang w:eastAsia="ar-SA"/>
                    </w:rPr>
                    <w:t xml:space="preserve">DĖL PRITARIMO PAKEISTI ŠIAULIŲ MIESTO SAVIVALDYBĖS IR UŽDAROSIOS AKCINĖS BENDROVĖS „VONIN LITHUANIA“ INVESTICIJŲ SUTARTIS </w:t>
                  </w:r>
                  <w:r>
                    <w:rPr>
                      <w:rFonts w:eastAsia="HG Mincho Light J"/>
                      <w:b/>
                      <w:color w:val="000000"/>
                      <w:kern w:val="1"/>
                      <w:szCs w:val="24"/>
                      <w:lang w:eastAsia="ar-SA"/>
                    </w:rPr>
                    <w:t>AIŠKINAMASIS RAŠTAS</w:t>
                  </w:r>
                </w:p>
              </w:sdtContent>
            </w:sdt>
            <w:p>
              <w:pPr>
                <w:widowControl w:val="0"/>
                <w:rPr>
                  <w:rFonts w:eastAsia="Lucida Sans Unicode"/>
                  <w:b/>
                  <w:bCs/>
                  <w:color w:val="00000A"/>
                  <w:kern w:val="1"/>
                  <w:szCs w:val="24"/>
                  <w:lang w:eastAsia="ar-SA"/>
                </w:rPr>
              </w:pPr>
            </w:p>
            <w:p>
              <w:pPr>
                <w:widowControl w:val="0"/>
                <w:jc w:val="center"/>
                <w:rPr>
                  <w:rFonts w:eastAsia="Lucida Sans Unicode"/>
                  <w:kern w:val="1"/>
                  <w:szCs w:val="24"/>
                  <w:lang w:eastAsia="ar-SA"/>
                </w:rPr>
              </w:pPr>
              <w:r>
                <w:rPr>
                  <w:rFonts w:eastAsia="Lucida Sans Unicode"/>
                  <w:kern w:val="1"/>
                  <w:szCs w:val="24"/>
                  <w:lang w:eastAsia="ar-SA"/>
                </w:rPr>
                <w:t xml:space="preserve">2024 m. rugsėjo 11 d. </w:t>
              </w:r>
            </w:p>
            <w:p>
              <w:pPr>
                <w:widowControl w:val="0"/>
                <w:jc w:val="center"/>
                <w:rPr>
                  <w:rFonts w:eastAsia="Lucida Sans Unicode"/>
                  <w:color w:val="00000A"/>
                  <w:kern w:val="1"/>
                  <w:szCs w:val="24"/>
                  <w:lang w:eastAsia="ar-SA"/>
                </w:rPr>
              </w:pPr>
              <w:r>
                <w:rPr>
                  <w:rFonts w:eastAsia="Lucida Sans Unicode"/>
                  <w:color w:val="00000A"/>
                  <w:kern w:val="1"/>
                  <w:szCs w:val="24"/>
                  <w:lang w:eastAsia="ar-SA"/>
                </w:rPr>
                <w:t>Šiauliai</w:t>
              </w:r>
            </w:p>
            <w:p>
              <w:pPr>
                <w:widowControl w:val="0"/>
                <w:jc w:val="center"/>
                <w:rPr>
                  <w:rFonts w:eastAsia="Lucida Sans Unicode"/>
                  <w:color w:val="00000A"/>
                  <w:kern w:val="1"/>
                  <w:szCs w:val="24"/>
                  <w:lang w:eastAsia="ar-SA"/>
                </w:rPr>
              </w:pPr>
            </w:p>
            <w:sdt>
              <w:sdtPr>
                <w:alias w:val="poskyris"/>
                <w:tag w:val="part_bedf0b0524c04931bfa292d8816c07a5"/>
                <w:lock w:val="sdtLocked"/>
                <w:richText/>
              </w:sdtPr>
              <w:sdtContent>
                <w:p>
                  <w:pPr>
                    <w:widowControl w:val="0"/>
                    <w:ind w:firstLine="709"/>
                    <w:jc w:val="both"/>
                    <w:rPr>
                      <w:rFonts w:eastAsia="Lucida Sans Unicode"/>
                      <w:color w:val="00000A"/>
                      <w:kern w:val="1"/>
                      <w:szCs w:val="24"/>
                      <w:lang w:eastAsia="ar-SA"/>
                    </w:rPr>
                  </w:pPr>
                  <w:sdt>
                    <w:sdtPr>
                      <w:alias w:val="Pavadinimas"/>
                      <w:tag w:val="title_bedf0b0524c04931bfa292d8816c07a5"/>
                      <w:lock w:val="sdtLocked"/>
                      <w:richText/>
                    </w:sdtPr>
                    <w:sdtContent>
                      <w:r>
                        <w:rPr>
                          <w:rFonts w:eastAsia="Lucida Sans Unicode"/>
                          <w:b/>
                          <w:color w:val="00000A"/>
                          <w:kern w:val="1"/>
                          <w:szCs w:val="24"/>
                          <w:lang w:eastAsia="ar-SA"/>
                        </w:rPr>
                        <w:t>Parengto sprendimo projekto tikslai ir uždaviniai.</w:t>
                      </w:r>
                    </w:sdtContent>
                  </w:sdt>
                </w:p>
                <w:p>
                  <w:pPr>
                    <w:widowControl w:val="0"/>
                    <w:ind w:firstLine="709"/>
                    <w:jc w:val="both"/>
                    <w:rPr>
                      <w:rFonts w:eastAsia="Lucida Sans Unicode"/>
                      <w:color w:val="00000A"/>
                      <w:kern w:val="1"/>
                      <w:szCs w:val="24"/>
                      <w:lang w:eastAsia="ar-SA"/>
                    </w:rPr>
                  </w:pPr>
                  <w:r>
                    <w:rPr>
                      <w:rFonts w:eastAsia="Lucida Sans Unicode"/>
                      <w:color w:val="00000A"/>
                      <w:kern w:val="1"/>
                      <w:szCs w:val="24"/>
                      <w:lang w:eastAsia="ar-SA"/>
                    </w:rPr>
                    <w:t>Pritarti, kad būtų pasirašytas Šiaulių miesto savivaldybės ir uždarosios akcinės bendrovės „Vonin Lithuania“ papildomas susitarimas prie 2020 m. lapkričio 17 d. investicijų sutarties Nr. SŽ-1427, 2021 m. vasario 17 d. investicijų sutarties Nr. SŽ-191 ir 2021 m. kovo 9 d. investicijų sutarties Nr. SŽ-287 (toliau – Investicijų sutartys).</w:t>
                  </w:r>
                </w:p>
              </w:sdtContent>
            </w:sdt>
            <w:sdt>
              <w:sdtPr>
                <w:alias w:val="poskyris"/>
                <w:tag w:val="part_12b77868afcb4fc082dd4fb4740dcd34"/>
                <w:lock w:val="sdtLocked"/>
                <w:richText/>
              </w:sdtPr>
              <w:sdtContent>
                <w:p>
                  <w:pPr>
                    <w:widowControl w:val="0"/>
                    <w:ind w:firstLine="709"/>
                    <w:jc w:val="both"/>
                    <w:rPr>
                      <w:rFonts w:eastAsia="Lucida Sans Unicode"/>
                      <w:b/>
                      <w:color w:val="00000A"/>
                      <w:kern w:val="1"/>
                      <w:szCs w:val="24"/>
                      <w:lang w:eastAsia="ar-SA"/>
                    </w:rPr>
                  </w:pPr>
                  <w:sdt>
                    <w:sdtPr>
                      <w:alias w:val="Pavadinimas"/>
                      <w:tag w:val="title_12b77868afcb4fc082dd4fb4740dcd34"/>
                      <w:lock w:val="sdtLocked"/>
                      <w:richText/>
                    </w:sdtPr>
                    <w:sdtContent>
                      <w:r>
                        <w:rPr>
                          <w:rFonts w:eastAsia="Lucida Sans Unicode"/>
                          <w:b/>
                          <w:color w:val="00000A"/>
                          <w:kern w:val="1"/>
                          <w:szCs w:val="24"/>
                          <w:lang w:eastAsia="ar-SA"/>
                        </w:rPr>
                        <w:t>Dabartinis sprendimo projekte aptariamų klausimų reguliavimas.</w:t>
                      </w:r>
                    </w:sdtContent>
                  </w:sdt>
                </w:p>
                <w:p>
                  <w:pPr>
                    <w:widowControl w:val="0"/>
                    <w:ind w:firstLine="709"/>
                    <w:jc w:val="both"/>
                    <w:rPr>
                      <w:rFonts w:eastAsia="Lucida Sans Unicode"/>
                      <w:color w:val="00000A"/>
                      <w:kern w:val="1"/>
                      <w:lang w:eastAsia="ar-SA"/>
                    </w:rPr>
                  </w:pPr>
                  <w:r>
                    <w:rPr>
                      <w:rFonts w:eastAsia="Lucida Sans Unicode"/>
                      <w:color w:val="00000A"/>
                      <w:kern w:val="1"/>
                      <w:lang w:eastAsia="ar-SA"/>
                    </w:rPr>
                    <w:t>Vadovaujantis Šiaulių miesto savivaldybės tarybos (toliau – Taryba) 2020 m. lapkričio 5 d. sprendimu Nr. T</w:t>
                    <w:noBreakHyphen/>
                    <w:t>397 „Dėl pritarimo pasirašyti Šiaulių miesto savivaldybės ir uždarosios akcinės bendrovės „Vonin Lithuania“ investicijų sutartį“ 2020 m. lapkričio 17 d. buvo pasirašyta investicijų sutartis Nr. SŽ-1427 dėl žemės sklypo, esančio adresu Pročiūnų g. 3B, Šiauliai (</w:t>
                  </w:r>
                  <w:r>
                    <w:rPr>
                      <w:rFonts w:eastAsia="Lucida Sans Unicode"/>
                      <w:kern w:val="1"/>
                      <w:lang w:eastAsia="ar-SA"/>
                    </w:rPr>
                    <w:t>plotas 1,1990 ha). S</w:t>
                  </w:r>
                  <w:r>
                    <w:rPr>
                      <w:rFonts w:eastAsia="Lucida Sans Unicode"/>
                      <w:kern w:val="1"/>
                      <w:szCs w:val="24"/>
                      <w:lang w:eastAsia="ar-SA"/>
                    </w:rPr>
                    <w:t>klypo patikėjimo teisė priklausė Nacionalinei žemės tarnybai prie Aplinkos ministerijos (toliau – NŽT), dėl šios priežasties, valstybinės žemės nuomos sutartis 2020 m. gruodžio 7 d. pasirašyta su NŽT</w:t>
                  </w:r>
                  <w:r>
                    <w:rPr>
                      <w:rFonts w:eastAsia="Lucida Sans Unicode"/>
                      <w:kern w:val="1"/>
                      <w:lang w:eastAsia="ar-SA"/>
                    </w:rPr>
                    <w:t>.</w:t>
                  </w:r>
                </w:p>
                <w:p>
                  <w:pPr>
                    <w:widowControl w:val="0"/>
                    <w:ind w:firstLine="709"/>
                    <w:jc w:val="both"/>
                    <w:rPr>
                      <w:rFonts w:eastAsia="Lucida Sans Unicode"/>
                      <w:color w:val="00000A"/>
                      <w:kern w:val="1"/>
                      <w:lang w:eastAsia="ar-SA"/>
                    </w:rPr>
                  </w:pPr>
                  <w:r>
                    <w:rPr>
                      <w:rFonts w:eastAsia="Lucida Sans Unicode"/>
                      <w:color w:val="00000A"/>
                      <w:kern w:val="1"/>
                      <w:lang w:eastAsia="ar-SA"/>
                    </w:rPr>
                    <w:t>Vadovaujantis 2021 m. vasario 4 d. Tarybos sprendimu Nr. T-13 „Dėl pritarimo pasirašyti Šiaulių miesto savivaldybės ir uždarosios akcinės bendrovės „Vonin Lithuania“ investicijų sutartį“ 2021 m. vasario 17 d. buvo pasirašyta investicijų sutartis Nr. SŽ-191 dėl žemės sklypo, esančio adresu Pročiūnų g. 3A, Šiauliai (</w:t>
                  </w:r>
                  <w:r>
                    <w:rPr>
                      <w:rFonts w:eastAsia="Lucida Sans Unicode"/>
                      <w:kern w:val="1"/>
                      <w:lang w:eastAsia="ar-SA"/>
                    </w:rPr>
                    <w:t>plotas 0,0651 ha). S</w:t>
                  </w:r>
                  <w:r>
                    <w:rPr>
                      <w:rFonts w:eastAsia="Lucida Sans Unicode"/>
                      <w:kern w:val="1"/>
                      <w:szCs w:val="24"/>
                      <w:lang w:eastAsia="ar-SA"/>
                    </w:rPr>
                    <w:t>klypo patikėjimo teisė priklausė NŽT, dėl šios priežasties, valstybinės žemės nuomos sutartis 2021 m. kovo 9 d. pasirašyta su NŽT</w:t>
                  </w:r>
                  <w:r>
                    <w:rPr>
                      <w:rFonts w:eastAsia="Lucida Sans Unicode"/>
                      <w:kern w:val="1"/>
                      <w:lang w:eastAsia="ar-SA"/>
                    </w:rPr>
                    <w:t>.</w:t>
                  </w:r>
                </w:p>
                <w:p>
                  <w:pPr>
                    <w:widowControl w:val="0"/>
                    <w:ind w:firstLine="709"/>
                    <w:jc w:val="both"/>
                    <w:rPr>
                      <w:rFonts w:eastAsia="Lucida Sans Unicode"/>
                      <w:kern w:val="1"/>
                      <w:lang w:eastAsia="ar-SA"/>
                    </w:rPr>
                  </w:pPr>
                  <w:r>
                    <w:rPr>
                      <w:rFonts w:eastAsia="Lucida Sans Unicode"/>
                      <w:color w:val="00000A"/>
                      <w:kern w:val="1"/>
                      <w:lang w:eastAsia="ar-SA"/>
                    </w:rPr>
                    <w:t xml:space="preserve">Vadovaujantis 2021 m. kovo 4 d. Tarybos sprendimu Nr. T-45 „Dėl pritarimo pasirašyti Šiaulių miesto savivaldybės ir uždarosios akcinės bendrovės „Vonin Lithuania“ investicijų sutartį“ 2021 m. kovo 9 d. buvo pasirašyta  investicijų sutartis Nr. SŽ-287 dėl žemės sklypo, esančio adresu Petro Motiekaičio g. 5, Šiauliai (</w:t>
                  </w:r>
                  <w:r>
                    <w:rPr>
                      <w:rFonts w:eastAsia="Lucida Sans Unicode"/>
                      <w:kern w:val="1"/>
                      <w:lang w:eastAsia="ar-SA"/>
                    </w:rPr>
                    <w:t>plotas 0,1820 ha). S</w:t>
                  </w:r>
                  <w:r>
                    <w:rPr>
                      <w:rFonts w:eastAsia="Lucida Sans Unicode"/>
                      <w:kern w:val="1"/>
                      <w:szCs w:val="24"/>
                      <w:lang w:eastAsia="ar-SA"/>
                    </w:rPr>
                    <w:t>klypo patikėjimo teisė priklauso NŽT, dėl šios priežasties, valstybinės žemės nuomos sutartis 2021 m. kovo 30 d. pasirašyta su NŽT</w:t>
                  </w:r>
                  <w:r>
                    <w:rPr>
                      <w:rFonts w:eastAsia="Lucida Sans Unicode"/>
                      <w:kern w:val="1"/>
                      <w:lang w:eastAsia="ar-SA"/>
                    </w:rPr>
                    <w:t>.</w:t>
                  </w:r>
                </w:p>
                <w:p>
                  <w:pPr>
                    <w:widowControl w:val="0"/>
                    <w:tabs>
                      <w:tab w:val="left" w:pos="709"/>
                    </w:tabs>
                    <w:suppressAutoHyphens/>
                    <w:ind w:firstLine="709"/>
                    <w:jc w:val="both"/>
                    <w:rPr>
                      <w:rFonts w:eastAsia="HG Mincho Light J"/>
                      <w:color w:val="000000"/>
                      <w:kern w:val="1"/>
                      <w:szCs w:val="24"/>
                      <w:lang w:eastAsia="ar-SA"/>
                    </w:rPr>
                  </w:pPr>
                  <w:r>
                    <w:rPr>
                      <w:rFonts w:ascii="Thorndale" w:eastAsia="HG Mincho Light J" w:hAnsi="Thorndale" w:cs="Calibri"/>
                      <w:kern w:val="1"/>
                      <w:lang w:eastAsia="ar-SA"/>
                    </w:rPr>
                    <w:t>Vadovaujantis 2022 m. lapkričio 3 d. Tarybos sprendimu Nr. T-386, 2022 m. lapkričio 7 d. buvo pasirašytas papildomas susitarimas Nr. SŽ-1678</w:t>
                  </w:r>
                  <w:r>
                    <w:rPr>
                      <w:rFonts w:eastAsia="HG Mincho Light J"/>
                      <w:color w:val="000000"/>
                      <w:kern w:val="1"/>
                      <w:szCs w:val="24"/>
                      <w:lang w:eastAsia="ar-SA"/>
                    </w:rPr>
                    <w:t xml:space="preserve">, kuriuo pakeičiami Investicijų sutartyse nurodyti sklypų adresai ir plotai, nes </w:t>
                  </w:r>
                  <w:r>
                    <w:rPr>
                      <w:rFonts w:ascii="Thorndale" w:eastAsia="HG Mincho Light J" w:hAnsi="Thorndale" w:cs="Calibri"/>
                      <w:color w:val="000000"/>
                      <w:kern w:val="1"/>
                      <w:lang w:eastAsia="ar-SA"/>
                    </w:rPr>
                    <w:t>atlikus Industrinio parko Šiauliuose detaliojo plano koregavimą, 4</w:t>
                  </w:r>
                  <w:r>
                    <w:rPr>
                      <w:rFonts w:ascii="Thorndale" w:eastAsia="HG Mincho Light J" w:hAnsi="Thorndale" w:cs="Calibri"/>
                      <w:kern w:val="1"/>
                      <w:lang w:eastAsia="ar-SA"/>
                    </w:rPr>
                    <w:t xml:space="preserve"> sklypai (Pročiūnų g. 3A, Pročiūnų g. 3B, Petro Motiekaičio g. 5, Felikso Vaitkaus g. 15) buvo sujungti į vieną sklypą suteikiant jiems bendrą adresą Felikso Vaitkaus g. 15, Šiauliai (jame UAB „Vonin Lithuania“ jau vykdo veiklą). Sklypų sujungimas buvo reikalingas planuojamai esamo gamybinio pastato plėtrai. Taryba taip pat pritarė, </w:t>
                  </w:r>
                  <w:r>
                    <w:rPr>
                      <w:rFonts w:eastAsia="HG Mincho Light J"/>
                      <w:color w:val="000000"/>
                      <w:kern w:val="1"/>
                      <w:szCs w:val="24"/>
                      <w:lang w:eastAsia="ar-SA"/>
                    </w:rPr>
                    <w:t>kad Investicijų sutarčių įgyvendinimo terminai (nurodyti 8.3., 8.4. ir 8.6 papunkčiuose) būtų pradėti skaičiuoti nuo 2022 m. rugpjūčio 29 d., kai bendras sujungtas sklypas buvo įregistruotas VĮ Registrų centras.</w:t>
                  </w:r>
                </w:p>
                <w:p>
                  <w:pPr>
                    <w:widowControl w:val="0"/>
                    <w:tabs>
                      <w:tab w:val="left" w:pos="709"/>
                    </w:tabs>
                    <w:suppressAutoHyphens/>
                    <w:ind w:firstLine="709"/>
                    <w:jc w:val="both"/>
                    <w:rPr>
                      <w:rFonts w:eastAsia="HG Mincho Light J"/>
                      <w:color w:val="000000"/>
                      <w:kern w:val="1"/>
                      <w:szCs w:val="24"/>
                      <w:lang w:eastAsia="ar-SA"/>
                    </w:rPr>
                  </w:pPr>
                  <w:r>
                    <w:rPr>
                      <w:rFonts w:eastAsia="HG Mincho Light J"/>
                      <w:color w:val="000000"/>
                      <w:kern w:val="1"/>
                      <w:szCs w:val="24"/>
                      <w:lang w:eastAsia="ar-SA"/>
                    </w:rPr>
                    <w:t>Vadovaujantis 2023 m. rugsėjo 7 d. Tarybos sprendimu Nr. T-354, 2023 m. rugsėjo 12 d. buvo pasirašytas papildomas susitarimas Nr. SŽ-1506, kuriuo Investicijų sutarčių 8.3, 8.4 ir 8.6 papunkčiuose numatytų įsipareigojimų įgyvendinimo terminas buvo pratęstas 12 mėn.</w:t>
                  </w:r>
                </w:p>
              </w:sdtContent>
            </w:sdt>
            <w:sdt>
              <w:sdtPr>
                <w:alias w:val="poskyris"/>
                <w:tag w:val="part_37ec7042bec142d295297ef0588c0361"/>
                <w:lock w:val="sdtLocked"/>
                <w:richText/>
              </w:sdtPr>
              <w:sdtContent>
                <w:p>
                  <w:pPr>
                    <w:widowControl w:val="0"/>
                    <w:tabs>
                      <w:tab w:val="left" w:pos="709"/>
                    </w:tabs>
                    <w:suppressAutoHyphens/>
                    <w:ind w:firstLine="709"/>
                    <w:jc w:val="both"/>
                    <w:rPr>
                      <w:rFonts w:eastAsia="HG Mincho Light J"/>
                      <w:b/>
                      <w:bCs/>
                      <w:color w:val="000000"/>
                      <w:kern w:val="1"/>
                      <w:szCs w:val="24"/>
                      <w:lang w:eastAsia="ar-SA"/>
                    </w:rPr>
                  </w:pPr>
                  <w:sdt>
                    <w:sdtPr>
                      <w:alias w:val="Pavadinimas"/>
                      <w:tag w:val="title_37ec7042bec142d295297ef0588c0361"/>
                      <w:lock w:val="sdtLocked"/>
                      <w:richText/>
                    </w:sdtPr>
                    <w:sdtContent>
                      <w:r>
                        <w:rPr>
                          <w:rFonts w:ascii="Thorndale" w:eastAsia="HG Mincho Light J" w:hAnsi="Thorndale" w:cs="Calibri"/>
                          <w:b/>
                          <w:bCs/>
                          <w:color w:val="000000"/>
                          <w:kern w:val="1"/>
                          <w:lang w:eastAsia="ar-SA"/>
                        </w:rPr>
                        <w:t>Sprendimo projekte numatytos naujos teisinio reglamentavimo nuostatos.</w:t>
                      </w:r>
                    </w:sdtContent>
                  </w:sdt>
                </w:p>
                <w:p>
                  <w:pPr>
                    <w:widowControl w:val="0"/>
                    <w:tabs>
                      <w:tab w:val="left" w:pos="709"/>
                    </w:tabs>
                    <w:suppressAutoHyphens/>
                    <w:ind w:firstLine="709"/>
                    <w:jc w:val="both"/>
                    <w:rPr>
                      <w:rFonts w:eastAsia="HG Mincho Light J"/>
                      <w:color w:val="000000"/>
                      <w:kern w:val="1"/>
                      <w:szCs w:val="24"/>
                      <w:lang w:eastAsia="ar-SA"/>
                    </w:rPr>
                  </w:pPr>
                  <w:r>
                    <w:rPr>
                      <w:rFonts w:eastAsia="HG Mincho Light J"/>
                      <w:color w:val="000000"/>
                      <w:kern w:val="1"/>
                      <w:szCs w:val="24"/>
                      <w:lang w:eastAsia="ar-SA"/>
                    </w:rPr>
                    <w:t xml:space="preserve">Pagal 2023 m. rugsėjo 12 d. pasirašytą papildomą susitarimą Nr. SŽ-1506, UAB „Vonin Lithuania“ iki 2024 m. rugpjūčio 29 d. turėjo gauti statybą leidžiantį dokumentą ir pradėti Investicijų sutartyse numatytų darbų vykdymą. </w:t>
                  </w:r>
                </w:p>
                <w:p>
                  <w:pPr>
                    <w:widowControl w:val="0"/>
                    <w:tabs>
                      <w:tab w:val="left" w:pos="709"/>
                    </w:tabs>
                    <w:suppressAutoHyphens/>
                    <w:ind w:firstLine="709"/>
                    <w:jc w:val="both"/>
                    <w:rPr>
                      <w:rFonts w:eastAsia="HG Mincho Light J"/>
                      <w:color w:val="000000"/>
                      <w:kern w:val="1"/>
                      <w:szCs w:val="24"/>
                      <w:lang w:eastAsia="ar-SA"/>
                    </w:rPr>
                  </w:pPr>
                  <w:r>
                    <w:rPr>
                      <w:rFonts w:eastAsia="HG Mincho Light J"/>
                      <w:color w:val="000000"/>
                      <w:kern w:val="1"/>
                      <w:szCs w:val="24"/>
                      <w:lang w:eastAsia="ar-SA"/>
                    </w:rPr>
                    <w:t xml:space="preserve">2024 m. rugpjūčio 27 d. buvo gautas UAB „Vonin Lithuania“ prašymas Nr. G-6562 (registracija DVS „Avilys“), kuriame prašoma Investicijų sutarčių 8.3, 8.4 ir 8.6 papunkčiuose numatytus įsipareigojimų įgyvendinimo terminus pratęsti 12 mėn. Prašyme nurodoma, kad dėl Investuotojo įmonių grupės padidėjimo (Hampidjan grupei, kuriai priklauso Vonin grupė, įsigijus konkuruojančią Norvegijos įmonių grupę Morenot) prireikė daugiau laiko nei planuota išanalizuoti kiek, pasikeitus aplinkybėms, artimiausiu metu reikės papildomai gamybinio, sandėliavimo bei buitinių patalpų ploto. Bendrovės valdyba nusprendė pirmame etape pradėti projektuoti esamo pastato išplėtimą 22 metrų pločio priestatu. Šiuo metu Investuotojas jau formuoja projektavimo užduotį, reikalingą projektavimo darbų sutarties su UAB „Projektavimo centras” pasirašymui, siekiant gauti statybą leidžiantį dokumentą. </w:t>
                  </w:r>
                </w:p>
                <w:p>
                  <w:pPr>
                    <w:widowControl w:val="0"/>
                    <w:tabs>
                      <w:tab w:val="left" w:pos="709"/>
                    </w:tabs>
                    <w:suppressAutoHyphens/>
                    <w:ind w:firstLine="709"/>
                    <w:jc w:val="both"/>
                    <w:rPr>
                      <w:rFonts w:eastAsia="HG Mincho Light J"/>
                      <w:color w:val="000000"/>
                      <w:kern w:val="1"/>
                      <w:szCs w:val="24"/>
                      <w:lang w:eastAsia="ar-SA"/>
                    </w:rPr>
                  </w:pPr>
                  <w:r>
                    <w:rPr>
                      <w:rFonts w:eastAsia="HG Mincho Light J"/>
                      <w:color w:val="000000"/>
                      <w:kern w:val="1"/>
                      <w:szCs w:val="24"/>
                      <w:lang w:eastAsia="ar-SA"/>
                    </w:rPr>
                    <w:t>Investuotojas į sklypo paruošimo būsimai plėtrai darbus jau yra investavęs 29 686,36 Eur (aptverta teritorija, dalis sklypo paruošta sandėliavimui). Taip pat, kol nepradėti statybos darbai, yra sudaryta galimybė Šiaulių regbio ir žolės riedulio akademijai neatlygintinai naudotis stadionu. Stadione vyksta treniruotės ir varžybos.</w:t>
                  </w:r>
                </w:p>
                <w:p>
                  <w:pPr>
                    <w:widowControl w:val="0"/>
                    <w:tabs>
                      <w:tab w:val="left" w:pos="709"/>
                    </w:tabs>
                    <w:suppressAutoHyphens/>
                    <w:ind w:firstLine="709"/>
                    <w:jc w:val="both"/>
                    <w:rPr>
                      <w:rFonts w:eastAsia="HG Mincho Light J"/>
                      <w:color w:val="000000"/>
                      <w:kern w:val="1"/>
                      <w:szCs w:val="24"/>
                      <w:lang w:eastAsia="ar-SA"/>
                    </w:rPr>
                  </w:pPr>
                  <w:r>
                    <w:rPr>
                      <w:rFonts w:eastAsia="HG Mincho Light J"/>
                      <w:color w:val="000000"/>
                      <w:kern w:val="1"/>
                      <w:szCs w:val="24"/>
                      <w:lang w:eastAsia="ar-SA"/>
                    </w:rPr>
                    <w:t xml:space="preserve">Vis didėjanti žuvies auginimo rinka didina ir specialios žuvų auginimo įrangos paklausą, kurios gamybą ir planuoja didinti Investuotojas. Šiuo metu Investuotojas prekes eksportuoja į Farerų salas, Škotiją, Kanadą, Islandiją ir kt. šalis. Pagal pasirašytas Investicijų sutartis, Investuotojas įsipareigojo investuoti ne mažiau kaip 870 000,00 Eur, tačiau generalinė direktorė preliminariai paskaičiavo, kad įmonės investicijos į priestato statybą pirmame etape gali siekti apie 2 mln. Eur. Investuotojas Šiaulių pramoniniame parke jau yra investavęs apie 6 mln. Eur. </w:t>
                  </w:r>
                </w:p>
                <w:p>
                  <w:pPr>
                    <w:widowControl w:val="0"/>
                    <w:tabs>
                      <w:tab w:val="left" w:pos="709"/>
                    </w:tabs>
                    <w:suppressAutoHyphens/>
                    <w:ind w:firstLine="709"/>
                    <w:jc w:val="both"/>
                    <w:rPr>
                      <w:rFonts w:eastAsia="HG Mincho Light J"/>
                      <w:kern w:val="1"/>
                      <w:szCs w:val="24"/>
                      <w:lang w:eastAsia="ar-SA"/>
                    </w:rPr>
                  </w:pPr>
                  <w:r>
                    <w:rPr>
                      <w:rFonts w:ascii="Thorndale" w:eastAsia="HG Mincho Light J" w:hAnsi="Thorndale" w:cs="Calibri"/>
                      <w:color w:val="000000"/>
                      <w:kern w:val="1"/>
                      <w:lang w:eastAsia="ar-SA"/>
                    </w:rPr>
                    <w:t xml:space="preserve">Atsižvelgiant į aukščiau išdėstytus argumentus, Investuotojų atrankos ir valstybinės žemės sklypų nuomos ne aukciono būdu Šiaulių pramoniniame parke vertinimo darbo grupė siūlo pritarti Investicijų sutarčių įvykdymo terminų pratęsimui 12 mėn. </w:t>
                  </w:r>
                  <w:r>
                    <w:rPr>
                      <w:rFonts w:ascii="Thorndale" w:eastAsia="HG Mincho Light J" w:hAnsi="Thorndale" w:cs="Calibri"/>
                      <w:kern w:val="1"/>
                      <w:lang w:eastAsia="ar-SA"/>
                    </w:rPr>
                    <w:t>(2024-09-11 protokolas Nr. VM-78, registracija DVS „Avilys“).</w:t>
                  </w:r>
                  <w:r>
                    <w:rPr>
                      <w:rFonts w:eastAsia="HG Mincho Light J"/>
                      <w:kern w:val="1"/>
                      <w:szCs w:val="24"/>
                      <w:lang w:eastAsia="ar-SA"/>
                    </w:rPr>
                    <w:tab/>
                  </w:r>
                </w:p>
              </w:sdtContent>
            </w:sdt>
            <w:sdt>
              <w:sdtPr>
                <w:alias w:val="poskyris"/>
                <w:tag w:val="part_e7dcd904dd7845ed9696411bce624e58"/>
                <w:lock w:val="sdtLocked"/>
                <w:richText/>
              </w:sdtPr>
              <w:sdtContent>
                <w:p>
                  <w:pPr>
                    <w:tabs>
                      <w:tab w:val="left" w:pos="709"/>
                      <w:tab w:val="left" w:pos="1134"/>
                    </w:tabs>
                    <w:suppressAutoHyphens/>
                    <w:ind w:firstLine="709"/>
                    <w:jc w:val="both"/>
                    <w:rPr>
                      <w:rFonts w:eastAsia="HG Mincho Light J"/>
                      <w:color w:val="000000"/>
                      <w:kern w:val="1"/>
                      <w:szCs w:val="24"/>
                      <w:lang w:eastAsia="ar-SA"/>
                    </w:rPr>
                  </w:pPr>
                  <w:sdt>
                    <w:sdtPr>
                      <w:alias w:val="Pavadinimas"/>
                      <w:tag w:val="title_e7dcd904dd7845ed9696411bce624e58"/>
                      <w:lock w:val="sdtLocked"/>
                      <w:richText/>
                    </w:sdtPr>
                    <w:sdtContent>
                      <w:r>
                        <w:rPr>
                          <w:rFonts w:eastAsia="HG Mincho Light J"/>
                          <w:b/>
                          <w:bCs/>
                          <w:kern w:val="1"/>
                          <w:szCs w:val="24"/>
                          <w:lang w:eastAsia="ar-SA"/>
                        </w:rPr>
                        <w:t>Priėmus sprendimą, galimos pasekmės (teigiamos, neigiamos</w:t>
                      </w:r>
                      <w:r>
                        <w:rPr>
                          <w:rFonts w:eastAsia="HG Mincho Light J"/>
                          <w:b/>
                          <w:bCs/>
                          <w:color w:val="000000"/>
                          <w:kern w:val="1"/>
                          <w:szCs w:val="24"/>
                          <w:lang w:eastAsia="ar-SA"/>
                        </w:rPr>
                        <w:t>).</w:t>
                      </w:r>
                      <w:r>
                        <w:rPr>
                          <w:rFonts w:eastAsia="HG Mincho Light J"/>
                          <w:color w:val="000000"/>
                          <w:kern w:val="1"/>
                          <w:szCs w:val="24"/>
                          <w:lang w:eastAsia="ar-SA"/>
                        </w:rPr>
                        <w:t xml:space="preserve"> </w:t>
                      </w:r>
                    </w:sdtContent>
                  </w:sdt>
                </w:p>
                <w:p>
                  <w:pPr>
                    <w:suppressAutoHyphens/>
                    <w:ind w:firstLine="709"/>
                    <w:jc w:val="both"/>
                    <w:rPr>
                      <w:szCs w:val="24"/>
                      <w:shd w:val="clear" w:color="auto" w:fill="FFFFFF"/>
                      <w:lang w:eastAsia="ar-SA"/>
                    </w:rPr>
                  </w:pPr>
                  <w:r>
                    <w:rPr>
                      <w:szCs w:val="24"/>
                      <w:lang w:eastAsia="ar-SA"/>
                    </w:rPr>
                    <w:t xml:space="preserve">Teigiamos pasekmės: priėmus sprendimą UAB „Vonin Lithuania“ galės toliau </w:t>
                  </w:r>
                  <w:r>
                    <w:rPr>
                      <w:szCs w:val="24"/>
                      <w:shd w:val="clear" w:color="auto" w:fill="FFFFFF"/>
                      <w:lang w:eastAsia="ar-SA"/>
                    </w:rPr>
                    <w:t xml:space="preserve">vykdyti plėtrą, investuoti, kurti naujas darbo vietas, plėsti gamybos ir eksporto apimtis. </w:t>
                  </w:r>
                </w:p>
                <w:p>
                  <w:pPr>
                    <w:tabs>
                      <w:tab w:val="left" w:pos="709"/>
                      <w:tab w:val="left" w:pos="1134"/>
                    </w:tabs>
                    <w:suppressAutoHyphens/>
                    <w:ind w:firstLine="709"/>
                    <w:jc w:val="both"/>
                    <w:rPr>
                      <w:rFonts w:ascii="Thorndale" w:eastAsia="HG Mincho Light J" w:hAnsi="Thorndale" w:cs="Calibri"/>
                      <w:color w:val="000000"/>
                      <w:kern w:val="1"/>
                      <w:lang w:eastAsia="ar-SA"/>
                    </w:rPr>
                  </w:pPr>
                  <w:r>
                    <w:rPr>
                      <w:rFonts w:ascii="Thorndale" w:eastAsia="HG Mincho Light J" w:hAnsi="Thorndale" w:cs="Calibri"/>
                      <w:color w:val="000000"/>
                      <w:kern w:val="1"/>
                      <w:lang w:eastAsia="ar-SA"/>
                    </w:rPr>
                    <w:t xml:space="preserve">Neigiamų pasekmių nenumatyta. </w:t>
                  </w:r>
                </w:p>
                <w:p>
                  <w:pPr>
                    <w:tabs>
                      <w:tab w:val="left" w:pos="709"/>
                      <w:tab w:val="left" w:pos="1134"/>
                    </w:tabs>
                    <w:suppressAutoHyphens/>
                    <w:ind w:firstLine="709"/>
                    <w:jc w:val="both"/>
                    <w:rPr>
                      <w:rFonts w:ascii="Thorndale" w:eastAsia="HG Mincho Light J" w:hAnsi="Thorndale" w:cs="Calibri"/>
                      <w:color w:val="000000"/>
                      <w:kern w:val="1"/>
                      <w:lang w:eastAsia="ar-SA"/>
                    </w:rPr>
                  </w:pPr>
                  <w:r>
                    <w:rPr>
                      <w:rFonts w:ascii="Thorndale" w:eastAsia="HG Mincho Light J" w:hAnsi="Thorndale" w:cs="Calibri"/>
                      <w:b/>
                      <w:bCs/>
                      <w:color w:val="000000"/>
                      <w:kern w:val="1"/>
                      <w:lang w:eastAsia="ar-SA"/>
                    </w:rPr>
                    <w:t>Priėmus sprendimą, keičiami ar panaikinami galiojantys Savivaldybės teisės aktai.</w:t>
                  </w:r>
                  <w:r>
                    <w:rPr>
                      <w:rFonts w:ascii="Thorndale" w:eastAsia="HG Mincho Light J" w:hAnsi="Thorndale" w:cs="Calibri"/>
                      <w:color w:val="000000"/>
                      <w:kern w:val="1"/>
                      <w:lang w:eastAsia="ar-SA"/>
                    </w:rPr>
                    <w:t xml:space="preserve"> Nėra. </w:t>
                  </w:r>
                </w:p>
                <w:p>
                  <w:pPr>
                    <w:tabs>
                      <w:tab w:val="left" w:pos="709"/>
                      <w:tab w:val="left" w:pos="1134"/>
                    </w:tabs>
                    <w:suppressAutoHyphens/>
                    <w:ind w:left="709"/>
                    <w:jc w:val="both"/>
                    <w:rPr>
                      <w:rFonts w:ascii="Thorndale" w:eastAsia="HG Mincho Light J" w:hAnsi="Thorndale" w:cs="Calibri"/>
                      <w:color w:val="000000"/>
                      <w:kern w:val="1"/>
                      <w:lang w:eastAsia="ar-SA"/>
                    </w:rPr>
                  </w:pPr>
                  <w:r>
                    <w:rPr>
                      <w:rFonts w:ascii="Thorndale" w:eastAsia="HG Mincho Light J" w:hAnsi="Thorndale" w:cs="Calibri"/>
                      <w:b/>
                      <w:bCs/>
                      <w:color w:val="000000"/>
                      <w:kern w:val="1"/>
                      <w:lang w:eastAsia="ar-SA"/>
                    </w:rPr>
                    <w:t>Sprendimui įgyvendinti reikalingi priimti papildomi teisės aktai.</w:t>
                  </w:r>
                  <w:r>
                    <w:rPr>
                      <w:rFonts w:ascii="Thorndale" w:eastAsia="HG Mincho Light J" w:hAnsi="Thorndale" w:cs="Calibri"/>
                      <w:color w:val="000000"/>
                      <w:kern w:val="1"/>
                      <w:lang w:eastAsia="ar-SA"/>
                    </w:rPr>
                    <w:t xml:space="preserve"> Nėra. </w:t>
                  </w:r>
                </w:p>
                <w:p>
                  <w:pPr>
                    <w:tabs>
                      <w:tab w:val="left" w:pos="709"/>
                      <w:tab w:val="left" w:pos="1134"/>
                    </w:tabs>
                    <w:suppressAutoHyphens/>
                    <w:ind w:left="709"/>
                    <w:jc w:val="both"/>
                    <w:rPr>
                      <w:rFonts w:ascii="Thorndale" w:eastAsia="HG Mincho Light J" w:hAnsi="Thorndale" w:cs="Calibri"/>
                      <w:color w:val="000000"/>
                      <w:kern w:val="1"/>
                      <w:lang w:eastAsia="ar-SA"/>
                    </w:rPr>
                  </w:pPr>
                  <w:r>
                    <w:rPr>
                      <w:rFonts w:ascii="Thorndale" w:eastAsia="HG Mincho Light J" w:hAnsi="Thorndale" w:cs="Calibri"/>
                      <w:b/>
                      <w:bCs/>
                      <w:color w:val="000000"/>
                      <w:kern w:val="1"/>
                      <w:lang w:eastAsia="ar-SA"/>
                    </w:rPr>
                    <w:t>Sprendimui įgyvendinti reikalingos lėšos.</w:t>
                  </w:r>
                  <w:r>
                    <w:rPr>
                      <w:rFonts w:ascii="Thorndale" w:eastAsia="HG Mincho Light J" w:hAnsi="Thorndale" w:cs="Calibri"/>
                      <w:color w:val="000000"/>
                      <w:kern w:val="1"/>
                      <w:lang w:eastAsia="ar-SA"/>
                    </w:rPr>
                    <w:t xml:space="preserve"> Nėra. </w:t>
                  </w:r>
                </w:p>
                <w:p>
                  <w:pPr>
                    <w:tabs>
                      <w:tab w:val="left" w:pos="709"/>
                      <w:tab w:val="left" w:pos="1134"/>
                    </w:tabs>
                    <w:suppressAutoHyphens/>
                    <w:ind w:left="709"/>
                    <w:jc w:val="both"/>
                    <w:rPr>
                      <w:rFonts w:ascii="Thorndale" w:eastAsia="HG Mincho Light J" w:hAnsi="Thorndale" w:cs="Calibri"/>
                      <w:color w:val="000000"/>
                      <w:kern w:val="1"/>
                      <w:lang w:eastAsia="ar-SA"/>
                    </w:rPr>
                  </w:pPr>
                  <w:r>
                    <w:rPr>
                      <w:rFonts w:ascii="Thorndale" w:eastAsia="HG Mincho Light J" w:hAnsi="Thorndale" w:cs="Calibri"/>
                      <w:b/>
                      <w:bCs/>
                      <w:color w:val="000000"/>
                      <w:kern w:val="1"/>
                      <w:lang w:eastAsia="ar-SA"/>
                    </w:rPr>
                    <w:t>Sprendimo projekto antikorupcinis vertinimas</w:t>
                  </w:r>
                  <w:r>
                    <w:rPr>
                      <w:rFonts w:ascii="Thorndale" w:eastAsia="HG Mincho Light J" w:hAnsi="Thorndale" w:cs="Calibri"/>
                      <w:color w:val="000000"/>
                      <w:kern w:val="1"/>
                      <w:lang w:eastAsia="ar-SA"/>
                    </w:rPr>
                    <w:t xml:space="preserve">. Neatliekamas. </w:t>
                  </w:r>
                </w:p>
              </w:sdtContent>
            </w:sdt>
            <w:sdt>
              <w:sdtPr>
                <w:alias w:val="poskyris"/>
                <w:tag w:val="part_50988e5df4fd4725ad7aeb3a0382822f"/>
                <w:lock w:val="sdtLocked"/>
                <w:richText/>
              </w:sdtPr>
              <w:sdtContent>
                <w:p>
                  <w:pPr>
                    <w:tabs>
                      <w:tab w:val="left" w:pos="709"/>
                      <w:tab w:val="left" w:pos="1134"/>
                    </w:tabs>
                    <w:suppressAutoHyphens/>
                    <w:ind w:left="709"/>
                    <w:jc w:val="both"/>
                    <w:rPr>
                      <w:rFonts w:ascii="Thorndale" w:eastAsia="HG Mincho Light J" w:hAnsi="Thorndale" w:cs="Calibri"/>
                      <w:b/>
                      <w:bCs/>
                      <w:color w:val="000000"/>
                      <w:kern w:val="1"/>
                      <w:lang w:eastAsia="ar-SA"/>
                    </w:rPr>
                  </w:pPr>
                  <w:sdt>
                    <w:sdtPr>
                      <w:alias w:val="Pavadinimas"/>
                      <w:tag w:val="title_50988e5df4fd4725ad7aeb3a0382822f"/>
                      <w:lock w:val="sdtLocked"/>
                      <w:richText/>
                    </w:sdtPr>
                    <w:sdtContent>
                      <w:r>
                        <w:rPr>
                          <w:rFonts w:ascii="Thorndale" w:eastAsia="HG Mincho Light J" w:hAnsi="Thorndale" w:cs="Calibri"/>
                          <w:b/>
                          <w:bCs/>
                          <w:color w:val="000000"/>
                          <w:kern w:val="1"/>
                          <w:lang w:eastAsia="ar-SA"/>
                        </w:rPr>
                        <w:t xml:space="preserve">Sprendimo projektą parengė: </w:t>
                      </w:r>
                    </w:sdtContent>
                  </w:sdt>
                </w:p>
                <w:p>
                  <w:pPr>
                    <w:tabs>
                      <w:tab w:val="left" w:pos="709"/>
                    </w:tabs>
                    <w:suppressAutoHyphens/>
                    <w:ind w:firstLine="709"/>
                    <w:jc w:val="both"/>
                    <w:rPr>
                      <w:rFonts w:ascii="Thorndale" w:eastAsia="HG Mincho Light J" w:hAnsi="Thorndale" w:cs="Calibri"/>
                      <w:color w:val="000000"/>
                      <w:kern w:val="1"/>
                      <w:lang w:eastAsia="ar-SA"/>
                    </w:rPr>
                  </w:pPr>
                  <w:r>
                    <w:rPr>
                      <w:rFonts w:ascii="Thorndale" w:eastAsia="HG Mincho Light J" w:hAnsi="Thorndale" w:cs="Calibri"/>
                      <w:color w:val="000000"/>
                      <w:kern w:val="1"/>
                      <w:lang w:eastAsia="ar-SA"/>
                    </w:rPr>
                    <w:t>Šiaulių miesto savivaldybės administracijos Ekonomikos skyrius, Skyriaus vedėja – Aistė Petkuvienė. Tiesioginė rengėja – Ekonomikos skyriaus vyr. specialistė Ilona Ringytė</w:t>
                    <w:noBreakHyphen/>
                    <w:t>Gedvilė, tel. +370 600 96050. Projekto iniciatoriai: Ekonomikos ir investicijų skyrius.</w:t>
                  </w:r>
                </w:p>
                <w:p>
                  <w:pPr>
                    <w:tabs>
                      <w:tab w:val="left" w:pos="709"/>
                    </w:tabs>
                    <w:suppressAutoHyphens/>
                    <w:jc w:val="both"/>
                    <w:rPr>
                      <w:rFonts w:ascii="Thorndale" w:eastAsia="HG Mincho Light J" w:hAnsi="Thorndale" w:cs="Calibri"/>
                      <w:color w:val="000000"/>
                      <w:kern w:val="1"/>
                      <w:lang w:eastAsia="ar-SA"/>
                    </w:rPr>
                  </w:pPr>
                </w:p>
                <w:p>
                  <w:pPr>
                    <w:tabs>
                      <w:tab w:val="left" w:pos="709"/>
                      <w:tab w:val="left" w:pos="1134"/>
                    </w:tabs>
                    <w:suppressAutoHyphens/>
                    <w:ind w:left="567"/>
                    <w:jc w:val="both"/>
                    <w:rPr>
                      <w:rFonts w:ascii="Thorndale" w:eastAsia="HG Mincho Light J" w:hAnsi="Thorndale" w:cs="Calibri"/>
                      <w:color w:val="000000"/>
                      <w:kern w:val="1"/>
                      <w:lang w:eastAsia="ar-SA"/>
                    </w:rPr>
                  </w:pPr>
                </w:p>
                <w:p>
                  <w:pPr>
                    <w:tabs>
                      <w:tab w:val="left" w:pos="709"/>
                      <w:tab w:val="left" w:pos="1134"/>
                    </w:tabs>
                    <w:suppressAutoHyphens/>
                    <w:jc w:val="both"/>
                    <w:rPr>
                      <w:rFonts w:ascii="Thorndale" w:eastAsia="HG Mincho Light J" w:hAnsi="Thorndale" w:cs="Calibri"/>
                      <w:color w:val="000000"/>
                      <w:kern w:val="1"/>
                      <w:lang w:eastAsia="ar-SA"/>
                    </w:rPr>
                  </w:pPr>
                </w:p>
                <w:p>
                  <w:pPr>
                    <w:tabs>
                      <w:tab w:val="left" w:pos="709"/>
                      <w:tab w:val="left" w:pos="1134"/>
                    </w:tabs>
                    <w:suppressAutoHyphens/>
                    <w:ind w:left="567"/>
                    <w:jc w:val="both"/>
                    <w:rPr>
                      <w:rFonts w:ascii="Thorndale" w:eastAsia="HG Mincho Light J" w:hAnsi="Thorndale" w:cs="Calibri"/>
                      <w:color w:val="000000"/>
                      <w:kern w:val="1"/>
                      <w:lang w:eastAsia="ar-SA"/>
                    </w:rPr>
                  </w:pPr>
                </w:p>
                <w:p>
                  <w:pPr>
                    <w:tabs>
                      <w:tab w:val="left" w:pos="709"/>
                      <w:tab w:val="left" w:pos="1134"/>
                    </w:tabs>
                    <w:suppressAutoHyphens/>
                    <w:ind w:left="567"/>
                    <w:jc w:val="both"/>
                    <w:rPr>
                      <w:rFonts w:ascii="Thorndale" w:eastAsia="HG Mincho Light J" w:hAnsi="Thorndale" w:cs="Calibri"/>
                      <w:color w:val="000000"/>
                      <w:kern w:val="1"/>
                      <w:lang w:eastAsia="ar-SA"/>
                    </w:rPr>
                  </w:pPr>
                </w:p>
              </w:sdtContent>
            </w:sdt>
          </w:sdtContent>
        </w:sdt>
        <w:sdt>
          <w:sdtPr>
            <w:alias w:val="signatura"/>
            <w:tag w:val="part_7cfc5076324248d88c426f112f7b34e1"/>
            <w:lock w:val="sdtLocked"/>
            <w:richText/>
          </w:sdtPr>
          <w:sdtContent>
            <w:p>
              <w:pPr>
                <w:tabs>
                  <w:tab w:val="left" w:pos="709"/>
                  <w:tab w:val="left" w:pos="1134"/>
                </w:tabs>
                <w:suppressAutoHyphens/>
                <w:jc w:val="both"/>
                <w:rPr>
                  <w:rFonts w:eastAsia="HG Mincho Light J"/>
                  <w:kern w:val="1"/>
                  <w:szCs w:val="24"/>
                  <w:lang w:eastAsia="ar-SA"/>
                </w:rPr>
              </w:pPr>
              <w:r>
                <w:rPr>
                  <w:rFonts w:ascii="Thorndale" w:eastAsia="HG Mincho Light J" w:hAnsi="Thorndale" w:cs="Calibri"/>
                  <w:color w:val="000000"/>
                  <w:kern w:val="1"/>
                  <w:lang w:eastAsia="ar-SA"/>
                </w:rPr>
                <w:t xml:space="preserve">Skyriaus vedėja </w:t>
                <w:tab/>
                <w:tab/>
                <w:tab/>
                <w:tab/>
                <w:tab/>
                <w:t>Aistė Petkuvienė</w:t>
              </w:r>
            </w:p>
            <w:p>
              <w:pPr>
                <w:widowControl w:val="0"/>
                <w:ind w:firstLine="567"/>
                <w:jc w:val="both"/>
                <w:rPr>
                  <w:rFonts w:eastAsia="Lucida Sans Unicode"/>
                  <w:color w:val="FF0000"/>
                  <w:kern w:val="1"/>
                  <w:szCs w:val="24"/>
                  <w:lang w:eastAsia="ar-SA"/>
                </w:rPr>
              </w:pPr>
            </w:p>
            <w:p>
              <w:pPr>
                <w:widowControl w:val="0"/>
                <w:suppressAutoHyphens/>
                <w:spacing w:line="100" w:lineRule="atLeast"/>
                <w:rPr>
                  <w:rFonts w:eastAsia="Lucida Sans Unicode" w:cs="Tahoma"/>
                  <w:color w:val="FF0000"/>
                  <w:szCs w:val="24"/>
                  <w:lang w:eastAsia="lt-LT"/>
                </w:rPr>
              </w:pPr>
            </w:p>
          </w:sdtContent>
        </w:sdt>
      </w:sdtContent>
    </w:sdt>
    <w:sectPr>
      <w:pgSz w:w="11906" w:h="16838"/>
      <w:pgMar w:top="1134" w:right="567" w:bottom="1134" w:left="1701" w:header="720" w:footer="720" w:gutter="0"/>
      <w:cols w:space="720"/>
      <w:docGrid w:linePitch="400" w:charSpace="32768"/>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Thorndale">
    <w:altName w:val="Times New Roman"/>
    <w:charset w:val="BA"/>
    <w:family w:val="roman"/>
    <w:pitch w:val="variable"/>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09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chartTrackingRefBased/>
  <w15:docId w15:val="{3558C7BA-4AB2-4C29-AA6C-35048A22DDF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4320427">
      <w:bodyDiv w:val="1"/>
      <w:marLeft w:val="0"/>
      <w:marRight w:val="0"/>
      <w:marTop w:val="0"/>
      <w:marBottom w:val="0"/>
      <w:divBdr>
        <w:top w:val="none" w:sz="0" w:space="0" w:color="auto"/>
        <w:left w:val="none" w:sz="0" w:space="0" w:color="auto"/>
        <w:bottom w:val="none" w:sz="0" w:space="0" w:color="auto"/>
        <w:right w:val="none" w:sz="0" w:space="0" w:color="auto"/>
      </w:divBdr>
    </w:div>
    <w:div w:id="491524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ea4ef150c5f4a6f8d14d15b33963c18" PartId="b99a41071e234b0fb34e8fdb739b355e">
    <Part Type="skyrius" Nr="999" Title="SPRENDIMO DĖL PRITARIMO PAKEISTI ŠIAULIŲ MIESTO SAVIVALDYBĖS IR UŽDAROSIOS AKCINĖS BENDROVĖS „VONIN LITHUANIA“ INVESTICIJŲ SUTARTIS AIŠKINAMASIS RAŠTAS" DocPartId="98e985cce70f479fa1b3a5d051ff391c" PartId="0e36ce519b7545b4a25271c29450b111">
      <Part Type="poskyris" Title="Parengto sprendimo projekto tikslai ir uždaviniai." DocPartId="2666b06c62b841cb8a783e74cbbfe975" PartId="bedf0b0524c04931bfa292d8816c07a5"/>
      <Part Type="poskyris" Title="Dabartinis sprendimo projekte aptariamų klausimų reguliavimas." DocPartId="bce1e26dbe4b4997b9e43d4d1f546fd5" PartId="12b77868afcb4fc082dd4fb4740dcd34"/>
      <Part Type="poskyris" Title="Sprendimo projekte numatytos naujos teisinio reglamentavimo nuostatos." DocPartId="70429815d6fc4738b68be03905044ad8" PartId="37ec7042bec142d295297ef0588c0361"/>
      <Part Type="poskyris" Title="Priėmus sprendimą, galimos pasekmės (teigiamos, neigiamos)." DocPartId="cfaf8a17fa2e4ab48829bc46b9a09e71" PartId="e7dcd904dd7845ed9696411bce624e58"/>
      <Part Type="poskyris" Title="Sprendimo projektą parengė:" DocPartId="e707ded215b44b8292e7a273170fd250" PartId="50988e5df4fd4725ad7aeb3a0382822f"/>
    </Part>
    <Part Type="signatura" DocPartId="cf4a6968ecd9433c9cfdbcb4b597a51d" PartId="7cfc5076324248d88c426f112f7b34e1"/>
  </Part>
</Parts>
</file>

<file path=customXml/itemProps1.xml><?xml version="1.0" encoding="utf-8"?>
<ds:datastoreItem xmlns:ds="http://schemas.openxmlformats.org/officeDocument/2006/customXml" ds:itemID="{F4618B8E-E937-4213-B65D-29DBD015C001}">
  <ds:schemaRefs>
    <ds:schemaRef ds:uri="http://schemas.openxmlformats.org/officeDocument/2006/bibliography"/>
  </ds:schemaRefs>
</ds:datastoreItem>
</file>

<file path=customXml/itemProps2.xml><?xml version="1.0" encoding="utf-8"?>
<ds:datastoreItem xmlns:ds="http://schemas.openxmlformats.org/officeDocument/2006/customXml" ds:itemID="{B4113B2C-372A-41D9-82B2-B650B97A0C5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853</Words>
  <Characters>5711</Characters>
  <Application>Microsoft Office Word</Application>
  <DocSecurity>4</DocSecurity>
  <Lines>93</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6530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2024-09-19T11:47:00Z</dcterms:created>
  <dc:creator>Martynas Šiurkus</dc:creator>
  <lastModifiedBy>adlibuser</lastModifiedBy>
  <lastPrinted>2022-09-29T08:47:00Z</lastPrinted>
  <dcterms:modified xsi:type="dcterms:W3CDTF">2024-09-19T11:47:00Z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