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1b19ad307e416ba66ce384c84ffbda"/>
        <w:lock w:val="sdtLocked"/>
        <w:richText/>
      </w:sdtPr>
      <w:sdtContent>
        <w:p>
          <w:pPr>
            <w:ind w:left="5103"/>
            <w:rPr>
              <w:szCs w:val="24"/>
            </w:rPr>
          </w:pPr>
          <w:r>
            <w:rPr>
              <w:szCs w:val="24"/>
            </w:rPr>
            <w:t>PATVIRTINTA</w:t>
          </w:r>
        </w:p>
        <w:p>
          <w:pPr>
            <w:ind w:left="5103"/>
            <w:rPr>
              <w:szCs w:val="24"/>
            </w:rPr>
          </w:pPr>
          <w:r>
            <w:rPr>
              <w:szCs w:val="24"/>
            </w:rPr>
            <w:t>Šiaulių miesto savivaldybės tarybos</w:t>
          </w:r>
        </w:p>
        <w:p>
          <w:pPr>
            <w:ind w:left="5103"/>
            <w:rPr>
              <w:szCs w:val="24"/>
            </w:rPr>
          </w:pPr>
          <w:r>
            <w:rPr>
              <w:szCs w:val="24"/>
            </w:rPr>
            <w:t>20__m. _______d. sprendimu Nr. _______</w:t>
          </w:r>
        </w:p>
        <w:p>
          <w:pPr>
            <w:jc w:val="both"/>
            <w:rPr>
              <w:b/>
              <w:bCs/>
              <w:szCs w:val="24"/>
            </w:rPr>
          </w:pPr>
        </w:p>
        <w:p>
          <w:pPr>
            <w:jc w:val="both"/>
            <w:rPr>
              <w:b/>
              <w:bCs/>
              <w:szCs w:val="24"/>
            </w:rPr>
          </w:pPr>
        </w:p>
        <w:p>
          <w:pPr>
            <w:jc w:val="center"/>
            <w:rPr>
              <w:b/>
              <w:bCs/>
              <w:szCs w:val="24"/>
            </w:rPr>
          </w:pPr>
          <w:r>
            <w:rPr>
              <w:b/>
              <w:bCs/>
              <w:szCs w:val="24"/>
            </w:rPr>
            <w:t>ŠIAULIŲ MIESTO SAVIVALDYBĖS</w:t>
          </w:r>
        </w:p>
        <w:p>
          <w:pPr>
            <w:rPr>
              <w:b/>
              <w:bCs/>
              <w:szCs w:val="24"/>
            </w:rPr>
          </w:pPr>
        </w:p>
        <w:p>
          <w:pPr>
            <w:jc w:val="center"/>
            <w:rPr>
              <w:b/>
              <w:bCs/>
              <w:szCs w:val="24"/>
            </w:rPr>
          </w:pPr>
          <w:r>
            <w:rPr>
              <w:b/>
              <w:bCs/>
              <w:szCs w:val="24"/>
            </w:rPr>
            <w:t>2024–2026 METŲ STRATEGINIS VEIKLOS PLANAS</w:t>
          </w:r>
        </w:p>
        <w:p>
          <w:pPr>
            <w:jc w:val="center"/>
            <w:rPr>
              <w:b/>
              <w:bCs/>
              <w:i/>
              <w:color w:val="808080"/>
              <w:szCs w:val="24"/>
            </w:rPr>
          </w:pPr>
        </w:p>
        <w:p>
          <w:pPr>
            <w:rPr>
              <w:sz w:val="10"/>
              <w:szCs w:val="10"/>
            </w:rPr>
          </w:pPr>
        </w:p>
        <w:sdt>
          <w:sdtPr>
            <w:alias w:val="skyrius"/>
            <w:tag w:val="part_e3ffb517bf254f8f99c73c0b9cbb89fe"/>
            <w:lock w:val="sdtLocked"/>
            <w:richText/>
          </w:sdtPr>
          <w:sdtContent>
            <w:p>
              <w:pPr>
                <w:jc w:val="center"/>
                <w:rPr>
                  <w:b/>
                  <w:bCs/>
                  <w:color w:val="000000"/>
                  <w:szCs w:val="24"/>
                </w:rPr>
              </w:pPr>
              <w:sdt>
                <w:sdtPr>
                  <w:alias w:val="Numeris"/>
                  <w:tag w:val="nr_e3ffb517bf254f8f99c73c0b9cbb89fe"/>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e3ffb517bf254f8f99c73c0b9cbb89fe"/>
                  <w:lock w:val="sdtLocked"/>
                  <w:richText/>
                </w:sdtPr>
                <w:sdtContent>
                  <w:r>
                    <w:rPr>
                      <w:b/>
                      <w:bCs/>
                      <w:color w:val="000000"/>
                      <w:szCs w:val="24"/>
                    </w:rPr>
                    <w:t>SAVIVALDYBĖS MISIJA IR VEIKLOS PRIORITETAI</w:t>
                  </w:r>
                </w:sdtContent>
              </w:sdt>
            </w:p>
            <w:p>
              <w:pPr>
                <w:rPr>
                  <w:sz w:val="10"/>
                  <w:szCs w:val="10"/>
                </w:rPr>
              </w:pPr>
            </w:p>
            <w:p>
              <w:pPr>
                <w:suppressAutoHyphens/>
                <w:ind w:firstLine="720"/>
                <w:jc w:val="both"/>
                <w:rPr>
                  <w:bCs/>
                  <w:iCs/>
                  <w:szCs w:val="24"/>
                  <w:lang w:eastAsia="ar-SA"/>
                </w:rPr>
              </w:pPr>
              <w:r>
                <w:rPr>
                  <w:szCs w:val="24"/>
                  <w:lang w:eastAsia="ar-SA"/>
                </w:rPr>
                <w:t>Šiaulių miesto savivaldybės (toliau – Savivaldybė) misija yra</w:t>
              </w:r>
              <w:r>
                <w:rPr>
                  <w:bCs/>
                  <w:iCs/>
                  <w:szCs w:val="24"/>
                  <w:lang w:eastAsia="ar-SA"/>
                </w:rPr>
                <w:t xml:space="preserve"> sudaryti kokybiškas gyvenimo ir darbo sąlygas miesto</w:t>
              </w:r>
              <w:r>
                <w:t xml:space="preserve"> </w:t>
              </w:r>
              <w:r>
                <w:rPr>
                  <w:bCs/>
                  <w:iCs/>
                  <w:szCs w:val="24"/>
                  <w:lang w:eastAsia="ar-SA"/>
                </w:rPr>
                <w:t xml:space="preserve">bendruomenei, </w:t>
              </w:r>
              <w:r>
                <w:rPr>
                  <w:szCs w:val="24"/>
                  <w:lang w:eastAsia="ar-SA"/>
                </w:rPr>
                <w:t xml:space="preserve">užtikrinti gyventojų lūkesčius atitinkantį teikiamų viešojo administravimo ir viešųjų paslaugų lygį, </w:t>
              </w:r>
              <w:r>
                <w:rPr>
                  <w:bCs/>
                  <w:iCs/>
                  <w:szCs w:val="24"/>
                  <w:lang w:eastAsia="ar-SA"/>
                </w:rPr>
                <w:t>nusipelnyti žmonių pasitikėjimą ir skatinti jų pasididžiavimą miestu.</w:t>
              </w:r>
            </w:p>
          </w:sdtContent>
        </w:sdt>
        <w:sdt>
          <w:sdtPr>
            <w:alias w:val="skyrius"/>
            <w:tag w:val="part_0fe88c4bf6a94ade9eba557c802c6879"/>
            <w:lock w:val="sdtLocked"/>
            <w:richText/>
          </w:sdtPr>
          <w:sdtContent>
            <w:p>
              <w:pPr>
                <w:jc w:val="center"/>
                <w:rPr>
                  <w:b/>
                  <w:bCs/>
                  <w:color w:val="000000"/>
                  <w:szCs w:val="24"/>
                </w:rPr>
              </w:pPr>
              <w:sdt>
                <w:sdtPr>
                  <w:alias w:val="Numeris"/>
                  <w:tag w:val="nr_0fe88c4bf6a94ade9eba557c802c6879"/>
                  <w:lock w:val="sdtLocked"/>
                  <w:richText/>
                </w:sdtPr>
                <w:sdtContent>
                  <w:r>
                    <w:rPr>
                      <w:b/>
                      <w:bCs/>
                      <w:color w:val="000000"/>
                      <w:szCs w:val="24"/>
                    </w:rPr>
                    <w:t>II</w:t>
                  </w:r>
                </w:sdtContent>
              </w:sdt>
              <w:r>
                <w:rPr>
                  <w:b/>
                  <w:bCs/>
                  <w:color w:val="000000"/>
                  <w:szCs w:val="24"/>
                </w:rPr>
                <w:t xml:space="preserve"> SKYRIUS</w:t>
              </w:r>
            </w:p>
            <w:p>
              <w:pPr>
                <w:suppressAutoHyphens/>
                <w:ind w:firstLine="720"/>
                <w:jc w:val="both"/>
                <w:rPr>
                  <w:bCs/>
                  <w:iCs/>
                  <w:szCs w:val="24"/>
                  <w:lang w:eastAsia="ar-SA"/>
                </w:rPr>
              </w:pPr>
              <w:sdt>
                <w:sdtPr>
                  <w:alias w:val="Pavadinimas"/>
                  <w:tag w:val="title_0fe88c4bf6a94ade9eba557c802c6879"/>
                  <w:lock w:val="sdtLocked"/>
                  <w:richText/>
                </w:sdtPr>
                <w:sdtContent>
                  <w:r>
                    <w:rPr>
                      <w:b/>
                      <w:bCs/>
                      <w:color w:val="000000"/>
                      <w:szCs w:val="24"/>
                    </w:rPr>
                    <w:t>SAVIVALDYBĖS PLĖTROS TIKSLAI, UŽDAVINIAI IR JŲ STEBĖSENOS RODIKLIAI</w:t>
                  </w:r>
                </w:sdtContent>
              </w:sdt>
            </w:p>
            <w:p>
              <w:pPr>
                <w:suppressAutoHyphens/>
                <w:ind w:firstLine="720"/>
                <w:jc w:val="both"/>
                <w:rPr>
                  <w:bCs/>
                  <w:iCs/>
                  <w:szCs w:val="24"/>
                  <w:lang w:eastAsia="ar-SA"/>
                </w:rPr>
              </w:pPr>
            </w:p>
            <w:p>
              <w:pPr>
                <w:tabs>
                  <w:tab w:val="left" w:pos="5070"/>
                  <w:tab w:val="left" w:pos="5366"/>
                  <w:tab w:val="left" w:pos="6771"/>
                  <w:tab w:val="left" w:pos="7363"/>
                </w:tabs>
                <w:suppressAutoHyphens/>
                <w:ind w:firstLine="709"/>
                <w:jc w:val="both"/>
                <w:rPr>
                  <w:rFonts w:eastAsia="Arial Unicode MS"/>
                  <w:szCs w:val="24"/>
                  <w:lang w:eastAsia="ar-SA"/>
                </w:rPr>
              </w:pPr>
              <w:r>
                <w:rPr>
                  <w:bCs/>
                  <w:iCs/>
                  <w:color w:val="000000"/>
                  <w:szCs w:val="24"/>
                  <w:lang w:eastAsia="ar-SA"/>
                </w:rPr>
                <w:t xml:space="preserve">Kad būtų užtikrintas Savivaldybės valdymo darnumas, Savivaldybės planavimo dokumentai yra tarpusavyje susieti aiškiais loginiais ryšiais, užtikrinamas Savivaldybės asignavimų  </w:t>
              </w:r>
              <w:r>
                <w:rPr>
                  <w:rFonts w:eastAsia="Arial Unicode MS"/>
                  <w:bCs/>
                  <w:iCs/>
                  <w:color w:val="000000"/>
                  <w:szCs w:val="24"/>
                  <w:lang w:eastAsia="ar-SA"/>
                </w:rPr>
                <w:t>planavimas ir panaudojimo stebėsena.</w:t>
              </w:r>
              <w:r>
                <w:rPr>
                  <w:rFonts w:eastAsia="Arial Unicode MS"/>
                  <w:szCs w:val="24"/>
                  <w:lang w:eastAsia="ar-SA"/>
                </w:rPr>
                <w:t xml:space="preserve"> Savivaldybės taryba ilgalaikį strateginio planavimo dokumentą – 2015</w:t>
              </w:r>
              <w:r>
                <w:rPr>
                  <w:szCs w:val="24"/>
                  <w:lang w:eastAsia="ar-SA"/>
                </w:rPr>
                <w:t>–</w:t>
              </w:r>
              <w:r>
                <w:rPr>
                  <w:rFonts w:eastAsia="Arial Unicode MS"/>
                  <w:szCs w:val="24"/>
                  <w:lang w:eastAsia="ar-SA"/>
                </w:rPr>
                <w:t>2024 metų Šiaulių miesto plėtros strateginį planą patvirtino 2016 m. rugpjūčio 25 d. sprendimu Nr. T</w:t>
              </w:r>
              <w:r>
                <w:rPr>
                  <w:szCs w:val="24"/>
                  <w:lang w:eastAsia="ar-SA"/>
                </w:rPr>
                <w:t>–</w:t>
              </w:r>
              <w:r>
                <w:rPr>
                  <w:rFonts w:eastAsia="Arial Unicode MS"/>
                  <w:szCs w:val="24"/>
                  <w:lang w:eastAsia="ar-SA"/>
                </w:rPr>
                <w:t>325. Šiame plane patvirtinta Šiaulių strateginio plėtros plano vizija: „Šiauliai – Saulės miestas: atviras, veržlus ir saugus“, prioritetai, tikslai ir uždaviniai:</w:t>
              </w:r>
            </w:p>
            <w:sdt>
              <w:sdtPr>
                <w:alias w:val="1 p."/>
                <w:tag w:val="part_9cc8807da0e642afb4406ef6805556dc"/>
                <w:lock w:val="sdtLocked"/>
                <w:richText/>
              </w:sdtPr>
              <w:sdtContent>
                <w:p>
                  <w:pPr>
                    <w:tabs>
                      <w:tab w:val="left" w:pos="5070"/>
                      <w:tab w:val="left" w:pos="5366"/>
                      <w:tab w:val="left" w:pos="6771"/>
                      <w:tab w:val="left" w:pos="7363"/>
                    </w:tabs>
                    <w:suppressAutoHyphens/>
                    <w:ind w:firstLine="709"/>
                    <w:jc w:val="both"/>
                    <w:rPr>
                      <w:rFonts w:eastAsia="Arial Unicode MS"/>
                      <w:szCs w:val="24"/>
                      <w:lang w:eastAsia="ar-SA"/>
                    </w:rPr>
                  </w:pPr>
                  <w:sdt>
                    <w:sdtPr>
                      <w:alias w:val="Numeris"/>
                      <w:tag w:val="nr_9cc8807da0e642afb4406ef6805556dc"/>
                      <w:lock w:val="sdtLocked"/>
                      <w:richText/>
                    </w:sdtPr>
                    <w:sdtContent>
                      <w:r>
                        <w:rPr>
                          <w:rFonts w:eastAsia="Arial Unicode MS"/>
                          <w:szCs w:val="24"/>
                          <w:lang w:eastAsia="ar-SA"/>
                        </w:rPr>
                        <w:t>1</w:t>
                      </w:r>
                    </w:sdtContent>
                  </w:sdt>
                  <w:r>
                    <w:rPr>
                      <w:rFonts w:eastAsia="Arial Unicode MS"/>
                      <w:szCs w:val="24"/>
                      <w:lang w:eastAsia="ar-SA"/>
                    </w:rPr>
                    <w:t>. Aktyvi kūrybinga ir atsakinga bendruomenė;</w:t>
                  </w:r>
                </w:p>
              </w:sdtContent>
            </w:sdt>
            <w:sdt>
              <w:sdtPr>
                <w:alias w:val="2 p."/>
                <w:tag w:val="part_7a07528081e5426791b60b9aedc21e50"/>
                <w:lock w:val="sdtLocked"/>
                <w:richText/>
              </w:sdtPr>
              <w:sdtContent>
                <w:p>
                  <w:pPr>
                    <w:tabs>
                      <w:tab w:val="left" w:pos="5070"/>
                      <w:tab w:val="left" w:pos="5366"/>
                      <w:tab w:val="left" w:pos="6771"/>
                      <w:tab w:val="left" w:pos="7363"/>
                    </w:tabs>
                    <w:suppressAutoHyphens/>
                    <w:ind w:firstLine="709"/>
                    <w:jc w:val="both"/>
                    <w:rPr>
                      <w:rFonts w:eastAsia="Arial Unicode MS"/>
                      <w:szCs w:val="24"/>
                      <w:lang w:eastAsia="ar-SA"/>
                    </w:rPr>
                  </w:pPr>
                  <w:sdt>
                    <w:sdtPr>
                      <w:alias w:val="Numeris"/>
                      <w:tag w:val="nr_7a07528081e5426791b60b9aedc21e50"/>
                      <w:lock w:val="sdtLocked"/>
                      <w:richText/>
                    </w:sdtPr>
                    <w:sdtContent>
                      <w:r>
                        <w:rPr>
                          <w:rFonts w:eastAsia="Arial Unicode MS"/>
                          <w:szCs w:val="24"/>
                          <w:lang w:eastAsia="ar-SA"/>
                        </w:rPr>
                        <w:t>2</w:t>
                      </w:r>
                    </w:sdtContent>
                  </w:sdt>
                  <w:r>
                    <w:rPr>
                      <w:rFonts w:eastAsia="Arial Unicode MS"/>
                      <w:szCs w:val="24"/>
                      <w:lang w:eastAsia="ar-SA"/>
                    </w:rPr>
                    <w:t>. Konkurencinga verslo aplinka;</w:t>
                  </w:r>
                </w:p>
              </w:sdtContent>
            </w:sdt>
            <w:sdt>
              <w:sdtPr>
                <w:alias w:val="3 p."/>
                <w:tag w:val="part_20d83ef2f21c4adf822a6d1a795febf5"/>
                <w:lock w:val="sdtLocked"/>
                <w:richText/>
              </w:sdtPr>
              <w:sdtContent>
                <w:p>
                  <w:pPr>
                    <w:tabs>
                      <w:tab w:val="left" w:pos="5070"/>
                      <w:tab w:val="left" w:pos="5366"/>
                      <w:tab w:val="left" w:pos="6771"/>
                      <w:tab w:val="left" w:pos="7363"/>
                    </w:tabs>
                    <w:suppressAutoHyphens/>
                    <w:ind w:firstLine="709"/>
                    <w:jc w:val="both"/>
                    <w:rPr>
                      <w:rFonts w:eastAsia="Arial Unicode MS"/>
                      <w:szCs w:val="24"/>
                      <w:lang w:eastAsia="ar-SA"/>
                    </w:rPr>
                  </w:pPr>
                  <w:sdt>
                    <w:sdtPr>
                      <w:alias w:val="Numeris"/>
                      <w:tag w:val="nr_20d83ef2f21c4adf822a6d1a795febf5"/>
                      <w:lock w:val="sdtLocked"/>
                      <w:richText/>
                    </w:sdtPr>
                    <w:sdtContent>
                      <w:r>
                        <w:rPr>
                          <w:rFonts w:eastAsia="Arial Unicode MS"/>
                          <w:szCs w:val="24"/>
                          <w:lang w:eastAsia="ar-SA"/>
                        </w:rPr>
                        <w:t>3</w:t>
                      </w:r>
                    </w:sdtContent>
                  </w:sdt>
                  <w:r>
                    <w:rPr>
                      <w:rFonts w:eastAsia="Arial Unicode MS"/>
                      <w:szCs w:val="24"/>
                      <w:lang w:eastAsia="ar-SA"/>
                    </w:rPr>
                    <w:t>. Draugiška gamtai kokybiška gyvenamoji aplinka.</w:t>
                  </w:r>
                </w:p>
                <w:p>
                  <w:pPr>
                    <w:tabs>
                      <w:tab w:val="left" w:pos="5070"/>
                      <w:tab w:val="left" w:pos="5366"/>
                      <w:tab w:val="left" w:pos="6771"/>
                      <w:tab w:val="left" w:pos="7363"/>
                    </w:tabs>
                    <w:suppressAutoHyphens/>
                    <w:ind w:firstLine="709"/>
                    <w:jc w:val="both"/>
                    <w:rPr>
                      <w:rFonts w:eastAsia="Arial Unicode MS"/>
                      <w:szCs w:val="24"/>
                      <w:lang w:eastAsia="ar-SA"/>
                    </w:rPr>
                  </w:pPr>
                  <w:r>
                    <w:rPr>
                      <w:rFonts w:eastAsia="Arial Unicode MS"/>
                      <w:szCs w:val="24"/>
                      <w:lang w:eastAsia="ar-SA"/>
                    </w:rPr>
                    <w:t>Įgyvendinant 2015</w:t>
                  </w:r>
                  <w:r>
                    <w:rPr>
                      <w:szCs w:val="24"/>
                      <w:lang w:eastAsia="ar-SA"/>
                    </w:rPr>
                    <w:t>–</w:t>
                  </w:r>
                  <w:r>
                    <w:rPr>
                      <w:rFonts w:eastAsia="Arial Unicode MS"/>
                      <w:szCs w:val="24"/>
                      <w:lang w:eastAsia="ar-SA"/>
                    </w:rPr>
                    <w:t xml:space="preserve">2024 metų Šiaulių miesto plėtros strateginį planą ir vadovaujantis Savivaldybės tarybos patvirtintu  Strateginio planavimo organizavimo Šiaulių miesto savivaldybėje tvarkos aprašu, yra parengtas Šiaulių miesto savivaldybės 2024 ̶ 2026 metų strateginis veiklos planas, įtraukiant biudžetinių įstaigų, Savivaldybės įstaigų ir Savivaldybės valdomų įmonių veiklos rezultatus ir atsižvelgiant į Savivaldybės biudžeto pajamų ir kitų finansavimo šaltinių prognozę. Pagal Savivaldybės tarybos patvirtintą Strateginį veiklos planą yra formuojamas atitinkamų metų Savivaldybės biudžetas. </w:t>
                  </w:r>
                </w:p>
                <w:p>
                  <w:pPr>
                    <w:ind w:firstLine="744"/>
                    <w:jc w:val="both"/>
                    <w:rPr>
                      <w:rFonts w:eastAsia="Arial Unicode MS"/>
                      <w:szCs w:val="24"/>
                      <w:lang w:eastAsia="ar-SA"/>
                    </w:rPr>
                  </w:pPr>
                  <w:r>
                    <w:rPr>
                      <w:rFonts w:eastAsia="Arial Unicode MS"/>
                      <w:szCs w:val="24"/>
                      <w:lang w:eastAsia="ar-SA"/>
                    </w:rPr>
                    <w:t>Kadangi Šiaulių miesto plėtros strateginio plano galiojimas baigiasi 2024 m., 2023 m. gegužės mėnesį pradėtas rengti naujo laikotarpio, 2025</w:t>
                  </w:r>
                  <w:r>
                    <w:rPr>
                      <w:szCs w:val="24"/>
                      <w:lang w:eastAsia="ar-SA"/>
                    </w:rPr>
                    <w:t>–2033 m., Šiaulių miesto strateginis plėtros planas.</w:t>
                  </w:r>
                </w:p>
                <w:p>
                  <w:pPr>
                    <w:rPr>
                      <w:sz w:val="20"/>
                    </w:rPr>
                  </w:pPr>
                </w:p>
                <w:p>
                  <w:pPr>
                    <w:ind w:firstLine="742"/>
                    <w:rPr>
                      <w:sz w:val="20"/>
                    </w:rPr>
                  </w:pPr>
                  <w:r>
                    <w:rPr>
                      <w:b/>
                      <w:bCs/>
                      <w:sz w:val="20"/>
                    </w:rPr>
                    <w:t xml:space="preserve">1 lentelė. </w:t>
                  </w:r>
                  <w:r>
                    <w:rPr>
                      <w:sz w:val="20"/>
                    </w:rPr>
                    <w:t>Tikslai, uždaviniai ir jų stebėsenos rodikliai</w:t>
                  </w:r>
                </w:p>
                <w:tbl>
                  <w:tblPr>
                    <w:tblW w:w="9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8"/>
                    <w:gridCol w:w="1418"/>
                    <w:gridCol w:w="1701"/>
                    <w:gridCol w:w="860"/>
                    <w:gridCol w:w="709"/>
                    <w:gridCol w:w="709"/>
                  </w:tblGrid>
                  <w:tr>
                    <w:trPr>
                      <w:jc w:val="center"/>
                    </w:trPr>
                    <w:tc>
                      <w:tcPr>
                        <w:tcW w:w="382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SSPP tikslai ir uždaviniai</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Stebėsenos rodiklis (matavimo vnt.)</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 xml:space="preserve">Pradinė stebėsenos rodiklio reikšmė, 2021 metai </w:t>
                        </w:r>
                      </w:p>
                    </w:tc>
                    <w:tc>
                      <w:tcPr>
                        <w:tcW w:w="2278" w:type="dxa"/>
                        <w:gridSpan w:val="3"/>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Siektinos stebėsenos rodiklio reikšmės</w:t>
                        </w:r>
                      </w:p>
                    </w:tc>
                  </w:tr>
                  <w:tr>
                    <w:trPr>
                      <w:jc w:val="center"/>
                    </w:trPr>
                    <w:tc>
                      <w:tcPr>
                        <w:tcW w:w="382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2278" w:type="dxa"/>
                        <w:gridSpan w:val="3"/>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i/>
                            <w:color w:val="000000"/>
                            <w:sz w:val="20"/>
                            <w:szCs w:val="22"/>
                          </w:rPr>
                          <w:t>2024</w:t>
                        </w:r>
                        <w:r>
                          <w:rPr>
                            <w:szCs w:val="24"/>
                            <w:lang w:eastAsia="ar-SA"/>
                          </w:rPr>
                          <w:t>–</w:t>
                        </w:r>
                        <w:r>
                          <w:rPr>
                            <w:rFonts w:eastAsia="Calibri"/>
                            <w:b/>
                            <w:bCs/>
                            <w:i/>
                            <w:color w:val="000000"/>
                            <w:sz w:val="20"/>
                            <w:szCs w:val="22"/>
                          </w:rPr>
                          <w:t xml:space="preserve">2026 </w:t>
                        </w:r>
                        <w:r>
                          <w:rPr>
                            <w:rFonts w:eastAsia="Calibri"/>
                            <w:b/>
                            <w:bCs/>
                            <w:color w:val="000000"/>
                            <w:sz w:val="20"/>
                            <w:szCs w:val="22"/>
                          </w:rPr>
                          <w:t>metai</w:t>
                        </w:r>
                      </w:p>
                    </w:tc>
                  </w:tr>
                  <w:tr>
                    <w:trPr>
                      <w:trHeight w:val="108"/>
                      <w:jc w:val="center"/>
                    </w:trPr>
                    <w:tc>
                      <w:tcPr>
                        <w:tcW w:w="3828"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1</w:t>
                        </w:r>
                      </w:p>
                    </w:tc>
                    <w:tc>
                      <w:tcPr>
                        <w:tcW w:w="1418"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2</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3</w:t>
                        </w:r>
                      </w:p>
                    </w:tc>
                    <w:tc>
                      <w:tcPr>
                        <w:tcW w:w="860"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4</w:t>
                        </w:r>
                      </w:p>
                    </w:tc>
                    <w:tc>
                      <w:tcPr>
                        <w:tcW w:w="709"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5</w:t>
                        </w:r>
                      </w:p>
                    </w:tc>
                    <w:tc>
                      <w:tcPr>
                        <w:tcW w:w="709"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6</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
                            <w:color w:val="808080"/>
                            <w:szCs w:val="24"/>
                          </w:rPr>
                        </w:pPr>
                        <w:r>
                          <w:rPr>
                            <w:rFonts w:eastAsia="Calibri"/>
                            <w:iCs/>
                            <w:szCs w:val="24"/>
                          </w:rPr>
                          <w:t>1.1. Plėtoti inovatyvią švietimo ir kultūros sistemą, ugdančią aktyvią ir kūrybingą asmenybę</w:t>
                        </w:r>
                      </w:p>
                    </w:tc>
                  </w:tr>
                  <w:tr>
                    <w:trPr>
                      <w:jc w:val="center"/>
                    </w:trPr>
                    <w:tc>
                      <w:tcPr>
                        <w:tcW w:w="3828" w:type="dxa"/>
                        <w:tcBorders>
                          <w:top w:val="single" w:sz="4" w:space="0" w:color="auto"/>
                          <w:left w:val="single" w:sz="4" w:space="0" w:color="auto"/>
                          <w:bottom w:val="single" w:sz="4" w:space="0" w:color="auto"/>
                          <w:right w:val="single" w:sz="4" w:space="0" w:color="auto"/>
                        </w:tcBorders>
                        <w:hideMark/>
                      </w:tcPr>
                      <w:p>
                        <w:pPr>
                          <w:rPr>
                            <w:rFonts w:eastAsia="Calibri"/>
                            <w:iCs/>
                            <w:sz w:val="22"/>
                            <w:szCs w:val="22"/>
                          </w:rPr>
                        </w:pPr>
                        <w:r>
                          <w:rPr>
                            <w:rFonts w:eastAsia="Calibri"/>
                            <w:iCs/>
                            <w:sz w:val="22"/>
                            <w:szCs w:val="22"/>
                          </w:rPr>
                          <w:t>E1-1.1. Brandos egzaminų rezultatai</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hideMark/>
                      </w:tcPr>
                      <w:p>
                        <w:pPr>
                          <w:jc w:val="center"/>
                          <w:rPr>
                            <w:rFonts w:eastAsia="Calibri"/>
                            <w:iCs/>
                            <w:sz w:val="22"/>
                            <w:szCs w:val="22"/>
                          </w:rPr>
                        </w:pPr>
                        <w:r>
                          <w:rPr>
                            <w:rFonts w:eastAsia="Calibri"/>
                            <w:iCs/>
                            <w:sz w:val="22"/>
                            <w:szCs w:val="22"/>
                          </w:rPr>
                          <w:t>97,6</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2"/>
                            <w:szCs w:val="22"/>
                          </w:rPr>
                        </w:pPr>
                        <w:r>
                          <w:rPr>
                            <w:rFonts w:eastAsia="Calibri"/>
                            <w:iCs/>
                            <w:sz w:val="22"/>
                            <w:szCs w:val="22"/>
                          </w:rPr>
                          <w:t>Didinti</w:t>
                        </w:r>
                      </w:p>
                    </w:tc>
                  </w:tr>
                  <w:tr>
                    <w:trPr>
                      <w:trHeight w:val="960"/>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E2-1.1. Įstojantys į universitetines ir neuniversitetines mokyklas abiturientai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70,3</w:t>
                        </w:r>
                      </w:p>
                      <w:p>
                        <w:pPr>
                          <w:jc w:val="center"/>
                          <w:rPr>
                            <w:rFonts w:eastAsia="Calibri"/>
                            <w:iCs/>
                            <w:sz w:val="22"/>
                            <w:szCs w:val="22"/>
                          </w:rPr>
                        </w:pPr>
                        <w:r>
                          <w:rPr>
                            <w:rFonts w:eastAsia="Calibri"/>
                            <w:iCs/>
                            <w:sz w:val="22"/>
                            <w:szCs w:val="22"/>
                          </w:rPr>
                          <w:t>(Tik Lietuvoje)</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E3-1.1. Studentai, įsidarbinę pagal specialybę</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tab/>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29,2</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E4-1.1. Informacinių komunikacinių technologijų (IKT) naudojimas švietimo įstaigose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94,1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Stabilizuoti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E5-1.1. Kultūros objektų lankytojai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898 828</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kern w:val="2"/>
                            <w:sz w:val="22"/>
                            <w:szCs w:val="22"/>
                          </w:rPr>
                        </w:pPr>
                        <w:r>
                          <w:rPr>
                            <w:rFonts w:eastAsia="Calibri"/>
                            <w:iCs/>
                            <w:sz w:val="22"/>
                            <w:szCs w:val="22"/>
                          </w:rPr>
                          <w:t>1.1.1. Sudaryti sąlygas asmeninei karjerai</w:t>
                        </w:r>
                      </w:p>
                    </w:tc>
                  </w:tr>
                  <w:tr>
                    <w:trPr>
                      <w:jc w:val="center"/>
                    </w:trPr>
                    <w:tc>
                      <w:tcPr>
                        <w:tcW w:w="3828" w:type="dxa"/>
                        <w:tcBorders>
                          <w:top w:val="single" w:sz="4" w:space="0" w:color="auto"/>
                          <w:left w:val="single" w:sz="4" w:space="0" w:color="auto"/>
                          <w:bottom w:val="single" w:sz="4" w:space="0" w:color="auto"/>
                          <w:right w:val="single" w:sz="4" w:space="0" w:color="auto"/>
                        </w:tcBorders>
                        <w:hideMark/>
                      </w:tcPr>
                      <w:p>
                        <w:pPr>
                          <w:rPr>
                            <w:rFonts w:eastAsia="Calibri"/>
                            <w:iCs/>
                            <w:sz w:val="22"/>
                            <w:szCs w:val="22"/>
                          </w:rPr>
                        </w:pPr>
                        <w:r>
                          <w:rPr>
                            <w:rFonts w:eastAsia="Calibri"/>
                            <w:iCs/>
                            <w:sz w:val="22"/>
                            <w:szCs w:val="22"/>
                          </w:rPr>
                          <w:t>P1-1.1.1. Atestuoti pedagogai švietimo įstaigose</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hideMark/>
                      </w:tcPr>
                      <w:p>
                        <w:pPr>
                          <w:jc w:val="center"/>
                          <w:rPr>
                            <w:rFonts w:eastAsia="Calibri"/>
                            <w:iCs/>
                            <w:color w:val="808080"/>
                            <w:sz w:val="22"/>
                            <w:szCs w:val="22"/>
                          </w:rPr>
                        </w:pPr>
                        <w:r>
                          <w:rPr>
                            <w:rFonts w:eastAsia="Calibri"/>
                            <w:iCs/>
                            <w:sz w:val="22"/>
                            <w:szCs w:val="22"/>
                          </w:rPr>
                          <w:t>93,1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P2-1.1.1. Neformaliojo ugdymo apimtys:</w:t>
                        </w:r>
                      </w:p>
                      <w:p>
                        <w:pPr>
                          <w:ind w:firstLine="171"/>
                          <w:rPr>
                            <w:rFonts w:eastAsia="Calibri"/>
                            <w:i/>
                            <w:sz w:val="22"/>
                            <w:szCs w:val="22"/>
                          </w:rPr>
                        </w:pPr>
                        <w:r>
                          <w:rPr>
                            <w:rFonts w:eastAsia="Calibri"/>
                            <w:i/>
                            <w:sz w:val="22"/>
                            <w:szCs w:val="22"/>
                          </w:rPr>
                          <w:t>Neformaliojo ugdymo būrelius lankančių mokinių dalis nuo bendro mokinių skaičiaus metais;</w:t>
                        </w:r>
                      </w:p>
                      <w:p>
                        <w:pPr>
                          <w:ind w:firstLine="171"/>
                          <w:rPr>
                            <w:rFonts w:eastAsia="Calibri"/>
                            <w:iCs/>
                            <w:sz w:val="20"/>
                          </w:rPr>
                        </w:pPr>
                        <w:r>
                          <w:rPr>
                            <w:rFonts w:eastAsia="Calibri"/>
                            <w:i/>
                            <w:sz w:val="22"/>
                            <w:szCs w:val="22"/>
                          </w:rPr>
                          <w:t>Mokinių, lankančių bent vieną neformaliojo švietimo užsiėmimą ne mokykloje dalis, nuo visų mokinių.</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proc.</w:t>
                        </w:r>
                      </w:p>
                      <w:p>
                        <w:pPr>
                          <w:jc w:val="center"/>
                          <w:rPr>
                            <w:rFonts w:eastAsia="Calibri"/>
                            <w:iCs/>
                            <w:sz w:val="22"/>
                            <w:szCs w:val="22"/>
                          </w:rPr>
                        </w:pPr>
                      </w:p>
                      <w:p>
                        <w:pPr>
                          <w:rPr>
                            <w:rFonts w:eastAsia="Calibri"/>
                            <w:iCs/>
                            <w:sz w:val="22"/>
                            <w:szCs w:val="22"/>
                          </w:rPr>
                        </w:pPr>
                      </w:p>
                      <w:p>
                        <w:pPr>
                          <w:jc w:val="center"/>
                          <w:rPr>
                            <w:rFonts w:eastAsia="Calibri"/>
                            <w:iCs/>
                            <w:sz w:val="22"/>
                            <w:szCs w:val="22"/>
                          </w:rPr>
                        </w:pPr>
                        <w:r>
                          <w:rPr>
                            <w:rFonts w:eastAsia="Calibri"/>
                            <w:iCs/>
                            <w:sz w:val="22"/>
                            <w:szCs w:val="22"/>
                          </w:rPr>
                          <w:t>proc.</w:t>
                        </w:r>
                      </w:p>
                      <w:p>
                        <w:pPr>
                          <w:jc w:val="center"/>
                          <w:rPr>
                            <w:rFonts w:eastAsia="Calibri"/>
                            <w:iCs/>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71</w:t>
                        </w:r>
                      </w:p>
                      <w:p>
                        <w:pPr>
                          <w:jc w:val="center"/>
                          <w:rPr>
                            <w:rFonts w:eastAsia="Calibri"/>
                            <w:iCs/>
                            <w:sz w:val="22"/>
                            <w:szCs w:val="22"/>
                          </w:rPr>
                        </w:pPr>
                      </w:p>
                      <w:p>
                        <w:pPr>
                          <w:rPr>
                            <w:rFonts w:eastAsia="Calibri"/>
                            <w:iCs/>
                            <w:sz w:val="22"/>
                            <w:szCs w:val="22"/>
                          </w:rPr>
                        </w:pPr>
                      </w:p>
                      <w:p>
                        <w:pPr>
                          <w:jc w:val="center"/>
                          <w:rPr>
                            <w:rFonts w:eastAsia="Calibri"/>
                            <w:iCs/>
                            <w:sz w:val="22"/>
                            <w:szCs w:val="22"/>
                          </w:rPr>
                        </w:pPr>
                        <w:r>
                          <w:rPr>
                            <w:rFonts w:eastAsia="Calibri"/>
                            <w:iCs/>
                            <w:sz w:val="22"/>
                            <w:szCs w:val="22"/>
                          </w:rPr>
                          <w:t>61,1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Didinti</w:t>
                        </w: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P3-1.1.1. Švietimo įstaigose ugdomi 0-5 metų vaikai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73,7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P4-1.1.1.</w:t>
                        </w:r>
                        <w:r>
                          <w:rPr>
                            <w:kern w:val="2"/>
                            <w:sz w:val="22"/>
                            <w:szCs w:val="22"/>
                          </w:rPr>
                          <w:t xml:space="preserve"> </w:t>
                        </w:r>
                        <w:r>
                          <w:rPr>
                            <w:rFonts w:eastAsia="Calibri"/>
                            <w:iCs/>
                            <w:sz w:val="22"/>
                            <w:szCs w:val="22"/>
                          </w:rPr>
                          <w:t>Mokinių vasaros užimtumas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8,0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P5-1.1.1. Mokinių ir jų tėvų mokyklų vertinimas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75/84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color w:val="808080"/>
                            <w:sz w:val="22"/>
                            <w:szCs w:val="22"/>
                          </w:rPr>
                        </w:pPr>
                        <w:r>
                          <w:rPr>
                            <w:rFonts w:eastAsia="Calibri"/>
                            <w:iCs/>
                            <w:sz w:val="22"/>
                            <w:szCs w:val="22"/>
                          </w:rPr>
                          <w:t>1.1.2.Plėtoti įvairaus spektro kultūros paslaugas, išnaudojant regiono ir metropolinio miesto potencialą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P1-1.1.2. Lankytojai pagal kultūros objektus:</w:t>
                        </w:r>
                      </w:p>
                      <w:p>
                        <w:pPr>
                          <w:ind w:firstLine="171"/>
                          <w:rPr>
                            <w:rFonts w:eastAsia="Calibri"/>
                            <w:i/>
                            <w:sz w:val="22"/>
                            <w:szCs w:val="22"/>
                          </w:rPr>
                        </w:pPr>
                        <w:r>
                          <w:rPr>
                            <w:rFonts w:eastAsia="Calibri"/>
                            <w:i/>
                            <w:sz w:val="22"/>
                            <w:szCs w:val="22"/>
                          </w:rPr>
                          <w:t>Lankytojų skaičius bibliotekose;</w:t>
                        </w:r>
                      </w:p>
                      <w:p>
                        <w:pPr>
                          <w:ind w:firstLine="171"/>
                          <w:rPr>
                            <w:rFonts w:eastAsia="Calibri"/>
                            <w:i/>
                            <w:sz w:val="22"/>
                            <w:szCs w:val="22"/>
                          </w:rPr>
                        </w:pPr>
                        <w:r>
                          <w:rPr>
                            <w:rFonts w:eastAsia="Calibri"/>
                            <w:i/>
                            <w:sz w:val="22"/>
                            <w:szCs w:val="22"/>
                          </w:rPr>
                          <w:t>Lankytojų skaičius teatruose;</w:t>
                        </w:r>
                      </w:p>
                      <w:p>
                        <w:pPr>
                          <w:ind w:firstLine="171"/>
                          <w:rPr>
                            <w:rFonts w:eastAsia="Calibri"/>
                            <w:i/>
                            <w:sz w:val="22"/>
                            <w:szCs w:val="22"/>
                          </w:rPr>
                        </w:pPr>
                        <w:r>
                          <w:rPr>
                            <w:rFonts w:eastAsia="Calibri"/>
                            <w:i/>
                            <w:sz w:val="22"/>
                            <w:szCs w:val="22"/>
                          </w:rPr>
                          <w:t>Lankytojų skaičius galerijose;</w:t>
                        </w:r>
                      </w:p>
                      <w:p>
                        <w:pPr>
                          <w:ind w:firstLine="171"/>
                          <w:rPr>
                            <w:rFonts w:eastAsia="Calibri"/>
                            <w:i/>
                            <w:sz w:val="22"/>
                            <w:szCs w:val="22"/>
                          </w:rPr>
                        </w:pPr>
                        <w:r>
                          <w:rPr>
                            <w:rFonts w:eastAsia="Calibri"/>
                            <w:i/>
                            <w:sz w:val="22"/>
                            <w:szCs w:val="22"/>
                          </w:rPr>
                          <w:t>Lankytojų skaičius koncertų salėse;</w:t>
                        </w:r>
                      </w:p>
                      <w:p>
                        <w:pPr>
                          <w:ind w:firstLine="171"/>
                          <w:rPr>
                            <w:rFonts w:eastAsia="Calibri"/>
                            <w:i/>
                            <w:sz w:val="22"/>
                            <w:szCs w:val="22"/>
                          </w:rPr>
                        </w:pPr>
                        <w:r>
                          <w:rPr>
                            <w:rFonts w:eastAsia="Calibri"/>
                            <w:i/>
                            <w:sz w:val="22"/>
                            <w:szCs w:val="22"/>
                          </w:rPr>
                          <w:t>Lankytojų skaičius muziejuose;</w:t>
                        </w:r>
                      </w:p>
                      <w:p>
                        <w:pPr>
                          <w:ind w:firstLine="171"/>
                          <w:rPr>
                            <w:rFonts w:eastAsia="Calibri"/>
                            <w:iCs/>
                            <w:sz w:val="22"/>
                            <w:szCs w:val="22"/>
                          </w:rPr>
                        </w:pPr>
                        <w:r>
                          <w:rPr>
                            <w:rFonts w:eastAsia="Calibri"/>
                            <w:i/>
                            <w:sz w:val="22"/>
                            <w:szCs w:val="22"/>
                          </w:rPr>
                          <w:t>Lankytojų skaičius kultūros centruose.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vnt.</w:t>
                        </w:r>
                      </w:p>
                      <w:p>
                        <w:pPr>
                          <w:jc w:val="center"/>
                          <w:rPr>
                            <w:rFonts w:eastAsia="Calibri"/>
                            <w:iCs/>
                            <w:sz w:val="22"/>
                            <w:szCs w:val="22"/>
                          </w:rPr>
                        </w:pPr>
                        <w:r>
                          <w:rPr>
                            <w:rFonts w:eastAsia="Calibri"/>
                            <w:iCs/>
                            <w:sz w:val="22"/>
                            <w:szCs w:val="22"/>
                          </w:rPr>
                          <w:t>vnt.</w:t>
                        </w:r>
                      </w:p>
                      <w:p>
                        <w:pPr>
                          <w:jc w:val="center"/>
                          <w:rPr>
                            <w:rFonts w:eastAsia="Calibri"/>
                            <w:iCs/>
                            <w:sz w:val="22"/>
                            <w:szCs w:val="22"/>
                          </w:rPr>
                        </w:pPr>
                        <w:r>
                          <w:rPr>
                            <w:rFonts w:eastAsia="Calibri"/>
                            <w:iCs/>
                            <w:sz w:val="22"/>
                            <w:szCs w:val="22"/>
                          </w:rPr>
                          <w:t>vnt.</w:t>
                        </w:r>
                      </w:p>
                      <w:p>
                        <w:pPr>
                          <w:jc w:val="center"/>
                          <w:rPr>
                            <w:rFonts w:eastAsia="Calibri"/>
                            <w:iCs/>
                            <w:sz w:val="22"/>
                            <w:szCs w:val="22"/>
                          </w:rPr>
                        </w:pPr>
                        <w:r>
                          <w:rPr>
                            <w:rFonts w:eastAsia="Calibri"/>
                            <w:iCs/>
                            <w:sz w:val="22"/>
                            <w:szCs w:val="22"/>
                          </w:rPr>
                          <w:t>vnt.</w:t>
                        </w:r>
                      </w:p>
                      <w:p>
                        <w:pPr>
                          <w:jc w:val="center"/>
                          <w:rPr>
                            <w:rFonts w:eastAsia="Calibri"/>
                            <w:iCs/>
                            <w:sz w:val="22"/>
                            <w:szCs w:val="22"/>
                          </w:rPr>
                        </w:pPr>
                        <w:r>
                          <w:rPr>
                            <w:rFonts w:eastAsia="Calibri"/>
                            <w:iCs/>
                            <w:sz w:val="22"/>
                            <w:szCs w:val="22"/>
                          </w:rPr>
                          <w:t>vnt.</w:t>
                        </w:r>
                      </w:p>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514 771</w:t>
                        </w:r>
                      </w:p>
                      <w:p>
                        <w:pPr>
                          <w:jc w:val="center"/>
                          <w:rPr>
                            <w:rFonts w:eastAsia="Calibri"/>
                            <w:iCs/>
                            <w:sz w:val="22"/>
                            <w:szCs w:val="22"/>
                          </w:rPr>
                        </w:pPr>
                        <w:r>
                          <w:rPr>
                            <w:rFonts w:eastAsia="Calibri"/>
                            <w:iCs/>
                            <w:sz w:val="22"/>
                            <w:szCs w:val="22"/>
                          </w:rPr>
                          <w:t>30 795</w:t>
                        </w:r>
                      </w:p>
                      <w:p>
                        <w:pPr>
                          <w:jc w:val="center"/>
                          <w:rPr>
                            <w:rFonts w:eastAsia="Calibri"/>
                            <w:iCs/>
                            <w:sz w:val="22"/>
                            <w:szCs w:val="22"/>
                          </w:rPr>
                        </w:pPr>
                        <w:r>
                          <w:rPr>
                            <w:rFonts w:eastAsia="Calibri"/>
                            <w:iCs/>
                            <w:sz w:val="22"/>
                            <w:szCs w:val="22"/>
                          </w:rPr>
                          <w:t>20 495</w:t>
                        </w:r>
                      </w:p>
                      <w:p>
                        <w:pPr>
                          <w:jc w:val="center"/>
                          <w:rPr>
                            <w:rFonts w:eastAsia="Calibri"/>
                            <w:iCs/>
                            <w:sz w:val="22"/>
                            <w:szCs w:val="22"/>
                          </w:rPr>
                        </w:pPr>
                        <w:r>
                          <w:rPr>
                            <w:rFonts w:eastAsia="Calibri"/>
                            <w:iCs/>
                            <w:sz w:val="22"/>
                            <w:szCs w:val="22"/>
                          </w:rPr>
                          <w:t>55 346</w:t>
                        </w:r>
                      </w:p>
                      <w:p>
                        <w:pPr>
                          <w:jc w:val="center"/>
                          <w:rPr>
                            <w:rFonts w:eastAsia="Calibri"/>
                            <w:iCs/>
                            <w:sz w:val="22"/>
                            <w:szCs w:val="22"/>
                          </w:rPr>
                        </w:pPr>
                        <w:r>
                          <w:rPr>
                            <w:rFonts w:eastAsia="Calibri"/>
                            <w:iCs/>
                            <w:sz w:val="22"/>
                            <w:szCs w:val="22"/>
                          </w:rPr>
                          <w:t>110 437</w:t>
                        </w:r>
                      </w:p>
                      <w:p>
                        <w:pPr>
                          <w:jc w:val="center"/>
                          <w:rPr>
                            <w:rFonts w:eastAsia="Calibri"/>
                            <w:iCs/>
                            <w:sz w:val="22"/>
                            <w:szCs w:val="22"/>
                          </w:rPr>
                        </w:pPr>
                        <w:r>
                          <w:rPr>
                            <w:rFonts w:eastAsia="Calibri"/>
                            <w:iCs/>
                            <w:sz w:val="22"/>
                            <w:szCs w:val="22"/>
                          </w:rPr>
                          <w:t>166 984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P2-1.1.2. Mėgėjų ir meno kolektyvų populiarumas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23/647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P3-1.1.2. Dalyvavimas respublikiniuose ir regioniniuose konkursuose, festivaliuose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19</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1.1.3. Ugdyti visuomenės sąmoningumą, pilietiškumą, skatinant verslo, švietimo, NVO, kultūros ir mokslo bendradarbiavimą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P1-1.1.3. Mokiniai, savanoriai, dalyvaujantys miesto veiklose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p>
                        <w:pPr>
                          <w:jc w:val="center"/>
                          <w:rPr>
                            <w:rFonts w:eastAsia="Calibri"/>
                            <w:iCs/>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P2-1.1.3. Aktyvios bendradarbiavimo sutartys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71,4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P3-1.1.3. Mokinių socialinių kompetencijų ugdymas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p>
                        <w:pPr>
                          <w:jc w:val="both"/>
                          <w:rPr>
                            <w:rFonts w:eastAsia="Calibri"/>
                            <w:iCs/>
                            <w:sz w:val="22"/>
                            <w:szCs w:val="22"/>
                          </w:rPr>
                        </w:pPr>
                        <w:r>
                          <w:rPr>
                            <w:color w:val="000000"/>
                            <w:kern w:val="2"/>
                            <w:sz w:val="22"/>
                            <w:szCs w:val="22"/>
                            <w:lang w:eastAsia="lt-LT"/>
                          </w:rPr>
                          <w:t xml:space="preserve">(Aktyvių bendradarbiavimo su įmonėmis sutarčių skaičius, pagal kurias mokiniai gali atlikti praktiką </w:t>
                        </w:r>
                        <w:r>
                          <w:rPr>
                            <w:kern w:val="2"/>
                            <w:sz w:val="22"/>
                            <w:szCs w:val="22"/>
                            <w:lang w:eastAsia="lt-LT"/>
                          </w:rPr>
                          <w:t>(intensyvus profesinis veiklinimas) įmonėse.)</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35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Cs w:val="24"/>
                          </w:rPr>
                        </w:pPr>
                        <w:r>
                          <w:rPr>
                            <w:rFonts w:eastAsia="Calibri"/>
                            <w:iCs/>
                            <w:szCs w:val="24"/>
                          </w:rPr>
                          <w:t>1.2. Kurti modernią kūno kultūros ir sveikatos sistemą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E1-1.2. Neorganizuotai sportuojantys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2"/>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E2-1.2. Gyventojų sergamumas:</w:t>
                        </w:r>
                      </w:p>
                      <w:p>
                        <w:pPr>
                          <w:ind w:firstLine="171"/>
                          <w:rPr>
                            <w:rFonts w:eastAsia="Calibri"/>
                            <w:i/>
                            <w:sz w:val="22"/>
                            <w:szCs w:val="22"/>
                          </w:rPr>
                        </w:pPr>
                        <w:r>
                          <w:rPr>
                            <w:rFonts w:eastAsia="Calibri"/>
                            <w:i/>
                            <w:sz w:val="22"/>
                            <w:szCs w:val="22"/>
                          </w:rPr>
                          <w:t>Standartizuotas miesto gyventojų mirtingumas nuo piktybinių navikų.</w:t>
                        </w:r>
                      </w:p>
                      <w:p>
                        <w:pPr>
                          <w:ind w:firstLine="171"/>
                          <w:rPr>
                            <w:rFonts w:eastAsia="Calibri"/>
                            <w:i/>
                            <w:sz w:val="22"/>
                            <w:szCs w:val="22"/>
                          </w:rPr>
                        </w:pPr>
                        <w:r>
                          <w:rPr>
                            <w:rFonts w:eastAsia="Calibri"/>
                            <w:i/>
                            <w:sz w:val="22"/>
                            <w:szCs w:val="22"/>
                          </w:rPr>
                          <w:t>Standartizuotas miesto gyventojų mirtingumas nuo cerebrovaskulinių ligų.</w:t>
                        </w:r>
                      </w:p>
                      <w:p>
                        <w:pPr>
                          <w:ind w:firstLine="171"/>
                          <w:rPr>
                            <w:rFonts w:eastAsia="Calibri"/>
                            <w:iCs/>
                            <w:sz w:val="22"/>
                            <w:szCs w:val="22"/>
                          </w:rPr>
                        </w:pPr>
                        <w:r>
                          <w:rPr>
                            <w:rFonts w:eastAsia="Calibri"/>
                            <w:i/>
                            <w:sz w:val="22"/>
                            <w:szCs w:val="22"/>
                          </w:rPr>
                          <w:t>Standartizuotas miesto gyventojų mirtingumas nuo kraujotakos sist. ligų.</w:t>
                        </w:r>
                      </w:p>
                    </w:tc>
                    <w:tc>
                      <w:tcPr>
                        <w:tcW w:w="141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r>
                          <w:rPr>
                            <w:rFonts w:eastAsia="Calibri"/>
                            <w:iCs/>
                            <w:sz w:val="22"/>
                            <w:szCs w:val="22"/>
                          </w:rPr>
                          <w:t>vnt./ 100000 gyv.</w:t>
                        </w:r>
                      </w:p>
                      <w:p>
                        <w:pPr>
                          <w:jc w:val="center"/>
                          <w:rPr>
                            <w:rFonts w:eastAsia="Calibri"/>
                            <w:iCs/>
                            <w:sz w:val="22"/>
                            <w:szCs w:val="22"/>
                          </w:rPr>
                        </w:pPr>
                      </w:p>
                      <w:p>
                        <w:pPr>
                          <w:jc w:val="center"/>
                          <w:rPr>
                            <w:rFonts w:eastAsia="Calibri"/>
                            <w:iCs/>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r>
                          <w:rPr>
                            <w:rFonts w:eastAsia="Calibri"/>
                            <w:iCs/>
                            <w:sz w:val="22"/>
                            <w:szCs w:val="22"/>
                          </w:rPr>
                          <w:t>310,39</w:t>
                        </w:r>
                      </w:p>
                      <w:p>
                        <w:pPr>
                          <w:rPr>
                            <w:rFonts w:eastAsia="Calibri"/>
                            <w:iCs/>
                            <w:sz w:val="22"/>
                            <w:szCs w:val="22"/>
                          </w:rPr>
                        </w:pPr>
                      </w:p>
                      <w:p>
                        <w:pPr>
                          <w:jc w:val="center"/>
                          <w:rPr>
                            <w:rFonts w:eastAsia="Calibri"/>
                            <w:iCs/>
                            <w:sz w:val="22"/>
                            <w:szCs w:val="22"/>
                          </w:rPr>
                        </w:pPr>
                        <w:r>
                          <w:rPr>
                            <w:rFonts w:eastAsia="Calibri"/>
                            <w:iCs/>
                            <w:sz w:val="22"/>
                            <w:szCs w:val="22"/>
                          </w:rPr>
                          <w:t>214,35</w:t>
                        </w:r>
                      </w:p>
                      <w:p>
                        <w:pPr>
                          <w:jc w:val="center"/>
                          <w:rPr>
                            <w:rFonts w:eastAsia="Calibri"/>
                            <w:iCs/>
                            <w:sz w:val="22"/>
                            <w:szCs w:val="22"/>
                          </w:rPr>
                        </w:pPr>
                      </w:p>
                      <w:p>
                        <w:pPr>
                          <w:jc w:val="center"/>
                          <w:rPr>
                            <w:rFonts w:eastAsia="Calibri"/>
                            <w:iCs/>
                            <w:sz w:val="22"/>
                            <w:szCs w:val="22"/>
                          </w:rPr>
                        </w:pPr>
                        <w:r>
                          <w:rPr>
                            <w:rFonts w:eastAsia="Calibri"/>
                            <w:iCs/>
                            <w:sz w:val="22"/>
                            <w:szCs w:val="22"/>
                          </w:rPr>
                          <w:t>714,60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1.2.1. Formuoti bendruomenės narių sveiką gyvenseną ir jos kultūrą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P1-1.2.1. Neįgaliųjų įtraukimas į sportinę veiklą</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3,9</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P2-1.2.1. Sportinėje veikloje dalyvaujantys gyventojai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1.2.2. Plėtoti aukšto meistriškumo sportininkų rengimo sistemą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P1-1.2.2. Sportininkai, dalyvaujantys tarptautiniuose čempionatuose, varžybose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167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P2-1.2.2. Sportininkai, dalyvaujantys parolimpinėse žaidynėse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1.2.3. Užtikrinti tolygias, prieinamas ambulatorines asmens sveikatos priežiūros paslaugas</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P1-1.2.3. Sveikatos priežiūros paslaugų laukimo eilė:</w:t>
                        </w:r>
                      </w:p>
                      <w:p>
                        <w:pPr>
                          <w:ind w:firstLine="171"/>
                          <w:rPr>
                            <w:rFonts w:eastAsia="Calibri"/>
                            <w:i/>
                            <w:sz w:val="22"/>
                            <w:szCs w:val="22"/>
                          </w:rPr>
                        </w:pPr>
                        <w:r>
                          <w:rPr>
                            <w:rFonts w:eastAsia="Calibri"/>
                            <w:i/>
                            <w:sz w:val="22"/>
                            <w:szCs w:val="22"/>
                          </w:rPr>
                          <w:t>Gydytojų specialistų teikiamų paslaugų laukimo vidutinė trukmė;</w:t>
                        </w:r>
                      </w:p>
                      <w:p>
                        <w:pPr>
                          <w:ind w:firstLine="171"/>
                          <w:rPr>
                            <w:rFonts w:eastAsia="Calibri"/>
                            <w:i/>
                            <w:sz w:val="22"/>
                            <w:szCs w:val="22"/>
                          </w:rPr>
                        </w:pPr>
                        <w:r>
                          <w:rPr>
                            <w:rFonts w:eastAsia="Calibri"/>
                            <w:i/>
                            <w:sz w:val="22"/>
                            <w:szCs w:val="22"/>
                          </w:rPr>
                          <w:t>Pirminės ambulatorinės asmens sveikatos priežiūros gydytojų teikiamų paslaugų laukimo vidutinė trukmė.</w:t>
                        </w:r>
                      </w:p>
                    </w:tc>
                    <w:tc>
                      <w:tcPr>
                        <w:tcW w:w="141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d.</w:t>
                        </w:r>
                      </w:p>
                      <w:p>
                        <w:pPr>
                          <w:rPr>
                            <w:rFonts w:eastAsia="Calibri"/>
                            <w:iCs/>
                            <w:sz w:val="22"/>
                            <w:szCs w:val="22"/>
                          </w:rPr>
                        </w:pPr>
                      </w:p>
                      <w:p>
                        <w:pPr>
                          <w:jc w:val="center"/>
                          <w:rPr>
                            <w:rFonts w:eastAsia="Calibri"/>
                            <w:iCs/>
                            <w:sz w:val="22"/>
                            <w:szCs w:val="22"/>
                          </w:rPr>
                        </w:pPr>
                        <w:r>
                          <w:rPr>
                            <w:rFonts w:eastAsia="Calibri"/>
                            <w:iCs/>
                            <w:sz w:val="22"/>
                            <w:szCs w:val="22"/>
                          </w:rPr>
                          <w:t>d.</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rPr>
                            <w:rFonts w:eastAsia="Calibri"/>
                            <w:iCs/>
                            <w:sz w:val="22"/>
                            <w:szCs w:val="22"/>
                          </w:rPr>
                        </w:pPr>
                      </w:p>
                      <w:p>
                        <w:pPr>
                          <w:jc w:val="center"/>
                          <w:rPr>
                            <w:rFonts w:eastAsia="Calibri"/>
                            <w:iCs/>
                            <w:sz w:val="22"/>
                            <w:szCs w:val="22"/>
                          </w:rPr>
                        </w:pPr>
                        <w:r>
                          <w:rPr>
                            <w:rFonts w:eastAsia="Calibri"/>
                            <w:iCs/>
                            <w:sz w:val="22"/>
                            <w:szCs w:val="22"/>
                          </w:rPr>
                          <w:t>25</w:t>
                        </w:r>
                      </w:p>
                      <w:p>
                        <w:pPr>
                          <w:rPr>
                            <w:rFonts w:eastAsia="Calibri"/>
                            <w:iCs/>
                            <w:sz w:val="22"/>
                            <w:szCs w:val="22"/>
                          </w:rPr>
                        </w:pPr>
                      </w:p>
                      <w:p>
                        <w:pPr>
                          <w:jc w:val="center"/>
                          <w:rPr>
                            <w:rFonts w:eastAsia="Calibri"/>
                            <w:iCs/>
                            <w:sz w:val="22"/>
                            <w:szCs w:val="22"/>
                          </w:rPr>
                        </w:pPr>
                        <w:r>
                          <w:rPr>
                            <w:rFonts w:eastAsia="Calibri"/>
                            <w:iCs/>
                            <w:sz w:val="22"/>
                            <w:szCs w:val="22"/>
                          </w:rPr>
                          <w:t>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P2-1.2.3. Atvykę į Šiaulius dirbti gydytojai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13</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color w:val="808080"/>
                            <w:szCs w:val="24"/>
                          </w:rPr>
                        </w:pPr>
                        <w:r>
                          <w:rPr>
                            <w:rFonts w:eastAsia="Calibri"/>
                            <w:iCs/>
                            <w:szCs w:val="24"/>
                          </w:rPr>
                          <w:t>1.3.</w:t>
                        </w:r>
                        <w:r>
                          <w:rPr>
                            <w:kern w:val="2"/>
                            <w:szCs w:val="24"/>
                          </w:rPr>
                          <w:t xml:space="preserve"> </w:t>
                        </w:r>
                        <w:r>
                          <w:rPr>
                            <w:rFonts w:eastAsia="Calibri"/>
                            <w:iCs/>
                            <w:szCs w:val="24"/>
                          </w:rPr>
                          <w:t>Kurti saugią socialinę aplinką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E1-1.3. Nestacionarių paslaugų gavėjai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 xml:space="preserve">vnt.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129</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E2- 1.3. Stacionariose socialinės globos įstaigose teikiamų paslaugų gavėjai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58</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E3-1.3. Socialinę atskirtį patiriančių asmenų integracijos apimtys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3</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E4- 1.3. Lėšos, skirtos socialinei paramai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tūkst. Eur.</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2 321,1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1.3.1. Kurti šeimai palankią aplinką, galimybes derinti pareigas šeimai/ asmeniui ir darbui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P1- 1.3.1. Socialinės rizikos šeimos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5,9</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P2- 1.3.1. Globos namuose augantys vaikai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100</w:t>
                        </w:r>
                      </w:p>
                      <w:p>
                        <w:pPr>
                          <w:jc w:val="center"/>
                          <w:rPr>
                            <w:rFonts w:eastAsia="Calibri"/>
                            <w:iCs/>
                            <w:sz w:val="22"/>
                            <w:szCs w:val="22"/>
                          </w:rPr>
                        </w:pPr>
                        <w:r>
                          <w:rPr>
                            <w:rFonts w:eastAsia="Calibri"/>
                            <w:iCs/>
                            <w:sz w:val="22"/>
                            <w:szCs w:val="22"/>
                          </w:rPr>
                          <w:t>(86 vaikai)</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P3- 1.3.1. Smurtą artimoje aplinkoje patiriantys asmenys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30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P4- 1.3.1. Darbingo amžiaus asmenys, nedirbantys dėl savo artimųjų slaugymo</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p>
                        <w:pPr>
                          <w:spacing w:line="259" w:lineRule="auto"/>
                          <w:jc w:val="both"/>
                          <w:rPr>
                            <w:color w:val="000000"/>
                            <w:kern w:val="2"/>
                            <w:sz w:val="22"/>
                            <w:szCs w:val="22"/>
                            <w:lang w:eastAsia="lt-LT"/>
                          </w:rPr>
                        </w:pPr>
                        <w:r>
                          <w:rPr>
                            <w:color w:val="000000"/>
                            <w:kern w:val="2"/>
                            <w:sz w:val="22"/>
                            <w:szCs w:val="22"/>
                            <w:lang w:eastAsia="lt-LT"/>
                          </w:rPr>
                          <w:t xml:space="preserve">(Darbingo amžiaus asmenų, nedirbančių dėl savo artimųjų slaugymo </w:t>
                        </w:r>
                        <w:r>
                          <w:rPr>
                            <w:kern w:val="2"/>
                            <w:sz w:val="22"/>
                            <w:szCs w:val="22"/>
                            <w:lang w:eastAsia="lt-LT"/>
                          </w:rPr>
                          <w:t>ir gaunančių socialinę pašalpą</w:t>
                        </w:r>
                        <w:r>
                          <w:rPr>
                            <w:color w:val="000000"/>
                            <w:kern w:val="2"/>
                            <w:sz w:val="22"/>
                            <w:szCs w:val="22"/>
                            <w:lang w:eastAsia="lt-LT"/>
                          </w:rPr>
                          <w:t xml:space="preserve"> skaičiaus pokytis lyginant su praėjusiais metais.)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1.3.2. Užtikrinti vaikų raidos sutrikimų ankstyvosios reabilitacijos ir abilitacijos prieinamumą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P1- 1.3.2. Kompleksines paslaugas gavusių neįgaliųjų ar specialiųjų poreikių vaikai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100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2"/>
                            <w:szCs w:val="22"/>
                          </w:rPr>
                        </w:pPr>
                        <w:r>
                          <w:rPr>
                            <w:rFonts w:eastAsia="Calibri"/>
                            <w:iCs/>
                            <w:sz w:val="22"/>
                            <w:szCs w:val="22"/>
                          </w:rPr>
                          <w:t>Stabilizuoti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Cs w:val="24"/>
                          </w:rPr>
                        </w:pPr>
                        <w:r>
                          <w:rPr>
                            <w:rFonts w:eastAsia="Calibri"/>
                            <w:iCs/>
                            <w:szCs w:val="24"/>
                          </w:rPr>
                          <w:t>2.1. Suformuoti ir išlaikyti palankią aplinką investicijų atėjimui Šiaulių mieste</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E1-2.1. Materialinės investicijos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Eur./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2 184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E2-2.1. Smulkių ir vidutinių įmonių apyvarta</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Eur./10000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298 078,5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E3-2.1. Aukštomis technologijomis pagrįsta gamyba</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E3-2.1. Registruoti bedarbiai ir darbingo amžiaus gyventojai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5,7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Stabilizuoti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2.1.1. Optimizuoti verslo koordinavimo sistemą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P1-2.1.1. Struktūrinis nedarbo lygis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0"/>
                          </w:rPr>
                        </w:pPr>
                        <w:r>
                          <w:rPr>
                            <w:rFonts w:eastAsia="Calibri"/>
                            <w:iCs/>
                            <w:sz w:val="20"/>
                          </w:rPr>
                          <w:t>16-24 m. – 21%</w:t>
                        </w:r>
                      </w:p>
                      <w:p>
                        <w:pPr>
                          <w:jc w:val="center"/>
                          <w:rPr>
                            <w:rFonts w:eastAsia="Calibri"/>
                            <w:iCs/>
                            <w:sz w:val="20"/>
                          </w:rPr>
                        </w:pPr>
                        <w:r>
                          <w:rPr>
                            <w:rFonts w:eastAsia="Calibri"/>
                            <w:iCs/>
                            <w:sz w:val="20"/>
                          </w:rPr>
                          <w:t>25-29 m. – 13%</w:t>
                        </w:r>
                      </w:p>
                      <w:p>
                        <w:pPr>
                          <w:jc w:val="center"/>
                          <w:rPr>
                            <w:rFonts w:eastAsia="Calibri"/>
                            <w:iCs/>
                            <w:sz w:val="20"/>
                          </w:rPr>
                        </w:pPr>
                        <w:r>
                          <w:rPr>
                            <w:rFonts w:eastAsia="Calibri"/>
                            <w:iCs/>
                            <w:sz w:val="20"/>
                          </w:rPr>
                          <w:t>30-49 m. – 41%</w:t>
                        </w:r>
                      </w:p>
                      <w:p>
                        <w:pPr>
                          <w:rPr>
                            <w:rFonts w:eastAsia="Calibri"/>
                            <w:iCs/>
                            <w:sz w:val="20"/>
                          </w:rPr>
                        </w:pPr>
                        <w:r>
                          <w:rPr>
                            <w:rFonts w:eastAsia="Calibri"/>
                            <w:iCs/>
                            <w:sz w:val="20"/>
                          </w:rPr>
                          <w:t>Virš 50 m. -25%</w:t>
                        </w:r>
                      </w:p>
                      <w:p>
                        <w:pPr>
                          <w:jc w:val="center"/>
                          <w:rPr>
                            <w:rFonts w:eastAsia="Calibri"/>
                            <w:iCs/>
                            <w:sz w:val="20"/>
                          </w:rPr>
                        </w:pPr>
                      </w:p>
                      <w:p>
                        <w:pPr>
                          <w:jc w:val="both"/>
                          <w:rPr>
                            <w:rFonts w:eastAsia="Calibri"/>
                            <w:iCs/>
                            <w:sz w:val="20"/>
                          </w:rPr>
                        </w:pPr>
                        <w:r>
                          <w:rPr>
                            <w:rFonts w:eastAsia="Calibri"/>
                            <w:iCs/>
                            <w:sz w:val="20"/>
                          </w:rPr>
                          <w:t>Specialistai – 15,3 / 17,9%</w:t>
                        </w:r>
                      </w:p>
                      <w:p>
                        <w:pPr>
                          <w:jc w:val="both"/>
                          <w:rPr>
                            <w:rFonts w:eastAsia="Calibri"/>
                            <w:iCs/>
                            <w:sz w:val="20"/>
                          </w:rPr>
                        </w:pPr>
                        <w:r>
                          <w:rPr>
                            <w:rFonts w:eastAsia="Calibri"/>
                            <w:iCs/>
                            <w:sz w:val="20"/>
                          </w:rPr>
                          <w:t>Kvalifikuoti darbininkai – 33,8 / 57,0%</w:t>
                        </w:r>
                      </w:p>
                      <w:p>
                        <w:pPr>
                          <w:jc w:val="both"/>
                          <w:rPr>
                            <w:rFonts w:eastAsia="Calibri"/>
                            <w:iCs/>
                            <w:sz w:val="20"/>
                          </w:rPr>
                        </w:pPr>
                        <w:r>
                          <w:rPr>
                            <w:rFonts w:eastAsia="Calibri"/>
                            <w:iCs/>
                            <w:sz w:val="20"/>
                          </w:rPr>
                          <w:t>Nekvalifikuoti darbininkai – 50,8 / 25,1%</w:t>
                        </w:r>
                      </w:p>
                      <w:p>
                        <w:pPr>
                          <w:jc w:val="both"/>
                          <w:rPr>
                            <w:rFonts w:eastAsia="Calibri"/>
                            <w:iCs/>
                            <w:sz w:val="20"/>
                          </w:rPr>
                        </w:pPr>
                        <w:r>
                          <w:rPr>
                            <w:rFonts w:eastAsia="Calibri"/>
                            <w:iCs/>
                            <w:sz w:val="20"/>
                          </w:rPr>
                          <w:t>Užimtumo tarnyba tokių duomenų nebepateikia</w:t>
                        </w:r>
                      </w:p>
                      <w:p>
                        <w:pPr>
                          <w:jc w:val="both"/>
                          <w:rPr>
                            <w:rFonts w:eastAsia="Calibri"/>
                            <w:iCs/>
                            <w:sz w:val="20"/>
                          </w:rPr>
                        </w:pPr>
                        <w:r>
                          <w:rPr>
                            <w:rFonts w:eastAsia="Calibri"/>
                            <w:iCs/>
                            <w:sz w:val="20"/>
                          </w:rPr>
                          <w:t>19-29 m. ir virš 50 m. asmenų grupių palyginti neįmanoma dėl trūkstamų duomenų.</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kern w:val="2"/>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P2-2.1.1. Įtraukti subjektai į vieningą verslo sistemą</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36</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
                            <w:color w:val="808080"/>
                            <w:sz w:val="20"/>
                            <w:szCs w:val="22"/>
                          </w:rPr>
                        </w:pPr>
                        <w:r>
                          <w:rPr>
                            <w:rFonts w:eastAsia="Calibri"/>
                            <w:iCs/>
                            <w:sz w:val="22"/>
                            <w:szCs w:val="22"/>
                          </w:rPr>
                          <w:t>2.1.2. Padidinti miesto investicinį patrauklumą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P1-2.1.2. Pritraukti investuotojai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P2-2.1.2. Vietinės investicijos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Eur./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1 339,8</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2.1.3. Gerinti viešųjų paslaugų verslui procesus</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P1-2.1.3. Verslui išduodami leidimai el. būdu</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P2-2.1.3. Bendradarbiavimas gerinant sąlygas verslui:</w:t>
                        </w:r>
                      </w:p>
                      <w:p>
                        <w:pPr>
                          <w:ind w:firstLine="171"/>
                          <w:rPr>
                            <w:rFonts w:eastAsia="Calibri"/>
                            <w:i/>
                            <w:sz w:val="22"/>
                            <w:szCs w:val="22"/>
                          </w:rPr>
                        </w:pPr>
                        <w:r>
                          <w:rPr>
                            <w:rFonts w:eastAsia="Calibri"/>
                            <w:i/>
                            <w:sz w:val="22"/>
                            <w:szCs w:val="22"/>
                          </w:rPr>
                          <w:t>Naujai įregistruotų juridinių asmenų skaičiaus pokytis lyginant su praėjusiais metais;</w:t>
                        </w:r>
                      </w:p>
                      <w:p>
                        <w:pPr>
                          <w:ind w:firstLine="171"/>
                          <w:rPr>
                            <w:rFonts w:eastAsia="Calibri"/>
                            <w:i/>
                            <w:sz w:val="22"/>
                            <w:szCs w:val="22"/>
                          </w:rPr>
                        </w:pPr>
                        <w:r>
                          <w:rPr>
                            <w:rFonts w:eastAsia="Calibri"/>
                            <w:i/>
                            <w:sz w:val="22"/>
                            <w:szCs w:val="22"/>
                          </w:rPr>
                          <w:t>Išregistruotų juridinių asmenų skaičiaus pokytis lyginant su praėjusiais metais.</w:t>
                        </w:r>
                      </w:p>
                    </w:tc>
                    <w:tc>
                      <w:tcPr>
                        <w:tcW w:w="141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proc.</w:t>
                        </w:r>
                      </w:p>
                      <w:p>
                        <w:pP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-18,5</w:t>
                        </w:r>
                      </w:p>
                      <w:p>
                        <w:pPr>
                          <w:jc w:val="center"/>
                          <w:rPr>
                            <w:rFonts w:eastAsia="Calibri"/>
                            <w:iCs/>
                            <w:sz w:val="22"/>
                            <w:szCs w:val="22"/>
                          </w:rPr>
                        </w:pPr>
                      </w:p>
                      <w:p>
                        <w:pPr>
                          <w:rPr>
                            <w:rFonts w:eastAsia="Calibri"/>
                            <w:iCs/>
                            <w:sz w:val="22"/>
                            <w:szCs w:val="22"/>
                          </w:rPr>
                        </w:pPr>
                      </w:p>
                      <w:p>
                        <w:pPr>
                          <w:jc w:val="center"/>
                          <w:rPr>
                            <w:rFonts w:eastAsia="Calibri"/>
                            <w:iCs/>
                            <w:sz w:val="22"/>
                            <w:szCs w:val="22"/>
                          </w:rPr>
                        </w:pPr>
                        <w:r>
                          <w:rPr>
                            <w:rFonts w:eastAsia="Calibri"/>
                            <w:iCs/>
                            <w:sz w:val="22"/>
                            <w:szCs w:val="22"/>
                          </w:rPr>
                          <w:t>32,6</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Didinti</w:t>
                        </w:r>
                      </w:p>
                      <w:p>
                        <w:pPr>
                          <w:jc w:val="center"/>
                          <w:rPr>
                            <w:rFonts w:eastAsia="Calibri"/>
                            <w:iCs/>
                            <w:sz w:val="22"/>
                            <w:szCs w:val="22"/>
                          </w:rPr>
                        </w:pPr>
                      </w:p>
                      <w:p>
                        <w:pPr>
                          <w:jc w:val="center"/>
                          <w:rPr>
                            <w:rFonts w:eastAsia="Calibri"/>
                            <w:iCs/>
                            <w:color w:val="808080"/>
                            <w:sz w:val="22"/>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P3-2.1.3. Įmonių parama studentams:</w:t>
                        </w:r>
                      </w:p>
                      <w:p>
                        <w:pPr>
                          <w:ind w:firstLine="171"/>
                          <w:rPr>
                            <w:rFonts w:eastAsia="Calibri"/>
                            <w:i/>
                            <w:sz w:val="22"/>
                            <w:szCs w:val="22"/>
                          </w:rPr>
                        </w:pPr>
                        <w:r>
                          <w:rPr>
                            <w:rFonts w:eastAsia="Calibri"/>
                            <w:i/>
                            <w:sz w:val="22"/>
                            <w:szCs w:val="22"/>
                          </w:rPr>
                          <w:t>Stipendijų suma, kurias skiria įmonės skaičius lyginant su praėjusiais metais;</w:t>
                        </w:r>
                      </w:p>
                      <w:p>
                        <w:pPr>
                          <w:ind w:firstLine="171"/>
                          <w:rPr>
                            <w:rFonts w:eastAsia="Calibri"/>
                            <w:i/>
                            <w:sz w:val="22"/>
                            <w:szCs w:val="22"/>
                          </w:rPr>
                        </w:pPr>
                        <w:r>
                          <w:rPr>
                            <w:rFonts w:eastAsia="Calibri"/>
                            <w:i/>
                            <w:sz w:val="22"/>
                            <w:szCs w:val="22"/>
                          </w:rPr>
                          <w:t>Įmonių skaičius, kurios skiria stipendijas.</w:t>
                        </w:r>
                      </w:p>
                    </w:tc>
                    <w:tc>
                      <w:tcPr>
                        <w:tcW w:w="141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r>
                          <w:rPr>
                            <w:rFonts w:eastAsia="Calibri"/>
                            <w:iCs/>
                            <w:sz w:val="22"/>
                            <w:szCs w:val="22"/>
                          </w:rPr>
                          <w:t>Eur</w:t>
                        </w:r>
                      </w:p>
                      <w:p>
                        <w:pPr>
                          <w:jc w:val="center"/>
                          <w:rPr>
                            <w:rFonts w:eastAsia="Calibri"/>
                            <w:iCs/>
                            <w:sz w:val="22"/>
                            <w:szCs w:val="22"/>
                          </w:rPr>
                        </w:pPr>
                      </w:p>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r>
                          <w:rPr>
                            <w:rFonts w:eastAsia="Calibri"/>
                            <w:iCs/>
                            <w:sz w:val="22"/>
                            <w:szCs w:val="22"/>
                          </w:rPr>
                          <w:t>542,4</w:t>
                        </w:r>
                      </w:p>
                      <w:p>
                        <w:pPr>
                          <w:rPr>
                            <w:rFonts w:eastAsia="Calibri"/>
                            <w:iCs/>
                            <w:sz w:val="22"/>
                            <w:szCs w:val="22"/>
                          </w:rPr>
                        </w:pPr>
                      </w:p>
                      <w:p>
                        <w:pPr>
                          <w:jc w:val="center"/>
                          <w:rPr>
                            <w:rFonts w:eastAsia="Calibri"/>
                            <w:iCs/>
                            <w:sz w:val="22"/>
                            <w:szCs w:val="22"/>
                          </w:rPr>
                        </w:pPr>
                        <w:r>
                          <w:rPr>
                            <w:rFonts w:eastAsia="Calibri"/>
                            <w:iCs/>
                            <w:sz w:val="22"/>
                            <w:szCs w:val="22"/>
                          </w:rPr>
                          <w:t>2</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r>
                          <w:rPr>
                            <w:rFonts w:eastAsia="Calibri"/>
                            <w:iCs/>
                            <w:sz w:val="22"/>
                            <w:szCs w:val="22"/>
                          </w:rPr>
                          <w:t>Stabilizuoti</w:t>
                        </w:r>
                      </w:p>
                      <w:p>
                        <w:pPr>
                          <w:jc w:val="center"/>
                          <w:rPr>
                            <w:rFonts w:eastAsia="Calibri"/>
                            <w:iCs/>
                            <w:sz w:val="22"/>
                            <w:szCs w:val="22"/>
                          </w:rPr>
                        </w:pPr>
                      </w:p>
                      <w:p>
                        <w:pPr>
                          <w:jc w:val="center"/>
                          <w:rPr>
                            <w:rFonts w:eastAsia="Calibri"/>
                            <w:iCs/>
                            <w:color w:val="808080"/>
                            <w:sz w:val="22"/>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P4-2.1.3. Verslui teikiamų paslaugų trukmė Savivaldybėje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d.</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Cs/>
                            <w:sz w:val="20"/>
                          </w:rPr>
                        </w:pPr>
                        <w:r>
                          <w:rPr>
                            <w:rFonts w:eastAsia="Calibri"/>
                            <w:iCs/>
                            <w:sz w:val="20"/>
                          </w:rPr>
                          <w:t>Leidimai ir licencijos - 0,26 d. d.</w:t>
                        </w:r>
                      </w:p>
                      <w:p>
                        <w:pPr>
                          <w:jc w:val="both"/>
                          <w:rPr>
                            <w:rFonts w:eastAsia="Calibri"/>
                            <w:iCs/>
                            <w:sz w:val="22"/>
                            <w:szCs w:val="22"/>
                          </w:rPr>
                        </w:pPr>
                        <w:r>
                          <w:rPr>
                            <w:rFonts w:eastAsia="Calibri"/>
                            <w:iCs/>
                            <w:sz w:val="20"/>
                          </w:rPr>
                          <w:t>Pažyma apie valstybinės žemės nuomos mokestį – 4 d.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2"/>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color w:val="808080"/>
                            <w:sz w:val="22"/>
                            <w:szCs w:val="22"/>
                          </w:rPr>
                        </w:pPr>
                        <w:r>
                          <w:rPr>
                            <w:rFonts w:eastAsia="Calibri"/>
                            <w:iCs/>
                            <w:sz w:val="22"/>
                            <w:szCs w:val="22"/>
                          </w:rPr>
                          <w:t>2.2. Plėtoti pažintinį – kultūrinį ir kurti aktyvaus laisvalaikio turizmą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E1-2.2. TIC lankytojai (turistai) Šiaulių mieste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15 041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E2-2.2. Vidutinė turisto viešnagės trukmė</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d.</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2.2.1. Miesto įvaizdžio ir tapatybės stiprinimas plėtojant pažintinį – kultūrinį turizmą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P1-2.2.1. Sukurti nauji pažintinio – kultūrinio turizmo produktai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 xml:space="preserve">6 </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P2-2.2.1. Šiaulių miesto renginių lankytojai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2.2.2. Unikalių gamtinių sąlygų išnaudojimas vystant aktyvaus laisvalaikio turizmą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P1-2.2.2. Sukurti nauji aktyvaus laisvalaikio turizmo produktai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P2-2.2.2. Renginiai, iniciatyvos, veiklos ir pan., teikiamos paslaugos Šiaulių miesto rekreacinėse erdvėse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84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2.3. Teikti kokybiškas ir bendruomenės lūkesčius atitinkančias viešąsias paslaugas</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E1-2.3. Gyventojų pasitenkinimas Savivaldybės administracijos paslaugomis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indeksas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E2-2.3. Kitų institucijų ir įstaigų Savivaldybės veiklos įvertinimas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E3-2.3. Biudžeto asignavimai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Eur./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1 102,4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2.3.1. Sutelkti aukštos kultūrinės ir profesinės kompetencijos darbuotojų komandą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P1-2.3.1. Savivaldybės darbuotojų kvalifikacijos tobulinimas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val./ etatui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4 val./</w:t>
                        </w:r>
                      </w:p>
                      <w:p>
                        <w:pPr>
                          <w:jc w:val="center"/>
                          <w:rPr>
                            <w:rFonts w:eastAsia="Calibri"/>
                            <w:iCs/>
                            <w:sz w:val="22"/>
                            <w:szCs w:val="22"/>
                          </w:rPr>
                        </w:pPr>
                        <w:r>
                          <w:rPr>
                            <w:rFonts w:eastAsia="Calibri"/>
                            <w:iCs/>
                            <w:sz w:val="22"/>
                            <w:szCs w:val="22"/>
                          </w:rPr>
                          <w:t>darbuotojui</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2.3.2. Išvystyti visiems prieinamas, kokybiškas viešąsias paslaugas, pasitelkiant informacines technologijas</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P1-2.3.2. Elektroninės paslaugos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44,2</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P2-2.3.2. Interneto svetainės lankomumas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19,1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P3-2.3.2. Seimo kontrolierių įstaigai pateikti pagrįsti skundai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 1.000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0,24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P4-2.3.2. Vyriausybės atstovo motyvuoti teikimai ir reikalavimai Tarybai/ Administracijai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52</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2"/>
                            <w:szCs w:val="22"/>
                          </w:rPr>
                        </w:pPr>
                        <w:r>
                          <w:rPr>
                            <w:rFonts w:eastAsia="Calibri"/>
                            <w:iCs/>
                            <w:sz w:val="22"/>
                            <w:szCs w:val="22"/>
                          </w:rPr>
                          <w:t>Stabilizuoti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Cs w:val="24"/>
                          </w:rPr>
                        </w:pPr>
                        <w:r>
                          <w:rPr>
                            <w:rFonts w:eastAsia="Calibri"/>
                            <w:iCs/>
                            <w:szCs w:val="24"/>
                          </w:rPr>
                          <w:t>3.1. Vystyti ir puoselėti gyvenamąją ir viešąją aplinką, patrauklią gyventi, dirbti, tobulėti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E1-3.1. Šilumos energijos sunaudojimo efektyvumas Savivaldybės BĮ pastatuose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kw/m2</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90,6</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2"/>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E2-3.1. Sutvarkytų viešųjų erdvių dalis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6,5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3.1.1. Skatinti patogaus ir energetiškai efektyvaus būsto plėtrą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P1-3.1.1. Viešųjų erdvių pritaikymas neįgaliesiems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P2-3.1.1. Renovuoti daugiabučiai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4,1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3.1.2. Atnaujinti ir plėsti sporto objektų infrastruktūrą mieste</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P1-3.1.2. Šilumos energijos sunaudojimas sporto įstaigose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kw/m2</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69,5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3.1.3. Atnaujinti socialinių paslaugų įstaigų pastatus ir plėsti socialinio būsto fondą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P1-3.1.3. Šilumos energijos sunaudojimas socialinių paslaugų įstaigose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kw/m2</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71,6</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3.1.4. Gerinti sveikatos įstaigų infrastruktūrą ir didinti pastatų energetinį efektyvumą</w:t>
                          <w:tab/>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P1-3.1.4. Šilumos energijos sunaudojimas sveikatos įstaigose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kw/m2</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46,4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3.1.5. Didinti švietimo įstaigų pastatų energetinį efektyvumą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P1-3.1.5. Šilumos energijos sunaudojimas švietimo įstaigose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kw/m2</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93,2</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3.1.6. Didinti kultūros įstaigų pastatų energetinį efektyvumą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P1-3.1.6. Šilumos energijos sunaudojimas kultūros įstaigose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kw/m2</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82,7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3.1.7. Kryptingai ir racionaliai planuoti teritorijas, remiantis kaštų ir naudos analizės principu</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P1-3.1.7. Apleisti pastatai ir teritorijos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18</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
                            <w:color w:val="808080"/>
                            <w:sz w:val="20"/>
                            <w:szCs w:val="22"/>
                          </w:rPr>
                        </w:pPr>
                        <w:r>
                          <w:rPr>
                            <w:rFonts w:eastAsia="Calibri"/>
                            <w:iCs/>
                            <w:sz w:val="22"/>
                            <w:szCs w:val="22"/>
                          </w:rPr>
                          <w:t>3.1.8. Sutvarkyti viešąsias erdves, sudarant sąlygas klasikinės kultūros, sporto, rekreacijos plėtojimui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P1-3.1.8. Universalaus dizaino principo taikymas tvarkant naujas erdves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3.2. Sukurti ir išlaikyti patogią, draugišką aplinkai, visiems prieinamą ir saugią susisiekimo sistemą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E1-3.2. Individualių lengvųjų automobilių skaičius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vnt./1000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347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E2-3.2. Eismo įvykiai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144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3.2.1. Sukurti vieningą ir saugų susisiekimo tinklą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P1-3.2.1. Automobilių spūsčių miesto centre mažinimas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p>
                        <w:pPr>
                          <w:jc w:val="both"/>
                          <w:rPr>
                            <w:rFonts w:eastAsia="Calibri"/>
                            <w:iCs/>
                            <w:sz w:val="22"/>
                            <w:szCs w:val="22"/>
                          </w:rPr>
                        </w:pPr>
                        <w:r>
                          <w:rPr>
                            <w:rFonts w:eastAsia="Calibri"/>
                            <w:iCs/>
                            <w:sz w:val="22"/>
                            <w:szCs w:val="22"/>
                          </w:rPr>
                          <w:t>(</w:t>
                        </w:r>
                        <w:r>
                          <w:rPr>
                            <w:kern w:val="2"/>
                            <w:sz w:val="22"/>
                            <w:szCs w:val="22"/>
                            <w:lang w:eastAsia="lt-LT"/>
                          </w:rPr>
                          <w:t>Įrengtų aplinkkelių skaičius)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Stabilizuoti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P2-3.2.1. Gatvės padengtos asfalto danga</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53,4</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P3-3.2.1. Bendros sujungtos dviračių trasos ilgis:</w:t>
                        </w:r>
                      </w:p>
                      <w:p>
                        <w:pPr>
                          <w:ind w:firstLine="171"/>
                          <w:rPr>
                            <w:rFonts w:eastAsia="Calibri"/>
                            <w:i/>
                            <w:sz w:val="22"/>
                            <w:szCs w:val="22"/>
                          </w:rPr>
                        </w:pPr>
                        <w:r>
                          <w:rPr>
                            <w:rFonts w:eastAsia="Calibri"/>
                            <w:i/>
                            <w:sz w:val="22"/>
                            <w:szCs w:val="22"/>
                          </w:rPr>
                          <w:t>Įrengtos dviračių trasos ilgis;</w:t>
                        </w:r>
                      </w:p>
                      <w:p>
                        <w:pPr>
                          <w:ind w:firstLine="171"/>
                          <w:rPr>
                            <w:rFonts w:eastAsia="Calibri"/>
                            <w:i/>
                            <w:sz w:val="22"/>
                            <w:szCs w:val="22"/>
                          </w:rPr>
                        </w:pPr>
                        <w:r>
                          <w:rPr>
                            <w:rFonts w:eastAsia="Calibri"/>
                            <w:i/>
                            <w:sz w:val="22"/>
                            <w:szCs w:val="22"/>
                          </w:rPr>
                          <w:t>Sujungtos dviračių trasos ilgis.</w:t>
                        </w:r>
                      </w:p>
                    </w:tc>
                    <w:tc>
                      <w:tcPr>
                        <w:tcW w:w="141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km</w:t>
                        </w:r>
                      </w:p>
                      <w:p>
                        <w:pPr>
                          <w:jc w:val="center"/>
                          <w:rPr>
                            <w:rFonts w:eastAsia="Calibri"/>
                            <w:iCs/>
                            <w:sz w:val="22"/>
                            <w:szCs w:val="22"/>
                          </w:rPr>
                        </w:pPr>
                        <w:r>
                          <w:rPr>
                            <w:rFonts w:eastAsia="Calibri"/>
                            <w:iCs/>
                            <w:sz w:val="22"/>
                            <w:szCs w:val="22"/>
                          </w:rPr>
                          <w:t>km</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rPr>
                            <w:rFonts w:eastAsia="Calibri"/>
                            <w:iCs/>
                            <w:sz w:val="22"/>
                            <w:szCs w:val="22"/>
                          </w:rPr>
                        </w:pPr>
                      </w:p>
                      <w:p>
                        <w:pPr>
                          <w:jc w:val="center"/>
                          <w:rPr>
                            <w:rFonts w:eastAsia="Calibri"/>
                            <w:iCs/>
                            <w:sz w:val="22"/>
                            <w:szCs w:val="22"/>
                          </w:rPr>
                        </w:pPr>
                        <w:r>
                          <w:rPr>
                            <w:rFonts w:eastAsia="Calibri"/>
                            <w:iCs/>
                            <w:sz w:val="22"/>
                            <w:szCs w:val="22"/>
                          </w:rPr>
                          <w:t>61,1</w:t>
                        </w:r>
                      </w:p>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3.2.2. Mažinti transporto neigiamą poveikį aplinkai, kuriant tinkamą infrastruktūrą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P1-3.2.2. Elektromobilių naudojimas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3.2.3. Didinti visuomeninio transporto patrauklumą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P1-3.2.3. Pervežtų keleivių apimtys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p>
                        <w:pPr>
                          <w:jc w:val="both"/>
                          <w:rPr>
                            <w:rFonts w:eastAsia="Calibri"/>
                            <w:iCs/>
                            <w:sz w:val="22"/>
                            <w:szCs w:val="22"/>
                          </w:rPr>
                        </w:pPr>
                        <w:r>
                          <w:rPr>
                            <w:rFonts w:eastAsia="Calibri"/>
                            <w:iCs/>
                            <w:sz w:val="22"/>
                            <w:szCs w:val="22"/>
                          </w:rPr>
                          <w:t>(</w:t>
                        </w:r>
                        <w:r>
                          <w:rPr>
                            <w:color w:val="000000"/>
                            <w:kern w:val="2"/>
                            <w:sz w:val="22"/>
                            <w:szCs w:val="22"/>
                            <w:lang w:eastAsia="lt-LT"/>
                          </w:rPr>
                          <w:t>Pervežtų keleivių skaičiaus pokytis viešuoju transportu lyginant su praėjusiais metais)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-7,12</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3.3. Vystyti ir palaikyti saugią ir švarią aplinką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E1-3.3. Taršos lygis:</w:t>
                        </w:r>
                      </w:p>
                      <w:p>
                        <w:pPr>
                          <w:ind w:firstLine="171"/>
                          <w:rPr>
                            <w:rFonts w:eastAsia="Calibri"/>
                            <w:i/>
                            <w:sz w:val="22"/>
                            <w:szCs w:val="22"/>
                          </w:rPr>
                        </w:pPr>
                        <w:r>
                          <w:rPr>
                            <w:rFonts w:eastAsia="Calibri"/>
                            <w:i/>
                            <w:sz w:val="22"/>
                            <w:szCs w:val="22"/>
                          </w:rPr>
                          <w:t>Kietųjų dalelių skaičius: ribinių reikšmių viršijimas, skaičiuojamas nuo bendro stebėjimo objektų skaičiaus (neviršyta aplinkos oro užterštumo kietosiomis dalelėmis metinė ribinė vertė (40));</w:t>
                        </w:r>
                      </w:p>
                      <w:p>
                        <w:pPr>
                          <w:ind w:firstLine="171"/>
                          <w:rPr>
                            <w:rFonts w:eastAsia="Calibri"/>
                            <w:i/>
                            <w:sz w:val="22"/>
                            <w:szCs w:val="22"/>
                          </w:rPr>
                        </w:pPr>
                        <w:r>
                          <w:rPr>
                            <w:rFonts w:eastAsia="Calibri"/>
                            <w:i/>
                            <w:sz w:val="22"/>
                            <w:szCs w:val="22"/>
                          </w:rPr>
                          <w:t>Vandens kokybė: geriamojo vandens atitikimas higienos normoms;</w:t>
                        </w:r>
                      </w:p>
                      <w:p>
                        <w:pPr>
                          <w:ind w:firstLine="171"/>
                          <w:rPr>
                            <w:rFonts w:eastAsia="Calibri"/>
                            <w:i/>
                            <w:sz w:val="22"/>
                            <w:szCs w:val="22"/>
                          </w:rPr>
                        </w:pPr>
                        <w:r>
                          <w:rPr>
                            <w:rFonts w:eastAsia="Calibri"/>
                            <w:i/>
                            <w:sz w:val="22"/>
                            <w:szCs w:val="22"/>
                          </w:rPr>
                          <w:t>Nuotekų išvalymas: išleista nepakankamai išvalytų nuotekų dalis nuo visų išleistų nuotekų.</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μg/m³</w:t>
                        </w: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p>
                        <w:pP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proc.</w:t>
                        </w:r>
                      </w:p>
                      <w:p>
                        <w:pPr>
                          <w:rPr>
                            <w:rFonts w:eastAsia="Calibri"/>
                            <w:iCs/>
                            <w:sz w:val="22"/>
                            <w:szCs w:val="22"/>
                          </w:rPr>
                        </w:pPr>
                      </w:p>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21</w:t>
                        </w:r>
                      </w:p>
                      <w:p>
                        <w:pPr>
                          <w:jc w:val="center"/>
                          <w:rPr>
                            <w:rFonts w:eastAsia="Calibri"/>
                            <w:iCs/>
                            <w:sz w:val="22"/>
                            <w:szCs w:val="22"/>
                          </w:rPr>
                        </w:pPr>
                      </w:p>
                      <w:p>
                        <w:pPr>
                          <w:jc w:val="center"/>
                          <w:rPr>
                            <w:rFonts w:eastAsia="Calibri"/>
                            <w:iCs/>
                            <w:sz w:val="22"/>
                            <w:szCs w:val="22"/>
                          </w:rPr>
                        </w:pPr>
                      </w:p>
                      <w:p>
                        <w:pPr>
                          <w:rPr>
                            <w:rFonts w:eastAsia="Calibri"/>
                            <w:iCs/>
                            <w:sz w:val="22"/>
                            <w:szCs w:val="22"/>
                          </w:rPr>
                        </w:pP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Apie 60 proc.</w:t>
                        </w:r>
                      </w:p>
                      <w:p>
                        <w:pPr>
                          <w:jc w:val="center"/>
                          <w:rPr>
                            <w:rFonts w:eastAsia="Calibri"/>
                            <w:iCs/>
                            <w:sz w:val="22"/>
                            <w:szCs w:val="22"/>
                          </w:rPr>
                        </w:pPr>
                      </w:p>
                      <w:p>
                        <w:pPr>
                          <w:jc w:val="center"/>
                          <w:rPr>
                            <w:rFonts w:eastAsia="Calibri"/>
                            <w:iCs/>
                            <w:sz w:val="22"/>
                            <w:szCs w:val="22"/>
                          </w:rPr>
                        </w:pPr>
                        <w:r>
                          <w:rPr>
                            <w:rFonts w:eastAsia="Calibri"/>
                            <w:iCs/>
                            <w:sz w:val="22"/>
                            <w:szCs w:val="22"/>
                          </w:rPr>
                          <w:t>100</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p>
                      <w:p>
                        <w:pPr>
                          <w:jc w:val="center"/>
                          <w:rPr>
                            <w:rFonts w:eastAsia="Calibri"/>
                            <w:iCs/>
                            <w:sz w:val="22"/>
                            <w:szCs w:val="22"/>
                          </w:rPr>
                        </w:pPr>
                      </w:p>
                      <w:p>
                        <w:pPr>
                          <w:jc w:val="center"/>
                          <w:rPr>
                            <w:rFonts w:eastAsia="Calibri"/>
                            <w:iCs/>
                            <w:sz w:val="22"/>
                            <w:szCs w:val="22"/>
                          </w:rPr>
                        </w:pPr>
                        <w:r>
                          <w:rPr>
                            <w:rFonts w:eastAsia="Calibri"/>
                            <w:iCs/>
                            <w:sz w:val="22"/>
                            <w:szCs w:val="22"/>
                          </w:rPr>
                          <w:t>Stabilizuoti</w:t>
                        </w: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p>
                        <w:pPr>
                          <w:jc w:val="center"/>
                          <w:rPr>
                            <w:rFonts w:eastAsia="Calibri"/>
                            <w:iCs/>
                            <w:sz w:val="22"/>
                            <w:szCs w:val="22"/>
                          </w:rPr>
                        </w:pPr>
                      </w:p>
                      <w:p>
                        <w:pPr>
                          <w:rPr>
                            <w:rFonts w:eastAsia="Calibri"/>
                            <w:iCs/>
                            <w:sz w:val="22"/>
                            <w:szCs w:val="22"/>
                          </w:rPr>
                        </w:pPr>
                      </w:p>
                      <w:p>
                        <w:pPr>
                          <w:jc w:val="center"/>
                          <w:rPr>
                            <w:rFonts w:eastAsia="Calibri"/>
                            <w:iCs/>
                            <w:sz w:val="22"/>
                            <w:szCs w:val="22"/>
                          </w:rPr>
                        </w:pPr>
                        <w:r>
                          <w:rPr>
                            <w:rFonts w:eastAsia="Calibri"/>
                            <w:iCs/>
                            <w:sz w:val="22"/>
                            <w:szCs w:val="22"/>
                          </w:rPr>
                          <w:t>Didinti</w:t>
                        </w:r>
                      </w:p>
                      <w:p>
                        <w:pPr>
                          <w:jc w:val="center"/>
                          <w:rPr>
                            <w:rFonts w:eastAsia="Calibri"/>
                            <w:iCs/>
                            <w:sz w:val="22"/>
                            <w:szCs w:val="22"/>
                          </w:rPr>
                        </w:pPr>
                      </w:p>
                      <w:p>
                        <w:pPr>
                          <w:jc w:val="center"/>
                          <w:rPr>
                            <w:rFonts w:eastAsia="Calibri"/>
                            <w:i/>
                            <w:color w:val="808080"/>
                            <w:sz w:val="20"/>
                            <w:szCs w:val="22"/>
                          </w:rPr>
                        </w:pPr>
                        <w:r>
                          <w:rPr>
                            <w:rFonts w:eastAsia="Calibri"/>
                            <w:iCs/>
                            <w:sz w:val="22"/>
                            <w:szCs w:val="22"/>
                          </w:rPr>
                          <w:t>Didinti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E2-3.3.Nusikalstamumo lygis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 100000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2 747</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E3-3.3. Atsinaujinantys energijos šaltiniai</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n. d.</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 xml:space="preserve">3.3.1. Vystyti  efektyvią komunalinių atliekų tvarkymo sistemą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P1-3.3.1. Atliekų rūšiavimas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19</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3.3.2. Modernizuoti ir optimizuoti centralizuotus komunalinius tinklus</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P2-3.3.2. Namų ūkiai, besinaudojantys centralizuotais inžineriniais vandens ir nuotekų tinklais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proc.</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Cs/>
                            <w:sz w:val="22"/>
                            <w:szCs w:val="22"/>
                          </w:rPr>
                        </w:pPr>
                        <w:r>
                          <w:rPr>
                            <w:rFonts w:eastAsia="Calibri"/>
                            <w:iCs/>
                            <w:sz w:val="22"/>
                            <w:szCs w:val="22"/>
                          </w:rPr>
                          <w:t xml:space="preserve">Vandens tinklai(toliau – VT) -  95,3 proc.</w:t>
                        </w:r>
                      </w:p>
                      <w:p>
                        <w:pPr>
                          <w:jc w:val="both"/>
                          <w:rPr>
                            <w:rFonts w:eastAsia="Calibri"/>
                            <w:iCs/>
                            <w:sz w:val="22"/>
                            <w:szCs w:val="22"/>
                          </w:rPr>
                        </w:pPr>
                        <w:r>
                          <w:rPr>
                            <w:rFonts w:eastAsia="Calibri"/>
                            <w:iCs/>
                            <w:sz w:val="22"/>
                            <w:szCs w:val="22"/>
                          </w:rPr>
                          <w:t>Nuotekų tinklai(toliau – NT) - 96,3 proc.</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Didinti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3.3.3. Sukurti vaizdo stebėjimo ir informacijos valdymo sistemą</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P1-3.3.3. Sunkių ir labai sunkių nusikaltimų skaičius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 100000 gyv.</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204,5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P2-3.3.3.Nepilnamečiai, įtariami padarę nusikalstamas veikas</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 100000 vaik.</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145</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r>
                    <w:trPr>
                      <w:jc w:val="center"/>
                    </w:trPr>
                    <w:tc>
                      <w:tcPr>
                        <w:tcW w:w="9225" w:type="dxa"/>
                        <w:gridSpan w:val="6"/>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3.3.4. Mažinti triukšmą probleminėse teritorijose ir išsaugoti tyliąsias zonas</w:t>
                        </w:r>
                      </w:p>
                    </w:tc>
                  </w:tr>
                  <w:tr>
                    <w:trPr>
                      <w:jc w:val="center"/>
                    </w:trPr>
                    <w:tc>
                      <w:tcPr>
                        <w:tcW w:w="3828" w:type="dxa"/>
                        <w:tcBorders>
                          <w:top w:val="single" w:sz="4" w:space="0" w:color="auto"/>
                          <w:left w:val="single" w:sz="4" w:space="0" w:color="auto"/>
                          <w:bottom w:val="single" w:sz="4" w:space="0" w:color="auto"/>
                          <w:right w:val="single" w:sz="4" w:space="0" w:color="auto"/>
                        </w:tcBorders>
                      </w:tcPr>
                      <w:p>
                        <w:pPr>
                          <w:rPr>
                            <w:rFonts w:eastAsia="Calibri"/>
                            <w:iCs/>
                            <w:sz w:val="22"/>
                            <w:szCs w:val="22"/>
                          </w:rPr>
                        </w:pPr>
                        <w:r>
                          <w:rPr>
                            <w:rFonts w:eastAsia="Calibri"/>
                            <w:iCs/>
                            <w:sz w:val="22"/>
                            <w:szCs w:val="22"/>
                          </w:rPr>
                          <w:t>P1-3.3.4. Triukšmo lygis gyvenamosiose zonose</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vnt.</w:t>
                        </w:r>
                      </w:p>
                      <w:p>
                        <w:pPr>
                          <w:jc w:val="both"/>
                          <w:rPr>
                            <w:rFonts w:eastAsia="Calibri"/>
                            <w:iCs/>
                            <w:sz w:val="22"/>
                            <w:szCs w:val="22"/>
                          </w:rPr>
                        </w:pPr>
                        <w:r>
                          <w:rPr>
                            <w:rFonts w:eastAsia="Calibri"/>
                            <w:iCs/>
                            <w:sz w:val="22"/>
                            <w:szCs w:val="22"/>
                          </w:rPr>
                          <w:t>(</w:t>
                        </w:r>
                        <w:r>
                          <w:rPr>
                            <w:color w:val="000000"/>
                            <w:kern w:val="2"/>
                            <w:sz w:val="22"/>
                            <w:szCs w:val="22"/>
                            <w:lang w:eastAsia="lt-LT"/>
                          </w:rPr>
                          <w:t xml:space="preserve">Gyventojų būstų, kurių būstas veikiamas  padidinto  triukšmo lygio, skaičius)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Calibri"/>
                            <w:iCs/>
                            <w:sz w:val="22"/>
                            <w:szCs w:val="22"/>
                          </w:rPr>
                        </w:pPr>
                        <w:r>
                          <w:rPr>
                            <w:rFonts w:eastAsia="Calibri"/>
                            <w:iCs/>
                            <w:sz w:val="22"/>
                            <w:szCs w:val="22"/>
                          </w:rPr>
                          <w:t>Apie 9 689</w:t>
                        </w:r>
                      </w:p>
                    </w:tc>
                    <w:tc>
                      <w:tcPr>
                        <w:tcW w:w="2278" w:type="dxa"/>
                        <w:gridSpan w:val="3"/>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szCs w:val="22"/>
                          </w:rPr>
                        </w:pPr>
                        <w:r>
                          <w:rPr>
                            <w:rFonts w:eastAsia="Calibri"/>
                            <w:iCs/>
                            <w:sz w:val="22"/>
                            <w:szCs w:val="22"/>
                          </w:rPr>
                          <w:t>Mažinti</w:t>
                        </w:r>
                      </w:p>
                    </w:tc>
                  </w:tr>
                </w:tbl>
                <w:p>
                  <w:pPr>
                    <w:rPr>
                      <w:sz w:val="20"/>
                    </w:rPr>
                  </w:pPr>
                </w:p>
                <w:p>
                  <w:pPr>
                    <w:jc w:val="center"/>
                    <w:rPr>
                      <w:b/>
                      <w:bCs/>
                      <w:color w:val="000000"/>
                      <w:szCs w:val="24"/>
                    </w:rPr>
                  </w:pPr>
                </w:p>
                <w:p>
                  <w:pPr>
                    <w:jc w:val="center"/>
                    <w:rPr>
                      <w:b/>
                      <w:bCs/>
                      <w:color w:val="000000"/>
                      <w:szCs w:val="24"/>
                    </w:rPr>
                  </w:pPr>
                </w:p>
                <w:p>
                  <w:pPr>
                    <w:jc w:val="center"/>
                    <w:rPr>
                      <w:b/>
                      <w:bCs/>
                      <w:color w:val="000000"/>
                      <w:szCs w:val="24"/>
                    </w:rPr>
                  </w:pPr>
                </w:p>
                <w:p>
                  <w:pPr>
                    <w:jc w:val="center"/>
                    <w:rPr>
                      <w:b/>
                      <w:bCs/>
                      <w:color w:val="000000"/>
                      <w:szCs w:val="24"/>
                    </w:rPr>
                  </w:pPr>
                </w:p>
                <w:p>
                  <w:pPr>
                    <w:jc w:val="center"/>
                    <w:rPr>
                      <w:b/>
                      <w:bCs/>
                      <w:color w:val="000000"/>
                      <w:szCs w:val="24"/>
                    </w:rPr>
                  </w:pPr>
                </w:p>
              </w:sdtContent>
            </w:sdt>
          </w:sdtContent>
        </w:sdt>
        <w:sdt>
          <w:sdtPr>
            <w:alias w:val="skyrius"/>
            <w:tag w:val="part_185a16e209834ff9960b66acde24eedf"/>
            <w:lock w:val="sdtLocked"/>
            <w:richText/>
          </w:sdtPr>
          <w:sdtContent>
            <w:p>
              <w:pPr>
                <w:jc w:val="center"/>
                <w:rPr>
                  <w:b/>
                  <w:bCs/>
                  <w:color w:val="000000"/>
                  <w:szCs w:val="24"/>
                </w:rPr>
              </w:pPr>
              <w:sdt>
                <w:sdtPr>
                  <w:alias w:val="Numeris"/>
                  <w:tag w:val="nr_185a16e209834ff9960b66acde24eedf"/>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185a16e209834ff9960b66acde24eedf"/>
                  <w:lock w:val="sdtLocked"/>
                  <w:richText/>
                </w:sdtPr>
                <w:sdtContent>
                  <w:r>
                    <w:rPr>
                      <w:b/>
                      <w:bCs/>
                      <w:color w:val="000000"/>
                      <w:szCs w:val="24"/>
                    </w:rPr>
                    <w:t>PLANUOJAMI PASIEKTI REZULTATAI</w:t>
                  </w:r>
                </w:sdtContent>
              </w:sdt>
            </w:p>
            <w:p>
              <w:pPr>
                <w:rPr>
                  <w:kern w:val="2"/>
                  <w:sz w:val="22"/>
                  <w:szCs w:val="22"/>
                </w:rPr>
              </w:pPr>
            </w:p>
            <w:p>
              <w:pPr>
                <w:ind w:firstLine="720"/>
                <w:jc w:val="both"/>
                <w:rPr>
                  <w:szCs w:val="24"/>
                </w:rPr>
              </w:pPr>
              <w:r>
                <w:rPr>
                  <w:szCs w:val="24"/>
                </w:rPr>
                <w:t>Pateikiama glausta informacija, ką Savivaldybės institucijos ketina nuveikti įgyvendindamos 2024</w:t>
              </w:r>
              <w:r>
                <w:rPr>
                  <w:kern w:val="2"/>
                  <w:szCs w:val="24"/>
                </w:rPr>
                <w:t>–</w:t>
              </w:r>
              <w:r>
                <w:rPr>
                  <w:szCs w:val="24"/>
                </w:rPr>
                <w:t>2026 m. strateginį veiklos planą.</w:t>
              </w:r>
            </w:p>
            <w:p>
              <w:pPr>
                <w:ind w:firstLine="720"/>
                <w:jc w:val="both"/>
                <w:rPr>
                  <w:kern w:val="2"/>
                  <w:szCs w:val="24"/>
                </w:rPr>
              </w:pPr>
              <w:r>
                <w:rPr>
                  <w:b/>
                  <w:bCs/>
                  <w:kern w:val="2"/>
                  <w:szCs w:val="24"/>
                </w:rPr>
                <w:t xml:space="preserve">Miesto ūkis ir plėtra. </w:t>
              </w:r>
              <w:r>
                <w:rPr>
                  <w:kern w:val="2"/>
                  <w:szCs w:val="24"/>
                </w:rPr>
                <w:t xml:space="preserve">Siekiant tobulinti miesto vidaus susisiekimo sistemą, bus remontuojamos ir rekonstruojamos gatvės, įrengiamos naujos jų atkarpos. 2024 m. numatyta Pramonės g. atkarpos nuo Tilžės g. iki Serbentų g. prieigų ir nuo Serbentų g. prieigų iki Bačiūnų g., Metalistų g. kapitalinis  remontas su lietaus nuotekų tinklų rekonstrukcija. Taip pat bus tęsiama Aukštabalio g. nuo Tilžės g. iki Išradėjų (Baltų) g. statyba ir rekonstrukcija. Vykdomas Žemaitės</w:t>
              </w:r>
              <w:r>
                <w:rPr>
                  <w:b/>
                  <w:kern w:val="2"/>
                  <w:szCs w:val="24"/>
                </w:rPr>
                <w:t xml:space="preserve"> </w:t>
              </w:r>
              <w:r>
                <w:rPr>
                  <w:kern w:val="2"/>
                  <w:szCs w:val="24"/>
                </w:rPr>
                <w:t xml:space="preserve">g. nuo Dubijos g. iki Pakruojo g. ir Aušros al. nuo Žemaitės g. iki V. Kudirkos g., Stoties g. ir Kviečių g. paprastasis remontas; Ežero g. nuo Dubijos g. iki Tilžės g. ir Tilžės g. nuo Ežero g. iki Aukštosios g. kapitalinis remontas. </w:t>
              </w:r>
            </w:p>
            <w:p>
              <w:pPr>
                <w:ind w:firstLine="720"/>
                <w:jc w:val="both"/>
                <w:rPr>
                  <w:kern w:val="2"/>
                  <w:szCs w:val="24"/>
                </w:rPr>
              </w:pPr>
              <w:r>
                <w:rPr>
                  <w:kern w:val="2"/>
                  <w:szCs w:val="24"/>
                </w:rPr>
                <w:t>2025–2026 m.</w:t>
              </w:r>
              <w:r>
                <w:rPr>
                  <w:b/>
                  <w:kern w:val="2"/>
                  <w:szCs w:val="24"/>
                </w:rPr>
                <w:t xml:space="preserve"> </w:t>
              </w:r>
              <w:r>
                <w:rPr>
                  <w:kern w:val="2"/>
                  <w:szCs w:val="24"/>
                </w:rPr>
                <w:t>planuojama rekonstruoti</w:t>
              </w:r>
              <w:r>
                <w:rPr>
                  <w:b/>
                  <w:kern w:val="2"/>
                  <w:szCs w:val="24"/>
                </w:rPr>
                <w:t xml:space="preserve"> </w:t>
              </w:r>
              <w:r>
                <w:rPr>
                  <w:kern w:val="2"/>
                  <w:szCs w:val="24"/>
                </w:rPr>
                <w:t>Tilžės g. viaduką per geležinkelį</w:t>
              </w:r>
              <w:r>
                <w:rPr>
                  <w:b/>
                  <w:kern w:val="2"/>
                  <w:szCs w:val="24"/>
                </w:rPr>
                <w:t>.</w:t>
              </w:r>
            </w:p>
            <w:p>
              <w:pPr>
                <w:ind w:firstLine="720"/>
                <w:jc w:val="both"/>
                <w:rPr>
                  <w:kern w:val="2"/>
                  <w:szCs w:val="24"/>
                </w:rPr>
              </w:pPr>
              <w:r>
                <w:rPr>
                  <w:kern w:val="2"/>
                  <w:szCs w:val="24"/>
                </w:rPr>
                <w:t>Daugiabučių namų kiemų dangos remontui kasmet planuojama skirti po 800,0 tūkst. Eur. Šiaulių miesto teritorijos kompaktiškumas, nemotorizuotam transporto eismui palankus miesto reljefas, pagrindinių traukos objektų mieste išsidėstymas ir pasiekiamumas atstumo atžvilgiu yra pagrindiniai faktoriai, sukuriantys palankias sąlygas vystyti bevariklio transporto infrastruktūrą Šiaulių mieste. Nauji dviračių takai įrengiami pagal Savivaldybės Tarybos patvirtintą Dviračių transporto vystymo Šiaulių mieste schemą. Pagal ją ateityje mieste turės būti nutiesta ir pažymėta  apie 60 km naujų dviračių takų su dviračių saugojimo aikštelėmis ir laikymo vietomis.</w:t>
              </w:r>
            </w:p>
            <w:p>
              <w:pPr>
                <w:ind w:firstLine="720"/>
                <w:jc w:val="both"/>
                <w:rPr>
                  <w:kern w:val="2"/>
                  <w:szCs w:val="24"/>
                </w:rPr>
              </w:pPr>
              <w:r>
                <w:rPr>
                  <w:kern w:val="2"/>
                  <w:szCs w:val="24"/>
                </w:rPr>
                <w:t>Įgyvendinant Šiaulių miesto darnaus judumo planą, 2024</w:t>
              </w:r>
              <w:r>
                <w:rPr>
                  <w:color w:val="000000"/>
                  <w:kern w:val="2"/>
                  <w:szCs w:val="24"/>
                </w:rPr>
                <w:t>–</w:t>
              </w:r>
              <w:r>
                <w:rPr>
                  <w:kern w:val="2"/>
                  <w:szCs w:val="24"/>
                </w:rPr>
                <w:t>2026 m. bus projektuojama susisiekimo dviračiais infrastruktūra, tai J. Jablonskio g</w:t>
              </w:r>
              <w:r>
                <w:rPr>
                  <w:b/>
                  <w:kern w:val="2"/>
                  <w:szCs w:val="24"/>
                </w:rPr>
                <w:t>.</w:t>
              </w:r>
              <w:r>
                <w:rPr>
                  <w:kern w:val="2"/>
                  <w:szCs w:val="24"/>
                </w:rPr>
                <w:t xml:space="preserve"> pėsčiųjų ir dviračių tako įrengimas, Liejyklos g</w:t>
              </w:r>
              <w:r>
                <w:rPr>
                  <w:b/>
                  <w:kern w:val="2"/>
                  <w:szCs w:val="24"/>
                </w:rPr>
                <w:t>.</w:t>
              </w:r>
              <w:r>
                <w:rPr>
                  <w:kern w:val="2"/>
                  <w:szCs w:val="24"/>
                </w:rPr>
                <w:t xml:space="preserve"> dviračių tako įrengimas ir dangos remontas, pėsčiųjų ir dviračių takai nuo Aukštabalio g. iki Liejyklos g., Žuvininkų g. nuo Vilniaus g. iki Šeduvos g. pėsčiųjų ir dviračių tako įrengimas, Talkšos ežero pakrantėje pėsčiųjų ir dviračių tako įrengimas nuo naujai įrengtų takų iki Tilžės g. ir Karaliaučiaus g. nuo Prūsų g. iki Gegužių g. dviračių tako rekonstravimas į dviračių gatvę, kuri tarnaus ir kaip apjungiamoji gatvė, taip pat  ir triukšmo sienelės joje įrengimas.</w:t>
              </w:r>
            </w:p>
            <w:p>
              <w:pPr>
                <w:ind w:firstLine="720"/>
                <w:jc w:val="both"/>
                <w:textAlignment w:val="baseline"/>
                <w:rPr>
                  <w:szCs w:val="24"/>
                  <w:lang w:eastAsia="lt-LT"/>
                </w:rPr>
              </w:pPr>
              <w:r>
                <w:rPr>
                  <w:szCs w:val="24"/>
                  <w:lang w:eastAsia="lt-LT"/>
                </w:rPr>
                <w:t>Toliau bus tęsiamas žvyruotų gatvių asfaltavimas pagal sudarytą asfaltuojamų gatvių sąrašą. 2024 m planuojamos asfaltuoti Pasvalio,</w:t>
              </w:r>
              <w:r>
                <w:rPr>
                  <w:b/>
                  <w:szCs w:val="24"/>
                  <w:lang w:eastAsia="lt-LT"/>
                </w:rPr>
                <w:t xml:space="preserve"> </w:t>
              </w:r>
              <w:r>
                <w:rPr>
                  <w:bCs/>
                  <w:szCs w:val="24"/>
                  <w:lang w:eastAsia="lt-LT"/>
                </w:rPr>
                <w:t xml:space="preserve">Birštono, Smilgų, Vingių, Ąžuolyno, Palangos, Medelyno ir </w:t>
              </w:r>
              <w:r>
                <w:rPr>
                  <w:bCs/>
                  <w:color w:val="000000"/>
                  <w:szCs w:val="24"/>
                  <w:lang w:eastAsia="lt-LT"/>
                </w:rPr>
                <w:t>Alksnių gatvės.</w:t>
              </w:r>
              <w:r>
                <w:rPr>
                  <w:b/>
                  <w:szCs w:val="24"/>
                  <w:lang w:eastAsia="lt-LT"/>
                </w:rPr>
                <w:t xml:space="preserve"> </w:t>
              </w:r>
              <w:r>
                <w:rPr>
                  <w:szCs w:val="24"/>
                  <w:lang w:eastAsia="lt-LT"/>
                </w:rPr>
                <w:t xml:space="preserve">2025 m planuojama asfaltuoti </w:t>
              </w:r>
              <w:r>
                <w:rPr>
                  <w:bCs/>
                  <w:color w:val="000000"/>
                  <w:szCs w:val="24"/>
                  <w:lang w:eastAsia="lt-LT"/>
                </w:rPr>
                <w:t>Šaukėnų, Miško, Troškūnų ir Ukmergės gatves.</w:t>
              </w:r>
              <w:r>
                <w:rPr>
                  <w:szCs w:val="24"/>
                  <w:lang w:eastAsia="lt-LT"/>
                </w:rPr>
                <w:t xml:space="preserve"> 2026 m planuojama asfaltuoti </w:t>
              </w:r>
              <w:r>
                <w:rPr>
                  <w:bCs/>
                  <w:color w:val="000000"/>
                  <w:szCs w:val="24"/>
                  <w:lang w:eastAsia="lt-LT"/>
                </w:rPr>
                <w:t>Uosių, Alytaus, Žarėnų, Žemynos, Rūko, Geležinkelio ir</w:t>
              </w:r>
              <w:r>
                <w:rPr>
                  <w:szCs w:val="24"/>
                  <w:lang w:eastAsia="lt-LT"/>
                </w:rPr>
                <w:t xml:space="preserve"> </w:t>
              </w:r>
              <w:r>
                <w:rPr>
                  <w:bCs/>
                  <w:color w:val="000000"/>
                  <w:szCs w:val="24"/>
                  <w:lang w:eastAsia="lt-LT"/>
                </w:rPr>
                <w:t>Jono Žemaičio gatves.</w:t>
              </w:r>
              <w:r>
                <w:rPr>
                  <w:szCs w:val="24"/>
                  <w:lang w:eastAsia="lt-LT"/>
                </w:rPr>
                <w:t xml:space="preserve"> </w:t>
              </w:r>
            </w:p>
            <w:p>
              <w:pPr>
                <w:ind w:firstLine="720"/>
                <w:jc w:val="both"/>
                <w:rPr>
                  <w:kern w:val="2"/>
                  <w:szCs w:val="24"/>
                </w:rPr>
              </w:pPr>
              <w:r>
                <w:rPr>
                  <w:kern w:val="2"/>
                  <w:szCs w:val="24"/>
                </w:rPr>
                <w:t>Vykdant Savivaldybių infrastruktūros plėtros įstatymo nuostatas, 2024 m. dalį į programą surinktų infrastruktūros plėtros programos lėšų planuojama skirti gatvėms asfaltuoti. </w:t>
              </w:r>
            </w:p>
            <w:p>
              <w:pPr>
                <w:ind w:firstLine="720"/>
                <w:jc w:val="both"/>
                <w:rPr>
                  <w:kern w:val="2"/>
                  <w:szCs w:val="24"/>
                </w:rPr>
              </w:pPr>
              <w:r>
                <w:rPr>
                  <w:bCs/>
                  <w:kern w:val="2"/>
                  <w:szCs w:val="24"/>
                </w:rPr>
                <w:t>Sa</w:t>
              </w:r>
              <w:r>
                <w:rPr>
                  <w:kern w:val="2"/>
                  <w:szCs w:val="24"/>
                </w:rPr>
                <w:t>vivaldybės kapitalo valdomos komunalinių paslaugų įmonės užtikrina optimalų paslaugų kokybės ir kainos santykį. Šiaulių mieste vykdomas centralizuotas geriamojo vandens ir šilumos tiekimas, nuotekų šalinimas, planuojama plėtra. Vyrauja sukurta ir sistemingai vystoma komunalinių atliekų tvarkymo sistema.  </w:t>
              </w:r>
            </w:p>
            <w:p>
              <w:pPr>
                <w:ind w:firstLine="720"/>
                <w:jc w:val="both"/>
                <w:rPr>
                  <w:kern w:val="2"/>
                  <w:szCs w:val="24"/>
                </w:rPr>
              </w:pPr>
              <w:r>
                <w:rPr>
                  <w:color w:val="000000"/>
                  <w:kern w:val="2"/>
                  <w:szCs w:val="24"/>
                </w:rPr>
                <w:t>Toliau bus įgyvendinamas projektas „Rūšiuojamuoju būdu surinktų maisto / virtuvės atliekų apdorojimo infrastruktūros sukūrimas Šiaulių regione“, kurio tikslas tobulinti Šiaulių regiono komunalinių atliekų tvarkymo sistemos infrastruktūrą, sukuriant maisto ir virtuvės atliekų apdorojimo pajėgumus ir</w:t>
              </w:r>
              <w:r>
                <w:rPr>
                  <w:kern w:val="2"/>
                  <w:szCs w:val="24"/>
                </w:rPr>
                <w:t xml:space="preserve"> </w:t>
              </w:r>
              <w:r>
                <w:rPr>
                  <w:color w:val="000000"/>
                  <w:kern w:val="2"/>
                  <w:szCs w:val="24"/>
                </w:rPr>
                <w:t>taip padidinant komunalinių atliekų pakartotinio panaudojimo</w:t>
              </w:r>
              <w:r>
                <w:rPr>
                  <w:kern w:val="2"/>
                  <w:szCs w:val="24"/>
                </w:rPr>
                <w:t xml:space="preserve"> </w:t>
              </w:r>
              <w:r>
                <w:rPr>
                  <w:color w:val="000000"/>
                  <w:kern w:val="2"/>
                  <w:szCs w:val="24"/>
                </w:rPr>
                <w:t>ar perdirbimo apimtis</w:t>
              </w:r>
              <w:r>
                <w:rPr>
                  <w:kern w:val="2"/>
                  <w:szCs w:val="24"/>
                </w:rPr>
                <w:t xml:space="preserve"> </w:t>
              </w:r>
              <w:r>
                <w:rPr>
                  <w:color w:val="000000"/>
                  <w:kern w:val="2"/>
                  <w:szCs w:val="24"/>
                </w:rPr>
                <w:t>mažinti aplinkos taršą. Projekto metu siekiami įsigyti šie darbai ir įranga:</w:t>
              </w:r>
              <w:r>
                <w:rPr>
                  <w:kern w:val="2"/>
                  <w:szCs w:val="24"/>
                </w:rPr>
                <w:t xml:space="preserve"> </w:t>
              </w:r>
              <w:r>
                <w:rPr>
                  <w:color w:val="000000"/>
                  <w:kern w:val="2"/>
                  <w:szCs w:val="24"/>
                </w:rPr>
                <w:t xml:space="preserve">pastato statyba ir įrengimas, organinės pulpos gamybos linija ir kiti įrenginiai. </w:t>
              </w:r>
            </w:p>
            <w:p>
              <w:pPr>
                <w:ind w:firstLine="720"/>
                <w:jc w:val="both"/>
                <w:rPr>
                  <w:kern w:val="2"/>
                  <w:szCs w:val="24"/>
                </w:rPr>
              </w:pPr>
              <w:r>
                <w:rPr>
                  <w:kern w:val="2"/>
                  <w:szCs w:val="24"/>
                </w:rPr>
                <w:t>Šiaulių miestas pasižymi unikalia gamta, žaliais plotais, todėl yra būtina išnaudoti turimą potencialą (du dideli ežerai, iš kurių vienas miesto centre, daug žaliųjų plotų), gerinti viešųjų erdvių bei teritorijų kokybę, t. y. pritaikyti viešąsias erdves, panaudoti gamtos resursus rekreacijai, išvystyti parkų infrastruktūrą ir t.t.  2024</w:t>
              </w:r>
              <w:r>
                <w:rPr>
                  <w:color w:val="000000"/>
                  <w:kern w:val="2"/>
                  <w:szCs w:val="24"/>
                </w:rPr>
                <w:t>–</w:t>
              </w:r>
              <w:r>
                <w:rPr>
                  <w:kern w:val="2"/>
                  <w:szCs w:val="24"/>
                </w:rPr>
                <w:t xml:space="preserve">2026 m. planuojama įgyvendinti projektą </w:t>
              </w:r>
              <w:r>
                <w:rPr>
                  <w:color w:val="000000"/>
                  <w:kern w:val="2"/>
                  <w:szCs w:val="24"/>
                </w:rPr>
                <w:t>„</w:t>
              </w:r>
              <w:r>
                <w:rPr>
                  <w:kern w:val="2"/>
                  <w:szCs w:val="24"/>
                </w:rPr>
                <w:t>Lieporių parko atgaivinimas ir pritaikymas bendruomenės poreikiams“.</w:t>
              </w:r>
            </w:p>
            <w:p>
              <w:pPr>
                <w:ind w:firstLine="720"/>
                <w:jc w:val="both"/>
                <w:rPr>
                  <w:kern w:val="2"/>
                  <w:szCs w:val="24"/>
                </w:rPr>
              </w:pPr>
              <w:r>
                <w:rPr>
                  <w:rFonts w:eastAsia="Calibri"/>
                  <w:b/>
                  <w:bCs/>
                  <w:kern w:val="2"/>
                  <w:szCs w:val="24"/>
                </w:rPr>
                <w:t>Investicijos ir ekonomika</w:t>
              </w:r>
              <w:r>
                <w:rPr>
                  <w:rFonts w:eastAsia="Calibri"/>
                  <w:b/>
                  <w:kern w:val="2"/>
                  <w:szCs w:val="24"/>
                </w:rPr>
                <w:t>.</w:t>
              </w:r>
              <w:r>
                <w:rPr>
                  <w:rFonts w:eastAsia="Calibri"/>
                  <w:kern w:val="2"/>
                  <w:szCs w:val="24"/>
                </w:rPr>
                <w:t xml:space="preserve"> </w:t>
              </w:r>
              <w:r>
                <w:rPr>
                  <w:kern w:val="2"/>
                  <w:szCs w:val="24"/>
                </w:rPr>
                <w:t xml:space="preserve">Norint pasiekti pažangos, būtina vystyti kryptingą bendradarbiavimą skatinant verslą ir investicijas, ypač atkreipiant dėmesį į viešųjų paslaugų verslui procesų optimizavimą. Tuo tikslu bus dirbama smulkaus ir vidutinio verslo įmonių plėtros, investicijų pritraukimo ir miesto žinomumo didinimo linkme.  </w:t>
              </w:r>
            </w:p>
            <w:p>
              <w:pPr>
                <w:ind w:firstLine="720"/>
                <w:jc w:val="both"/>
                <w:rPr>
                  <w:kern w:val="2"/>
                  <w:szCs w:val="24"/>
                </w:rPr>
              </w:pPr>
              <w:r>
                <w:rPr>
                  <w:kern w:val="2"/>
                  <w:szCs w:val="24"/>
                </w:rPr>
                <w:t>Smulkusis ir vidutinis verslas – tai lanksčiai prisitaikantis prie įvairių pokyčių, kuriantis naujas darbo vietas, racionaliai naudojantis išteklius sektorius, kuris turi lemiamą įtaką ekonomikos pokyčiams. Smulkaus ir vidutinio verslo įmonių plėtra yra vienas iš prioritetinių Europos Sąjungos ir Lietuvos politinių tikslų, todėl, siekiant skatinti verslumą, 2024 m. yra numatoma smulkaus ir vidutinio verslo skatinimo programos realizacija, skiriant didelį dėmesį besikuriančioms naujoms įmonėms, vyresnio amžiaus asmenims ir jaunimui, ketinančiam pradėti savo verslą, taip pat inovatyviam verslui. Prioritetas yra smulkios ir vidutinės įmonės, jaunimas nuo 18 iki 29 m. amžiaus ir vyresni negu 45 metų asmenys. Taip pat didelis dėmesys bus skiriamas inovatyvaus verslo plėtrai. 2024 metais planuojama įgyvendinti naują priemonę verslui,</w:t>
              </w:r>
              <w:r>
                <w:rPr>
                  <w:color w:val="000000"/>
                  <w:kern w:val="2"/>
                  <w:szCs w:val="24"/>
                </w:rPr>
                <w:t xml:space="preserve"> skatinant pradedančiųjų smulkiojo ir vidutinio verslo subjektų kūrimąsi ir augimą. Priemonei įgyvendinti </w:t>
              </w:r>
              <w:r>
                <w:rPr>
                  <w:kern w:val="2"/>
                  <w:szCs w:val="24"/>
                </w:rPr>
                <w:t>bus pasitelkiami verslo atstovai-mentoriai</w:t>
              </w:r>
              <w:r>
                <w:rPr>
                  <w:color w:val="000000"/>
                  <w:kern w:val="2"/>
                  <w:szCs w:val="24"/>
                </w:rPr>
                <w:t>, taip siekiant užtikrinti individualizuotą pagalbą verslo pradžioje, teikiant verslo idėjos išgryninimo konsultacijas,</w:t>
              </w:r>
              <w:r>
                <w:rPr>
                  <w:kern w:val="2"/>
                  <w:szCs w:val="24"/>
                </w:rPr>
                <w:t xml:space="preserve"> </w:t>
              </w:r>
              <w:r>
                <w:rPr>
                  <w:color w:val="000000"/>
                  <w:kern w:val="2"/>
                  <w:szCs w:val="24"/>
                </w:rPr>
                <w:t>padedant pasirengti rinkodaros ir pardavimų strategijas ir kt.</w:t>
              </w:r>
            </w:p>
            <w:p>
              <w:pPr>
                <w:ind w:firstLine="720"/>
                <w:jc w:val="both"/>
                <w:rPr>
                  <w:kern w:val="2"/>
                  <w:szCs w:val="24"/>
                </w:rPr>
              </w:pPr>
              <w:r>
                <w:rPr>
                  <w:kern w:val="2"/>
                  <w:szCs w:val="24"/>
                </w:rPr>
                <w:t xml:space="preserve">Siekiant būti matomiems, atviriems ir novatoriškiems, </w:t>
              </w:r>
              <w:r>
                <w:rPr>
                  <w:color w:val="000000"/>
                  <w:kern w:val="2"/>
                  <w:szCs w:val="24"/>
                </w:rPr>
                <w:t>2024 metais planuojama dalyvauti parodose ir renginiuose, kurti edukacines, rinkodaros priemones, pirkti straipsnius vietos ir užsienio spaudoje. Bus įgyvendinamos priemonės, skatinančios mokytis, gyventi ir dirbti Šiauliuose, viešinamos miesto sėkmės istorijos, interviu, vykdoma komunikacija socialiniuose tinkluose, siekiant specialistų, investuotojų pritraukimo ir miesto įvaizdžio gerinimo, žinomumo didinimo. Taip pat 2024 m. bus tęsiama Savivaldybės administracijos narystė Lietuvos marketingo asociacijoje, tokiu būdu palaikant ryšius su šios srities profesionalais.</w:t>
              </w:r>
            </w:p>
            <w:p>
              <w:pPr>
                <w:ind w:firstLine="720"/>
                <w:jc w:val="both"/>
                <w:rPr>
                  <w:kern w:val="2"/>
                  <w:szCs w:val="24"/>
                </w:rPr>
              </w:pPr>
              <w:r>
                <w:rPr>
                  <w:color w:val="000000"/>
                  <w:kern w:val="2"/>
                  <w:szCs w:val="24"/>
                </w:rPr>
                <w:t xml:space="preserve">Mieste norima išugdyti jaunųjų verslininkų kartą, todėl toliau bus vykdomos jaunimo verslumo skatinimo priemonės, siekiant sudominti mokinius, studentus ir kitus asmenis galimybėmis veikti savarankiškai, turėti savo verslą. 2024 m. ir toliau bus teikiamos naudingos paslaugos tiek verslo pradžiai, tiek tolesniam verslo plėtojimui. </w:t>
              </w:r>
            </w:p>
            <w:p>
              <w:pPr>
                <w:ind w:firstLine="720"/>
                <w:jc w:val="both"/>
                <w:rPr>
                  <w:kern w:val="2"/>
                  <w:szCs w:val="24"/>
                </w:rPr>
              </w:pPr>
              <w:r>
                <w:rPr>
                  <w:color w:val="000000"/>
                  <w:kern w:val="2"/>
                  <w:szCs w:val="24"/>
                </w:rPr>
                <w:t xml:space="preserve">Įgyvendinant priemonę „Pritraukti aukštos kvalifikacijos specialistus į Šiaulių miestą“, bus įgyvendinama viena iš Ekonominės plėtros ir investicijų pritraukimo ilgalaikės strategijos veiklų, t. y. į Šiaulių miestą pritraukiami reikalingi aukštos profesinės kvalifikacijos specialistai. Finansine parama specialistai galės pasinaudoti tik įsipareigodami dirbti Šiaulių miesto įmonėje ne trumpiau kaip dvejus metus. </w:t>
              </w:r>
            </w:p>
            <w:p>
              <w:pPr>
                <w:ind w:firstLine="720"/>
                <w:jc w:val="both"/>
                <w:rPr>
                  <w:kern w:val="2"/>
                  <w:szCs w:val="24"/>
                </w:rPr>
              </w:pPr>
              <w:r>
                <w:rPr>
                  <w:kern w:val="2"/>
                  <w:szCs w:val="24"/>
                </w:rPr>
                <w:t xml:space="preserve">Savivaldybė, kartu su Vilniaus universiteto Šiaulių akademija, Šiaulių valstybine kolegija, Šiaulių technologijų mokymo centru, Šiaulių prekybos, pramonės ir amatų rūmais įgyvendins projektą „Karjera Šiauliuose“, kurio tikslas – pritraukti ir išlaikyti jaunimą mieste. Naujoje interneto svetainėje bus pateikiama informacija apie darbo galimybes inžinerinės pramonės, informacinių technologijų ir telekomunikacijų, baldų ir medienos pramonės, maisto ir gėrimų pramonės, logistikos, statybos ir nekilnojamo turto, finansų, prekybos srityse. Taip pat informacija norintiems pradėti, tęsti studijas mieste ar persikvalifikuoti. </w:t>
              </w:r>
            </w:p>
            <w:p>
              <w:pPr>
                <w:ind w:firstLine="720"/>
                <w:jc w:val="both"/>
                <w:rPr>
                  <w:kern w:val="2"/>
                  <w:szCs w:val="24"/>
                </w:rPr>
              </w:pPr>
              <w:r>
                <w:rPr>
                  <w:kern w:val="2"/>
                  <w:szCs w:val="24"/>
                </w:rPr>
                <w:t xml:space="preserve">2024 m. visa apimtimi planuojama leidimus bei licencijas išduoti per leidimų ir licencijų informacinę sistemą - LILIS. </w:t>
              </w:r>
            </w:p>
            <w:p>
              <w:pPr>
                <w:ind w:firstLine="720"/>
                <w:jc w:val="both"/>
                <w:rPr>
                  <w:kern w:val="2"/>
                  <w:szCs w:val="24"/>
                </w:rPr>
              </w:pPr>
              <w:r>
                <w:rPr>
                  <w:kern w:val="2"/>
                  <w:szCs w:val="24"/>
                </w:rPr>
                <w:t>Kita kryptis, kuria bus dirbama siekiant padidinti miesto konkurencingumą – investicijų pritraukimas. Įgyvendinant priemonę „Vystyti Šiaulių pramoninio parko (ŠPP) ir Šiaulių laisvosios ekonominės zonos (Šiaulių LEZ) infrastruktūrą“ ir siekiant gerinti investicinę aplinką bei pritraukti investicijas, 2024 m. bus tobulinama infrastruktūra, pagal poreikį tvarkomi sklypai. Prie Šiaulių pramoninio parko prijungus dar du sklypus adresais Radviliškio 41A, Šiauliai ir Radviliškio 41B, Šiauliai, 2024 m. planuojama juos išvalyti ir paruošti investicijoms. Vystant pramoninių teritorijų infrastruktūrą ir siekiant pritraukti stambių investuotojų, 2024 m. planuojama pradėti Zoknių 110/10 kV transformatoriaus punkto plėtrą.</w:t>
              </w:r>
            </w:p>
            <w:p>
              <w:pPr>
                <w:ind w:firstLine="720"/>
                <w:jc w:val="both"/>
                <w:rPr>
                  <w:kern w:val="2"/>
                  <w:szCs w:val="24"/>
                </w:rPr>
              </w:pPr>
              <w:r>
                <w:rPr>
                  <w:kern w:val="2"/>
                  <w:szCs w:val="24"/>
                </w:rPr>
                <w:t xml:space="preserve">Verslui ir toliau bus siūlomos laisvos nesuplanuotos teritorijos savivaldybėje. Siekiant kuo efektyviau ir greičiau aptarnauti investuotojus, savivaldybėje veikia investuotojų aptarnavimo modelis, kai visais jiems rūpimais klausimais investuotojai gali kreiptis į vieną asmenį. </w:t>
              </w:r>
            </w:p>
            <w:p>
              <w:pPr>
                <w:ind w:firstLine="720"/>
                <w:jc w:val="both"/>
                <w:rPr>
                  <w:kern w:val="2"/>
                  <w:szCs w:val="24"/>
                </w:rPr>
              </w:pPr>
              <w:r>
                <w:rPr>
                  <w:kern w:val="2"/>
                  <w:szCs w:val="24"/>
                </w:rPr>
                <w:t xml:space="preserve">Vystant Šiaulių oro uosto veiklą, Savivaldybės įmonė Šaulių oro uostas ir toliau teiks aviacijos saugumo užtikrinimo ir antžemines su oro uostų veikla susijusias paslaugas. Įrengta infrastruktūra, besiribojanti su Šiaulių pramonės parku, Šiaulių laisvąja ekonomine zona, oro uosto teritorija, o 2023 m. </w:t>
              </w:r>
              <w:r>
                <w:rPr>
                  <w:color w:val="000000"/>
                  <w:kern w:val="2"/>
                  <w:szCs w:val="24"/>
                </w:rPr>
                <w:t>–</w:t>
              </w:r>
              <w:r>
                <w:rPr>
                  <w:kern w:val="2"/>
                  <w:szCs w:val="24"/>
                </w:rPr>
                <w:t xml:space="preserve"> ir su Šiaulių viešuoju logistikos centru, padės pritraukti privačias investicijas. 2024 m. planuojama įsigyti orlaiviams aptarnauti reikalingą techniką. Taip pat planuojama atlikti oro uosto teritorijoje esančių angarų griovimo darbus, jų vietoje ateityje planuojama statyti naują multifunkcinį terminalą. Visa tai padės kurti naujas darbo vietas ir prisidės prie Savivaldybės ir viso regiono konkurencingumo didinimo. </w:t>
              </w:r>
            </w:p>
            <w:p>
              <w:pPr>
                <w:ind w:firstLine="720"/>
                <w:jc w:val="both"/>
                <w:rPr>
                  <w:kern w:val="2"/>
                  <w:szCs w:val="24"/>
                </w:rPr>
              </w:pPr>
              <w:r>
                <w:rPr>
                  <w:color w:val="212529"/>
                  <w:kern w:val="2"/>
                  <w:szCs w:val="24"/>
                </w:rPr>
                <w:t xml:space="preserve">Pabaigus Šiaulių viešojo logistikos centro įrengimo darbus ir naujos geležinkelio vėžės,  esančios </w:t>
              </w:r>
              <w:r>
                <w:rPr>
                  <w:kern w:val="2"/>
                  <w:szCs w:val="24"/>
                </w:rPr>
                <w:t>Šiaulių laisvojoje ekonominėje zonoje ir Šiaulių pramoniniame parke įrengimo darbus, 2024 m. planuojama atlikti likusius apdailos darbus. Šio projekto užbaigtumas ypač svarbus miestui tiek dėl planuojamų gauti iš mokesčių lėšų, tiek dėl papildomų darbo vietų.</w:t>
              </w:r>
            </w:p>
            <w:p>
              <w:pPr>
                <w:ind w:firstLine="720"/>
                <w:jc w:val="both"/>
                <w:rPr>
                  <w:kern w:val="2"/>
                  <w:szCs w:val="24"/>
                </w:rPr>
              </w:pPr>
              <w:r>
                <w:rPr>
                  <w:rFonts w:eastAsia="Calibri"/>
                  <w:b/>
                  <w:bCs/>
                  <w:kern w:val="2"/>
                  <w:szCs w:val="24"/>
                </w:rPr>
                <w:t>Rūpyba.</w:t>
              </w:r>
              <w:r>
                <w:rPr>
                  <w:b/>
                  <w:bCs/>
                  <w:kern w:val="2"/>
                  <w:szCs w:val="24"/>
                </w:rPr>
                <w:t xml:space="preserve"> </w:t>
              </w:r>
              <w:r>
                <w:rPr>
                  <w:kern w:val="2"/>
                  <w:szCs w:val="24"/>
                </w:rPr>
                <w:t xml:space="preserve">Siekiant padėti asmeniui (šeimai) ir (ar) bendruomenei išvengti galimų socialinių problemų ir (ar) socialinės rizikos atsiradimo, sudaryti sąlygas asmeniui (šeimai) ugdyti ir (ar) stiprinti gebėjimus savarankiškai spręsti socialines problemas, palaikyti socialinius ryšius su visuomene, didinti socialinę įtrauktį, ugdyti asmens gebėjimus savarankiškai rūpintis asmeniniu (šeimos) gyvenimu ar grąžinti asmens (šeimos) gebėjimus pasirūpinti savimi, ir teikti socialinę pagalbą, kai asmuo (šeima) nebegali pats pasirūpinti, bus tęsiamas prevencinių, bendrųjų,  specialiųjų (socialinės priežiūros) ir socialinės globos paslaugų teikimas. </w:t>
              </w:r>
            </w:p>
            <w:p>
              <w:pPr>
                <w:ind w:firstLine="720"/>
                <w:jc w:val="both"/>
                <w:rPr>
                  <w:kern w:val="2"/>
                  <w:szCs w:val="24"/>
                </w:rPr>
              </w:pPr>
              <w:r>
                <w:rPr>
                  <w:kern w:val="2"/>
                  <w:szCs w:val="24"/>
                </w:rPr>
                <w:t xml:space="preserve">Įgyvendinus projektą „Bendruomeninių apgyvendinimo bei užimtumo paslaugų asmenims su proto ir psichikos negalia plėtra Šiaulių mieste“, rekonstruotame Kompleksinių paslaugų namų „Alka“ pastate,  įrengtame specializuotame slaugos ir globos padalinyje, socialinėse dirbtuvėse, dienos užimtumo centre (Vilniaus g. 303) bus pradėtos teikti specializuotos slaugos ir užimtumo paslaugos, dėl to bus didinamas socialinių paslaugų prieinamumas proto negalią ar psichikos sutrikimų turintiems asmenims bendruomenėje, ir tai padės sumažinti stacionariose įstaigose gyvenančių proto ir (ar) psichikos negalią turinčių asmenų skaičių. Nauji paslaugų gavėjai, šiuo metu negyvenantys globos įstaigose, nebepateks į jas dėl išvystytų paslaugų bendruomenėje. Modernizuotose ir naujai įkurtuose grupinio gyvenimo namuose  bus apgyvendinti ir paslaugas gaus asmenys iš pertvarkomų globos įstaigų (Kompleksinių paslaugų namų „Alka“ ir Ventos socialinės globos namų) ir Savivaldybės gyventojai, kuriems nustatytas atitinkamas socialinių paslaugų poreikis.</w:t>
              </w:r>
            </w:p>
            <w:p>
              <w:pPr>
                <w:ind w:firstLine="720"/>
                <w:jc w:val="both"/>
                <w:rPr>
                  <w:kern w:val="2"/>
                  <w:szCs w:val="24"/>
                </w:rPr>
              </w:pPr>
              <w:r>
                <w:rPr>
                  <w:kern w:val="2"/>
                  <w:szCs w:val="24"/>
                </w:rPr>
                <w:t>Tęsiamas projektas „Kompleksinės paslaugos šeimai“, kuris yra finansuojamas ES struktūrinių fondų lėšomis pagal 2021</w:t>
              </w:r>
              <w:r>
                <w:rPr>
                  <w:color w:val="000000"/>
                  <w:kern w:val="2"/>
                  <w:szCs w:val="24"/>
                </w:rPr>
                <w:t>–</w:t>
              </w:r>
              <w:r>
                <w:rPr>
                  <w:kern w:val="2"/>
                  <w:szCs w:val="24"/>
                </w:rPr>
                <w:t>2027 metų Europos Sąjungos fondų investicijų programą. Atrinktos įstaigos kartu su Bendruomeniniais šeimos namais, teikia kompleksines paslaugas šeimai: padeda spręsti krizines situacijas, įveikti iškilusias problemas, gerinti pozityvios tėvystės įgūdžius, teikia psichologo ir mediacijos paslaugas, bei prevencines socialines paslaugas.</w:t>
              </w:r>
            </w:p>
            <w:p>
              <w:pPr>
                <w:ind w:firstLine="720"/>
                <w:jc w:val="both"/>
                <w:rPr>
                  <w:kern w:val="2"/>
                  <w:szCs w:val="24"/>
                </w:rPr>
              </w:pPr>
              <w:r>
                <w:rPr>
                  <w:kern w:val="2"/>
                  <w:szCs w:val="24"/>
                </w:rPr>
                <w:t xml:space="preserve">Įgyvendinat LR apsaugos nuo smurto artimoje aplinkoje įstatymo nuostatas, Savivaldybė   koordinuoja Smurto artimoje aplinkoje prevencijos komisijos veiklą,</w:t>
              </w:r>
              <w:r>
                <w:rPr>
                  <w:b/>
                  <w:bCs/>
                  <w:kern w:val="2"/>
                  <w:szCs w:val="24"/>
                </w:rPr>
                <w:t xml:space="preserve"> </w:t>
              </w:r>
              <w:r>
                <w:rPr>
                  <w:kern w:val="2"/>
                  <w:szCs w:val="24"/>
                </w:rPr>
                <w:t xml:space="preserve">organizuoja smurto artimoje aplinkoje prevencijos priemonių įgyvendinimą, bendradarbiauja su nevyriausybinėmis organizacijomis, kurios rengia ir įgyvendina smurto artimoje aplinkoje prevencijos ir pagalbos smurto artimoje aplinkoje pavojų patiriantiems asmenims / patyrusiems asmenims teikimo programas, keičiasi informacija su specializuotos kompleksinės pagalbos centrais ir Valstybės vaiko teisių apsaugos ir įvaikinimo tarnybos teritoriniu skyriumi, inicijuoja programas (mokymus), smurto artimoje aplinkoje pavojų keliantiems asmenims. </w:t>
              </w:r>
            </w:p>
            <w:p>
              <w:pPr>
                <w:ind w:firstLine="720"/>
                <w:jc w:val="both"/>
                <w:rPr>
                  <w:kern w:val="2"/>
                  <w:szCs w:val="24"/>
                </w:rPr>
              </w:pPr>
              <w:r>
                <w:rPr>
                  <w:kern w:val="2"/>
                  <w:szCs w:val="24"/>
                </w:rPr>
                <w:t xml:space="preserve">Įgyvendinant LR asmens su negalia teisių apsaugos pagrindų įstatyme nustatytas Savivaldybės administracijai funkcijas, bus atliekama asmenų su negalia reikalų koordinavimo funkcija, kurios tikslas </w:t>
              </w:r>
              <w:r>
                <w:rPr>
                  <w:color w:val="000000"/>
                  <w:kern w:val="2"/>
                  <w:szCs w:val="24"/>
                </w:rPr>
                <w:t>–</w:t>
              </w:r>
              <w:r>
                <w:rPr>
                  <w:kern w:val="2"/>
                  <w:szCs w:val="24"/>
                </w:rPr>
                <w:t xml:space="preserve"> </w:t>
              </w:r>
              <w:r>
                <w:rPr>
                  <w:color w:val="000000"/>
                  <w:kern w:val="2"/>
                  <w:szCs w:val="24"/>
                </w:rPr>
                <w:t>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 ir stiprinti valstybės ir savivaldybės institucijų bei įstaigų, dirbančių asmenų su negalia socialinės integracijos politikos srityje, bendradarbiavimą.</w:t>
              </w:r>
            </w:p>
            <w:p>
              <w:pPr>
                <w:ind w:firstLine="720"/>
                <w:jc w:val="both"/>
                <w:rPr>
                  <w:kern w:val="2"/>
                  <w:szCs w:val="24"/>
                </w:rPr>
              </w:pPr>
              <w:r>
                <w:rPr>
                  <w:b/>
                  <w:bCs/>
                  <w:kern w:val="2"/>
                  <w:szCs w:val="24"/>
                  <w:lang w:eastAsia="ar-SA"/>
                </w:rPr>
                <w:t xml:space="preserve">Bendruomenė. </w:t>
              </w:r>
              <w:r>
                <w:rPr>
                  <w:kern w:val="2"/>
                  <w:szCs w:val="24"/>
                </w:rPr>
                <w:t>Siekdama kuo didesnio bendruomenės įsitraukimo į politinius sprendimų priėmimo procesus, bei norėdama sudaryti galimybes spręsti patiems miesto gyventojams, kaip panaudoti dalį biudžeto lėšų vystant ir puoselėjant gyvenamąją ir viešąją aplinką, patrauklią gyventi, dirbti, tobulėti, jau ketvirtus metus iš eilės Savivaldybės administracija įgyvendina dalyvaujamąjį biudžetą, kai miesto gyventojai siūlo projektų idėjas gyvenamajai aplinkai gerinti ir balsavimu yra pritariama projekto įgyvendinti projekto idėją. 2024 m. planuojama pradėti įgyvendinti du dalyvaujamojo biudžeto projektus ir du mokinių dalyvaujamojo biudžeto iniciatyvos projektus.</w:t>
              </w:r>
            </w:p>
            <w:p>
              <w:pPr>
                <w:ind w:firstLine="720"/>
                <w:jc w:val="both"/>
                <w:rPr>
                  <w:kern w:val="2"/>
                  <w:szCs w:val="24"/>
                </w:rPr>
              </w:pPr>
              <w:r>
                <w:rPr>
                  <w:kern w:val="2"/>
                  <w:szCs w:val="24"/>
                </w:rPr>
                <w:t xml:space="preserve">Skatinant Savivaldybės gyventojų pilietines iniciatyvas ir bendruomeniškumą skiriamas finansavimas jaunimo ir nevyriausybinių organizacijų plėtrai, finansuojami jų veiklos projektai. Šių priemonių tikslinės grupės – jaunimo ir su jaunimu dirbančios organizacijos, nevyriausybinės organizacijos, </w:t>
              </w:r>
              <w:r>
                <w:rPr>
                  <w:color w:val="000000"/>
                  <w:kern w:val="2"/>
                  <w:szCs w:val="24"/>
                </w:rPr>
                <w:t>atviri jaunimo centrai ir atvirosios jaunimo erdvės,</w:t>
              </w:r>
              <w:r>
                <w:rPr>
                  <w:kern w:val="2"/>
                  <w:szCs w:val="24"/>
                </w:rPr>
                <w:t xml:space="preserve"> registruotos ir veikiančios savivaldybėje. </w:t>
              </w:r>
            </w:p>
            <w:p>
              <w:pPr>
                <w:ind w:firstLine="720"/>
                <w:jc w:val="both"/>
                <w:rPr>
                  <w:color w:val="000000"/>
                  <w:kern w:val="2"/>
                  <w:szCs w:val="24"/>
                </w:rPr>
              </w:pPr>
              <w:r>
                <w:rPr>
                  <w:color w:val="000000"/>
                  <w:kern w:val="2"/>
                  <w:szCs w:val="24"/>
                </w:rPr>
                <w:t>Siekiant užtikrinti kryptingą jaunimo politikos įgyvendinimą, skatinamas jauno žmogaus aktyvus dalyvavimas visuomeninėje veikloje, įgūdžių lavinimas ir įsitraukimas į miesto gyvenimą. Priemonės tikslinė grupė – jauni žmonės (14–29 metų amžiaus) ir neformalios jaunimo grupės.</w:t>
              </w:r>
            </w:p>
            <w:p>
              <w:pPr>
                <w:ind w:firstLine="720"/>
                <w:jc w:val="both"/>
                <w:rPr>
                  <w:color w:val="000000"/>
                  <w:kern w:val="2"/>
                  <w:szCs w:val="24"/>
                </w:rPr>
              </w:pPr>
              <w:r>
                <w:rPr>
                  <w:color w:val="000000"/>
                  <w:kern w:val="2"/>
                  <w:szCs w:val="24"/>
                </w:rPr>
                <w:t xml:space="preserve">Siekiant užtikrinti atvirojo darbo su jaunimu formų plėtrą ir kokybę būtina palaikyti atvirus jaunimo centrus ir atviras jaunimo erdves, užtikrinti darbo su jaunimu gatvėje plėtrą. Jaunų žmonių įsitraukimas į savanorišką veiklą sudaro sąlygas skatinti pilietiškumą, didinti visuomeninį aktyvumą, įgyti darbinių įgūdžių. Jaunimo savanoriška veikla bus užtikrinama įgyvendinant savanoriškos tarnybos  modelį Savivaldybėje ir palaikant tarptautinę savanorystę.</w:t>
              </w:r>
            </w:p>
            <w:p>
              <w:pPr>
                <w:ind w:firstLine="720"/>
                <w:jc w:val="both"/>
                <w:rPr>
                  <w:color w:val="000000"/>
                  <w:kern w:val="2"/>
                  <w:szCs w:val="24"/>
                </w:rPr>
              </w:pPr>
              <w:r>
                <w:rPr>
                  <w:b/>
                  <w:bCs/>
                  <w:kern w:val="2"/>
                  <w:szCs w:val="24"/>
                  <w:shd w:val="clear" w:color="auto" w:fill="FFFFFF"/>
                  <w:lang w:eastAsia="ar-SA"/>
                </w:rPr>
                <w:t>Administracija</w:t>
              </w:r>
              <w:r>
                <w:rPr>
                  <w:kern w:val="2"/>
                  <w:szCs w:val="24"/>
                  <w:shd w:val="clear" w:color="auto" w:fill="FFFFFF"/>
                  <w:lang w:eastAsia="ar-SA"/>
                </w:rPr>
                <w:t>.</w:t>
              </w:r>
              <w:r>
                <w:rPr>
                  <w:color w:val="FF0000"/>
                  <w:kern w:val="2"/>
                  <w:szCs w:val="24"/>
                  <w:shd w:val="clear" w:color="auto" w:fill="FFFFFF"/>
                  <w:lang w:eastAsia="ar-SA"/>
                </w:rPr>
                <w:t xml:space="preserve"> </w:t>
              </w:r>
              <w:r>
                <w:rPr>
                  <w:rFonts w:eastAsia="Calibri"/>
                  <w:kern w:val="2"/>
                  <w:szCs w:val="24"/>
                </w:rPr>
                <w:t xml:space="preserve">Kasmet inventorizuojamos Savivaldybės administracinės paslaugos ir atnaujinamas administracinių paslaugų sąrašas, diegiamos elektroninės paslaugos. Savivaldybės administracija didelį dėmesį skiria paslaugų perkėlimui į elektroninę erdvę, šių paslaugų prieinamumo didinimui, kad klientai kuo daugiau reikalų galėtų susitvarkyti nuotoliniu būdu, neišvykdami iš namų.  2024 m prioritetinė sritis </w:t>
              </w:r>
              <w:r>
                <w:rPr>
                  <w:color w:val="000000"/>
                  <w:kern w:val="2"/>
                  <w:szCs w:val="24"/>
                </w:rPr>
                <w:t>–</w:t>
              </w:r>
              <w:r>
                <w:rPr>
                  <w:rFonts w:eastAsia="Calibri"/>
                  <w:kern w:val="2"/>
                  <w:szCs w:val="24"/>
                </w:rPr>
                <w:t xml:space="preserve"> gyventojų, kurie naudojasi elektroniniu būdu teikiamomis paslaugomis, skatinimas ir suteiktų elektroninių paslaugų skaičiaus didinimas. </w:t>
              </w:r>
            </w:p>
            <w:p>
              <w:pPr>
                <w:ind w:firstLine="720"/>
                <w:jc w:val="both"/>
                <w:rPr>
                  <w:kern w:val="2"/>
                  <w:szCs w:val="24"/>
                </w:rPr>
              </w:pPr>
              <w:r>
                <w:rPr>
                  <w:kern w:val="2"/>
                  <w:szCs w:val="24"/>
                </w:rPr>
                <w:t xml:space="preserve">Užtikrinant Savivaldybės administracijos darbuotojų (moterų ir vyrų) lygias galimybes viena iš būtinų sąlygų yra sudaryti darbuotojams (moterims ir vyrams) palankias sąlygas derinti šeimos įsipareigojimus ir darbą. Savivaldybės administracija skatina lygybę ir įvairovę netoleruodama diskriminacijos visose savo veiklos srityje. 2024 metais bus toliau įgyvendamos lygių galimybių veiksmų 2022–2024 metų plane numatytos priemonės siekiant sukurti struktūrinius ir kultūrinius pokyčius Savivaldybės lygių galimybių srityje, palengvinti saugaus ir lygiateisio klimato Savivaldybės administracijoje kūrimą, sumažinti vyraujančius pasirinkimo stereotipus ir užtikrinti  diskriminacijos prevenciją. Labai svarbus vaidmuo atitenka</w:t>
              </w:r>
              <w:r>
                <w:rPr>
                  <w:kern w:val="2"/>
                  <w:sz w:val="22"/>
                  <w:szCs w:val="22"/>
                </w:rPr>
                <w:t xml:space="preserve"> </w:t>
              </w:r>
              <w:r>
                <w:rPr>
                  <w:kern w:val="2"/>
                  <w:szCs w:val="24"/>
                </w:rPr>
                <w:t xml:space="preserve">informacijos sklaidai, todėl numatoma informaciją apie lygias galimybes skelbti Savivaldybės administracijos interneto svetainėje, nuolat periodiškai ją atnaujinti, informuojant apie Savivaldybės administracijos veiklą lygių galimybių užtikrinimo srityje, šviečiant visuomenę lygių galimybių klausimais.  2024 metais ir toliau, siekiant užtikrinti kurčiųjų gyvenimo komfortabilumą ir integraciją į Šiaulių  miesto gyvenimą, bus rengiamos reportažinio tipo savaitės aktualijų TV laidos su vertimu į gestų kalbą.</w:t>
              </w:r>
            </w:p>
            <w:p>
              <w:pPr>
                <w:ind w:firstLine="1296"/>
                <w:jc w:val="both"/>
                <w:rPr>
                  <w:kern w:val="2"/>
                  <w:szCs w:val="24"/>
                </w:rPr>
              </w:pPr>
              <w:r>
                <w:rPr>
                  <w:b/>
                  <w:bCs/>
                  <w:kern w:val="2"/>
                  <w:szCs w:val="24"/>
                  <w:lang w:eastAsia="ar-SA"/>
                </w:rPr>
                <w:t>Mokslas.</w:t>
              </w:r>
              <w:r>
                <w:rPr>
                  <w:kern w:val="2"/>
                  <w:szCs w:val="24"/>
                </w:rPr>
                <w:t xml:space="preserve"> Švietimo sistemos pokyčiams daro įtaką nuolat kintantis žinių ir informacinės visuomenės formavimasis, intensyvėjančios ir greitėjančios kaitos tendencijos. Švietimo sistema turi siekti naujos kokybės, kad paruoštų mokinius gyvenimui, savo bendruomenės ir valstybės ateities kūrimui rinkos sąlygomis besikeičiančioje visuomenėje. </w:t>
              </w:r>
            </w:p>
            <w:p>
              <w:pPr>
                <w:ind w:firstLine="1296"/>
                <w:jc w:val="both"/>
                <w:rPr>
                  <w:kern w:val="2"/>
                  <w:szCs w:val="24"/>
                </w:rPr>
              </w:pPr>
              <w:r>
                <w:rPr>
                  <w:kern w:val="2"/>
                  <w:szCs w:val="24"/>
                </w:rPr>
                <w:t>Ikimokyklinio ugdymo įstaigos užtikrina vaikų ugdymą pagal savitas ir modernias ikimokyklinio ugdymo programas</w:t>
              </w:r>
              <w:r>
                <w:rPr>
                  <w:b/>
                  <w:bCs/>
                  <w:kern w:val="2"/>
                  <w:szCs w:val="24"/>
                </w:rPr>
                <w:t xml:space="preserve">. </w:t>
              </w:r>
              <w:r>
                <w:rPr>
                  <w:kern w:val="2"/>
                  <w:szCs w:val="24"/>
                </w:rPr>
                <w:t>Siekiant kokybiško ikimokyklinio ir priešmokyklinio ugdymo, vaikų ugdymo pasiekimai vertinami du kartus per metus pagal Ikimokyklinio ir priešmokyklinio amžiaus vaikų pasiekimų aprašus. Ypatingas dėmesys skiriamas vaikų fizinės ir psichinės sveikatos saugojimui ir stiprinimui: įgyvendinamos programos „Augu sveikas ir stiprus“, vaisių ir daržovių vartojimo skatinimo programa, visi lopšeliai-darželiai dalyvauja sveikatą stiprinančių mokyklų tinklo veiklose, ilgalaikio projekto „Lietuvos mažųjų žaidynės“ konkursuose ir olimpiadose</w:t>
              </w:r>
              <w:r>
                <w:rPr>
                  <w:b/>
                  <w:bCs/>
                  <w:kern w:val="2"/>
                  <w:szCs w:val="24"/>
                </w:rPr>
                <w:t>,</w:t>
              </w:r>
              <w:r>
                <w:rPr>
                  <w:kern w:val="2"/>
                  <w:szCs w:val="24"/>
                </w:rPr>
                <w:t xml:space="preserve"> vykdo socialinio emocinio ugdymo programas „Kimočis“ ir „Zipio draugai“, socialinės atsakomybės projektą „Sveikatiada“. </w:t>
              </w:r>
            </w:p>
            <w:p>
              <w:pPr>
                <w:ind w:firstLine="720"/>
                <w:jc w:val="both"/>
                <w:rPr>
                  <w:kern w:val="2"/>
                  <w:szCs w:val="24"/>
                </w:rPr>
              </w:pPr>
              <w:r>
                <w:rPr>
                  <w:kern w:val="2"/>
                  <w:szCs w:val="24"/>
                </w:rPr>
                <w:t xml:space="preserve">Bendrojo ugdymo mokyklose siekiama geriau tenkinti individualius mokinių ugdymo(si) poreikius, tobulinant ugdymo procesą. Siekiant efektyvesnio ir įdomesnio mokymosi turinio įsisavinimo, tobulinamas šiuolaikiškas ugdymas, miesto mokyklose sukurtos skaitmeninės mokymosi aplinkos. Mokiniai ir mokytojai turi galimybę dirbti su skaitmeniniais vadovėliais ir jų komplektais, gali dirbti su įvairaus tipo skaitmeninėmis užduotimis. Diferencijuotas ir individualizuotas mokymas(is) tampa efektyvesnis, lengviau analizuojami mokinių pasiekimai. Kasmet visoms mokykloms suteikiamas „Kultūros krepšelis“, kuriuo pasinaudodami mokiniai turi galimybę lankytis visuose Šiaulių regiono muziejuose nemokamai. </w:t>
              </w:r>
            </w:p>
            <w:p>
              <w:pPr>
                <w:ind w:firstLine="720"/>
                <w:jc w:val="both"/>
                <w:rPr>
                  <w:kern w:val="2"/>
                  <w:szCs w:val="24"/>
                </w:rPr>
              </w:pPr>
              <w:r>
                <w:rPr>
                  <w:kern w:val="2"/>
                  <w:szCs w:val="24"/>
                </w:rPr>
                <w:t>2023</w:t>
              </w:r>
              <w:r>
                <w:rPr>
                  <w:color w:val="000000"/>
                  <w:kern w:val="2"/>
                  <w:szCs w:val="24"/>
                </w:rPr>
                <w:t>–</w:t>
              </w:r>
              <w:r>
                <w:rPr>
                  <w:kern w:val="2"/>
                  <w:szCs w:val="24"/>
                </w:rPr>
                <w:t xml:space="preserve">2024 mokslo metais Šiaulių miesto mokyklos sudarė sąlygas mokytis 297 mokiniams iš Ukrainos stacionariuoju būdu, 8 ukrainiečiai mokiniai mokosi nuotoliniu būdu, Vinco Kudirkos progimnazijoje įkurta 1 klasė ukrainiečių vaikams mokytis gimtąja kalba, lopšelius-darželius lanko 140 ukrainiečių vaikų.   </w:t>
              </w:r>
            </w:p>
            <w:p>
              <w:pPr>
                <w:ind w:firstLine="720"/>
                <w:jc w:val="both"/>
                <w:rPr>
                  <w:kern w:val="2"/>
                  <w:szCs w:val="24"/>
                </w:rPr>
              </w:pPr>
              <w:r>
                <w:rPr>
                  <w:kern w:val="2"/>
                  <w:szCs w:val="24"/>
                </w:rPr>
                <w:t xml:space="preserve">Vadovaujantis 2021–2030 metų nacionaliniu pažangos planu, Šiaulių miesto savivaldybė dalyvauja „Tūkstantmečio mokyklų“ programoje, kurios tikslas – iki 2030 metų kiekvienoje Lietuvos savivaldybėje sukurti integralias, optimalias ir kokybiškas ugdymo(si) sąlygas mokinių pasiekimų atotrūkiams mažinti. Programoje  dalyvauja 5 miesto mokyklos: Gytarių, Salduvės, Ragainės progimnazijos ir Stasio Šalkauskio, Universitetinė gimnazijos. </w:t>
              </w:r>
            </w:p>
            <w:p>
              <w:pPr>
                <w:ind w:firstLine="720"/>
                <w:jc w:val="both"/>
                <w:rPr>
                  <w:kern w:val="2"/>
                  <w:szCs w:val="24"/>
                </w:rPr>
              </w:pPr>
              <w:r>
                <w:rPr>
                  <w:kern w:val="2"/>
                  <w:szCs w:val="24"/>
                </w:rPr>
                <w:t xml:space="preserve">Nuolat kintant darbo rinkai, augant kvalifikuotos darbo jėgos nutekėjimo į kitas Europos Sąjungos šalis mastams, itin aktualus tampa mokinio parengimo perėjimui iš švietimo į darbo rinkos sistemą procesas. Būtina, kad ugdymo karjerai specialistai, mokytojai ir kiti mokinių ugdymo procesą organizuojantys bei koordinuojantys asmenys gebėtų padėti mokiniams atskleisti asmenines galimybes, galėtų suteikti reikiamą informaciją studijų, darbo, profesijos ar specialybės pasirinkimo srityse. Nuo 2017 m. pradėtas vykdyti Savivaldybės ir miesto teritorijoje veikiančių aukštųjų mokyklų bendradarbiavimo programų finansavimas, kurį planuojama tęsti 2024 metais. Siekiant vystyti aukštąjį mokslą ir profesinį rengimą Šiauliuose, stiprinant inžinerinių studijų patrauklumą, didinant mokinių kompleksišką tikrovės reiškinių pažinimą ir gebėjimų ugdymą gamtos mokslų, matematikos, technologijų, inžinerijos ir meno kontekste, Savivaldybės taryba patvirtino STEAM krypties programų finansavimo tvarkos aprašą. Vadovaujantis minėtu aprašu lėšos numatytos STEAM ir kitos edukacinės veiklos mokiniams, kvalifikacijos tobulinimo programos  pagrindinio ir vidurinio ugdymo STEAM dalykų pedagogams. Savivaldybės biudžeto lėšos skiriamos suaugusiųjų, kurie mokosi pagal suaugusiųjų neformaliojo švietimo ir tęstinio mokymosi programas, mokymuisi finansuoti pagal Vyriausybės patvirtintas metodikas.  </w:t>
              </w:r>
            </w:p>
            <w:p>
              <w:pPr>
                <w:ind w:firstLine="720"/>
                <w:jc w:val="both"/>
                <w:rPr>
                  <w:kern w:val="2"/>
                  <w:szCs w:val="24"/>
                </w:rPr>
              </w:pPr>
              <w:r>
                <w:rPr>
                  <w:kern w:val="2"/>
                  <w:szCs w:val="24"/>
                </w:rPr>
                <w:t xml:space="preserve">Siekiant spręsti netolygios švietimo infrastruktūros išvystymo problemas, pagerinti besimokančių moksleivių sąlygas, 2024 m. planuojami kapitaliniai pastatų (jų dalių) ir vidaus patalpų remonto darbai Didždvario, Sporto, „Santarvės“, Simono Daukanto inžinerijos gimnazijose, „Dagilėlio“ dainavimo mokykloje, Dailės, Dainų muzikos mokyklose, Vinco Kudirkos, Ragainės progimnazijose, „Salduvės“, „Pelėdžiuko“ lopšeliuose-darželiuose, Menų mokyklos „Kibirkšties“ filiale. </w:t>
              </w:r>
            </w:p>
            <w:p>
              <w:pPr>
                <w:ind w:firstLine="720"/>
                <w:jc w:val="both"/>
                <w:rPr>
                  <w:kern w:val="2"/>
                  <w:szCs w:val="24"/>
                </w:rPr>
              </w:pPr>
              <w:r>
                <w:rPr>
                  <w:kern w:val="2"/>
                  <w:szCs w:val="24"/>
                </w:rPr>
                <w:t xml:space="preserve">Taip pat numatoma įgyvendinti projektą „Didinti ikimokyklinio ugdymo paslaugų prieinamumą, pritaikant ikimokykliniam ugdymui pastatą adresu Pabalių g. 53.“ renovuojant buvusios Jaunimo mokyklos pastatą Pabaliuose ir pritaikant jį penkių grupių lopšelio-darželio poreikiams. Papildant ikimokyklinukų sveikatos stiprinimo galimybes, 2024 metais planuojamas lopšelio-darželio „Žiogelis“ baseino kapitalinis remontas. </w:t>
              </w:r>
            </w:p>
            <w:p>
              <w:pPr>
                <w:ind w:firstLine="720"/>
                <w:jc w:val="both"/>
                <w:rPr>
                  <w:kern w:val="2"/>
                  <w:szCs w:val="24"/>
                </w:rPr>
              </w:pPr>
              <w:r>
                <w:rPr>
                  <w:kern w:val="2"/>
                  <w:szCs w:val="24"/>
                </w:rPr>
                <w:t xml:space="preserve">Tobulinant sportinio ugdymo infrastruktūrą, planuojama atnaujinti sporto sales 13-koje mokyklų ir įrengti sporto aikštynus Gytarių, Dainų, „Romuvos“ progimnazijose bei Lieporių gimnazijoje. </w:t>
              </w:r>
            </w:p>
            <w:p>
              <w:pPr>
                <w:ind w:firstLine="720"/>
                <w:jc w:val="both"/>
                <w:rPr>
                  <w:kern w:val="2"/>
                  <w:szCs w:val="24"/>
                </w:rPr>
              </w:pPr>
              <w:r>
                <w:rPr>
                  <w:kern w:val="2"/>
                  <w:szCs w:val="24"/>
                </w:rPr>
                <w:t xml:space="preserve">2024 metais planuojama vykdyti tęstinius švietimo įstaigų vamzdynų ir santechninių mazgų atnaujinimo,  elektros instaliacijos, virtuvių remonto darbus.</w:t>
              </w:r>
            </w:p>
            <w:p>
              <w:pPr>
                <w:ind w:firstLine="720"/>
                <w:jc w:val="both"/>
                <w:rPr>
                  <w:kern w:val="2"/>
                  <w:szCs w:val="24"/>
                </w:rPr>
              </w:pPr>
              <w:r>
                <w:rPr>
                  <w:kern w:val="2"/>
                  <w:szCs w:val="24"/>
                </w:rPr>
                <w:t xml:space="preserve">Gerinant švietimo paslaugų prieinamumą ir kokybę, aktualus išlieka ugdymo aplinkų pritaikymas neįgaliesiems. 2024 metais numatomas tokių aplinkų pritaikymas „Romuvos“, Salduvės, Ragainės, Vinco Kudirkos progimnazijose ir Dailės mokykloje.       </w:t>
              </w:r>
            </w:p>
            <w:p>
              <w:pPr>
                <w:ind w:firstLine="720"/>
                <w:jc w:val="both"/>
                <w:rPr>
                  <w:kern w:val="2"/>
                  <w:szCs w:val="24"/>
                </w:rPr>
              </w:pPr>
              <w:r>
                <w:rPr>
                  <w:b/>
                  <w:bCs/>
                  <w:kern w:val="2"/>
                  <w:szCs w:val="24"/>
                  <w:lang w:eastAsia="ar-SA"/>
                </w:rPr>
                <w:t xml:space="preserve">Kultūra. </w:t>
              </w:r>
              <w:r>
                <w:rPr>
                  <w:rFonts w:eastAsia="Calibri"/>
                  <w:kern w:val="2"/>
                  <w:szCs w:val="24"/>
                </w:rPr>
                <w:t xml:space="preserve">Siekiant sukurti modernių, patrauklių, kultūrinei veiklai ir visoms socialinėms visuomenės grupėms pritaikytų įstaigų infrastruktūrą ir sudaryti sąlygas kultūros ir meno paslaugų plėtrai, 2024 m. numatyta užbaigti projektą „Atnaujinti (modernizuoti) Šiaulių miesto koncertinę įstaigą „Saulė“ (Tilžės g. 140), rekonstruoti pastatą ir pastatyti priestatą“, instaliuojant scenos mechanizmų įrangą, atnaujinant žiūrovų salės sienas ir lubas, atliekant Vitražų salės, holo, kasos ir rūbinės paprastąjį remontą. </w:t>
              </w:r>
            </w:p>
            <w:p>
              <w:pPr>
                <w:ind w:firstLine="720"/>
                <w:jc w:val="both"/>
                <w:rPr>
                  <w:kern w:val="2"/>
                  <w:szCs w:val="24"/>
                </w:rPr>
              </w:pPr>
              <w:r>
                <w:rPr>
                  <w:rFonts w:eastAsia="Calibri"/>
                  <w:kern w:val="2"/>
                  <w:szCs w:val="24"/>
                </w:rPr>
                <w:t xml:space="preserve">Taip pat planuojama atnaujinti (modernizuoti) Šiaulių dailės galerijos pastatą (Vilniaus g. 245), įkuriant mobiliąją ir interaktyviąją edukacinę erdvę su mobiliaisiais baldais, interaktyviosiomis lentomis ir kita išmaniąja įranga, apšvietimo ir meno kūrinių pakabinimo sistemomis. </w:t>
              </w:r>
            </w:p>
            <w:p>
              <w:pPr>
                <w:ind w:firstLine="720"/>
                <w:jc w:val="both"/>
                <w:rPr>
                  <w:kern w:val="2"/>
                  <w:szCs w:val="24"/>
                </w:rPr>
              </w:pPr>
              <w:r>
                <w:rPr>
                  <w:rFonts w:eastAsia="Calibri"/>
                  <w:kern w:val="2"/>
                  <w:szCs w:val="24"/>
                </w:rPr>
                <w:t xml:space="preserve">2024 m. bus vykdomas projektas </w:t>
              </w:r>
              <w:r>
                <w:rPr>
                  <w:rFonts w:eastAsia="Segoe UI Symbol"/>
                  <w:kern w:val="2"/>
                  <w:szCs w:val="24"/>
                </w:rPr>
                <w:t>„</w:t>
              </w:r>
              <w:r>
                <w:rPr>
                  <w:rFonts w:eastAsia="Calibri"/>
                  <w:kern w:val="2"/>
                  <w:szCs w:val="24"/>
                </w:rPr>
                <w:t xml:space="preserve">Didinti Šiaulių kultūros centro Rėkyvos kultūros namų (Energetikų g. 7) funkcionalumą“, kurio tikslas </w:t>
              </w:r>
              <w:r>
                <w:rPr>
                  <w:color w:val="000000"/>
                  <w:kern w:val="2"/>
                  <w:szCs w:val="24"/>
                </w:rPr>
                <w:t>–</w:t>
              </w:r>
              <w:r>
                <w:rPr>
                  <w:rFonts w:eastAsia="Calibri"/>
                  <w:kern w:val="2"/>
                  <w:szCs w:val="24"/>
                </w:rPr>
                <w:t xml:space="preserve"> įkurti daugiafunkcę erdvę su šiuolaikinėmis įgarsinimo, apšvietimo, vaizdo atkūrimo sistemomis ir oro kondicionavimo sistema ir sutvarkyti pastato teritoriją, atnaujinant takus, fontaną, įrengiant želdynus, suoliukus, informacinį stendą. </w:t>
              </w:r>
            </w:p>
            <w:p>
              <w:pPr>
                <w:ind w:firstLine="720"/>
                <w:jc w:val="both"/>
                <w:rPr>
                  <w:kern w:val="2"/>
                  <w:szCs w:val="24"/>
                </w:rPr>
              </w:pPr>
              <w:r>
                <w:rPr>
                  <w:rFonts w:eastAsia="Calibri"/>
                  <w:kern w:val="2"/>
                  <w:szCs w:val="24"/>
                </w:rPr>
                <w:t xml:space="preserve">Vykdant projektą „Didinti Šiaulių kultūros centro (Aušros al. 31) pastato funkcionalumą“, bus įrengta oro kondicionavimo sistema Didžiojoje ir Oranžinėje salėse. </w:t>
              </w:r>
            </w:p>
            <w:p>
              <w:pPr>
                <w:ind w:firstLine="720"/>
                <w:jc w:val="both"/>
                <w:rPr>
                  <w:rFonts w:eastAsia="Calibri"/>
                  <w:kern w:val="2"/>
                  <w:szCs w:val="24"/>
                </w:rPr>
              </w:pPr>
              <w:r>
                <w:rPr>
                  <w:rFonts w:eastAsia="Calibri"/>
                  <w:kern w:val="2"/>
                  <w:szCs w:val="24"/>
                </w:rPr>
                <w:t xml:space="preserve">2024 m. bus tęsiamas projektas „Didinti Šiaulių miesto kultūros centro „Laiptų galerija“ pastato (Žemaitės g. 83) funkcionalumą“ (II etapas) – atliekami kultūros ir visuomenės veikėjo </w:t>
              </w:r>
            </w:p>
            <w:p>
              <w:pPr>
                <w:jc w:val="both"/>
                <w:rPr>
                  <w:kern w:val="2"/>
                  <w:szCs w:val="24"/>
                </w:rPr>
              </w:pPr>
              <w:r>
                <w:rPr>
                  <w:rFonts w:eastAsia="Calibri"/>
                  <w:kern w:val="2"/>
                  <w:szCs w:val="24"/>
                </w:rPr>
                <w:t xml:space="preserve">P. Bugailiškio namo (kultūros paveldo objekto) vidaus remonto tvarkybos ir balkono atnaujinimo darbai, keičiami išoriniai mediniai langai ir durys. </w:t>
              </w:r>
            </w:p>
            <w:p>
              <w:pPr>
                <w:ind w:firstLine="720"/>
                <w:jc w:val="both"/>
                <w:rPr>
                  <w:kern w:val="2"/>
                  <w:szCs w:val="24"/>
                </w:rPr>
              </w:pPr>
              <w:r>
                <w:rPr>
                  <w:rFonts w:eastAsia="Calibri"/>
                  <w:kern w:val="2"/>
                  <w:szCs w:val="24"/>
                </w:rPr>
                <w:t xml:space="preserve">2024 m. Šiaulių turizmo informacijos centras pradės vykdyti LATLIT projektą „Viešojo sektoriaus specialistų gebėjimų stiprinimas, siekiant gerinti teikiamų paslaugų kokybę Šiaulių miesto savivaldybės ir Bauskės rajono savivaldybės turizmo institucijose“. Projekto tikslas – gerinti turizmo srityje dirbančių specialistų gebėjimus Šiaulių miesto savivaldybės ir Bauskės rajono savivaldybės turizmo paslaugas teikiančiose institucijose, keliant prieinamų viešųjų paslaugų kokybę, dalijantis gerąja patirtimi ir organizuojant mokymus, kūrybines dirbtuves bei praktinius seminarus, siekiant kelti darbuotojų motyvaciją ir kompetencijas. </w:t>
              </w:r>
            </w:p>
            <w:p>
              <w:pPr>
                <w:ind w:firstLine="720"/>
                <w:jc w:val="both"/>
                <w:rPr>
                  <w:kern w:val="2"/>
                  <w:szCs w:val="24"/>
                </w:rPr>
              </w:pPr>
              <w:r>
                <w:rPr>
                  <w:rFonts w:eastAsia="Calibri"/>
                  <w:kern w:val="2"/>
                  <w:szCs w:val="24"/>
                </w:rPr>
                <w:t xml:space="preserve">2024 m. bus tęsiamas Šiaulių miesto įvaizdžio rinkodaros ir turizmo skatinimo priemonių įgyvendinimas: vyks gatvės meno projektas „Saulės pagrobimas“, įgyvendinama menininkų ir kūrėjų rezidencijų programa, tęsiama leidinio „Šiaulių miesto mitas“ sklaida, organizuojami forumai, konferencijos apie Šiaulių miesto tapatybę. Bus tęsiami parengiamieji darbai Lietuvos kultūros sostinės 2026 m. paraiškos rengimo procese, vyks Šiaulių miesto turizmo išteklių pristatymas nacionalinėse, tarptautinėse turizmo parodose ir kt. </w:t>
              </w:r>
            </w:p>
            <w:p>
              <w:pPr>
                <w:ind w:firstLine="720"/>
                <w:jc w:val="both"/>
                <w:rPr>
                  <w:kern w:val="2"/>
                  <w:szCs w:val="24"/>
                </w:rPr>
              </w:pPr>
              <w:r>
                <w:rPr>
                  <w:rFonts w:eastAsia="Calibri"/>
                  <w:kern w:val="2"/>
                  <w:szCs w:val="24"/>
                </w:rPr>
                <w:t>2024 m. Šiaulių mieste bus organizuojama regioninė dainų šventė „Teka saulelė“, kurioje kviečiami dalyvauti 45 chorų kolektyvai ir 7 pučiamųjų instrumentų orkestrai, iš viso apie 1800 dalyvių.</w:t>
              </w:r>
            </w:p>
            <w:p>
              <w:pPr>
                <w:ind w:firstLine="720"/>
                <w:jc w:val="both"/>
                <w:rPr>
                  <w:kern w:val="2"/>
                  <w:szCs w:val="24"/>
                </w:rPr>
              </w:pPr>
              <w:r>
                <w:rPr>
                  <w:rFonts w:eastAsia="Calibri"/>
                  <w:kern w:val="2"/>
                  <w:szCs w:val="24"/>
                </w:rPr>
                <w:t>Šiaulių miesto delegacija (45 kolektyvai, apie 1500 dalyvių) dalyvaus Šimtmečio Lietuvos dainų šventėje „Kad giria žaliuotų“.</w:t>
              </w:r>
            </w:p>
            <w:p>
              <w:pPr>
                <w:ind w:firstLine="720"/>
                <w:jc w:val="both"/>
                <w:rPr>
                  <w:b/>
                  <w:bCs/>
                  <w:color w:val="000000"/>
                  <w:kern w:val="2"/>
                  <w:szCs w:val="24"/>
                  <w:lang w:eastAsia="ar-SA"/>
                </w:rPr>
              </w:pPr>
              <w:r>
                <w:rPr>
                  <w:b/>
                  <w:bCs/>
                  <w:color w:val="000000"/>
                  <w:kern w:val="2"/>
                  <w:szCs w:val="24"/>
                  <w:lang w:eastAsia="ar-SA"/>
                </w:rPr>
                <w:t xml:space="preserve">Sportas. </w:t>
              </w:r>
              <w:r>
                <w:rPr>
                  <w:color w:val="000000"/>
                  <w:kern w:val="2"/>
                  <w:szCs w:val="24"/>
                  <w:lang w:eastAsia="ar-SA"/>
                </w:rPr>
                <w:t xml:space="preserve">Siekiant toliau tobulinti sporto sistemą, 2024 m. planuojama skatinti lyčių lygybę ir sportininkų su negalia rengimą nevyriausybinėse sporto organizacijose. Bus aktyvinamas sveikas gyvenimo būdas, siekiama sudaryti sąlygas ugdyti sveiką ir fiziškai aktyvią visuomenę, kuo daugiau gyventojų įtraukiant į organizuotas ir savarankiškas fizinio aktyvumo veiklas bei renginius, skatinant jų visapusišką tobulėjimą ir sudarant palankią sporto infrastruktūrą gyventojų laisvalaikio užimtumui, sportui ir sveikatai stiprinti. 2024 m. planuojama pradėti Sporto komplekso (futbolo ir regbio maniežo) statybos darbus. Taip pat planuojama pradėti </w:t>
              </w:r>
              <w:r>
                <w:rPr>
                  <w:kern w:val="2"/>
                  <w:szCs w:val="24"/>
                </w:rPr>
                <w:t xml:space="preserve">Šiaulių teniso akademijos pastato modernizavimo darbus (parengti techninį projektą) ir pakeisti Šiaulių m. stadiono, </w:t>
              </w:r>
              <w:r>
                <w:rPr>
                  <w:color w:val="000000"/>
                  <w:kern w:val="2"/>
                  <w:szCs w:val="24"/>
                </w:rPr>
                <w:t xml:space="preserve">adresu S. Daukanto g. 23, </w:t>
              </w:r>
              <w:r>
                <w:rPr>
                  <w:kern w:val="2"/>
                  <w:szCs w:val="24"/>
                </w:rPr>
                <w:t xml:space="preserve">veją ir E, F ir G tribūnas. 2024 m. </w:t>
              </w:r>
              <w:r>
                <w:rPr>
                  <w:color w:val="000000"/>
                  <w:kern w:val="2"/>
                  <w:szCs w:val="24"/>
                </w:rPr>
                <w:t xml:space="preserve">planuojama atlikti Šiaulių regbio ir žolės riedulio akademijos aikštyno, adresu Gardino g. 14, rekonstrukcijos darbus: praplatinti ir atnaujinti žalios vejos aikštelę, kuri atitiktų tarptautinės Regbio federacijos taisykles, įrengti paplūdimio regbio (futbolo) aikštelę, vaikų lauko žaidimų aikštelę, lauko gimnastikos treniruoklių aikštelę, aikštės apšvietimą ir automatizuotą vejos laistymo sistemą. </w:t>
              </w:r>
            </w:p>
            <w:p>
              <w:pPr>
                <w:ind w:firstLine="720"/>
                <w:jc w:val="both"/>
                <w:rPr>
                  <w:kern w:val="2"/>
                  <w:szCs w:val="24"/>
                </w:rPr>
              </w:pPr>
              <w:r>
                <w:rPr>
                  <w:b/>
                  <w:bCs/>
                  <w:color w:val="000000"/>
                  <w:kern w:val="2"/>
                  <w:szCs w:val="24"/>
                </w:rPr>
                <w:t xml:space="preserve">Sveikata. </w:t>
              </w:r>
              <w:r>
                <w:rPr>
                  <w:kern w:val="2"/>
                  <w:szCs w:val="24"/>
                </w:rPr>
                <w:t xml:space="preserve">Ir toliau bus skiriamas dėmesys sudaryti kuo palankesnes sąlygas miesto bendruomenei sveikatinti, lavinti sveikatos raštingumą nuo pat vaikystės, sveikam senėjimui, </w:t>
              </w:r>
              <w:r>
                <w:rPr>
                  <w:color w:val="000000"/>
                  <w:kern w:val="2"/>
                  <w:szCs w:val="24"/>
                </w:rPr>
                <w:t>mažinant sergamumą, ligotumą, neįgalumą, sudarant prielaidas ilgesniam ir sveikesniam gyvenimui. T</w:t>
              </w:r>
              <w:r>
                <w:rPr>
                  <w:kern w:val="2"/>
                  <w:szCs w:val="24"/>
                </w:rPr>
                <w:t xml:space="preserve">uo tikslu 2024 m. Šiauliuose bus organizuojami renginiai, užsiėmimai, skatinantys gyventojus judėti, tęsiamos sveikatinimo iniciatyvos, toliau aktyvinamas prevencinių programų vykdymas. </w:t>
              </w:r>
            </w:p>
            <w:p>
              <w:pPr>
                <w:ind w:firstLine="720"/>
                <w:jc w:val="both"/>
                <w:rPr>
                  <w:color w:val="000000"/>
                  <w:kern w:val="2"/>
                  <w:szCs w:val="24"/>
                </w:rPr>
              </w:pPr>
              <w:r>
                <w:rPr>
                  <w:kern w:val="2"/>
                  <w:szCs w:val="24"/>
                </w:rPr>
                <w:t xml:space="preserve">Siekiant sveikatos paslaugų plėtojimo ir prieinamumo gerinimo 2024 m. bus tęsiamas sveikatos priežiūros įstaigų infrastruktūros modernizavimas. </w:t>
              </w:r>
              <w:r>
                <w:rPr>
                  <w:color w:val="000000"/>
                  <w:kern w:val="2"/>
                  <w:szCs w:val="24"/>
                </w:rPr>
                <w:t xml:space="preserve">Įgyvendinant projektą „Energetinių charakteristikų gerinimas VšĮ Dainų pirminės sveikatos priežiūros centre“ 2024 m. planuojama tęsti  Dainų pirminės sveikatos priežiūros centro pastato šiltinimo darbus. Taip pat planuojami lifto įrengimo darbai.</w:t>
              </w:r>
            </w:p>
            <w:p>
              <w:pPr>
                <w:ind w:firstLine="720"/>
                <w:jc w:val="both"/>
                <w:rPr>
                  <w:color w:val="000000"/>
                  <w:kern w:val="2"/>
                  <w:szCs w:val="24"/>
                </w:rPr>
              </w:pPr>
              <w:r>
                <w:rPr>
                  <w:color w:val="000000"/>
                  <w:kern w:val="2"/>
                  <w:szCs w:val="24"/>
                </w:rPr>
                <w:t>Bus tęsiami Šiaulių ilgalaikio gydymo ir geriatrijos centro naujojo korpuso rekuperavimo ir kondicionavimo sistemos įrengimo darbai, kurių metu naujo korpuso 1.2. skyriuje įrengiama ventiliacija ir modernizuojamas šiluminis mazgas. Planuojama pradėti naujo korpuso 3 aušto ventiliacijos įrengimą.</w:t>
              </w:r>
            </w:p>
            <w:p>
              <w:pPr>
                <w:ind w:firstLine="720"/>
                <w:jc w:val="both"/>
                <w:rPr>
                  <w:color w:val="000000"/>
                  <w:kern w:val="2"/>
                  <w:szCs w:val="24"/>
                </w:rPr>
              </w:pPr>
              <w:r>
                <w:rPr>
                  <w:color w:val="000000"/>
                  <w:kern w:val="2"/>
                  <w:szCs w:val="24"/>
                </w:rPr>
                <w:t>Nuo 2024 m. planuojami Šiaulių centro poliklinikos naujojo Odontologijos korpuso fasado remonto darbai.</w:t>
              </w:r>
            </w:p>
            <w:p>
              <w:pPr>
                <w:ind w:firstLine="720"/>
                <w:jc w:val="both"/>
                <w:rPr>
                  <w:color w:val="000000"/>
                  <w:kern w:val="2"/>
                  <w:szCs w:val="24"/>
                </w:rPr>
              </w:pPr>
              <w:r>
                <w:rPr>
                  <w:color w:val="000000"/>
                  <w:kern w:val="2"/>
                  <w:szCs w:val="24"/>
                </w:rPr>
                <w:t>Siekiama didinti VšĮ Dainų pirminės sveikatos priežiūros centro funkcionalumą: įrengti elektros tiekimo šaltinį, modernizuoti pastato Aido g. 16 A dalį, sutvarkyti viešo naudojimo šaligatvių dangą.</w:t>
              </w:r>
            </w:p>
            <w:p>
              <w:pPr>
                <w:ind w:firstLine="720"/>
                <w:jc w:val="both"/>
                <w:rPr>
                  <w:color w:val="000000"/>
                  <w:kern w:val="2"/>
                  <w:szCs w:val="24"/>
                </w:rPr>
              </w:pPr>
              <w:r>
                <w:rPr>
                  <w:color w:val="000000"/>
                  <w:kern w:val="2"/>
                  <w:szCs w:val="24"/>
                </w:rPr>
                <w:t>Planuojama pradėti įgyvendinti ES fondų lėšomis finansuojamą projektą „Sveikatos centrų sudėtyje teikiamų sveikatos priežiūros paslaugų infrastruktūros modernizavimas Šiaulių miesto savivaldybėje“. Projekto tikslas – gerinti sveikatos priežiūros paslaugų kokybę ir prieinamumą Šiaulių mieste, modernizuojant reikiamą infrastruktūrą.</w:t>
              </w:r>
            </w:p>
            <w:p>
              <w:pPr>
                <w:ind w:firstLine="720"/>
                <w:jc w:val="both"/>
                <w:rPr>
                  <w:kern w:val="2"/>
                  <w:szCs w:val="24"/>
                </w:rPr>
              </w:pPr>
              <w:r>
                <w:rPr>
                  <w:color w:val="000000"/>
                  <w:kern w:val="2"/>
                  <w:szCs w:val="24"/>
                </w:rPr>
                <w:t xml:space="preserve">Taip pat planuojama pradėti įgyvendinti projektą  „Ilgalaikės priežiūros dienos centrų įrengimas, mobilių komandų aprūpinimas įranga ir transporto priemonėmis“, finansuojamą ES fondų lėšomis. Projekto įgyvendinimo metu planuojama keturių mobilių komandų specialistus aprūpinti darbui reikiama įranga ir priemonėmis, kad galėtų tinkamai teikti ambulatorinės slaugos paslaugas namuose, įrengti vieną ilgalaikės priežiūros dienos centrą.</w:t>
              </w:r>
            </w:p>
            <w:p>
              <w:pPr>
                <w:ind w:firstLine="720"/>
                <w:jc w:val="both"/>
                <w:rPr>
                  <w:kern w:val="2"/>
                  <w:szCs w:val="24"/>
                </w:rPr>
              </w:pPr>
              <w:r>
                <w:rPr>
                  <w:kern w:val="2"/>
                  <w:szCs w:val="24"/>
                </w:rPr>
                <w:t xml:space="preserve">Siekiant gerinti sveikatos paslaugų prieinamumą 2024 m., planuojama pritraukti 14 gydytojų specialistų dirbti ir teikti sveikatos paslaugas Šiaulių miesto sveikatos priežiūros įstaigose ir </w:t>
              </w:r>
              <w:r>
                <w:rPr>
                  <w:color w:val="000000"/>
                  <w:kern w:val="2"/>
                  <w:szCs w:val="24"/>
                </w:rPr>
                <w:t>finansuoti 8 sveikatos mokslų studentų studijas.</w:t>
              </w:r>
            </w:p>
            <w:p>
              <w:pPr>
                <w:ind w:firstLine="720"/>
                <w:jc w:val="both"/>
                <w:rPr>
                  <w:color w:val="000000"/>
                  <w:kern w:val="2"/>
                  <w:szCs w:val="24"/>
                </w:rPr>
              </w:pPr>
              <w:r>
                <w:rPr>
                  <w:color w:val="000000"/>
                  <w:kern w:val="2"/>
                  <w:szCs w:val="24"/>
                </w:rPr>
                <w:t>Šiaulių miesto savivaldybės visuomenės sveikatos biuras toliau vykdys visuomenės sveikatos priežiūrą Savivaldybės teritorijoje esančiose ugdymo įstaigose ugdomų mokinių pagal ikimokyklinio, priešmokyklinio, pradinio, pagrindinio ir vidurinio ugdymo programas, toliau stiprins bendradarbiavimą su asmens sveikatos priežiūros įstaigomis vykdant prevencines sveikatos stiprinimo programas ir intensyviai plėtos visuomenės psichikos sveikatos paslaugų prieinamumą, ankstyvojo savižudybių atpažinimo ir kompleksinės pagalbos teikimo sistemą. Švietimo įstaigose vaikai bus skatinami rinktis sveiką mitybą ir būti fiziškai aktyviais.</w:t>
              </w:r>
            </w:p>
            <w:p>
              <w:pPr>
                <w:rPr>
                  <w:sz w:val="20"/>
                </w:rPr>
              </w:pPr>
            </w:p>
            <w:p>
              <w:pPr>
                <w:jc w:val="center"/>
                <w:rPr>
                  <w:b/>
                  <w:bCs/>
                  <w:color w:val="000000"/>
                  <w:szCs w:val="24"/>
                </w:rPr>
              </w:pPr>
            </w:p>
            <w:p>
              <w:pPr>
                <w:jc w:val="center"/>
                <w:rPr>
                  <w:b/>
                  <w:bCs/>
                  <w:color w:val="000000"/>
                  <w:szCs w:val="24"/>
                </w:rPr>
              </w:pPr>
            </w:p>
          </w:sdtContent>
        </w:sdt>
        <w:sdt>
          <w:sdtPr>
            <w:alias w:val="skyrius"/>
            <w:tag w:val="part_a8154319941a4382aa2a0bf4089d73eb"/>
            <w:lock w:val="sdtLocked"/>
            <w:richText/>
          </w:sdtPr>
          <w:sdtContent>
            <w:p>
              <w:pPr>
                <w:jc w:val="center"/>
                <w:rPr>
                  <w:b/>
                  <w:bCs/>
                  <w:color w:val="000000"/>
                  <w:szCs w:val="24"/>
                </w:rPr>
              </w:pPr>
              <w:sdt>
                <w:sdtPr>
                  <w:alias w:val="Numeris"/>
                  <w:tag w:val="nr_a8154319941a4382aa2a0bf4089d73eb"/>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a8154319941a4382aa2a0bf4089d73eb"/>
                  <w:lock w:val="sdtLocked"/>
                  <w:richText/>
                </w:sdtPr>
                <w:sdtContent>
                  <w:r>
                    <w:rPr>
                      <w:b/>
                      <w:bCs/>
                      <w:color w:val="000000"/>
                      <w:szCs w:val="24"/>
                    </w:rPr>
                    <w:t>PROGRAMOS</w:t>
                  </w:r>
                </w:sdtContent>
              </w:sdt>
            </w:p>
            <w:p>
              <w:pPr>
                <w:rPr>
                  <w:sz w:val="20"/>
                </w:rPr>
              </w:pPr>
            </w:p>
            <w:p>
              <w:pPr>
                <w:ind w:firstLine="1296"/>
                <w:jc w:val="both"/>
                <w:rPr>
                  <w:iCs/>
                  <w:szCs w:val="24"/>
                </w:rPr>
              </w:pPr>
              <w:r>
                <w:rPr>
                  <w:iCs/>
                  <w:szCs w:val="24"/>
                </w:rPr>
                <w:t>Savivaldybėje yra vykdoma 11 strateginio veiklos plano programų. 2 lentelėje nurodomos Savivaldybės strateginio veiklos plano programos, asignavimų ir kitų lėšų planas 2024–2026 metams.</w:t>
              </w:r>
            </w:p>
            <w:p>
              <w:pPr>
                <w:jc w:val="both"/>
                <w:rPr>
                  <w:b/>
                  <w:bCs/>
                  <w:szCs w:val="24"/>
                </w:rPr>
              </w:pPr>
            </w:p>
            <w:p>
              <w:pPr>
                <w:ind w:firstLine="1296"/>
                <w:jc w:val="both"/>
                <w:rPr>
                  <w:sz w:val="20"/>
                </w:rPr>
              </w:pPr>
              <w:r>
                <w:rPr>
                  <w:bCs/>
                  <w:sz w:val="20"/>
                </w:rPr>
                <w:t>2 lentelė</w:t>
              </w:r>
              <w:r>
                <w:rPr>
                  <w:sz w:val="20"/>
                </w:rPr>
                <w:t>.</w:t>
              </w:r>
              <w:r>
                <w:rPr>
                  <w:i/>
                  <w:sz w:val="20"/>
                </w:rPr>
                <w:t xml:space="preserve"> </w:t>
              </w:r>
              <w:r>
                <w:rPr>
                  <w:iCs/>
                  <w:sz w:val="20"/>
                </w:rPr>
                <w:t>2024–2026</w:t>
              </w:r>
              <w:r>
                <w:rPr>
                  <w:sz w:val="20"/>
                </w:rPr>
                <w:t xml:space="preserve"> metų asignavimų ir kitų lėšų pasiskirstymas pagal programas (tūkst. Eur)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3323"/>
                <w:gridCol w:w="1984"/>
                <w:gridCol w:w="1985"/>
                <w:gridCol w:w="2126"/>
              </w:tblGrid>
              <w:tr>
                <w:trPr>
                  <w:trHeight w:val="252"/>
                </w:trPr>
                <w:tc>
                  <w:tcPr>
                    <w:tcW w:w="5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Eil. Nr.</w:t>
                    </w:r>
                  </w:p>
                </w:tc>
                <w:tc>
                  <w:tcPr>
                    <w:tcW w:w="332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Programos kodas ir pavadinimas</w:t>
                    </w:r>
                  </w:p>
                </w:tc>
                <w:tc>
                  <w:tcPr>
                    <w:tcW w:w="198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2024 metų asignavimai ir kitos lėšos</w:t>
                    </w:r>
                  </w:p>
                </w:tc>
                <w:tc>
                  <w:tcPr>
                    <w:tcW w:w="198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2025 metų asignavimai ir kitos lėšos</w:t>
                    </w:r>
                  </w:p>
                </w:tc>
                <w:tc>
                  <w:tcPr>
                    <w:tcW w:w="212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2026 metų asignavimai ir kitos lėšos</w:t>
                    </w:r>
                  </w:p>
                </w:tc>
              </w:tr>
              <w:tr>
                <w:trPr>
                  <w:trHeight w:val="90"/>
                </w:trPr>
                <w:tc>
                  <w:tcPr>
                    <w:tcW w:w="5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1</w:t>
                    </w:r>
                  </w:p>
                </w:tc>
                <w:tc>
                  <w:tcPr>
                    <w:tcW w:w="332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2</w:t>
                    </w:r>
                  </w:p>
                </w:tc>
                <w:tc>
                  <w:tcPr>
                    <w:tcW w:w="198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3</w:t>
                    </w:r>
                  </w:p>
                </w:tc>
                <w:tc>
                  <w:tcPr>
                    <w:tcW w:w="198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4</w:t>
                    </w:r>
                  </w:p>
                </w:tc>
                <w:tc>
                  <w:tcPr>
                    <w:tcW w:w="212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5</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8"/>
                      </w:rPr>
                    </w:pPr>
                    <w:r>
                      <w:rPr>
                        <w:b/>
                        <w:bCs/>
                        <w:color w:val="000000"/>
                        <w:sz w:val="18"/>
                        <w:szCs w:val="18"/>
                      </w:rPr>
                      <w:t>01 Miesto urbanistinės plėtros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1 594,4</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978,3</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1 049,0</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02 Kultūros plėtros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8 901,6</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8 007,5</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8 342,9</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03 Aplinkos apsaugos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6 740,3</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5 444,7</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5 456,9</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04 Miesto infrastruktūros objektų priežiūros, modernizavimo ir plėtros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37 707,4</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40 455,0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44 985,8</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5.</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05 Miesto ekonominės plėtros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3 815,6</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905,0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2 577,0</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6.</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06 Turto valdymo ir privatizavimo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1 712,0</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1 597,1</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1 600,6</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7.</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07 Sporto plėtros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18 201,0</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22 644,3</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19 812,5</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08 Švietimo prieinamumo ir kokybės užtikrinimo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132 986,2</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143 538,2</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138 049,0</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9.</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09 Bendruomenės sveikatinimo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6 819,8</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4 075,7</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4 213,3</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10.</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10 Socialinės paramos įgyvendinimo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70 833,9</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71 560,7</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72 118,9</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11.</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r>
                      <w:rPr>
                        <w:b/>
                        <w:bCs/>
                        <w:color w:val="000000"/>
                        <w:sz w:val="18"/>
                        <w:szCs w:val="16"/>
                      </w:rPr>
                      <w:t>11 Savivaldybės veiklos programa</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28 494,7</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28 224,7</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30 592,8</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1. Savivaldybės biudžetas (įskaitant skolintas lėšas)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272 118,6</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282 695,9</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284 182,9</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szCs w:val="16"/>
                      </w:rPr>
                    </w:pPr>
                    <w:r>
                      <w:rPr>
                        <w:sz w:val="18"/>
                        <w:szCs w:val="18"/>
                      </w:rPr>
                      <w:t>1.1. savivaldybės biudžeto lėšos (nuosavos, be ankstesnių metų likučio)</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118 196,0</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158 521,4</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175 353,7</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1.2. Lietuvos Respublikos valstybės biudžeto dotacijos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90 715,9</w:t>
                    </w:r>
                  </w:p>
                </w:tc>
                <w:tc>
                  <w:tcPr>
                    <w:tcW w:w="1985" w:type="dxa"/>
                    <w:tcBorders>
                      <w:top w:val="single" w:sz="4" w:space="0" w:color="auto"/>
                      <w:left w:val="single" w:sz="4" w:space="0" w:color="auto"/>
                      <w:bottom w:val="single" w:sz="4" w:space="0" w:color="auto"/>
                      <w:right w:val="single" w:sz="4" w:space="0" w:color="auto"/>
                    </w:tcBorders>
                    <w:vAlign w:val="center"/>
                  </w:tcPr>
                  <w:p>
                    <w:pPr>
                      <w:ind w:firstLine="48"/>
                      <w:jc w:val="center"/>
                      <w:rPr>
                        <w:b/>
                        <w:bCs/>
                        <w:color w:val="000000"/>
                        <w:sz w:val="18"/>
                        <w:szCs w:val="16"/>
                      </w:rPr>
                    </w:pPr>
                    <w:r>
                      <w:rPr>
                        <w:b/>
                        <w:bCs/>
                        <w:color w:val="000000"/>
                        <w:sz w:val="18"/>
                        <w:szCs w:val="16"/>
                      </w:rPr>
                      <w:t>85 291,0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84 686,5</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1.3. Pajamų įmokos ir kitos pajamos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6 601,5</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6 651,6</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6 679,0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1.4. Europos Sąjungos ir kitos tarptautinės finansinės paramos lėšos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12 735,0</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31 782,0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17 013,7</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1.5. Skolintos lėšos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11 037,1</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1.6. Ankstesnių metų likučiai</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32 383,1</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45 688,3</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44 735,3</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44 615,9</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 xml:space="preserve">IŠ VISO programoms finansuoti pagal finansavimo šaltinius </w:t>
                    </w:r>
                    <w:r>
                      <w:rPr>
                        <w:i/>
                        <w:sz w:val="18"/>
                        <w:szCs w:val="18"/>
                      </w:rPr>
                      <w:t>(1 ir 2 punktai)</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317 806,8</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327 431,2</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328 798,7</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Iš jų: regioninių pažangos priemonių lėšos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sz w:val="18"/>
                        <w:szCs w:val="18"/>
                      </w:rPr>
                      <w:t>Asignavimų ir kitų lėšų pokytis, palyginti su ankstesnių metų patvirtintų asignavimų ir kitų lėšų planu</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+57 986,4</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+87 309,3</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r>
                      <w:rPr>
                        <w:b/>
                        <w:bCs/>
                        <w:color w:val="000000"/>
                        <w:sz w:val="18"/>
                        <w:szCs w:val="16"/>
                      </w:rPr>
                      <w:t>+88 663,1</w:t>
                    </w:r>
                  </w:p>
                </w:tc>
              </w:tr>
            </w:tbl>
            <w:p>
              <w:pPr>
                <w:rPr>
                  <w:b/>
                  <w:bCs/>
                  <w:color w:val="000000"/>
                  <w:sz w:val="16"/>
                </w:rPr>
              </w:pPr>
            </w:p>
            <w:p>
              <w:pPr>
                <w:rPr>
                  <w:b/>
                  <w:bCs/>
                  <w:color w:val="000000"/>
                  <w:sz w:val="16"/>
                </w:rPr>
              </w:pPr>
            </w:p>
            <w:p>
              <w:pPr>
                <w:rPr>
                  <w:bCs/>
                  <w:sz w:val="20"/>
                </w:rPr>
              </w:pPr>
            </w:p>
            <w:p>
              <w:pPr>
                <w:rPr>
                  <w:bCs/>
                  <w:sz w:val="20"/>
                </w:rPr>
              </w:pPr>
            </w:p>
            <w:p>
              <w:pPr>
                <w:rPr>
                  <w:bCs/>
                  <w:sz w:val="20"/>
                </w:rPr>
              </w:pPr>
            </w:p>
            <w:p>
              <w:pPr>
                <w:rPr>
                  <w:bCs/>
                  <w:sz w:val="20"/>
                </w:rPr>
              </w:pPr>
            </w:p>
            <w:p>
              <w:pPr>
                <w:rPr>
                  <w:bCs/>
                  <w:sz w:val="20"/>
                </w:rPr>
              </w:pPr>
            </w:p>
            <w:p>
              <w:pPr>
                <w:rPr>
                  <w:bCs/>
                  <w:sz w:val="20"/>
                </w:rPr>
              </w:pPr>
            </w:p>
            <w:p>
              <w:pPr>
                <w:rPr>
                  <w:bCs/>
                  <w:i/>
                  <w:color w:val="808080"/>
                  <w:sz w:val="20"/>
                </w:rPr>
              </w:pPr>
              <w:r>
                <w:rPr>
                  <w:bCs/>
                  <w:sz w:val="20"/>
                </w:rPr>
                <w:t>1</w:t>
              </w:r>
              <w:r>
                <w:rPr>
                  <w:color w:val="000000"/>
                  <w:kern w:val="2"/>
                  <w:szCs w:val="24"/>
                </w:rPr>
                <w:t>–</w:t>
              </w:r>
              <w:r>
                <w:rPr>
                  <w:bCs/>
                  <w:sz w:val="20"/>
                </w:rPr>
                <w:t>3 grafikai.</w:t>
              </w:r>
              <w:r>
                <w:rPr>
                  <w:i/>
                  <w:sz w:val="20"/>
                </w:rPr>
                <w:t xml:space="preserve"> </w:t>
              </w:r>
              <w:r>
                <w:rPr>
                  <w:bCs/>
                  <w:sz w:val="20"/>
                </w:rPr>
                <w:t>2024–2026 metų asignavimų ir kitų lėšų pasiskirstymas pagal programas</w:t>
              </w:r>
            </w:p>
            <w:p>
              <w:pPr>
                <w:jc w:val="both"/>
                <w:rPr>
                  <w:rFonts w:eastAsia="Calibri"/>
                  <w:b/>
                  <w:bCs/>
                  <w:i/>
                  <w:color w:val="808080"/>
                  <w:sz w:val="20"/>
                </w:rPr>
              </w:pPr>
            </w:p>
            <w:p>
              <w:pPr>
                <w:jc w:val="both"/>
                <w:rPr>
                  <w:rFonts w:eastAsia="Calibri"/>
                  <w:b/>
                  <w:bCs/>
                  <w:i/>
                  <w:color w:val="808080"/>
                  <w:sz w:val="20"/>
                </w:rPr>
              </w:pPr>
              <w:r>
                <w:rPr>
                  <w:kern w:val="2"/>
                  <w:sz w:val="22"/>
                  <w:szCs w:val="22"/>
                  <w:lang w:val="en-US"/>
                </w:rPr>
                <w:drawing>
                  <wp:inline distT="0" distB="0" distL="0" distR="0" wp14:anchorId="23B0A789" wp14:editId="0E2B7320">
                    <wp:extent cx="5734050" cy="2924175"/>
                    <wp:effectExtent l="0" t="0" r="0" b="9525"/>
                    <wp:docPr id="115421740" name="Diagrama 1">
                      <a:extLst xmlns:a="http://schemas.openxmlformats.org/drawingml/2006/main">
                        <a:ext uri="{FF2B5EF4-FFF2-40B4-BE49-F238E27FC236}">
                          <a16:creationId xmlns:a16="http://schemas.microsoft.com/office/drawing/2014/main" id="{2D589F69-3D65-99CB-183E-5F2DABD05B6A}"/>
                        </a:ext>
                      </a:extLst>
                    </wp:docPr>
                    <wp:cNvGraphicFramePr/>
                    <a:graphic xmlns:a="http://schemas.openxmlformats.org/drawingml/2006/main">
                      <a:graphicData uri="http://schemas.openxmlformats.org/drawingml/2006/chart">
                        <c:chart xmlns:c="http://schemas.openxmlformats.org/drawingml/2006/chart" r:id="rId6"/>
                      </a:graphicData>
                    </a:graphic>
                  </wp:inline>
                </w:drawing>
              </w:r>
            </w:p>
            <w:p>
              <w:pPr>
                <w:jc w:val="both"/>
                <w:rPr>
                  <w:rFonts w:eastAsia="Calibri"/>
                  <w:b/>
                  <w:bCs/>
                  <w:i/>
                  <w:color w:val="808080"/>
                  <w:sz w:val="20"/>
                </w:rPr>
              </w:pPr>
              <w:r>
                <w:rPr>
                  <w:kern w:val="2"/>
                  <w:sz w:val="22"/>
                  <w:szCs w:val="22"/>
                  <w:lang w:val="en-US"/>
                </w:rPr>
                <w:drawing>
                  <wp:inline distT="0" distB="0" distL="0" distR="0" wp14:anchorId="22AB5449" wp14:editId="3FBBA1A1">
                    <wp:extent cx="5667375" cy="2981325"/>
                    <wp:effectExtent l="0" t="0" r="9525" b="9525"/>
                    <wp:docPr id="1962285717" name="Diagrama 1">
                      <a:extLst xmlns:a="http://schemas.openxmlformats.org/drawingml/2006/main">
                        <a:ext uri="{FF2B5EF4-FFF2-40B4-BE49-F238E27FC236}">
                          <a16:creationId xmlns:a16="http://schemas.microsoft.com/office/drawing/2014/main" id="{5BACDB67-E17D-ED21-1C81-E3CAA5B229CC}"/>
                        </a:ext>
                      </a:extLst>
                    </wp:docPr>
                    <wp:cNvGraphicFramePr/>
                    <a:graphic xmlns:a="http://schemas.openxmlformats.org/drawingml/2006/main">
                      <a:graphicData uri="http://schemas.openxmlformats.org/drawingml/2006/chart">
                        <c:chart xmlns:c="http://schemas.openxmlformats.org/drawingml/2006/chart" r:id="rId7"/>
                      </a:graphicData>
                    </a:graphic>
                  </wp:inline>
                </w:drawing>
              </w:r>
            </w:p>
            <w:p>
              <w:pPr>
                <w:jc w:val="both"/>
                <w:rPr>
                  <w:rFonts w:eastAsia="Calibri"/>
                  <w:b/>
                  <w:bCs/>
                  <w:i/>
                  <w:color w:val="808080"/>
                  <w:szCs w:val="24"/>
                </w:rPr>
              </w:pPr>
              <w:r>
                <w:rPr>
                  <w:kern w:val="2"/>
                  <w:sz w:val="22"/>
                  <w:szCs w:val="22"/>
                  <w:lang w:val="en-US"/>
                </w:rPr>
                <w:drawing>
                  <wp:inline distT="0" distB="0" distL="0" distR="0" wp14:anchorId="29B89FAA" wp14:editId="5B9DCDC6">
                    <wp:extent cx="5657850" cy="3343275"/>
                    <wp:effectExtent l="0" t="0" r="0" b="9525"/>
                    <wp:docPr id="443952725" name="Diagrama 1">
                      <a:extLst xmlns:a="http://schemas.openxmlformats.org/drawingml/2006/main">
                        <a:ext uri="{FF2B5EF4-FFF2-40B4-BE49-F238E27FC236}">
                          <a16:creationId xmlns:a16="http://schemas.microsoft.com/office/drawing/2014/main" id="{5F4950E7-1004-A1E8-EBF0-D9BC2DAE57DB}"/>
                        </a:ext>
                      </a:extLst>
                    </wp:docPr>
                    <wp:cNvGraphicFramePr/>
                    <a:graphic xmlns:a="http://schemas.openxmlformats.org/drawingml/2006/main">
                      <a:graphicData uri="http://schemas.openxmlformats.org/drawingml/2006/chart">
                        <c:chart xmlns:c="http://schemas.openxmlformats.org/drawingml/2006/chart" r:id="rId8"/>
                      </a:graphicData>
                    </a:graphic>
                  </wp:inline>
                </w:drawing>
              </w:r>
            </w:p>
            <w:p>
              <w:pPr>
                <w:spacing w:line="259" w:lineRule="auto"/>
                <w:ind w:firstLine="1296"/>
                <w:jc w:val="both"/>
                <w:rPr>
                  <w:szCs w:val="24"/>
                </w:rPr>
              </w:pPr>
            </w:p>
            <w:p>
              <w:pPr>
                <w:rPr>
                  <w:sz w:val="14"/>
                  <w:szCs w:val="14"/>
                </w:rPr>
              </w:pPr>
            </w:p>
            <w:p>
              <w:pPr>
                <w:spacing w:line="259" w:lineRule="auto"/>
                <w:ind w:firstLine="1296"/>
                <w:jc w:val="both"/>
                <w:rPr>
                  <w:szCs w:val="24"/>
                </w:rPr>
              </w:pPr>
              <w:r>
                <w:rPr>
                  <w:szCs w:val="24"/>
                </w:rPr>
                <w:t>Programų tikslai, uždaviniai, priemonės, asignavimai, lėšos ir siektini rodikliai pateikiami 2 priede.</w:t>
              </w:r>
            </w:p>
            <w:p>
              <w:pPr>
                <w:rPr>
                  <w:sz w:val="14"/>
                  <w:szCs w:val="14"/>
                </w:rPr>
              </w:pPr>
            </w:p>
            <w:p>
              <w:pPr>
                <w:spacing w:line="259" w:lineRule="auto"/>
                <w:ind w:firstLine="1296"/>
                <w:jc w:val="both"/>
                <w:rPr>
                  <w:szCs w:val="24"/>
                </w:rPr>
              </w:pPr>
              <w:r>
                <w:rPr>
                  <w:szCs w:val="24"/>
                </w:rPr>
                <w:t>Toliau pateikiama detali informacija apie kiekvieną Savivaldybės vykdomą programą, programos uždavinius ir priemones.</w:t>
              </w:r>
            </w:p>
            <w:p>
              <w:pPr>
                <w:rPr>
                  <w:sz w:val="14"/>
                  <w:szCs w:val="14"/>
                </w:rPr>
              </w:pPr>
            </w:p>
            <w:p>
              <w:pPr>
                <w:ind w:firstLine="1296"/>
                <w:jc w:val="both"/>
                <w:rPr>
                  <w:bCs/>
                  <w:sz w:val="20"/>
                </w:rPr>
              </w:pPr>
              <w:r>
                <w:rPr>
                  <w:bCs/>
                  <w:sz w:val="20"/>
                </w:rPr>
                <w:t>3 lentelė. 2024–2026 metų Miesto urbanistinės plėtros programos (01)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276"/>
                <w:gridCol w:w="1417"/>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01 01 01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color w:val="000000"/>
                        <w:sz w:val="18"/>
                      </w:rPr>
                    </w:pPr>
                    <w:r>
                      <w:rPr>
                        <w:color w:val="000000"/>
                        <w:sz w:val="18"/>
                      </w:rPr>
                      <w:t>Rengti teritorijų planavimo dokumentus, padedančius užtikrinti darniąją miesto plėtrą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361,8</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290,3</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275,0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rFonts w:ascii="Calibri" w:hAnsi="Calibri"/>
                        <w:color w:val="000000"/>
                        <w:kern w:val="2"/>
                        <w:sz w:val="18"/>
                        <w:szCs w:val="18"/>
                        <w:lang w:eastAsia="lt-LT"/>
                      </w:rPr>
                      <w:t>3.1.7.</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hideMark/>
                  </w:tcPr>
                  <w:p>
                    <w:pPr>
                      <w:jc w:val="both"/>
                      <w:rPr>
                        <w:sz w:val="18"/>
                      </w:rPr>
                    </w:pPr>
                    <w:r>
                      <w:rPr>
                        <w:sz w:val="18"/>
                      </w:rPr>
                      <w:t xml:space="preserve">01 01 01 01 </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rPr>
                      <w:t>Koreguoti Šiaulių miesto savivaldybės teritorijos bendrąjį planą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65,3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rFonts w:ascii="Calibri" w:hAnsi="Calibri"/>
                        <w:kern w:val="2"/>
                        <w:sz w:val="18"/>
                        <w:szCs w:val="18"/>
                        <w:lang w:eastAsia="lt-LT"/>
                      </w:rPr>
                      <w:t>3.1.7.1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detaliųjų ir specialiųjų planų parengimą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206,8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rFonts w:ascii="Calibri" w:hAnsi="Calibri"/>
                        <w:color w:val="000000"/>
                        <w:kern w:val="2"/>
                        <w:sz w:val="18"/>
                        <w:szCs w:val="18"/>
                        <w:lang w:eastAsia="lt-LT"/>
                      </w:rPr>
                      <w:t>3.1.7.2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01 01 01 03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 xml:space="preserve">Įgyvendinti  žemės paėmimo visuomenės poreikiams procedūrą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01 01 01 04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Rengti žemėtvarkos planavimo dokumentus, žemės sklypų kadastrinius matavimus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rFonts w:ascii="Calibri" w:hAnsi="Calibri"/>
                        <w:color w:val="000000"/>
                        <w:kern w:val="2"/>
                        <w:sz w:val="18"/>
                        <w:szCs w:val="18"/>
                        <w:lang w:eastAsia="lt-LT"/>
                      </w:rPr>
                      <w:t>3.1.7.2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01 01 02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Pagerinti miesto teigiamo architektūrinio ir vizualinio įvaizdžio kokybę</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1 076,6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625,0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711,0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01 01 02 01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Formuoti miesto teigiamą architektūrinį ir vizualųjį įvaizdį</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01 01 02 02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architektūriniu, urbanistiniu, valstybiniu ar viešojo intereso požiūriu reikšmingų objektų planavimo ar projektavimo architektūrinius konkursus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01 01 02 03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projektinių darbų finansavimą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855,6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680,0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01 01 03</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Organizuoti kultūros paveldo apsaugą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125,8</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35,0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35,0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01 01 03 01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kultūros paveldo tvarkybą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120,8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01 01 03 02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Plėtoti kultūros paveldo apskaitą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01 01 04</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Kokybiškai administruoti Šiaulių m. erdvinių duomenų bazę</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30,2</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28,0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28,0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01 01 04 01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miesto erdvinių duomenų bazės techninę priežiūrą, programinės įrangos atnaujinimą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01 01 04 02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Šiaulių miesto savivaldybės geodezijos ir kartografijos darbus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1 594,4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978,3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1 049,0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1 194,3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978,3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1 049,0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400,1</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1 594,4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978,3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1 049,0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+521,4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+64,3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bl>
            <w:p>
              <w:pPr>
                <w:jc w:val="both"/>
                <w:rPr>
                  <w:b/>
                  <w:bCs/>
                  <w:szCs w:val="24"/>
                </w:rPr>
              </w:pPr>
            </w:p>
            <w:p>
              <w:pPr>
                <w:ind w:firstLine="1296"/>
                <w:jc w:val="both"/>
                <w:rPr>
                  <w:bCs/>
                  <w:sz w:val="20"/>
                </w:rPr>
              </w:pPr>
              <w:r>
                <w:rPr>
                  <w:bCs/>
                  <w:sz w:val="20"/>
                </w:rPr>
                <w:t>4 lentelė. 2024–2026 metų Kultūros plėtros programos (02)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276"/>
                <w:gridCol w:w="1417"/>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02 01 01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Užtikrinti miesto kultūrinio gyvenimo gyvybingumą, ugdyti ir skatinti miesto gyventojų ir jaunimo pilietinį aktyvumą bei tautinį sąmoningumą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732,5</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927,4</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974,0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hideMark/>
                  </w:tcPr>
                  <w:p>
                    <w:pPr>
                      <w:jc w:val="both"/>
                      <w:rPr>
                        <w:sz w:val="18"/>
                      </w:rPr>
                    </w:pPr>
                    <w:r>
                      <w:rPr>
                        <w:sz w:val="18"/>
                      </w:rPr>
                      <w:t xml:space="preserve">02 01 01 01 </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Skatinti Šiaulių miesto kultūros ir meno įvairovę, sklaidą, prieinamumą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1.1.2.4.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Skatinti meno kūrėjus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26,2</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1.1.2.3.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02 01 01 10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reprezentacinių Šiaulių miesto festivalių tęstinumą, jų ilgalaikiškumą, dalinį finansavimą, skatinti naujų idėjų, raiškos formų atsiradimą ir raidą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320,5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455,4</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1.1.2.4.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02 01 01 11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Koordinuoti valstybinių švenčių, atmintinų dienų paminėjimą, svarbių renginių, plenerų organizavimą, puoselėti tautines tradicijas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325,8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355,8</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1.1.2.4.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02 01 04</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Užtikrinti kultūros paslaugų sklaidą ir prieinamumą gyventojams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7 783,4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6 525,3</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6 916,6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1.1.2.</w:t>
                    </w:r>
                  </w:p>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02 01 04 01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kultūros įstaigų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6 874,7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6 317,8</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6 916,6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02 01 04 09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(modernizuoti) Šiaulių miesto koncertinę įstaigą „Saulė" (Tilžės g. 140), rekonstruoti pastatą ir pastatyti priestatą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146,1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rFonts w:ascii="Calibri" w:hAnsi="Calibri"/>
                        <w:kern w:val="2"/>
                        <w:sz w:val="18"/>
                        <w:szCs w:val="18"/>
                        <w:lang w:eastAsia="lt-LT"/>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02 01 04 10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Šiaulių miesto kultūros centro "Laiptų galerija" pastato (Žemaitės g. 83) funkcionalumą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190,3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207,5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rFonts w:ascii="Calibri" w:hAnsi="Calibri"/>
                        <w:kern w:val="2"/>
                        <w:sz w:val="18"/>
                        <w:szCs w:val="18"/>
                        <w:lang w:eastAsia="lt-LT"/>
                      </w:rPr>
                    </w:pPr>
                    <w:r>
                      <w:rPr>
                        <w:rFonts w:ascii="Calibri" w:hAnsi="Calibri"/>
                        <w:kern w:val="2"/>
                        <w:sz w:val="18"/>
                        <w:szCs w:val="18"/>
                        <w:lang w:eastAsia="lt-LT"/>
                      </w:rPr>
                      <w:t>1.1.2.1.</w:t>
                    </w:r>
                  </w:p>
                  <w:p>
                    <w:pPr>
                      <w:jc w:val="center"/>
                      <w:rPr>
                        <w:sz w:val="20"/>
                      </w:rPr>
                    </w:pPr>
                    <w:r>
                      <w:rPr>
                        <w:rFonts w:ascii="Calibri" w:hAnsi="Calibri"/>
                        <w:kern w:val="2"/>
                        <w:sz w:val="18"/>
                        <w:szCs w:val="18"/>
                        <w:lang w:eastAsia="lt-LT"/>
                      </w:rPr>
                      <w:t>3.1.6.9</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02 01 04 11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(modernizuoti) Šiaulių dailės galerijos pastatą (Vilniaus g. 245)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rFonts w:ascii="Calibri" w:hAnsi="Calibri"/>
                        <w:kern w:val="2"/>
                        <w:sz w:val="18"/>
                        <w:szCs w:val="18"/>
                        <w:lang w:eastAsia="lt-LT"/>
                      </w:rPr>
                    </w:pPr>
                    <w:r>
                      <w:rPr>
                        <w:rFonts w:ascii="Calibri" w:hAnsi="Calibri"/>
                        <w:kern w:val="2"/>
                        <w:sz w:val="18"/>
                        <w:szCs w:val="18"/>
                        <w:lang w:eastAsia="lt-LT"/>
                      </w:rPr>
                      <w:t>1.1.2.1.</w:t>
                    </w:r>
                  </w:p>
                  <w:p>
                    <w:pPr>
                      <w:jc w:val="center"/>
                      <w:rPr>
                        <w:sz w:val="20"/>
                      </w:rPr>
                    </w:pPr>
                    <w:r>
                      <w:rPr>
                        <w:sz w:val="20"/>
                      </w:rPr>
                      <w:t>3.1.6.8</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02 01 04 12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Šiaulių kultūros centro Rėkyvos kultūros namų funkcionalumą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495,2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02 01 04 16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Šiaulių kultūros centro pastato (Aušros al. 31) funkcionalumą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rFonts w:ascii="Calibri" w:hAnsi="Calibri"/>
                        <w:kern w:val="2"/>
                        <w:sz w:val="18"/>
                        <w:szCs w:val="18"/>
                        <w:lang w:eastAsia="lt-LT"/>
                      </w:rPr>
                    </w:pPr>
                    <w:r>
                      <w:rPr>
                        <w:rFonts w:ascii="Calibri" w:hAnsi="Calibri"/>
                        <w:kern w:val="2"/>
                        <w:sz w:val="18"/>
                        <w:szCs w:val="18"/>
                        <w:lang w:eastAsia="lt-LT"/>
                      </w:rPr>
                      <w:t>1.1.2.1.</w:t>
                    </w:r>
                  </w:p>
                  <w:p>
                    <w:pPr>
                      <w:jc w:val="center"/>
                      <w:rPr>
                        <w:sz w:val="20"/>
                      </w:rPr>
                    </w:pPr>
                    <w:r>
                      <w:rPr>
                        <w:sz w:val="20"/>
                      </w:rPr>
                      <w:t>3.1.6.2.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02 02 02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Vystyti Šiaulių miesto turizmo sektorių</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374,2</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528,3</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417,3</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02 02 02 04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miesto įvaizdžio rinkodaros strategijos gairių priemonių planą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332,4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419,7</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389,7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2.2.1.6.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02 02 02 06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"Viešojo sektoriaus specialistų gebėjimų stiprinimą, siekiant gerinti teikiamų paslaugų kokybę Šiaulių miesto savivaldybės ir Bauskės rajono savivaldybės turizmo institucijose"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41,8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108,6</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27,6</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02 02 04</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Vykdyti nekilnojamojo kultūros paveldo pažinimo sklaidą ir atgaivinimą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11,5</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26,5</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35,0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02 02 04 02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Europos paveldo dienų renginius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02 02 04 03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religinio turizmo prieinamumą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8 552,2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7 656,7</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7 986,6</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7 240,6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7 421,5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7 731,4</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43,4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43,4</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43,4</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171,8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191,8</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211,8</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37,1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349,4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350,8</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356,3</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8 901,6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8 007,5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8 342,9</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-1 770,3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+1 770,4</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+2 063,7</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ind w:firstLine="1296"/>
                <w:jc w:val="both"/>
                <w:rPr>
                  <w:bCs/>
                  <w:sz w:val="20"/>
                </w:rPr>
              </w:pPr>
              <w:r>
                <w:rPr>
                  <w:bCs/>
                  <w:sz w:val="20"/>
                </w:rPr>
                <w:t>5 lentelė. 2024–2026 metų Aplinkos apsaugos programos (03)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276"/>
                <w:gridCol w:w="1417"/>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03 01 01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Plėtoti ir tobulinti miesto komunalinių atliekų tvarkymo sistemą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5 959,9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5 014,0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5 014,0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3.3.1.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hideMark/>
                  </w:tcPr>
                  <w:p>
                    <w:pPr>
                      <w:jc w:val="both"/>
                      <w:rPr>
                        <w:sz w:val="18"/>
                      </w:rPr>
                    </w:pPr>
                    <w:r>
                      <w:rPr>
                        <w:sz w:val="18"/>
                      </w:rPr>
                      <w:t xml:space="preserve">03 01 01 01 </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komunalinių atliekų tvarkymą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5 098,1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4 900,0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4 900,0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fiziniams asmenims asbesto turinčių gaminių atliekų šalinimą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114,0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03 01 01 03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„Komunalinių atliekų rūšiuojamojo surinkimo infrastruktūros plėtra Šiaulių regione"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highlight w:val="yellow"/>
                      </w:rPr>
                    </w:pPr>
                    <w:r>
                      <w:rPr>
                        <w:sz w:val="20"/>
                      </w:rPr>
                      <w:t>3.3.1.1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03 01 01 04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 xml:space="preserve">Įgyvendinti projektą  „Rūšiuojamuoju būdu surinktų maisto/virtuvės atliekų apdorojimo infrastruktūros sukūrimas Šiaulių regione"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469,2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highlight w:val="yellow"/>
                      </w:rPr>
                    </w:pPr>
                    <w:r>
                      <w:rPr>
                        <w:sz w:val="20"/>
                      </w:rPr>
                      <w:t>3.3.1.2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03 01 02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Įgyvendinti želdynų ir želdinių apsaugos bei tvarkymo priemones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300,4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10,0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10,0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03 01 02 01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Parengti ir įgyvendinti želdynų pertvarkymo projektus, inventorizuoti miesto želdynus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03 01 02 03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želdinių priežiūrą (tręšimas, genėjimas, kaštonų lapų tvarkymas) ir sodinti naujus želdinius prie miesto gatvių, parkuose ir skveruose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03 01 03</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Įgyvendinti aplinkos monitoringo, prevencines, aplinkos kokybės gerinimo priemones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468,9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409,7</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421,9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rFonts w:ascii="Calibri" w:hAnsi="Calibri"/>
                        <w:kern w:val="2"/>
                        <w:sz w:val="18"/>
                        <w:szCs w:val="18"/>
                        <w:lang w:eastAsia="lt-LT"/>
                      </w:rPr>
                    </w:pPr>
                    <w:r>
                      <w:rPr>
                        <w:rFonts w:ascii="Calibri" w:hAnsi="Calibri"/>
                        <w:kern w:val="2"/>
                        <w:sz w:val="18"/>
                        <w:szCs w:val="18"/>
                        <w:lang w:eastAsia="lt-LT"/>
                      </w:rPr>
                      <w:t>3.1.1.</w:t>
                    </w:r>
                  </w:p>
                  <w:p>
                    <w:pPr>
                      <w:jc w:val="center"/>
                      <w:rPr>
                        <w:rFonts w:ascii="Calibri" w:hAnsi="Calibri"/>
                        <w:kern w:val="2"/>
                        <w:sz w:val="18"/>
                        <w:szCs w:val="18"/>
                        <w:lang w:eastAsia="lt-LT"/>
                      </w:rPr>
                    </w:pPr>
                    <w:r>
                      <w:rPr>
                        <w:rFonts w:ascii="Calibri" w:hAnsi="Calibri"/>
                        <w:kern w:val="2"/>
                        <w:sz w:val="18"/>
                        <w:szCs w:val="18"/>
                        <w:lang w:eastAsia="lt-LT"/>
                      </w:rPr>
                      <w:t>3.3.2.</w:t>
                    </w:r>
                  </w:p>
                  <w:p>
                    <w:pPr>
                      <w:jc w:val="center"/>
                      <w:rPr>
                        <w:sz w:val="20"/>
                      </w:rPr>
                    </w:pPr>
                    <w:r>
                      <w:rPr>
                        <w:rFonts w:ascii="Calibri" w:hAnsi="Calibri"/>
                        <w:kern w:val="2"/>
                        <w:sz w:val="18"/>
                        <w:szCs w:val="18"/>
                        <w:lang w:eastAsia="lt-LT"/>
                      </w:rPr>
                      <w:t>3.3.4.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03 01 03 04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lietaus nuotekų sistemos griovių tvarkymą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03 01 03 08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Šiaulių municipalinės aplinkos tyrimų laboratorijos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183,9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124,7</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136,9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3.3.3.1</w:t>
                    </w:r>
                  </w:p>
                  <w:p>
                    <w:pPr>
                      <w:jc w:val="center"/>
                      <w:rPr>
                        <w:sz w:val="20"/>
                      </w:rPr>
                    </w:pPr>
                    <w:r>
                      <w:rPr>
                        <w:sz w:val="20"/>
                      </w:rPr>
                      <w:t>3.3.4.2.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03 01 03 09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aplinkos oro kokybės valdymo programos priemones, vykdyti aplinkos kokybės stebėseną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kern w:val="2"/>
                        <w:sz w:val="20"/>
                        <w:lang w:eastAsia="lt-LT"/>
                      </w:rPr>
                      <w:t>3.3.4.7</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03 01 03 11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Likviduoti pavojingus radinius ir ekologinių avarijų padarinius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03 01 03 13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gyvenamuosiuose rajonuose, viešosiose vietose šunų išvedžiojimo aikštelių, kačių šėrimo vietų ir kitos gyvūnų priežiūrai skirtos įrangos įrengimą, remontą ir sanitarinę priežiūrą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3.1.1.6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highlight w:val="yellow"/>
                      </w:rPr>
                    </w:pPr>
                    <w:r>
                      <w:rPr>
                        <w:sz w:val="18"/>
                      </w:rPr>
                      <w:t>03 01 07</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Vykdyti visuomenės švietimo ir mokymo aplinkosaugos klausimais priemones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03 01 07 02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Remti nevyriausybinių organizacijų aplinkosauginio švietimo projektų įgyvendinimą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03 01 07 03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aplinkosauginius renginius, vykdyti visuomenės švietimą ir informavimą, įsigyti aplinkosauginius informacinius ir kt. leidinius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6 740,3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5 444,7</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5 456,9</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5 425,9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5 081,7</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5 093,9</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951,3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6 740,3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5 444,7</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5 456,9</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-1 463,3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-73,8</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-46,4</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ind w:firstLine="1296"/>
                <w:jc w:val="both"/>
                <w:rPr>
                  <w:bCs/>
                  <w:sz w:val="20"/>
                </w:rPr>
              </w:pPr>
              <w:r>
                <w:rPr>
                  <w:bCs/>
                  <w:sz w:val="20"/>
                </w:rPr>
                <w:t>6 lentelė. 2024–2026 metų Miesto infrastruktūros objektų priežiūros, modernizavimo ir plėtros programos (04)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276"/>
                <w:gridCol w:w="1417"/>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04 01 01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Vykdyti miesto infrastruktūros objektų priežiūrą, einamąjį remontą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8 638,8</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11 956,2</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22 637,0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3.1.1.</w:t>
                    </w:r>
                  </w:p>
                  <w:p>
                    <w:pPr>
                      <w:jc w:val="center"/>
                      <w:rPr>
                        <w:sz w:val="20"/>
                      </w:rPr>
                    </w:pPr>
                    <w:r>
                      <w:rPr>
                        <w:sz w:val="20"/>
                      </w:rPr>
                      <w:t>3.2.1.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hideMark/>
                  </w:tcPr>
                  <w:p>
                    <w:pPr>
                      <w:jc w:val="both"/>
                      <w:rPr>
                        <w:sz w:val="18"/>
                      </w:rPr>
                    </w:pPr>
                    <w:r>
                      <w:rPr>
                        <w:sz w:val="18"/>
                      </w:rPr>
                      <w:t xml:space="preserve">04 01 01 01 </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Tvarkyti aplinką ir vykdyti infrastruktūros objektų priežiūrą ir remontą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7 838,8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7 484,1</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7 561,6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Rekonstruoti Tilžės g. viaduką per geležinkelį</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3 672,1</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14 275,4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kern w:val="2"/>
                        <w:sz w:val="18"/>
                        <w:szCs w:val="18"/>
                        <w:lang w:eastAsia="lt-LT"/>
                      </w:rPr>
                      <w:t>3.2.1.6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04 01 01 05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Remontuoti daugiabučių namų kiemų dangą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3.1.1.4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04 01 02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Vykdyti Šiaulių miesto kapinių infrastruktūros plėtrą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900,7</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419,0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419,0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04 01 02 02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kapinių teritorijoje esančios infrastruktūros tvarkymą ir priežiūrą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04 01 02 03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kolumbariumo statybą ir priežiūrą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04 01 02 05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„Šiaulių miesto kapinių valdymo informacinės sistemos sukūrimas, įdiegimas, kapinių duomenų skaitmenizavimas“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138,2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04 01 04</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Sutvarkyti viešąsias erdves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3 142,4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5 865,0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1 485,0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3.1.8.</w:t>
                    </w:r>
                  </w:p>
                  <w:p>
                    <w:pPr>
                      <w:jc w:val="center"/>
                      <w:rPr>
                        <w:sz w:val="20"/>
                      </w:rPr>
                    </w:pPr>
                    <w:r>
                      <w:rPr>
                        <w:sz w:val="20"/>
                      </w:rPr>
                      <w:t>3.3.3.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„Vilniaus gatvės pėsčiųjų bulvaro ir amfiteatro rekonstrukcija“</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555,7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„Viešųjų erdvių ir gyvenamosios aplinkos gerinimas teritorijoje, besiribojančioje su Draugystės prospektu, Vytauto gatve, P. Višinskio gatve ir Dubijos gatve"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„P. Višinskio gatvės viešųjų erdvių pritaikymas jaunimo poreikiams“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45,5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„Aušros alėjos (nuo Žemaitės g. iki Varpo g.) viešųjų pastatų ir viešųjų erdvių prieigų rekonstrukcija"</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vaizdo stebėjimo kamerų sistemos plėtrą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3.3.3.1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04 01 04 15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„Lieporių parko atgaivinimas ir pritaikymas bendruomenės poreikiams“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280,0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2 015,0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1 185,0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3.1.8.3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04 01 04 16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„Tankiai apgyvendintos Šiaulių miesto urbanizuotos teritorijos atgaivinimas, žalinimas ir funkcionalumo didinimas: kvartalo, kurį riboja Rasos g. ir Aukštabalio g. konversija ir pritaikymas bendruomenės poreikiams“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1 950,0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3 550,0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kern w:val="2"/>
                        <w:sz w:val="20"/>
                        <w:lang w:eastAsia="lt-LT"/>
                      </w:rPr>
                      <w:t>3.1.8.1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04 02 01</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Tobulinti miesto vidaus susisiekimo sistemą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22 035,2</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18 994,8</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17 194,8</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bCs/>
                        <w:sz w:val="20"/>
                      </w:rPr>
                    </w:pPr>
                    <w:r>
                      <w:rPr>
                        <w:bCs/>
                        <w:color w:val="000000"/>
                        <w:kern w:val="2"/>
                        <w:sz w:val="20"/>
                        <w:lang w:eastAsia="lt-LT"/>
                      </w:rPr>
                      <w:t>3.2.1.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highlight w:val="yellow"/>
                      </w:rPr>
                    </w:pPr>
                    <w:r>
                      <w:rPr>
                        <w:sz w:val="18"/>
                      </w:rPr>
                      <w:t>04 02 01 01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naujų magistralinių gatvių suprojektavimo ir nutiesimo, susisiekimo komunikacijų įrengimo, rekonstravimo ir remonto darbus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16 460,1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11 500,0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11 500,0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3.2.1.7</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04 02 01 06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Įrengti viešojo susisiekimo infrastruktūrą, siekiant pagerinti sąlygas verslo plėtrai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04 02 01 11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„Eismo saugumo priemonių įdiegimas Šiaulių mieste“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04 02 01 14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„Darnaus judumo priemonių diegimas Šiaulių mieste“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3 782,0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6 200,0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5 000,0</w:t>
                    </w:r>
                  </w:p>
                </w:tc>
                <w:tc>
                  <w:tcPr>
                    <w:tcW w:w="1417" w:type="dxa"/>
                    <w:tcBorders>
                      <w:top w:val="single" w:sz="4" w:space="0" w:color="auto"/>
                      <w:left w:val="single" w:sz="4" w:space="0" w:color="auto"/>
                      <w:bottom w:val="single" w:sz="4" w:space="0" w:color="auto"/>
                      <w:right w:val="single" w:sz="4" w:space="0" w:color="auto"/>
                    </w:tcBorders>
                  </w:tcPr>
                  <w:p>
                    <w:pPr>
                      <w:jc w:val="center"/>
                      <w:rPr>
                        <w:kern w:val="2"/>
                        <w:sz w:val="20"/>
                        <w:lang w:eastAsia="lt-LT"/>
                      </w:rPr>
                    </w:pPr>
                    <w:r>
                      <w:rPr>
                        <w:color w:val="000000"/>
                        <w:kern w:val="2"/>
                        <w:sz w:val="20"/>
                        <w:lang w:eastAsia="lt-LT"/>
                      </w:rPr>
                      <w:t>3.2.1.3</w:t>
                    </w:r>
                  </w:p>
                  <w:p>
                    <w:pPr>
                      <w:jc w:val="center"/>
                      <w:rPr>
                        <w:sz w:val="20"/>
                      </w:rPr>
                    </w:pPr>
                    <w:r>
                      <w:rPr>
                        <w:kern w:val="2"/>
                        <w:sz w:val="20"/>
                        <w:lang w:eastAsia="lt-LT"/>
                      </w:rPr>
                      <w:t>3.2.1.4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04 02 01 15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„Pakruojo gatvės rekonstrukcija“</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597,2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kern w:val="2"/>
                        <w:sz w:val="20"/>
                        <w:lang w:eastAsia="lt-LT"/>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04 02 01 19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keleivių vežimą vietinio (miesto) reguliaraus susisiekimo autobusų maršrutais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694,8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694,8</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694,8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04 02 02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Vykdyti Savivaldybės infrastruktūros plėtrą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2 990,2</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3 220,0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3 250,0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04 02 02 01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Suprojektuoti, nutiesti, išasfaltuoti ar rekonstruoti žvyruotas gatves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2 506,2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3 000,0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3 000,0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3.2.1.8</w:t>
                    </w:r>
                  </w:p>
                  <w:p>
                    <w:pPr>
                      <w:jc w:val="center"/>
                      <w:rPr>
                        <w:sz w:val="20"/>
                      </w:rPr>
                    </w:pPr>
                    <w:r>
                      <w:rPr>
                        <w:rFonts w:ascii="Calibri" w:hAnsi="Calibri"/>
                        <w:kern w:val="2"/>
                        <w:sz w:val="20"/>
                        <w:lang w:eastAsia="lt-LT"/>
                      </w:rPr>
                      <w:t>3.2.1.9</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04 02 02 02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Savivaldybės infrastruktūros plėtros rėmimo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37 707,4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40 455,0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44 985,8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15 111,8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26 485,0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34 885,8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8 673,7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3 147,4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8 970,0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6 500,0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4 274,5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37 707,4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40 455,0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44 985,8</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+15 474,5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+19 672,5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+23 332,</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Cs/>
                  <w:sz w:val="20"/>
                </w:rPr>
              </w:pPr>
            </w:p>
            <w:p>
              <w:pPr>
                <w:ind w:firstLine="1296"/>
                <w:jc w:val="both"/>
                <w:rPr>
                  <w:bCs/>
                  <w:sz w:val="20"/>
                </w:rPr>
              </w:pPr>
              <w:r>
                <w:rPr>
                  <w:bCs/>
                  <w:sz w:val="20"/>
                </w:rPr>
                <w:t>7 lentelė. 2024–2026 metų Miesto ekonominės plėtros programos (05)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276"/>
                <w:gridCol w:w="1417"/>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05 01 02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Skatinti ir ugdyti verslumą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122,0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123,0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127,0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05 01 02 01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Skatinti smulkiojo ir vidutinio verslo subjektus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49,7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2.1.3.3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05 01 02 02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verslo subjektų mokymo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2.1.1.5.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05 01 02 03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jaunimo verslumo skatinimo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45,5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46,0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2.1.1.5.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05 01 02 04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inkubavimo, konsultavimo, mentorystės ir tinklaveikos programų vystymą, skatinant pradedančiųjų smulkiojo ir vidutinio verslo subjektų kūrimąsi ir augimą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2.1.1.5.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05 01 05</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Skatinti investicijų pritraukimą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3 693,6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782,0</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2 450,0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2.1.2.</w:t>
                    </w:r>
                  </w:p>
                  <w:p>
                    <w:pPr>
                      <w:jc w:val="center"/>
                      <w:rPr>
                        <w:sz w:val="20"/>
                      </w:rPr>
                    </w:pPr>
                    <w:r>
                      <w:rPr>
                        <w:sz w:val="20"/>
                      </w:rPr>
                      <w:t>3.2.1.</w:t>
                    </w:r>
                  </w:p>
                  <w:p>
                    <w:pPr>
                      <w:jc w:val="center"/>
                      <w:rPr>
                        <w:sz w:val="20"/>
                      </w:rPr>
                    </w:pPr>
                    <w:r>
                      <w:rPr>
                        <w:sz w:val="20"/>
                      </w:rPr>
                      <w:t>3.2.2.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05 01 05 01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Parengti (atnaujinti) investicijų projektus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05 01 05 02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 xml:space="preserve">Vystyti Šiaulių pramoninio  parko (ŠPP) ir Šiaulių laisvosios ekonominės zonos (Šiaulių LEZ) infrastruktūrą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2 851,6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240,0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1 040,0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2.1.2.3</w:t>
                    </w:r>
                  </w:p>
                  <w:p>
                    <w:pPr>
                      <w:ind w:firstLine="53"/>
                      <w:jc w:val="center"/>
                      <w:rPr>
                        <w:sz w:val="20"/>
                      </w:rPr>
                    </w:pPr>
                    <w:r>
                      <w:rPr>
                        <w:sz w:val="20"/>
                      </w:rPr>
                      <w:t>3.2.2.3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05 01 05 03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Vystyti Šiaulių Oro uosto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2.1.2.5</w:t>
                    </w:r>
                  </w:p>
                  <w:p>
                    <w:pPr>
                      <w:ind w:firstLine="53"/>
                      <w:jc w:val="center"/>
                      <w:rPr>
                        <w:sz w:val="20"/>
                      </w:rPr>
                    </w:pPr>
                    <w:r>
                      <w:rPr>
                        <w:sz w:val="20"/>
                      </w:rPr>
                      <w:t>3.2.1.2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05 01 05 04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Įrengti ekonominės veiklos centro infrastruktūrą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05 01 05 05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Viešinti investicinę aplinką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2.1.2.4</w:t>
                    </w:r>
                  </w:p>
                  <w:p>
                    <w:pPr>
                      <w:ind w:firstLine="53"/>
                      <w:jc w:val="center"/>
                      <w:rPr>
                        <w:sz w:val="20"/>
                      </w:rPr>
                    </w:pPr>
                    <w:r>
                      <w:rPr>
                        <w:sz w:val="20"/>
                      </w:rPr>
                      <w:t>2.1.2.2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05 01 05 06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Pritraukti aukštos kvalifikacijos specialistus į Šiaulių miestą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73,5</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3 815,6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905,0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2 577,0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2 804,0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905,0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2 577,0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1 011,6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3 815,6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905,0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2 577,0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-1 607,2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-2 412,0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+2 086,0</w:t>
                    </w:r>
                  </w:p>
                </w:tc>
                <w:tc>
                  <w:tcPr>
                    <w:tcW w:w="1417"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ind w:firstLine="1296"/>
                <w:jc w:val="both"/>
                <w:rPr>
                  <w:bCs/>
                  <w:sz w:val="20"/>
                </w:rPr>
              </w:pPr>
            </w:p>
            <w:p>
              <w:pPr>
                <w:ind w:firstLine="1296"/>
                <w:jc w:val="both"/>
                <w:rPr>
                  <w:bCs/>
                  <w:sz w:val="20"/>
                </w:rPr>
              </w:pPr>
              <w:r>
                <w:rPr>
                  <w:bCs/>
                  <w:sz w:val="20"/>
                </w:rPr>
                <w:t>8 lentelė. 2024–2026 metų Turto valdymo ir privatizavimo programos (06)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134"/>
                <w:gridCol w:w="1559"/>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06 01 01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Užtikrinti Savivaldybei nuosavybės teise priklausančio turto įregistravimą viešuosiuose registruose</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148,9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150,0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150,0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06 01 01 01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Apmokėti pastatų, patalpų ir inžinerinių statinių vertinimo, kadastrinių matavimų atlikimo, teisines registracijos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06 01 01 03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Padengti Privatizavimo programos vykdymo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06 01 01 06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Apmokėti turto, kuris neturi savininko (ar savininkas nežinomas) laikinosios priežiūros ir laikinųjų apsaugos priemonių įrengimo arba griovimo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06 01 02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 xml:space="preserve">Tinkamai eksploatuoti, renovuoti, remontuoti ir  saugoti Savivaldybei nuosavybės teise priklausantį turtą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889,1</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859,5</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863,0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06 01 02 03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 xml:space="preserve">Apmokėti Savivaldybei nuosavybės teise priklausančių pastatų, patalpų ir inžinerinių statinių  draudimo, apsaugos, remonto, komunalines ir kitas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363,0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06 01 02 12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Apmokėti Savivaldybei nuosavybės teise priklausančio nekilnojamojo turto renovacijos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06 01 02 14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skolų išieškojimą ir skolininkų iškeldinimą iš Savivaldybei nuosavybės teise priklausančių būstų</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06 01 02 16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Apmokėti Savivaldybei nuosavybės teise priklausančių būstų eksploatavimo, administravimo, kaupimo, nuomos mokesčio surinkimo, komunalinių mokesčių, remonto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483,1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06 01 02 17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daugiabučių namų savininkų bendrijų steigimo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 xml:space="preserve">06 01 03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Sudaryti sąlygas įsigyti būstą pažeidžiamiausioms gyventojų grupėms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674,0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587,6</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587,6</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bCs/>
                        <w:sz w:val="20"/>
                      </w:rPr>
                    </w:pPr>
                    <w:r>
                      <w:rPr>
                        <w:bCs/>
                        <w:sz w:val="20"/>
                      </w:rPr>
                      <w:t>3.1.3.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06 01 03 05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Savivaldybės būsto fondą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160,9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06 01 03 06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„Socialinio būsto fondo plėtra Šiaulių miesto savivaldybėje"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425,5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500,0</w:t>
                    </w:r>
                  </w:p>
                </w:tc>
                <w:tc>
                  <w:tcPr>
                    <w:tcW w:w="1559"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3.1.3.2.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06 01 03 07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būsto nuomos ar išperkamosios būsto nuomos mokesčių dalį</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06 01 03 09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jaunoms šeimoms dalį išlaidų įsigyjant pirmą būstą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1 712,0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1 597,1</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1 600,6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1 032,5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1 098,5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1 102,0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73,6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335,7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425,0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270,2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1 712,0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1 597,1</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1 600,6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+87,5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+696,6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+704,6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ind w:firstLine="1296"/>
                <w:jc w:val="both"/>
                <w:rPr>
                  <w:bCs/>
                  <w:sz w:val="20"/>
                </w:rPr>
              </w:pPr>
              <w:r>
                <w:rPr>
                  <w:bCs/>
                  <w:sz w:val="20"/>
                </w:rPr>
                <w:t>9 lentelė. 2024–2026 metų Sporto plėtros programos (07)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134"/>
                <w:gridCol w:w="1559"/>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07 01 01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Plėtoti aukšto meistriškumo sportininkų rengimo sistemą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10 088,5</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10 262,9</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10 972,9</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1.2.2.</w:t>
                    </w:r>
                  </w:p>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miesto, apskrities, šalies ir tarptautinius sporto renginius bei pasirengti ir dalyvauti šalies ir tarptautinėms varžyboms (Baltijos, Europos ir pasaulio čempionato varžyboms, kompleksiniams renginiams ir kt.)</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191,0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1.2.2.4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Pasirengti ir dalyvauti Lietuvos čempionato ir sporto šakų federacijų taurės, Baltijos lygos ir taurės laimėtojų, Europos taurės ir kitose oficialiose varžybose (žaidimų komandų jaunimo ir suaugusiųjų amžiaus grupė)</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359,9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396,0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1.2.2.4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Šiaulių miesto reprezentacinių renginių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832,4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915,6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1 007,2</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Skatinti sportininkus ir trenerius laimėjusius aukštas vietas tarptautinės varžybose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53,0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53,0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1.2.2.2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Plėtoti sportininkų rengimo centrų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2 592,4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2 492,4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2 492,4</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Plėtoti sporto įstaigų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6 063,8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6 240,9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6 800,3</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07 01 01 12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tėvų atlyginimą už teikiamas sportinio rengimo paslaugas sporto įstaigose ir sportininkų rengimo centruose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07 01 06</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Modernizuoti ir sukurti sporto infrastruktūrą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7 984,1</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12 247,0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8 687,0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3.1.2.</w:t>
                    </w:r>
                  </w:p>
                  <w:p>
                    <w:pPr>
                      <w:jc w:val="center"/>
                      <w:rPr>
                        <w:sz w:val="20"/>
                      </w:rPr>
                    </w:pPr>
                    <w:r>
                      <w:rPr>
                        <w:sz w:val="20"/>
                      </w:rPr>
                      <w:t>3.1.8.</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Pastatyti sporto kompleksą (futbolo ir regbio maniežą)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7 205,7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10 000,0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7 150,0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3.1.2.12.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Pastatyti irklavimo sporto bazę (Žvyro g. 34)</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1 337,0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1 337,0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3.1.8.14.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Suprojektuoti ir pastatyti buriavimo elingą prie Rėkyvos ežero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3.1.8.15.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Suremontuoti Šiaulių m. stadioną ir pastatų patalpas (S. Daukanto g. 23)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304,2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kern w:val="2"/>
                        <w:sz w:val="20"/>
                        <w:lang w:eastAsia="lt-LT"/>
                      </w:rPr>
                      <w:t>3.1.2.13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Futbolo aikščių rekonstrukcija (Kviečių g. 7A ir Kviečių g. 9)</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Šiaulių teniso akademijos pastato funkcionalumą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07 01 06 10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Atlikti Šiaulių regbio ir žolės riedulio akademijos aikštyno rekonstrukciją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351,7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07 01 07</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color w:val="000000"/>
                        <w:sz w:val="18"/>
                      </w:rPr>
                    </w:pPr>
                    <w:r>
                      <w:rPr>
                        <w:color w:val="000000"/>
                        <w:sz w:val="18"/>
                      </w:rPr>
                      <w:t>Skatinti gyventojų fizinio aktyvumo veiklas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128,4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134,4</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152,6</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1.2.1.</w:t>
                    </w:r>
                  </w:p>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07 01 07 01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Sudaryti sąlygas didinti fizinio aktyvumo renginių bei veiklų prieinamumą ir aprėptį</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66,0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72,6</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1.2.1.2.</w:t>
                    </w:r>
                  </w:p>
                  <w:p>
                    <w:pPr>
                      <w:jc w:val="center"/>
                      <w:rPr>
                        <w:sz w:val="20"/>
                      </w:rPr>
                    </w:pPr>
                    <w:r>
                      <w:rPr>
                        <w:sz w:val="20"/>
                      </w:rPr>
                      <w:t>1.2.1.3.</w:t>
                    </w:r>
                  </w:p>
                  <w:p>
                    <w:pPr>
                      <w:jc w:val="center"/>
                      <w:rPr>
                        <w:sz w:val="20"/>
                      </w:rPr>
                    </w:pPr>
                    <w:r>
                      <w:rPr>
                        <w:sz w:val="20"/>
                      </w:rPr>
                      <w:t>1.2.1.4.</w:t>
                    </w:r>
                  </w:p>
                  <w:p>
                    <w:pPr>
                      <w:jc w:val="center"/>
                      <w:rPr>
                        <w:sz w:val="20"/>
                      </w:rPr>
                    </w:pPr>
                    <w:r>
                      <w:rPr>
                        <w:sz w:val="20"/>
                      </w:rPr>
                      <w:t>1.2.1.5.</w:t>
                    </w:r>
                  </w:p>
                  <w:p>
                    <w:pPr>
                      <w:jc w:val="center"/>
                      <w:rPr>
                        <w:sz w:val="20"/>
                      </w:rPr>
                    </w:pPr>
                    <w:r>
                      <w:rPr>
                        <w:sz w:val="20"/>
                      </w:rPr>
                      <w:t>1.2.1.6.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07 01 07 02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Mokyti vaikus plaukti ir saugiai elgtis vandenyje ir prie vandens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68,4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68,4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1.2.1.3.</w:t>
                    </w:r>
                  </w:p>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17 963,2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22 491,5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19 657,1</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7 974,7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16 941,5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19 104,1</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1 646,7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547,0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550,0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553,0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5 000,0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2 794,8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237,8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152,8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155,4</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18 201,0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22 644,3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19 812,5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+6 726,7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+4 562,5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-1 934,8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ind w:firstLine="1296"/>
                <w:jc w:val="both"/>
                <w:rPr>
                  <w:bCs/>
                  <w:sz w:val="20"/>
                </w:rPr>
              </w:pPr>
              <w:r>
                <w:rPr>
                  <w:bCs/>
                  <w:sz w:val="20"/>
                </w:rPr>
                <w:t>10 lentelė. 2024–2026 metų Švietimo prieinamumo ir kokybės užtikrinimo programos (08)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134"/>
                <w:gridCol w:w="1559"/>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08 01 01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Gerinti švietimo prieinamumą ir pristatyti švietimo veiklą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977,2</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1 017,1</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1 074,6</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1.1.1.</w:t>
                    </w:r>
                  </w:p>
                  <w:p>
                    <w:pPr>
                      <w:jc w:val="center"/>
                      <w:rPr>
                        <w:sz w:val="20"/>
                      </w:rPr>
                    </w:pPr>
                    <w:r>
                      <w:rPr>
                        <w:sz w:val="20"/>
                      </w:rPr>
                      <w:t>2.1.1.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08 01 01 01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Atstovauti miestui, pristatyti švietimo veiklą, organizuoti renginius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217,3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217,3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217,3</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skaitmeninę plėtrą bendrojo ugdymo mokyklose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192,8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192,8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08 01 01 03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švietimo elektroninės apskaitos ir registracijos sistemų funkcionavimą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08 01 01 05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Šiaulių miesto savivaldybės, jos teritorijoje veikiančių aukštųjų mokyklų, Šiaulių technologijų mokymo centro, verslo įmonių ir švietimo įstaigų bendradarbiavimo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423,9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450,9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473,4</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08 01 01 06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suaugusiųjų neformaliojo švietimo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08 01 01 07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Šiaulių miesto reprezentacinių renginių organizavimą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108,2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118,1</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143,9</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08 01 03</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Sudaryti sąlygas kokybiškam ugdymo procesui</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111 845,6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111 783,7</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115 067,0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1.1.1.</w:t>
                    </w:r>
                  </w:p>
                  <w:p>
                    <w:pPr>
                      <w:jc w:val="center"/>
                      <w:rPr>
                        <w:sz w:val="20"/>
                      </w:rPr>
                    </w:pPr>
                    <w:r>
                      <w:rPr>
                        <w:sz w:val="20"/>
                      </w:rPr>
                      <w:t>1.2.1.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švietimo įstaigų veiklą (ML 98% + SB)</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69 644,4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69 422,5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70 608,6</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 xml:space="preserve">Tenkinti mokymo reikmes (ML  2% )</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705,9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705,9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705,9</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mokinių vežimą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viešųjų įstaigų, įgyvendinančių bendrąsias ir specialiąsias ugdymo programas bei nevalstybinių tradicinių religinių bendruomenių ir bendrijų mokyklų veiklą (ML 98 % + SB)</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992,5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992,5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992,5</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neformaliojo vaikų švietimo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6 966,1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6 968,3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7 587,1</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1.1.1.3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neformaliojo vaikų švietimo teikėjų programų vykdymą (ŠMSM - 15 Eur/mėn.)</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826,8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826,8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826,8</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tėvų atlyginimą už neformalųjį vaikų švietimą savivaldybės įstaigose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ikimokyklinį ir priešmokyklinį ugdymą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30 229,6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30 491,6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31 971,0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tėvų atlyginimą už vaiko išlaikymą įstaigoje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389,8</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ikimokyklinio ugdymo programų įgyvendinimą Šiaulių miesto nevalstybinėse švietimo įstaigose (70 Eur/mėn.)</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246,0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246,0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256,0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Finansuoti ikimokyklinio ir priešmokyklinio ugdymo programas vykdančias viešąsias įstaigas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709,2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709,2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709,2</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vaikų ir jaunimo vasaros užimtumo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119,0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129,0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1.2.1.3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Švietimo pagalbos užtikrinimas švietimo įstaigose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profesinio orientavimo paslaugų teikimą Šiaulių miesto bendrojo ugdymo mokyklose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423,7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339,1</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356,1</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Aprūpinti Šiaulių miesto bendrojo ugdymo mokyklas mokymosi priemonėmis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138,0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08 01 03 17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„Atvirų klasių sukūrimas Šiaulių Vinco Kudirkos progimnazijoje“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08 05 02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Atnaujinti ir modernizuoti švietimo įstaigų ugdymo aplinką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20 163,4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30 737,4</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21 907,4</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3.1.5.</w:t>
                    </w:r>
                  </w:p>
                  <w:p>
                    <w:pPr>
                      <w:jc w:val="center"/>
                      <w:rPr>
                        <w:sz w:val="20"/>
                      </w:rPr>
                    </w:pPr>
                    <w:r>
                      <w:rPr>
                        <w:sz w:val="20"/>
                      </w:rPr>
                      <w:t>2.2.2.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„Šiaulių Sporto gimnazijos (Vilniaus g. 297) modernizavimas“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306,0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599,0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214,7</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„Santarvės gimnazijos rekonstravimas“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957,3</w:t>
                    </w:r>
                  </w:p>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Rekonstruoti miesto gimnazijų ir mokyklų sporto aikštynus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1 638,2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08 05 02 17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Renovuoti švietimo įstaigų baseinus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08 05 02 22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„Rėkyvos progimnazijos rekonstrukcija ir aplinkos gerinimas“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08 05 02 23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Tvarkyti švietimo įstaigų teritorijų dangas ir įvažiavimus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1 231,3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1 240,0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1 240,0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08 05 02 24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švietimo įstaigų teritorijų lauko įrenginius ir aptvėrimą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231,0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231,0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08 05 02 31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švietimo įstaigų pastatus, patalpas, įrangą ir komunikacijas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3 404,2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3 150,0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3 150,0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08 05 02 41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„Didždvario gimnazijos pastato remontas“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1 479,5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08 05 02 52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„Šiaulių Didždvario gimnazijos ir Šiaulių „Juventos“ progimnazijos ugdymo aplinkos modernizavimas“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08 05 02 53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„Lopšelio darželio „Kregždutė" modernizavimas“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švietimo įstaigų modernizavimo projektą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970,0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„Savivaldybės viešųjų pastatų atnaujinimui teikiamų subsidijų panaudojimas“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2 767,1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435,4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švietimo įstaigų pastatų ir vidaus patalpų avarinių situacijų šalinimą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mokyklų sporto sales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2 218,0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2 840,0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2 840,0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Šiaulių jaunųjų gamtininkų centrą (Žuvininkų g.30)</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272,0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5 250,0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4 675,7</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2.2.2.2.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Įrengti edukacines erdves bendrojo ugdymo mokyklose, plėtojant visos dienos mokyklos veiklas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377,0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650,0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ikimokyklinio ugdymo paslaugų prieinamumą, pritaikant ikimokykliniam ugdymui pastatą adresu Pabalių g. 53</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502,7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1 435,0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965,0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bendrojo ugdymo mokyklų projektą „Tūkstantmečio mokyklos 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2 333,9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4 045,0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08 05 02 69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„S. Daukanto gimnazijos pastato (S. Daukanto g. 71, Šiauliai) modernizavimas bei funkcionalumo didinimas pritaikant jį pagrindiniam bei viduriniam ugdymui pagal specializuotas inžinerinio ugdymo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1 325,0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1 055,0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08 05 02 70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„Ugdymo aplinkos atnaujinimas Šiaulių miesto Vinco Kudirkos progimnazijoje“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1 622,0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1 351,0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08 05 02 71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„Ugdymo aplinkos atnaujinimas Šiaulių miesto Ragainės progimnazijoje“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1 460,0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1 230,0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08 05 02 72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„Šiaulių miesto „Romuvos", „Dainų", Salduvės progimnazijų bei Didždvario ir Lieporių gimnazijų lauko infrastruktūros ir aplinkinių teritorijų funkcionalumo didinimas“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3 200,0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1 705,0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130 403,8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141 788,7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136 426,0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44 344,2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53 686,6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54 827,0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68 039,3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68 196,4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67 587,6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4 987,2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4 993,7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4 997,7</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2 875,9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14 912,0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9 013,7</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4 100,0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6 060,2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2 582,4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1 749,5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1 623,0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132 986,2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143 538,2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138 049,0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+21 566,4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+37 262,1</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+32 140,4</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ind w:firstLine="1296"/>
                <w:jc w:val="both"/>
                <w:rPr>
                  <w:bCs/>
                  <w:sz w:val="20"/>
                </w:rPr>
              </w:pPr>
              <w:r>
                <w:rPr>
                  <w:bCs/>
                  <w:sz w:val="20"/>
                </w:rPr>
                <w:t>11 lentelė. 2024–2026 metų Bendruomenės sveikatinimo programos (09)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134"/>
                <w:gridCol w:w="1559"/>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09 01 01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Modernizuoti sveikatos priežiūros įstaigų infrastruktūrą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4 586,0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1 880,0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1 965,0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09 01 01 05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„Energetinių charakteristikų gerinimas VšĮ Dainų pirminės sveikatos priežiūros centre"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593,1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09 01 01 11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„VšĮ Šiaulių ilgalaikio gydymo ir geriatrijos centro pastatų rekonstravimas, aktyvios ventiliacijos įrengimas, kiemo gerbūvio sutvarkymas ir maisto gamybos skyriaus modernizavimas"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607,6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380,0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09 01 01 13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Modernizuoti VšĮ Šiaulių centro polikliniką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255,5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1.2.3.3.</w:t>
                    </w:r>
                  </w:p>
                  <w:p>
                    <w:pPr>
                      <w:jc w:val="center"/>
                      <w:rPr>
                        <w:sz w:val="20"/>
                      </w:rPr>
                    </w:pPr>
                    <w:r>
                      <w:rPr>
                        <w:sz w:val="20"/>
                      </w:rPr>
                      <w:t>1.2.3.7.</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09 01 01 18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VšĮ Dainų pirminės sveikatos priežiūros centro funkcionalumą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1 673,0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09 01 01 19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„Sveikatos centrų sudėtyje teikiamų sveikatos priežiūros paslaugų infrastruktūros modernizavimas Šiaulių miesto savivaldybėje“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599,7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09 01 01 20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„Ilgalaikės priežiūros dienos centrų įrengimas, mobilių komandų aprūpinimas įranga ir transporto priemonėmis“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857,1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09 01 02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Plėtoti visuomenės sveikatos priežiūros paslaugas ir ugdyti visuomenės poreikį sveikai gyventi</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1 707,4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1 702,7</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1 755,3</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1.2.1.</w:t>
                    </w:r>
                  </w:p>
                  <w:p>
                    <w:pPr>
                      <w:jc w:val="center"/>
                      <w:rPr>
                        <w:sz w:val="20"/>
                      </w:rPr>
                    </w:pPr>
                    <w:r>
                      <w:rPr>
                        <w:sz w:val="20"/>
                      </w:rPr>
                      <w:t>1.2.3.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09 01 02 04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Visuomenės sveikatos biuro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175,1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148,4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158,5</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09 01 02 05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Plėtoti sveiką gyvenseną bei stiprinti sveikos gyvensenos įgūdžius ugdymo įstaigose ir bendruomenėse, vykdyti visuomenės sveikatos stebėseną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1 381,6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1 403,6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1 446,1</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09 01 02 07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Plėtoti visuomenės psichikos sveikatos paslaugų prieinamumą bei ankstyvojo savižudybių atpažinimo ir kompleksinės pagalbos teikimo sistemą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150,7</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1.2.1.8.</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 xml:space="preserve">09 01 04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Vykdyti ligų prevenciją ir didinti sveikatos priežiūros paslaugų prieinamumą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526,4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493,0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493,0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1.2.1.</w:t>
                    </w:r>
                  </w:p>
                  <w:p>
                    <w:pPr>
                      <w:jc w:val="center"/>
                      <w:rPr>
                        <w:sz w:val="20"/>
                      </w:rPr>
                    </w:pPr>
                    <w:r>
                      <w:rPr>
                        <w:sz w:val="20"/>
                      </w:rPr>
                      <w:t>1.2.3.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09 01 04 04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„Paramos priemonių tuberkulioze sergantiems asmenims įgyvendinimas Šiaulių mieste"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09 01 04 05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„Priklausomybės ligų profilaktikos, diagnostikos ir gydymo kokybės ir prieinamumo gerinimas Šiaulių mieste"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1.2.1.8.</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09 01 04 06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Pritraukti sveikatos specialistus į Šiaulių miestą ir išlaikyti jame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316,0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316,0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316,0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09 01 04 10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Visuomenės sveikatos rėmimo specialiąją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6 788,7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4 073,8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4 211,4</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3 445,2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1 699,2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1 836,8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1 173,5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1 173,5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1 173,6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1 331,5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1 200,0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437,4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6 819,8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4 075,7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4 213,3</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+2 880,6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+1 562,3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+1 612,9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Cs/>
                  <w:sz w:val="20"/>
                </w:rPr>
              </w:pPr>
            </w:p>
            <w:p>
              <w:pPr>
                <w:ind w:firstLine="1296"/>
                <w:jc w:val="both"/>
                <w:rPr>
                  <w:bCs/>
                  <w:sz w:val="20"/>
                </w:rPr>
              </w:pPr>
              <w:r>
                <w:rPr>
                  <w:bCs/>
                  <w:sz w:val="20"/>
                </w:rPr>
                <w:t>12 lentelė. 2024–2026 metų Socialinės paramos įgyvendinimo programos (10)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134"/>
                <w:gridCol w:w="1559"/>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rPr>
                        <w:sz w:val="18"/>
                      </w:rPr>
                    </w:pPr>
                    <w:r>
                      <w:rPr>
                        <w:sz w:val="18"/>
                      </w:rPr>
                      <w:t xml:space="preserve">10 01 01 </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Teikti socialines paslaugas ir didinti jų prieinamumą įvairioms gyventojų grupėms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17 676,4</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17 635,9</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18 142,1</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1.3.1.</w:t>
                    </w:r>
                  </w:p>
                  <w:p>
                    <w:pPr>
                      <w:jc w:val="center"/>
                      <w:rPr>
                        <w:sz w:val="20"/>
                      </w:rPr>
                    </w:pPr>
                    <w:r>
                      <w:rPr>
                        <w:sz w:val="20"/>
                      </w:rPr>
                      <w:t>1.3.2.</w:t>
                    </w:r>
                  </w:p>
                  <w:p>
                    <w:pPr>
                      <w:jc w:val="center"/>
                      <w:rPr>
                        <w:sz w:val="20"/>
                      </w:rPr>
                    </w:pPr>
                    <w:r>
                      <w:rPr>
                        <w:sz w:val="20"/>
                      </w:rPr>
                      <w:t>3.1.1.</w:t>
                    </w:r>
                  </w:p>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Teikti ilgalaikės, trumpalaikės ir dienos socialinės globos paslaugas senyvo amžiaus asmenims, suaugusiems asmenims ir vaikams su negalia ir su sunkia negalia</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4 655,6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4 655,6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4 629,6</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1.3.1.3.</w:t>
                    </w:r>
                  </w:p>
                  <w:p>
                    <w:pPr>
                      <w:jc w:val="center"/>
                      <w:rPr>
                        <w:sz w:val="20"/>
                      </w:rPr>
                    </w:pPr>
                    <w:r>
                      <w:rPr>
                        <w:sz w:val="20"/>
                      </w:rPr>
                      <w:t>1.3.2.1.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Užimtumo didinimo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297,9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297,9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297,9</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Būsto pritaikymo asmenims turintiems negalią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496,5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407,9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476,2</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3.1.1.7</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Didinti socialinių paslaugų prieinamumą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1 174,7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1 128,2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1 128,2</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socialinių paslaugų įstaigų veiklą ir prieinamumą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8 296,8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8 439,2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9 039,4</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1.3.1.5</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socialinės globos paslaugų teikimą vaikams, likusiems be tėvų globos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1 136,2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1 136,2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1.3.1.7.</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socialinės darbuotilitacijos paslaugų neįgaliesiems teikimą bendruomenėje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351,7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351,7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351,7</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vaikų dienos centrų veiklą ir prieinamumą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363,5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363,5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363,5</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1.3.1.4</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kraitelio skyrimą šeimoms, susilaukusioms kūdikio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„Kompleksinės paslaugos šeimai Šiaulių miesto savivaldybėje"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10 01 01 19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Globos centrų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605,6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605,6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605,6</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10 01 01 21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materialinio nepritekliaus mažinimo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10 01 03</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 xml:space="preserve">Plėsti  socialinių paslaugų įstaigų infrastruktūrą, atnaujinant ir modernizuojant esamus bei įrengiant naujus socialinės paskirties įstaigų pastatus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463,6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1 500,0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1 500,0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1.3.2.</w:t>
                    </w:r>
                  </w:p>
                  <w:p>
                    <w:pPr>
                      <w:jc w:val="center"/>
                      <w:rPr>
                        <w:sz w:val="20"/>
                      </w:rPr>
                    </w:pPr>
                    <w:r>
                      <w:rPr>
                        <w:sz w:val="20"/>
                      </w:rPr>
                      <w:t>3.1.3.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10 01 03 09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Pastatyti (pritaikyti pastatą) nakvynės namų ir apgyvendinimo paslaugoms teikti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10 01 03 10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Rekonstruoti Šiaulių miesto savivaldybės socialinių paslaugų centro Paramos tarnybos pastatą (Stoties g.)</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135,2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10 01 03 12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projektą „Bendruomeninių apgyvendinimo bei užimtumo paslaugų asmenims su proto ir psichikos negaliai plėtra Šiaulių mieste“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175,4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10 01 03 16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Šeimoje ir bendruomenėje teikiamų paslaugų, asmenims su proto ir intelekto negalia, plėtra</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1 500,0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1.3.2.1.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10 01 03 18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Atnaujinti Šiaulių miesto savivaldybės socialinių paslaugų centro pastatą (Tilžės g. 63B)</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3.1.3.1.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10 01 05</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Užtikrinti valstybės garantuotos piniginės socialinės paramos teikimą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52 693,9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52 424,8</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52 476,8</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Skirti ir išmokėti išmokas ir kompensacijas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6 277,3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6 057,3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6 057,3</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Skirti ir išmokėti išmokas vaikams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29 665,8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29 665,8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29 665,8</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Skirti ir išmokėti tikslines kompensacijas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12 389,8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12 389,8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12 389,8</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Skirti kompensacijas nepriklausomybės gynėjams nukentėjusiems nuo 1991 m. sausio 11-13 d. ir po to vykdytos SSRS agresijos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Skirti kitas išmokas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5,2</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Skirti socialinę paramą moksleiviams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1 708,0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1 708,0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1 708,0</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10 01 05 08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keleivinio transporto vežėjų išlaidas (negautas pajamas) už lengvatinį keleivių vežimą reguliaraus susisiekimo maršrutais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2 546,8</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2 597,7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2 649,7</w:t>
                    </w:r>
                  </w:p>
                </w:tc>
                <w:tc>
                  <w:tcPr>
                    <w:tcW w:w="155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28 346,9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29 080,4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29 639,6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8 069,4 </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16 988,3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17 542,8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10 126,6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9 906,6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9 910,8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890,0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910,5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911,0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1 275,0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1 275,0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9 213,4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42 487,0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42 480,3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42 479,3</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70 833,9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71 560,7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72 118,9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+8 685,1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+15 583,8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+16 980,1</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ind w:firstLine="1296"/>
                <w:jc w:val="both"/>
                <w:rPr>
                  <w:bCs/>
                  <w:sz w:val="20"/>
                </w:rPr>
              </w:pPr>
              <w:r>
                <w:rPr>
                  <w:bCs/>
                  <w:sz w:val="20"/>
                </w:rPr>
                <w:t>13 lentelė. 2024–2026 metų Savivaldybės veiklos programos (11) uždaviniai, priemonės, asignavimai ir kitos lėšos (tūkst. Eur)</w:t>
              </w:r>
            </w:p>
            <w:tbl>
              <w:tblPr>
                <w:tblW w:w="9746" w:type="dxa"/>
                <w:tblInd w:w="-112" w:type="dxa"/>
                <w:tblLayout w:type="fixed"/>
                <w:tblCellMar>
                  <w:left w:w="30" w:type="dxa"/>
                  <w:right w:w="30" w:type="dxa"/>
                </w:tblCellMar>
                <w:tblLook w:val="04A0" w:firstRow="1" w:lastRow="0" w:firstColumn="1" w:lastColumn="0" w:noHBand="0" w:noVBand="1"/>
              </w:tblPr>
              <w:tblGrid>
                <w:gridCol w:w="1100"/>
                <w:gridCol w:w="3260"/>
                <w:gridCol w:w="1276"/>
                <w:gridCol w:w="1417"/>
                <w:gridCol w:w="1134"/>
                <w:gridCol w:w="1559"/>
              </w:tblGrid>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Programos uždavinio, priemonės kodas ir požymis</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Uždavinio, priemonės pavadinimas, finansavimo šaltiniai</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2024 metų asignavimai ir kitos lėšos</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iCs/>
                        <w:sz w:val="18"/>
                        <w:szCs w:val="18"/>
                      </w:rPr>
                      <w:t xml:space="preserve">2025 </w:t>
                    </w:r>
                    <w:r>
                      <w:rPr>
                        <w:b/>
                        <w:bCs/>
                        <w:sz w:val="18"/>
                        <w:szCs w:val="18"/>
                      </w:rPr>
                      <w:t>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2026 metų asignavimai ir kitos lėšos</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8"/>
                      </w:rPr>
                    </w:pPr>
                    <w:r>
                      <w:rPr>
                        <w:b/>
                        <w:bCs/>
                        <w:sz w:val="18"/>
                        <w:szCs w:val="18"/>
                      </w:rPr>
                      <w:t>Savivaldybės strateginio plėtros plano priemonės kodas</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1</w:t>
                    </w:r>
                  </w:p>
                </w:tc>
                <w:tc>
                  <w:tcPr>
                    <w:tcW w:w="326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3</w:t>
                    </w:r>
                  </w:p>
                </w:tc>
                <w:tc>
                  <w:tcPr>
                    <w:tcW w:w="14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rPr>
                    </w:pPr>
                    <w:r>
                      <w:rPr>
                        <w:sz w:val="14"/>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4"/>
                        <w:szCs w:val="18"/>
                        <w:lang w:val="en-GB"/>
                      </w:rPr>
                    </w:pPr>
                    <w:r>
                      <w:rPr>
                        <w:sz w:val="14"/>
                        <w:szCs w:val="18"/>
                        <w:lang w:val="en-GB"/>
                      </w:rPr>
                      <w:t>6</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sz w:val="18"/>
                      </w:rPr>
                    </w:pPr>
                    <w:r>
                      <w:rPr>
                        <w:sz w:val="18"/>
                      </w:rPr>
                      <w:t>11 01 01</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 xml:space="preserve">Organizuoti  Savivaldybės veiklos funkcijų įgyvendinimą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13 019,6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13 588,8</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14 926,0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Savivaldybės administracijos finansinį, ūkinį ir materialinį aptarnavimą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9 320,0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9 993,8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10 993,0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Savivaldybės tarybos, Savivaldybės mero ir jo politinio (asmeninio) pasitikėjimo valstybės tarnautojų finansinį, ūkinį ir materialinį aptarnavimą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1 077,5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1 031,6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1 134,8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Kontrolės ir audito tarnybos finansinį, ūkinį bei materialinį aptarnavimą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342,5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351,2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386,3</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Šiaulių apskaitos centro veiklą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1 761,2</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1 809,3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1 990,2</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projektų vykdymo priežiūros ir kitas inžinerines paslaugas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88,4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87,9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96,7</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Likviduoti įvykių, ekstremalių įvykių ir situacijų pasekmes (mero rezervas)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325,0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11 01 01 11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Parengti Šiaulių m. 2025–2033 m. strateginį plėtros ir 2025–2027 m. strateginį veiklos planus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11 01 02</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Tinkamai įgyvendinti valstybines (perduotas savivaldybei) funkcijas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823,8</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823,8</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823,8</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Deklaruoti gyvenamąją vietą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Teikti duomenis Valstybės registrui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Teikti pirminę teisinę pagalbą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34,9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Registruoti civilinės būklės aktus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62,3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62,3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62,3</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Tvarkyti Gyventojų registrą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valstybinės kalbos vartojimo kontrolę</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11 01 02 09</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jaunimo politiką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27,3</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27,3</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27,3</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Tvarkyti archyvinius dokumentus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Administruoti mobilizaciją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civilinę saugą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124,6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124,6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124,6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žemės ūkio funkcijas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Administruoti Užimtumo didinimo programą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Administruoti socialines pašalpas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24,4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24,4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24,4</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Administruoti socialinę paramą mokiniams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63,5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63,5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63,5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11 01 02 18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Administruoti socialinę globą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113,4</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113,4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113,4</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11 01 02 20</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Administruoti būsto nuomos ar išperkamosios būsto nuomos mokesčių dalies kompensacijas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11 01 02 21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informacijos apie neveiksnių asmenų būklę persvarstymą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11 01 02 22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Organizuoti tarpinstitucinio bendradarbiavimo koordinatoriaus darbą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11 01 02 23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Atlikti erdvinių duomenų rinkinio tvarkymo funkciją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39,7</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11 01 04</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Diegti ir palaikyti Savivaldybės administracijoje modernias informacines sistemas</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32,1</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bCs/>
                        <w:sz w:val="20"/>
                      </w:rPr>
                    </w:pPr>
                    <w:r>
                      <w:rPr>
                        <w:bCs/>
                        <w:sz w:val="20"/>
                      </w:rPr>
                      <w:t>2.3.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11 01 04 04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Gerinti asmenų aptarnavimo ir paslaugų kokybę Šiaulių miesto savivaldybėje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2.3.1.1.</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11 01 06</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Užtikrinti finansinių įsipareigojimų vykdymą</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14 100,0</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13 324,2</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14 352,5</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11 01 06 01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 xml:space="preserve">Vykdyti paskolų grąžinimą, palūkanų už paskolas mokėjimą ir kitus finansinius  įsipareigojimus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9 605,1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8 751,2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9 713,7</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11 01 06 02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Kompensuoti keleivių vežimo vietiniais maršrutais organizavimo išlaidas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4 149,9</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4 228,0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4 279,3</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11 01 06 03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Vykdyti išmokėtos dotacijų dalies savivaldybei grąžinimą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11 01 06 04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Biudžetinių įstaigų finansinį, ūkinį aptarnavimą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159,5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11 01 07</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Užtikrinti pagrindinius lygių galimybių principus Savivaldybės administracijoje</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12,1</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12,4</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12,7</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11 01 07 03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informacijos sklaidą lygių galimybių klausimais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12,7</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sz w:val="18"/>
                      </w:rPr>
                    </w:pPr>
                    <w:r>
                      <w:rPr>
                        <w:sz w:val="18"/>
                      </w:rPr>
                      <w:t>11 02 01</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18"/>
                      </w:rPr>
                    </w:pPr>
                    <w:r>
                      <w:rPr>
                        <w:color w:val="000000"/>
                        <w:sz w:val="18"/>
                      </w:rPr>
                      <w:t>Plėtoti bendradarbiavimą su miesto teisėtvarkos institucijomis ir vietos bendruomene</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502,1</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475,5</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477,8</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bCs/>
                        <w:sz w:val="20"/>
                      </w:rPr>
                    </w:pPr>
                    <w:r>
                      <w:rPr>
                        <w:bCs/>
                        <w:sz w:val="20"/>
                      </w:rPr>
                      <w:t>1.1.3.</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prevencines programas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43,0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Stiprinti bendruomeninę veiklą savivaldybėje</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123,6</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123,6</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Skatinti nevyriausybinių organizacijų veiklą ir užtikrinti jų plėtrą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35,0</w:t>
                    </w:r>
                  </w:p>
                </w:tc>
                <w:tc>
                  <w:tcPr>
                    <w:tcW w:w="1559"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1.1.3.2.</w:t>
                    </w: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Dalyvauti rengiant ir įgyvendinant Šiaulių vietos veiklos grupės strategiją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23,9</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22,2</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dalyvaujamojo biudžeto iniciatyvas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Įgyvendinti jaunimo politiką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r>
                      <w:rPr>
                        <w:sz w:val="18"/>
                      </w:rPr>
                      <w:t>11 02 01 08</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18"/>
                      </w:rPr>
                    </w:pPr>
                    <w:r>
                      <w:rPr>
                        <w:color w:val="000000"/>
                        <w:sz w:val="18"/>
                      </w:rPr>
                      <w:t>Užtikrinti Integracijos paslaugų trečiųjų šalių piliečiams teikimo ir stiprinimo priemonių įgyvendinimą</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 Savivaldybės biudžetas (įskaitant skolintas lėšas)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28 494,1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28 224,7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30 592,8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sz w:val="18"/>
                        <w:szCs w:val="18"/>
                      </w:rPr>
                    </w:pPr>
                    <w:r>
                      <w:rPr>
                        <w:sz w:val="18"/>
                        <w:szCs w:val="18"/>
                      </w:rPr>
                      <w:t>Iš jo:</w:t>
                    </w:r>
                  </w:p>
                  <w:p>
                    <w:pPr>
                      <w:rPr>
                        <w:color w:val="000000"/>
                        <w:sz w:val="18"/>
                      </w:rPr>
                    </w:pPr>
                    <w:r>
                      <w:rPr>
                        <w:sz w:val="18"/>
                        <w:szCs w:val="18"/>
                      </w:rPr>
                      <w:t>1.1. savivaldybės biudžeto lėšos (nuosavos, be ankstesnių metų likučio)</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21 680,5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27 325,8</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29 693,9</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1.2. Lietuvos Respublikos valstybės biudžeto dotacijos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939,0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897,4</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897,4</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1.3. Pajamų įmokos ir kitos pajamos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1.4. Europos Sąjungos ir kitos tarptautinės finansinės paramos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1.5. Skolintos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1.6. Ankstesnių metų likučiai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5 873,1</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2. Kiti šaltiniai (Europos Sąjungos finansinė parama projektams įgyvendinti ir kitos teisėtai gautos lėšos, nurodant atskirus šaltinius)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0,6</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 xml:space="preserve">IŠ VISO programai finansuoti pagal finansavimo šaltinius </w:t>
                    </w:r>
                    <w:r>
                      <w:rPr>
                        <w:i/>
                        <w:sz w:val="18"/>
                        <w:szCs w:val="18"/>
                      </w:rPr>
                      <w:t>(1 ir 2 punktai)</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28 494,7</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28 224,7</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30 592,8</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Iš jų: regioninių pažangos priemonių lėšos</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r>
                <w:trPr>
                  <w:cantSplit/>
                  <w:trHeight w:val="20"/>
                </w:trPr>
                <w:tc>
                  <w:tcPr>
                    <w:tcW w:w="1100" w:type="dxa"/>
                    <w:tcBorders>
                      <w:top w:val="single" w:sz="4" w:space="0" w:color="auto"/>
                      <w:left w:val="single" w:sz="4" w:space="0" w:color="auto"/>
                      <w:bottom w:val="single" w:sz="4" w:space="0" w:color="auto"/>
                      <w:right w:val="single" w:sz="4" w:space="0" w:color="auto"/>
                    </w:tcBorders>
                  </w:tcPr>
                  <w:p>
                    <w:pPr>
                      <w:jc w:val="both"/>
                      <w:rPr>
                        <w:sz w:val="18"/>
                      </w:rPr>
                    </w:pPr>
                  </w:p>
                </w:tc>
                <w:tc>
                  <w:tcPr>
                    <w:tcW w:w="326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sz w:val="18"/>
                        <w:szCs w:val="18"/>
                      </w:rPr>
                      <w:t>Asignavimų ir kitų lėšų pokytis, palyginti su ankstesnių metų patvirtintų asignavimų ir kitų lėšų planu</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+6 885,0</w:t>
                    </w:r>
                  </w:p>
                </w:tc>
                <w:tc>
                  <w:tcPr>
                    <w:tcW w:w="141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+8 620,5</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+11 553,1</w:t>
                    </w:r>
                  </w:p>
                </w:tc>
                <w:tc>
                  <w:tcPr>
                    <w:tcW w:w="1559" w:type="dxa"/>
                    <w:tcBorders>
                      <w:top w:val="single" w:sz="4" w:space="0" w:color="auto"/>
                      <w:left w:val="single" w:sz="4" w:space="0" w:color="auto"/>
                      <w:bottom w:val="single" w:sz="4" w:space="0" w:color="auto"/>
                      <w:right w:val="single" w:sz="4" w:space="0" w:color="auto"/>
                    </w:tcBorders>
                  </w:tcPr>
                  <w:p>
                    <w:pPr>
                      <w:jc w:val="both"/>
                      <w:rPr>
                        <w:b/>
                        <w:bCs/>
                        <w:sz w:val="20"/>
                      </w:rPr>
                    </w:pPr>
                  </w:p>
                </w:tc>
              </w:tr>
            </w:tbl>
            <w:p>
              <w:pPr>
                <w:jc w:val="both"/>
                <w:rPr>
                  <w:b/>
                  <w:bCs/>
                  <w:szCs w:val="24"/>
                </w:rPr>
              </w:pPr>
            </w:p>
            <w:p>
              <w:pPr>
                <w:jc w:val="center"/>
                <w:rPr>
                  <w:b/>
                  <w:bCs/>
                  <w:szCs w:val="24"/>
                </w:rPr>
              </w:pPr>
            </w:p>
          </w:sdtContent>
        </w:sdt>
        <w:sdt>
          <w:sdtPr>
            <w:alias w:val="skyrius"/>
            <w:tag w:val="part_398a5c46d72045e7a4760a0704a50ca0"/>
            <w:lock w:val="sdtLocked"/>
            <w:richText/>
          </w:sdtPr>
          <w:sdtContent>
            <w:p>
              <w:pPr>
                <w:jc w:val="center"/>
                <w:rPr>
                  <w:b/>
                  <w:bCs/>
                  <w:szCs w:val="24"/>
                </w:rPr>
              </w:pPr>
              <w:sdt>
                <w:sdtPr>
                  <w:alias w:val="Numeris"/>
                  <w:tag w:val="nr_398a5c46d72045e7a4760a0704a50ca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398a5c46d72045e7a4760a0704a50ca0"/>
                  <w:lock w:val="sdtLocked"/>
                  <w:richText/>
                </w:sdtPr>
                <w:sdtContent>
                  <w:r>
                    <w:rPr>
                      <w:b/>
                      <w:bCs/>
                      <w:szCs w:val="24"/>
                    </w:rPr>
                    <w:t>SAVIVALDYBĖS VALDOMŲ ĮMONIŲ IR VIEŠŲJŲ ĮSTAIGŲ PLANUOJAMOS PASIEKTI PAGRINDINIŲ VEIKLOS RODIKLIŲ REIKŠMĖS</w:t>
                  </w:r>
                </w:sdtContent>
              </w:sdt>
            </w:p>
            <w:p>
              <w:pPr>
                <w:jc w:val="both"/>
                <w:rPr>
                  <w:b/>
                  <w:bCs/>
                  <w:i/>
                  <w:color w:val="808080"/>
                  <w:szCs w:val="24"/>
                </w:rPr>
              </w:pPr>
            </w:p>
            <w:p>
              <w:pPr>
                <w:tabs>
                  <w:tab w:val="left" w:pos="6237"/>
                  <w:tab w:val="right" w:pos="8306"/>
                </w:tabs>
                <w:rPr>
                  <w:b/>
                  <w:bCs/>
                  <w:i/>
                  <w:sz w:val="20"/>
                  <w:szCs w:val="24"/>
                </w:rPr>
              </w:pPr>
            </w:p>
            <w:p>
              <w:pPr>
                <w:tabs>
                  <w:tab w:val="left" w:pos="6237"/>
                  <w:tab w:val="right" w:pos="8306"/>
                </w:tabs>
                <w:ind w:firstLine="1007"/>
                <w:jc w:val="both"/>
                <w:rPr>
                  <w:bCs/>
                  <w:sz w:val="20"/>
                </w:rPr>
              </w:pPr>
              <w:r>
                <w:rPr>
                  <w:bCs/>
                  <w:sz w:val="20"/>
                </w:rPr>
                <w:t>14 lentelė. Savivaldybės valdomų įmonių ir viešųjų įstaigų planuojami pasiekti pagrindiniai veiklos rodikliai ir jų reikšmės</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1984"/>
                <w:gridCol w:w="3544"/>
                <w:gridCol w:w="1196"/>
                <w:gridCol w:w="1167"/>
                <w:gridCol w:w="1180"/>
              </w:tblGrid>
              <w:tr>
                <w:trPr>
                  <w:jc w:val="center"/>
                </w:trPr>
                <w:tc>
                  <w:tcPr>
                    <w:tcW w:w="563"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20"/>
                      </w:rPr>
                    </w:pPr>
                    <w:r>
                      <w:rPr>
                        <w:b/>
                        <w:bCs/>
                        <w:sz w:val="20"/>
                      </w:rPr>
                      <w:t>Eil. Nr.</w:t>
                    </w:r>
                  </w:p>
                </w:tc>
                <w:tc>
                  <w:tcPr>
                    <w:tcW w:w="1984"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20"/>
                      </w:rPr>
                    </w:pPr>
                    <w:r>
                      <w:rPr>
                        <w:b/>
                        <w:bCs/>
                        <w:sz w:val="20"/>
                      </w:rPr>
                      <w:t>Savivaldybės valdomos įmonės ar viešosios įstaigos pavadinimas</w:t>
                    </w:r>
                  </w:p>
                </w:tc>
                <w:tc>
                  <w:tcPr>
                    <w:tcW w:w="3544"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20"/>
                      </w:rPr>
                    </w:pPr>
                    <w:r>
                      <w:rPr>
                        <w:b/>
                        <w:bCs/>
                        <w:sz w:val="20"/>
                      </w:rPr>
                      <w:t xml:space="preserve">Rodiklio pavadinimas, matavimo vnt.  </w:t>
                    </w:r>
                  </w:p>
                </w:tc>
                <w:tc>
                  <w:tcPr>
                    <w:tcW w:w="3543" w:type="dxa"/>
                    <w:gridSpan w:val="3"/>
                    <w:tcBorders>
                      <w:top w:val="single" w:sz="4" w:space="0" w:color="auto"/>
                      <w:left w:val="single" w:sz="4" w:space="0" w:color="auto"/>
                      <w:bottom w:val="single" w:sz="4" w:space="0" w:color="auto"/>
                      <w:right w:val="single" w:sz="4" w:space="0" w:color="auto"/>
                    </w:tcBorders>
                    <w:shd w:val="clear" w:color="auto" w:fill="DBE5F1"/>
                    <w:hideMark/>
                  </w:tcPr>
                  <w:p>
                    <w:pPr>
                      <w:tabs>
                        <w:tab w:val="left" w:pos="6237"/>
                        <w:tab w:val="right" w:pos="8306"/>
                      </w:tabs>
                      <w:jc w:val="center"/>
                      <w:rPr>
                        <w:b/>
                        <w:bCs/>
                        <w:i/>
                        <w:sz w:val="20"/>
                      </w:rPr>
                    </w:pPr>
                    <w:r>
                      <w:rPr>
                        <w:b/>
                        <w:bCs/>
                        <w:sz w:val="20"/>
                      </w:rPr>
                      <w:t>Planuojamos rodiklių reikšmės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11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sz w:val="20"/>
                      </w:rPr>
                    </w:pPr>
                    <w:r>
                      <w:rPr>
                        <w:b/>
                        <w:bCs/>
                        <w:sz w:val="20"/>
                      </w:rPr>
                      <w:t>2024 metais</w:t>
                    </w:r>
                  </w:p>
                </w:tc>
                <w:tc>
                  <w:tcPr>
                    <w:tcW w:w="11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sz w:val="20"/>
                      </w:rPr>
                    </w:pPr>
                    <w:r>
                      <w:rPr>
                        <w:b/>
                        <w:bCs/>
                        <w:sz w:val="20"/>
                      </w:rPr>
                      <w:t>2025 metais</w:t>
                    </w:r>
                  </w:p>
                </w:tc>
                <w:tc>
                  <w:tcPr>
                    <w:tcW w:w="118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sz w:val="20"/>
                      </w:rPr>
                    </w:pPr>
                    <w:r>
                      <w:rPr>
                        <w:b/>
                        <w:bCs/>
                        <w:sz w:val="20"/>
                      </w:rPr>
                      <w:t>2026 metais</w:t>
                    </w:r>
                  </w:p>
                </w:tc>
              </w:tr>
              <w:tr>
                <w:trPr>
                  <w:jc w:val="center"/>
                </w:trPr>
                <w:tc>
                  <w:tcPr>
                    <w:tcW w:w="56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1</w:t>
                    </w:r>
                  </w:p>
                </w:tc>
                <w:tc>
                  <w:tcPr>
                    <w:tcW w:w="198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2</w:t>
                    </w:r>
                  </w:p>
                </w:tc>
                <w:tc>
                  <w:tcPr>
                    <w:tcW w:w="354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3</w:t>
                    </w:r>
                  </w:p>
                </w:tc>
                <w:tc>
                  <w:tcPr>
                    <w:tcW w:w="1196" w:type="dxa"/>
                    <w:tcBorders>
                      <w:top w:val="single" w:sz="4" w:space="0" w:color="auto"/>
                      <w:left w:val="single" w:sz="4" w:space="0" w:color="auto"/>
                      <w:bottom w:val="single" w:sz="4" w:space="0" w:color="auto"/>
                      <w:right w:val="single" w:sz="4" w:space="0" w:color="auto"/>
                    </w:tcBorders>
                    <w:shd w:val="clear" w:color="auto" w:fill="DBE5F1"/>
                    <w:hideMark/>
                  </w:tcPr>
                  <w:p>
                    <w:pPr>
                      <w:tabs>
                        <w:tab w:val="left" w:pos="6237"/>
                        <w:tab w:val="right" w:pos="8306"/>
                      </w:tabs>
                      <w:jc w:val="center"/>
                      <w:rPr>
                        <w:sz w:val="20"/>
                      </w:rPr>
                    </w:pPr>
                    <w:r>
                      <w:rPr>
                        <w:sz w:val="20"/>
                      </w:rPr>
                      <w:t>4</w:t>
                    </w:r>
                  </w:p>
                </w:tc>
                <w:tc>
                  <w:tcPr>
                    <w:tcW w:w="11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5</w:t>
                    </w:r>
                  </w:p>
                </w:tc>
                <w:tc>
                  <w:tcPr>
                    <w:tcW w:w="118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6</w:t>
                    </w:r>
                  </w:p>
                </w:tc>
              </w:tr>
              <w:tr>
                <w:trPr>
                  <w:jc w:val="center"/>
                </w:trPr>
                <w:tc>
                  <w:tcPr>
                    <w:tcW w:w="9634" w:type="dxa"/>
                    <w:gridSpan w:val="6"/>
                    <w:tcBorders>
                      <w:top w:val="single" w:sz="4" w:space="0" w:color="auto"/>
                      <w:left w:val="single" w:sz="4" w:space="0" w:color="auto"/>
                      <w:bottom w:val="single" w:sz="4" w:space="0" w:color="auto"/>
                      <w:right w:val="single" w:sz="4" w:space="0" w:color="auto"/>
                    </w:tcBorders>
                    <w:hideMark/>
                  </w:tcPr>
                  <w:p>
                    <w:pPr>
                      <w:tabs>
                        <w:tab w:val="center" w:pos="-7800"/>
                        <w:tab w:val="left" w:pos="6237"/>
                        <w:tab w:val="right" w:pos="8306"/>
                      </w:tabs>
                      <w:jc w:val="center"/>
                      <w:rPr>
                        <w:b/>
                        <w:bCs/>
                        <w:i/>
                        <w:iCs/>
                        <w:sz w:val="20"/>
                      </w:rPr>
                    </w:pPr>
                    <w:r>
                      <w:rPr>
                        <w:b/>
                        <w:bCs/>
                        <w:i/>
                        <w:iCs/>
                        <w:sz w:val="20"/>
                      </w:rPr>
                      <w:t>Savivaldybės valdomų įmonių planuojami pasiekti pagrindiniai veiklos rodikliai ir jų reikšmės</w:t>
                    </w:r>
                  </w:p>
                </w:tc>
              </w:tr>
              <w:tr>
                <w:trPr>
                  <w:jc w:val="center"/>
                </w:trPr>
                <w:tc>
                  <w:tcPr>
                    <w:tcW w:w="563"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r>
                      <w:rPr>
                        <w:sz w:val="20"/>
                      </w:rPr>
                      <w:t>1.</w:t>
                    </w:r>
                  </w:p>
                </w:tc>
                <w:tc>
                  <w:tcPr>
                    <w:tcW w:w="1984"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UAB „Busturas“</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Vidutinis važiuojančių (pagal žymėjimų skaičių) keleivių skaičius per darbo dieną (miesto maršrutuose), vnt.</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34 100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34 200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34 300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įmonės pelningumas,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2,2</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2,4</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Klientų rekomendavimo naudotis teikiamomis paslaugomis reikšmė (NPS),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9</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11</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Dyzelinių autobusų rida bendroje miesto ridoje,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13,5</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12,5</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11,5</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Nutrauktų keleivių vežimo reisų dalis miesto maršrutuose nuo visų planuotų reisų,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0,1</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0,1</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0,1</w:t>
                    </w:r>
                  </w:p>
                </w:tc>
              </w:tr>
              <w:tr>
                <w:trPr>
                  <w:jc w:val="center"/>
                </w:trPr>
                <w:tc>
                  <w:tcPr>
                    <w:tcW w:w="563"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r>
                      <w:rPr>
                        <w:sz w:val="20"/>
                      </w:rPr>
                      <w:t>2.</w:t>
                    </w:r>
                  </w:p>
                </w:tc>
                <w:tc>
                  <w:tcPr>
                    <w:tcW w:w="1984"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AB „Šiaulių energija“</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 xml:space="preserve">Pietinės katilinės sistemos  technologinėms reikmėms reikalingos elektros energijos dalis, pagaminta termofikacinėje elektrinėje, proc.</w:t>
                    </w:r>
                  </w:p>
                </w:tc>
                <w:tc>
                  <w:tcPr>
                    <w:tcW w:w="1196" w:type="dxa"/>
                    <w:tcBorders>
                      <w:top w:val="nil"/>
                      <w:left w:val="nil"/>
                      <w:bottom w:val="single" w:sz="4" w:space="0" w:color="000000"/>
                      <w:right w:val="single" w:sz="4" w:space="0" w:color="000000"/>
                    </w:tcBorders>
                    <w:shd w:val="clear" w:color="auto" w:fill="auto"/>
                    <w:vAlign w:val="center"/>
                  </w:tcPr>
                  <w:p>
                    <w:pPr>
                      <w:tabs>
                        <w:tab w:val="left" w:pos="6237"/>
                        <w:tab w:val="right" w:pos="8306"/>
                      </w:tabs>
                      <w:jc w:val="center"/>
                      <w:rPr>
                        <w:sz w:val="20"/>
                      </w:rPr>
                    </w:pPr>
                    <w:r>
                      <w:rPr>
                        <w:kern w:val="2"/>
                        <w:sz w:val="20"/>
                      </w:rPr>
                      <w:t>&gt;90</w:t>
                    </w:r>
                  </w:p>
                </w:tc>
                <w:tc>
                  <w:tcPr>
                    <w:tcW w:w="1167" w:type="dxa"/>
                    <w:tcBorders>
                      <w:top w:val="nil"/>
                      <w:left w:val="nil"/>
                      <w:bottom w:val="single" w:sz="4" w:space="0" w:color="000000"/>
                      <w:right w:val="single" w:sz="4" w:space="0" w:color="000000"/>
                    </w:tcBorders>
                    <w:shd w:val="clear" w:color="auto" w:fill="auto"/>
                    <w:vAlign w:val="center"/>
                  </w:tcPr>
                  <w:p>
                    <w:pPr>
                      <w:tabs>
                        <w:tab w:val="left" w:pos="6237"/>
                        <w:tab w:val="right" w:pos="8306"/>
                      </w:tabs>
                      <w:jc w:val="center"/>
                      <w:rPr>
                        <w:sz w:val="20"/>
                      </w:rPr>
                    </w:pPr>
                    <w:r>
                      <w:rPr>
                        <w:kern w:val="2"/>
                        <w:sz w:val="20"/>
                      </w:rPr>
                      <w:t>&gt; 90</w:t>
                    </w:r>
                  </w:p>
                </w:tc>
                <w:tc>
                  <w:tcPr>
                    <w:tcW w:w="1180" w:type="dxa"/>
                    <w:tcBorders>
                      <w:top w:val="nil"/>
                      <w:left w:val="nil"/>
                      <w:bottom w:val="single" w:sz="4" w:space="0" w:color="000000"/>
                      <w:right w:val="single" w:sz="4" w:space="0" w:color="000000"/>
                    </w:tcBorders>
                    <w:shd w:val="clear" w:color="auto" w:fill="auto"/>
                    <w:vAlign w:val="center"/>
                  </w:tcPr>
                  <w:p>
                    <w:pPr>
                      <w:tabs>
                        <w:tab w:val="left" w:pos="6237"/>
                        <w:tab w:val="right" w:pos="8306"/>
                      </w:tabs>
                      <w:jc w:val="center"/>
                      <w:rPr>
                        <w:sz w:val="20"/>
                      </w:rPr>
                    </w:pPr>
                    <w:r>
                      <w:rPr>
                        <w:kern w:val="2"/>
                        <w:sz w:val="20"/>
                      </w:rPr>
                      <w:t>&gt; 90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pelningumas,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4,1</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4,1</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4,1</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Padidintas paslaugų teikimo patikimumas: rekonstruoti centralizuoto šilumos perdavimo tinklai, taip pat ir patenkantys į teritorijas, kuriose Šiaulių miesto savivaldybė numato įgyvendinti viešosios infrastruktūros sutvarkymo projektus, kmₛ</w:t>
                    </w:r>
                  </w:p>
                  <w:p>
                    <w:pPr>
                      <w:tabs>
                        <w:tab w:val="left" w:pos="6237"/>
                        <w:tab w:val="right" w:pos="8306"/>
                      </w:tabs>
                      <w:rPr>
                        <w:sz w:val="20"/>
                      </w:rPr>
                    </w:pPr>
                    <w:r>
                      <w:rPr>
                        <w:sz w:val="20"/>
                      </w:rPr>
                      <w:t>(kilometrų sąlyginiu perskaičiuotu 100 mm diametru dvivamzdės sistemos tinklų ilgiu)</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p>
                  <w:p>
                    <w:pPr>
                      <w:tabs>
                        <w:tab w:val="left" w:pos="6237"/>
                        <w:tab w:val="right" w:pos="8306"/>
                      </w:tabs>
                      <w:jc w:val="center"/>
                      <w:rPr>
                        <w:sz w:val="20"/>
                      </w:rPr>
                    </w:pPr>
                    <w:r>
                      <w:rPr>
                        <w:kern w:val="2"/>
                        <w:sz w:val="20"/>
                      </w:rPr>
                      <w:t>≥ 3,09</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p>
                  <w:p>
                    <w:pPr>
                      <w:tabs>
                        <w:tab w:val="left" w:pos="6237"/>
                        <w:tab w:val="right" w:pos="8306"/>
                      </w:tabs>
                      <w:jc w:val="center"/>
                      <w:rPr>
                        <w:sz w:val="20"/>
                      </w:rPr>
                    </w:pPr>
                    <w:r>
                      <w:rPr>
                        <w:kern w:val="2"/>
                        <w:sz w:val="20"/>
                      </w:rPr>
                      <w:t>≥ 0,72</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p>
                  <w:p>
                    <w:pPr>
                      <w:tabs>
                        <w:tab w:val="left" w:pos="6237"/>
                        <w:tab w:val="right" w:pos="8306"/>
                      </w:tabs>
                      <w:jc w:val="center"/>
                      <w:rPr>
                        <w:sz w:val="20"/>
                      </w:rPr>
                    </w:pPr>
                    <w:r>
                      <w:rPr>
                        <w:kern w:val="2"/>
                        <w:sz w:val="20"/>
                      </w:rPr>
                      <w:t>≥ 0,72</w:t>
                    </w:r>
                  </w:p>
                </w:tc>
              </w:tr>
              <w:tr>
                <w:trPr>
                  <w:jc w:val="center"/>
                </w:trPr>
                <w:tc>
                  <w:tcPr>
                    <w:tcW w:w="563" w:type="dxa"/>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 xml:space="preserve">Užtikrintas paslaugų teikimo patikimumas ir kokybė: pagal šilumos tinklų ir šilumos vartojimo įrenginių priežiūros (eksploatacijos) taisykles atlikus hidraulinius bandymus, operatyviai atstatytas  karšto vandens tiekimas, terminas, per kurį turi būti atstatytas karšto vandens tiekimas po hidraulinių bandymų, val.</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kern w:val="2"/>
                        <w:sz w:val="20"/>
                      </w:rPr>
                    </w:pPr>
                  </w:p>
                  <w:p>
                    <w:pPr>
                      <w:tabs>
                        <w:tab w:val="left" w:pos="6237"/>
                        <w:tab w:val="right" w:pos="8306"/>
                      </w:tabs>
                      <w:jc w:val="center"/>
                      <w:rPr>
                        <w:kern w:val="2"/>
                        <w:sz w:val="20"/>
                      </w:rPr>
                    </w:pPr>
                    <w:r>
                      <w:rPr>
                        <w:kern w:val="2"/>
                        <w:sz w:val="20"/>
                      </w:rPr>
                      <w:t>≤ 72</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kern w:val="2"/>
                        <w:sz w:val="20"/>
                      </w:rPr>
                    </w:pPr>
                  </w:p>
                  <w:p>
                    <w:pPr>
                      <w:tabs>
                        <w:tab w:val="left" w:pos="6237"/>
                        <w:tab w:val="right" w:pos="8306"/>
                      </w:tabs>
                      <w:jc w:val="center"/>
                      <w:rPr>
                        <w:kern w:val="2"/>
                        <w:sz w:val="20"/>
                      </w:rPr>
                    </w:pPr>
                    <w:r>
                      <w:rPr>
                        <w:kern w:val="2"/>
                        <w:sz w:val="20"/>
                      </w:rPr>
                      <w:t>≤ 72</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kern w:val="2"/>
                        <w:sz w:val="20"/>
                      </w:rPr>
                    </w:pPr>
                  </w:p>
                  <w:p>
                    <w:pPr>
                      <w:tabs>
                        <w:tab w:val="left" w:pos="6237"/>
                        <w:tab w:val="right" w:pos="8306"/>
                      </w:tabs>
                      <w:jc w:val="center"/>
                      <w:rPr>
                        <w:kern w:val="2"/>
                        <w:sz w:val="20"/>
                      </w:rPr>
                    </w:pPr>
                    <w:r>
                      <w:rPr>
                        <w:kern w:val="2"/>
                        <w:sz w:val="20"/>
                      </w:rPr>
                      <w:t>≤ 72</w:t>
                    </w:r>
                  </w:p>
                </w:tc>
              </w:tr>
              <w:tr>
                <w:trPr>
                  <w:jc w:val="center"/>
                </w:trPr>
                <w:tc>
                  <w:tcPr>
                    <w:tcW w:w="563" w:type="dxa"/>
                    <w:vMerge w:val="restart"/>
                    <w:tcBorders>
                      <w:left w:val="single" w:sz="4" w:space="0" w:color="auto"/>
                      <w:right w:val="single" w:sz="4" w:space="0" w:color="auto"/>
                    </w:tcBorders>
                  </w:tcPr>
                  <w:p>
                    <w:pPr>
                      <w:tabs>
                        <w:tab w:val="left" w:pos="6237"/>
                        <w:tab w:val="right" w:pos="8306"/>
                      </w:tabs>
                      <w:jc w:val="center"/>
                      <w:rPr>
                        <w:sz w:val="20"/>
                      </w:rPr>
                    </w:pPr>
                    <w:r>
                      <w:rPr>
                        <w:sz w:val="20"/>
                      </w:rPr>
                      <w:t>3.</w:t>
                    </w:r>
                  </w:p>
                </w:tc>
                <w:tc>
                  <w:tcPr>
                    <w:tcW w:w="1984" w:type="dxa"/>
                    <w:vMerge w:val="restart"/>
                    <w:tcBorders>
                      <w:left w:val="single" w:sz="4" w:space="0" w:color="auto"/>
                      <w:right w:val="single" w:sz="4" w:space="0" w:color="auto"/>
                    </w:tcBorders>
                  </w:tcPr>
                  <w:p>
                    <w:pPr>
                      <w:tabs>
                        <w:tab w:val="left" w:pos="6237"/>
                        <w:tab w:val="right" w:pos="8306"/>
                      </w:tabs>
                      <w:rPr>
                        <w:sz w:val="20"/>
                      </w:rPr>
                    </w:pPr>
                    <w:r>
                      <w:rPr>
                        <w:sz w:val="20"/>
                      </w:rPr>
                      <w:t>UAB „Šiaulių vandenys“</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Užtikrinti abonentams ir vartotojams tiekiamo geriamojo vandens kokybės ir surinktų nuotekų išvalymo rodikliai,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Atnaujinta (rekonstruota, suremontuota) vandens tiekimo ir buitinių bei paviršinių nuotekų infrastruktūra, km/m.</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3,1</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2,6</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2,7</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Padidintas teikiamų centralizuotų geriamojo vandens tiekimo ir nuotekų tvarkymo paslaugų prieinamumas, sudaryta galimybė namų ūkiams</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187</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222</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102</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Sumažintas iš skirstomojo tinklo įsigyjamas elektros energijos kiekis, MWh</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500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600</w:t>
                    </w:r>
                  </w:p>
                </w:tc>
              </w:tr>
              <w:tr>
                <w:trPr>
                  <w:jc w:val="center"/>
                </w:trPr>
                <w:tc>
                  <w:tcPr>
                    <w:tcW w:w="563" w:type="dxa"/>
                    <w:vMerge w:val="restart"/>
                    <w:tcBorders>
                      <w:left w:val="single" w:sz="4" w:space="0" w:color="auto"/>
                      <w:right w:val="single" w:sz="4" w:space="0" w:color="auto"/>
                    </w:tcBorders>
                  </w:tcPr>
                  <w:p>
                    <w:pPr>
                      <w:tabs>
                        <w:tab w:val="left" w:pos="6237"/>
                        <w:tab w:val="right" w:pos="8306"/>
                      </w:tabs>
                      <w:jc w:val="center"/>
                      <w:rPr>
                        <w:sz w:val="20"/>
                      </w:rPr>
                    </w:pPr>
                    <w:r>
                      <w:rPr>
                        <w:sz w:val="20"/>
                      </w:rPr>
                      <w:t>4.</w:t>
                    </w:r>
                  </w:p>
                </w:tc>
                <w:tc>
                  <w:tcPr>
                    <w:tcW w:w="1984" w:type="dxa"/>
                    <w:vMerge w:val="restart"/>
                    <w:tcBorders>
                      <w:left w:val="single" w:sz="4" w:space="0" w:color="auto"/>
                      <w:right w:val="single" w:sz="4" w:space="0" w:color="auto"/>
                    </w:tcBorders>
                  </w:tcPr>
                  <w:p>
                    <w:pPr>
                      <w:tabs>
                        <w:tab w:val="left" w:pos="6237"/>
                        <w:tab w:val="right" w:pos="8306"/>
                      </w:tabs>
                      <w:rPr>
                        <w:sz w:val="20"/>
                      </w:rPr>
                    </w:pPr>
                    <w:r>
                      <w:rPr>
                        <w:sz w:val="20"/>
                      </w:rPr>
                      <w:t>UAB „Šiaulių gatvių apšvietimas“</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Sumažintas elektros energijos vartojimas gatvių apšvietimui lyginant su 2022 m. (iki ES projekto įgyvendinimo), proc.</w:t>
                    </w:r>
                  </w:p>
                </w:tc>
                <w:tc>
                  <w:tcPr>
                    <w:tcW w:w="1196" w:type="dxa"/>
                    <w:tcBorders>
                      <w:top w:val="single" w:sz="4" w:space="0" w:color="000000"/>
                      <w:left w:val="nil"/>
                      <w:bottom w:val="single" w:sz="4" w:space="0" w:color="000000"/>
                      <w:right w:val="single" w:sz="4" w:space="0" w:color="000000"/>
                    </w:tcBorders>
                    <w:shd w:val="clear" w:color="auto" w:fill="auto"/>
                    <w:vAlign w:val="center"/>
                  </w:tcPr>
                  <w:p>
                    <w:pPr>
                      <w:tabs>
                        <w:tab w:val="left" w:pos="6237"/>
                        <w:tab w:val="right" w:pos="8306"/>
                      </w:tabs>
                      <w:jc w:val="center"/>
                      <w:rPr>
                        <w:kern w:val="2"/>
                        <w:sz w:val="20"/>
                      </w:rPr>
                    </w:pPr>
                    <w:r>
                      <w:rPr>
                        <w:kern w:val="2"/>
                        <w:sz w:val="20"/>
                      </w:rPr>
                      <w:t xml:space="preserve">&gt; 40 % </w:t>
                    </w:r>
                  </w:p>
                </w:tc>
                <w:tc>
                  <w:tcPr>
                    <w:tcW w:w="1167" w:type="dxa"/>
                    <w:tcBorders>
                      <w:top w:val="single" w:sz="4" w:space="0" w:color="000000"/>
                      <w:left w:val="nil"/>
                      <w:bottom w:val="single" w:sz="4" w:space="0" w:color="000000"/>
                      <w:right w:val="single" w:sz="4" w:space="0" w:color="000000"/>
                    </w:tcBorders>
                    <w:shd w:val="clear" w:color="auto" w:fill="auto"/>
                    <w:vAlign w:val="center"/>
                  </w:tcPr>
                  <w:p>
                    <w:pPr>
                      <w:tabs>
                        <w:tab w:val="left" w:pos="6237"/>
                        <w:tab w:val="right" w:pos="8306"/>
                      </w:tabs>
                      <w:jc w:val="center"/>
                      <w:rPr>
                        <w:kern w:val="2"/>
                        <w:sz w:val="20"/>
                      </w:rPr>
                    </w:pPr>
                    <w:r>
                      <w:rPr>
                        <w:kern w:val="2"/>
                        <w:sz w:val="20"/>
                      </w:rPr>
                      <w:t>40 %</w:t>
                    </w:r>
                  </w:p>
                </w:tc>
                <w:tc>
                  <w:tcPr>
                    <w:tcW w:w="1180" w:type="dxa"/>
                    <w:tcBorders>
                      <w:top w:val="single" w:sz="4" w:space="0" w:color="000000"/>
                      <w:left w:val="nil"/>
                      <w:bottom w:val="single" w:sz="4" w:space="0" w:color="000000"/>
                      <w:right w:val="single" w:sz="4" w:space="0" w:color="000000"/>
                    </w:tcBorders>
                    <w:shd w:val="clear" w:color="auto" w:fill="auto"/>
                    <w:vAlign w:val="center"/>
                  </w:tcPr>
                  <w:p>
                    <w:pPr>
                      <w:tabs>
                        <w:tab w:val="left" w:pos="6237"/>
                        <w:tab w:val="right" w:pos="8306"/>
                      </w:tabs>
                      <w:jc w:val="center"/>
                      <w:rPr>
                        <w:kern w:val="2"/>
                        <w:sz w:val="20"/>
                      </w:rPr>
                    </w:pPr>
                    <w:r>
                      <w:rPr>
                        <w:kern w:val="2"/>
                        <w:sz w:val="20"/>
                      </w:rPr>
                      <w:t>&gt; 40 %</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Modernizuota apšvietimo tinklo, km</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6</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6</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6</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Modernizuota šviesoforų postų, vnt.</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Padidintas vietinės rinkliavos už naudojimąsi savivaldybės tarybos nustatytomis vietomis automobiliams statyti rinkliavos surinkimas lyginant su praėjusiais metais,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3%</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1%</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1%</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Padidintas bendrovės energinis efektyvumas didinant saulės elektrinės galią, kW</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50</w:t>
                    </w:r>
                  </w:p>
                </w:tc>
              </w:tr>
              <w:tr>
                <w:trPr>
                  <w:jc w:val="center"/>
                </w:trPr>
                <w:tc>
                  <w:tcPr>
                    <w:tcW w:w="563" w:type="dxa"/>
                    <w:vMerge w:val="restart"/>
                    <w:tcBorders>
                      <w:left w:val="single" w:sz="4" w:space="0" w:color="auto"/>
                      <w:right w:val="single" w:sz="4" w:space="0" w:color="auto"/>
                    </w:tcBorders>
                  </w:tcPr>
                  <w:p>
                    <w:pPr>
                      <w:tabs>
                        <w:tab w:val="left" w:pos="6237"/>
                        <w:tab w:val="right" w:pos="8306"/>
                      </w:tabs>
                      <w:jc w:val="center"/>
                      <w:rPr>
                        <w:sz w:val="20"/>
                      </w:rPr>
                    </w:pPr>
                    <w:r>
                      <w:rPr>
                        <w:sz w:val="20"/>
                      </w:rPr>
                      <w:t>5.</w:t>
                    </w:r>
                  </w:p>
                </w:tc>
                <w:tc>
                  <w:tcPr>
                    <w:tcW w:w="1984" w:type="dxa"/>
                    <w:vMerge w:val="restart"/>
                    <w:tcBorders>
                      <w:left w:val="single" w:sz="4" w:space="0" w:color="auto"/>
                      <w:right w:val="single" w:sz="4" w:space="0" w:color="auto"/>
                    </w:tcBorders>
                  </w:tcPr>
                  <w:p>
                    <w:pPr>
                      <w:tabs>
                        <w:tab w:val="left" w:pos="6237"/>
                        <w:tab w:val="right" w:pos="8306"/>
                      </w:tabs>
                      <w:rPr>
                        <w:sz w:val="20"/>
                      </w:rPr>
                    </w:pPr>
                    <w:r>
                      <w:rPr>
                        <w:sz w:val="20"/>
                      </w:rPr>
                      <w:t>UAB Pabalių turgus</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Pardavimai tenkantys 1 darbuotojui,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9,1</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Padidėjusios pajamos lyginant su praėjusiais metais,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8</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pelningumas,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15,7</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15,7</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15,8</w:t>
                    </w:r>
                  </w:p>
                </w:tc>
              </w:tr>
              <w:tr>
                <w:trPr>
                  <w:jc w:val="center"/>
                </w:trPr>
                <w:tc>
                  <w:tcPr>
                    <w:tcW w:w="563" w:type="dxa"/>
                    <w:vMerge w:val="restart"/>
                    <w:tcBorders>
                      <w:left w:val="single" w:sz="4" w:space="0" w:color="auto"/>
                      <w:right w:val="single" w:sz="4" w:space="0" w:color="auto"/>
                    </w:tcBorders>
                  </w:tcPr>
                  <w:p>
                    <w:pPr>
                      <w:tabs>
                        <w:tab w:val="left" w:pos="6237"/>
                        <w:tab w:val="right" w:pos="8306"/>
                      </w:tabs>
                      <w:jc w:val="center"/>
                      <w:rPr>
                        <w:sz w:val="20"/>
                      </w:rPr>
                    </w:pPr>
                    <w:r>
                      <w:rPr>
                        <w:sz w:val="20"/>
                      </w:rPr>
                      <w:t>6.</w:t>
                    </w:r>
                  </w:p>
                </w:tc>
                <w:tc>
                  <w:tcPr>
                    <w:tcW w:w="1984" w:type="dxa"/>
                    <w:vMerge w:val="restart"/>
                    <w:tcBorders>
                      <w:left w:val="single" w:sz="4" w:space="0" w:color="auto"/>
                      <w:right w:val="single" w:sz="4" w:space="0" w:color="auto"/>
                    </w:tcBorders>
                  </w:tcPr>
                  <w:p>
                    <w:pPr>
                      <w:tabs>
                        <w:tab w:val="left" w:pos="6237"/>
                        <w:tab w:val="right" w:pos="8306"/>
                      </w:tabs>
                      <w:rPr>
                        <w:sz w:val="20"/>
                      </w:rPr>
                    </w:pPr>
                    <w:r>
                      <w:rPr>
                        <w:sz w:val="20"/>
                      </w:rPr>
                      <w:t>SĮ Šiaulių oro uostas</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pelningumas, proc.</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19,4</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19,5</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19,4</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Aptarnaujamų orlaivių skaičius, vnt.</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48</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50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60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Naujos technikos įsigijimas aviacinių paslaugų kokybės gerinimui, vnt.</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4</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Šiaulių oro uosto viešinimas (FB, LinkedIn/ žiniasklaidos portalai), vnt.</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90/40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90/40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90/40</w:t>
                    </w:r>
                  </w:p>
                </w:tc>
              </w:tr>
              <w:tr>
                <w:trPr>
                  <w:jc w:val="center"/>
                </w:trPr>
                <w:tc>
                  <w:tcPr>
                    <w:tcW w:w="9634" w:type="dxa"/>
                    <w:gridSpan w:val="6"/>
                    <w:tcBorders>
                      <w:top w:val="single" w:sz="4" w:space="0" w:color="auto"/>
                      <w:left w:val="single" w:sz="4" w:space="0" w:color="auto"/>
                      <w:bottom w:val="single" w:sz="4" w:space="0" w:color="auto"/>
                      <w:right w:val="single" w:sz="4" w:space="0" w:color="auto"/>
                    </w:tcBorders>
                    <w:hideMark/>
                  </w:tcPr>
                  <w:p>
                    <w:pPr>
                      <w:tabs>
                        <w:tab w:val="center" w:pos="-7800"/>
                        <w:tab w:val="left" w:pos="6237"/>
                        <w:tab w:val="right" w:pos="8306"/>
                      </w:tabs>
                      <w:jc w:val="center"/>
                      <w:rPr>
                        <w:b/>
                        <w:bCs/>
                        <w:i/>
                        <w:iCs/>
                        <w:sz w:val="20"/>
                      </w:rPr>
                    </w:pPr>
                    <w:r>
                      <w:rPr>
                        <w:b/>
                        <w:bCs/>
                        <w:i/>
                        <w:iCs/>
                        <w:sz w:val="20"/>
                      </w:rPr>
                      <w:t>Viešųjų įstaigų planuojami pasiekti pagrindiniai veiklos rodikliai ir jų reikšmės</w:t>
                    </w:r>
                  </w:p>
                </w:tc>
              </w:tr>
              <w:tr>
                <w:trPr>
                  <w:jc w:val="center"/>
                </w:trPr>
                <w:tc>
                  <w:tcPr>
                    <w:tcW w:w="563"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r>
                      <w:rPr>
                        <w:sz w:val="20"/>
                      </w:rPr>
                      <w:t>1.</w:t>
                    </w:r>
                  </w:p>
                </w:tc>
                <w:tc>
                  <w:tcPr>
                    <w:tcW w:w="1984"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Viešoji įstaiga „Futbolo akademija Šiauliai“</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Parengtų pagal futbolo plėtros programą sportininkų,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750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750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800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Miestui atstovaujančių komandų (jaunių, jaunučių ir vaikų amžius), dalyvaujančių šalies ir regiono futbolo varžybose,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22</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26</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Miestui atstovaujančių komandų (suaugusiųjų), dalyvaujančių Lietuvos futbolo federacijos A, I ir II lygos varžybose,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Sportininkų (suaugusiųjų), jaunimo ir jaunių amžius) atstovaujančių rinktinėse,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8</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8</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8</w:t>
                    </w:r>
                  </w:p>
                </w:tc>
              </w:tr>
              <w:tr>
                <w:trPr>
                  <w:jc w:val="center"/>
                </w:trPr>
                <w:tc>
                  <w:tcPr>
                    <w:tcW w:w="563"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r>
                      <w:rPr>
                        <w:sz w:val="20"/>
                      </w:rPr>
                      <w:t>2.</w:t>
                    </w:r>
                  </w:p>
                </w:tc>
                <w:tc>
                  <w:tcPr>
                    <w:tcW w:w="1984"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Viešoji įstaiga „Krepšinio akademija „Saulė“</w:t>
                    </w: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Parengtų pagal krepšinio plėtros programą sportininkų,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600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610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620</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Miestui atstovaujančių komandų, dalyvaujančių Lietuvos vaikų, jaunių ir jaunimo krepšinio varžybose,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22</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22</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22</w:t>
                    </w:r>
                  </w:p>
                </w:tc>
              </w:tr>
              <w:tr>
                <w:trPr>
                  <w:jc w:val="center"/>
                </w:trPr>
                <w:tc>
                  <w:tcPr>
                    <w:tcW w:w="563" w:type="dxa"/>
                    <w:vMerge/>
                    <w:tcBorders>
                      <w:left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Komandų, dalyvaujančių Regionų krepšinio lygos, Nacionalinės krepšinio lygos ar Moterų lygos (B diviziono) varžybose,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r>
              <w:tr>
                <w:trPr>
                  <w:jc w:val="center"/>
                </w:trPr>
                <w:tc>
                  <w:tcPr>
                    <w:tcW w:w="563"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984"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3544"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Sportininkų, dalyvaujančių įvairaus amžiaus šalies rinktinėse, sk.</w:t>
                    </w:r>
                  </w:p>
                </w:tc>
                <w:tc>
                  <w:tcPr>
                    <w:tcW w:w="1196"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10</w:t>
                    </w:r>
                  </w:p>
                </w:tc>
                <w:tc>
                  <w:tcPr>
                    <w:tcW w:w="116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10</w:t>
                    </w:r>
                  </w:p>
                </w:tc>
                <w:tc>
                  <w:tcPr>
                    <w:tcW w:w="1180"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10</w:t>
                    </w:r>
                  </w:p>
                </w:tc>
              </w:tr>
            </w:tbl>
            <w:p>
              <w:pPr>
                <w:tabs>
                  <w:tab w:val="center" w:pos="-7800"/>
                  <w:tab w:val="left" w:pos="6237"/>
                  <w:tab w:val="right" w:pos="8306"/>
                </w:tabs>
                <w:jc w:val="both"/>
                <w:rPr>
                  <w:b/>
                  <w:bCs/>
                  <w:sz w:val="20"/>
                </w:rPr>
              </w:pPr>
            </w:p>
            <w:p>
              <w:pPr>
                <w:rPr>
                  <w:kern w:val="2"/>
                  <w:szCs w:val="24"/>
                  <w:lang w:eastAsia="ar-SA"/>
                </w:rPr>
              </w:pPr>
              <w:r>
                <w:rPr>
                  <w:kern w:val="2"/>
                  <w:szCs w:val="24"/>
                  <w:lang w:eastAsia="ar-SA"/>
                </w:rPr>
                <w:t>PRIDEDAMA.</w:t>
              </w:r>
            </w:p>
            <w:sdt>
              <w:sdtPr>
                <w:alias w:val="1 p."/>
                <w:tag w:val="part_59c4f1cae71343d9bd0467baedc97f7e"/>
                <w:lock w:val="sdtLocked"/>
                <w:richText/>
              </w:sdtPr>
              <w:sdtContent>
                <w:p>
                  <w:pPr>
                    <w:jc w:val="both"/>
                    <w:rPr>
                      <w:kern w:val="2"/>
                      <w:szCs w:val="24"/>
                      <w:lang w:eastAsia="ar-SA"/>
                    </w:rPr>
                  </w:pPr>
                  <w:sdt>
                    <w:sdtPr>
                      <w:alias w:val="Numeris"/>
                      <w:tag w:val="nr_59c4f1cae71343d9bd0467baedc97f7e"/>
                      <w:lock w:val="sdtLocked"/>
                      <w:richText/>
                    </w:sdtPr>
                    <w:sdtContent>
                      <w:r>
                        <w:rPr>
                          <w:kern w:val="2"/>
                          <w:szCs w:val="24"/>
                          <w:lang w:eastAsia="ar-SA"/>
                        </w:rPr>
                        <w:t>1</w:t>
                      </w:r>
                    </w:sdtContent>
                  </w:sdt>
                  <w:r>
                    <w:rPr>
                      <w:kern w:val="2"/>
                      <w:szCs w:val="24"/>
                      <w:lang w:eastAsia="ar-SA"/>
                    </w:rPr>
                    <w:t>. Šiaulių miesto savivaldybės 2024–2026 m. strateginio veiklos plano programų aprašymai;</w:t>
                  </w:r>
                </w:p>
              </w:sdtContent>
            </w:sdt>
            <w:sdt>
              <w:sdtPr>
                <w:alias w:val="2 p."/>
                <w:tag w:val="part_fc6e201803874cbd8853f0d7173d5890"/>
                <w:lock w:val="sdtLocked"/>
                <w:richText/>
              </w:sdtPr>
              <w:sdtContent>
                <w:p>
                  <w:pPr>
                    <w:jc w:val="both"/>
                    <w:rPr>
                      <w:kern w:val="2"/>
                      <w:szCs w:val="24"/>
                      <w:lang w:eastAsia="ar-SA"/>
                    </w:rPr>
                  </w:pPr>
                  <w:sdt>
                    <w:sdtPr>
                      <w:alias w:val="Numeris"/>
                      <w:tag w:val="nr_fc6e201803874cbd8853f0d7173d5890"/>
                      <w:lock w:val="sdtLocked"/>
                      <w:richText/>
                    </w:sdtPr>
                    <w:sdtContent>
                      <w:r>
                        <w:rPr>
                          <w:kern w:val="2"/>
                          <w:szCs w:val="24"/>
                          <w:lang w:eastAsia="ar-SA"/>
                        </w:rPr>
                        <w:t>2</w:t>
                      </w:r>
                    </w:sdtContent>
                  </w:sdt>
                  <w:r>
                    <w:rPr>
                      <w:kern w:val="2"/>
                      <w:szCs w:val="24"/>
                      <w:lang w:eastAsia="ar-SA"/>
                    </w:rPr>
                    <w:t xml:space="preserve">. Šiaulių miesto savivaldybės 2024–2026 m. strateginio veiklos plano programų tikslų, uždavinių, priemonių, priemonių išlaidų ir produktų vertinimo kriterijų suvestinė. </w:t>
                  </w:r>
                </w:p>
                <w:p>
                  <w:pPr>
                    <w:jc w:val="right"/>
                    <w:rPr>
                      <w:b/>
                      <w:bCs/>
                      <w:sz w:val="20"/>
                    </w:rPr>
                  </w:pPr>
                </w:p>
                <w:p>
                  <w:pPr>
                    <w:jc w:val="both"/>
                    <w:rPr>
                      <w:sz w:val="20"/>
                      <w:lang w:val="en-GB"/>
                    </w:rPr>
                  </w:pPr>
                </w:p>
              </w:sdtContent>
            </w:sdt>
          </w:sdtContent>
        </w:sdt>
        <w:sdt>
          <w:sdtPr>
            <w:alias w:val="signatura"/>
            <w:tag w:val="part_b99f293c1ab7499faae51c7407dd4465"/>
            <w:lock w:val="sdtLocked"/>
            <w:richText/>
          </w:sdtPr>
          <w:sdtContent>
            <w:p>
              <w:pPr>
                <w:jc w:val="center"/>
                <w:rPr>
                  <w:sz w:val="20"/>
                  <w:lang w:val="en-GB"/>
                </w:rPr>
              </w:pPr>
              <w:r>
                <w:rPr>
                  <w:sz w:val="20"/>
                  <w:lang w:val="en-GB"/>
                </w:rPr>
                <w:t>_________________________________</w:t>
              </w:r>
            </w:p>
            <w:p/>
          </w:sdtContent>
        </w:sdt>
      </w:sdtContent>
    </w:sdt>
    <w:sectPr>
      <w:footerReference w:type="default" r:id="rId9"/>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1</w:t>
    </w:r>
    <w:r>
      <w:rPr>
        <w:kern w:val="2"/>
        <w:sz w:val="22"/>
        <w:szCs w:val="22"/>
      </w:rPr>
      <w:fldChar w:fldCharType="end"/>
    </w:r>
  </w:p>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7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DEB588-0373-4721-9D05-17B94D44767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chart" Target="charts/chart1.xml"/>
  <Relationship Id="rId7" Type="http://schemas.openxmlformats.org/officeDocument/2006/relationships/chart" Target="charts/chart2.xml"/>
  <Relationship Id="rId8" Type="http://schemas.openxmlformats.org/officeDocument/2006/relationships/chart" Target="charts/chart3.xml"/>
  <Relationship Id="rId9" Type="http://schemas.openxmlformats.org/officeDocument/2006/relationships/footer" Target="footer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2.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1" u="none" strike="noStrike" kern="1200" spc="0" baseline="0">
                <a:solidFill>
                  <a:sysClr val="windowText" lastClr="000000"/>
                </a:solidFill>
                <a:latin typeface="+mn-lt"/>
                <a:ea typeface="+mn-ea"/>
                <a:cs typeface="+mn-cs"/>
              </a:defRPr>
            </a:pPr>
            <a:r>
              <a:rPr lang="lt-LT" sz="1200" b="1" i="1" baseline="0">
                <a:solidFill>
                  <a:sysClr val="windowText" lastClr="000000"/>
                </a:solidFill>
                <a:latin typeface="Times New Roman" panose="02020603050405020304" pitchFamily="18" charset="0"/>
              </a:rPr>
              <a:t>01-04 programos 2024-2026 metų asignavimų ir kitų lėšų paskirstymas, tūkst.Eur</a:t>
            </a:r>
          </a:p>
        </c:rich>
      </c:tx>
      <c:layout>
        <c:manualLayout>
          <c:xMode val="edge"/>
          <c:yMode val="edge"/>
          <c:x val="0.15017094017094018"/>
          <c:y val="1.984126984126984E-2"/>
        </c:manualLayout>
      </c:layout>
      <c:overlay val="0"/>
      <c:spPr>
        <a:noFill/>
        <a:ln>
          <a:noFill/>
        </a:ln>
        <a:effectLst/>
      </c:spPr>
      <c:txPr>
        <a:bodyPr rot="0" spcFirstLastPara="1" vertOverflow="ellipsis" vert="horz" wrap="square" anchor="ctr" anchorCtr="1"/>
        <a:lstStyle/>
        <a:p>
          <a:pPr>
            <a:defRPr sz="1200" b="0" i="1"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1164459864203721"/>
          <c:y val="0.14471544715447154"/>
          <c:w val="0.79626926152303257"/>
          <c:h val="0.54962678445682089"/>
        </c:manualLayout>
      </c:layout>
      <c:barChart>
        <c:barDir val="col"/>
        <c:grouping val="clustered"/>
        <c:varyColors val="0"/>
        <c:ser>
          <c:idx val="0"/>
          <c:order val="0"/>
          <c:tx>
            <c:strRef>
              <c:f>'1 grafikas'!$B$1</c:f>
              <c:strCache>
                <c:ptCount val="1"/>
                <c:pt idx="0">
                  <c:v>2024</c:v>
                </c:pt>
              </c:strCache>
            </c:strRef>
          </c:tx>
          <c:spPr>
            <a:solidFill>
              <a:schemeClr val="accent2"/>
            </a:solidFill>
            <a:ln>
              <a:noFill/>
            </a:ln>
            <a:effectLst/>
          </c:spPr>
          <c:invertIfNegative val="0"/>
          <c:dLbls>
            <c:dLbl>
              <c:idx val="0"/>
              <c:layout>
                <c:manualLayout>
                  <c:x val="-2.2948938611589215E-2"/>
                  <c:y val="-7.475278918470454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657-4963-B8E5-AC5E18B60BE8}"/>
                </c:ext>
              </c:extLst>
            </c:dLbl>
            <c:dLbl>
              <c:idx val="1"/>
              <c:layout>
                <c:manualLayout>
                  <c:x val="-2.5243832472748178E-2"/>
                  <c:y val="-7.475278918470454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57-4963-B8E5-AC5E18B60BE8}"/>
                </c:ext>
              </c:extLst>
            </c:dLbl>
            <c:dLbl>
              <c:idx val="2"/>
              <c:layout>
                <c:manualLayout>
                  <c:x val="-2.294893861158921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657-4963-B8E5-AC5E18B60BE8}"/>
                </c:ext>
              </c:extLst>
            </c:dLbl>
            <c:dLbl>
              <c:idx val="3"/>
              <c:layout>
                <c:manualLayout>
                  <c:x val="-3.212851405622489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657-4963-B8E5-AC5E18B60B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grafikas'!$A$2:$A$5</c:f>
              <c:strCache>
                <c:ptCount val="4"/>
                <c:pt idx="0">
                  <c:v>01 Miesto urbanistinės plėtros programa</c:v>
                </c:pt>
                <c:pt idx="1">
                  <c:v>02 Kultūros plėtros programa</c:v>
                </c:pt>
                <c:pt idx="2">
                  <c:v>03 Aplinkos apsaugos programa</c:v>
                </c:pt>
                <c:pt idx="3">
                  <c:v>04 Miesto infrastruktūros objektų priežiūros, modernizavimo ir plėtros programa</c:v>
                </c:pt>
              </c:strCache>
            </c:strRef>
          </c:cat>
          <c:val>
            <c:numRef>
              <c:f>'1 grafikas'!$B$2:$B$5</c:f>
              <c:numCache>
                <c:formatCode>General</c:formatCode>
                <c:ptCount val="4"/>
                <c:pt idx="0">
                  <c:v>1594.4</c:v>
                </c:pt>
                <c:pt idx="1">
                  <c:v>8901.6</c:v>
                </c:pt>
                <c:pt idx="2">
                  <c:v>6740.3</c:v>
                </c:pt>
                <c:pt idx="3">
                  <c:v>37707.4</c:v>
                </c:pt>
              </c:numCache>
            </c:numRef>
          </c:val>
          <c:extLst>
            <c:ext xmlns:c16="http://schemas.microsoft.com/office/drawing/2014/chart" uri="{C3380CC4-5D6E-409C-BE32-E72D297353CC}">
              <c16:uniqueId val="{00000004-1657-4963-B8E5-AC5E18B60BE8}"/>
            </c:ext>
          </c:extLst>
        </c:ser>
        <c:ser>
          <c:idx val="1"/>
          <c:order val="1"/>
          <c:tx>
            <c:strRef>
              <c:f>'1 grafikas'!$C$1</c:f>
              <c:strCache>
                <c:ptCount val="1"/>
                <c:pt idx="0">
                  <c:v>2025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grafikas'!$A$2:$A$5</c:f>
              <c:strCache>
                <c:ptCount val="4"/>
                <c:pt idx="0">
                  <c:v>01 Miesto urbanistinės plėtros programa</c:v>
                </c:pt>
                <c:pt idx="1">
                  <c:v>02 Kultūros plėtros programa</c:v>
                </c:pt>
                <c:pt idx="2">
                  <c:v>03 Aplinkos apsaugos programa</c:v>
                </c:pt>
                <c:pt idx="3">
                  <c:v>04 Miesto infrastruktūros objektų priežiūros, modernizavimo ir plėtros programa</c:v>
                </c:pt>
              </c:strCache>
            </c:strRef>
          </c:cat>
          <c:val>
            <c:numRef>
              <c:f>'1 grafikas'!$C$2:$C$5</c:f>
              <c:numCache>
                <c:formatCode>General</c:formatCode>
                <c:ptCount val="4"/>
                <c:pt idx="0">
                  <c:v>978.3</c:v>
                </c:pt>
                <c:pt idx="1">
                  <c:v>8007.5</c:v>
                </c:pt>
                <c:pt idx="2">
                  <c:v>5444.7</c:v>
                </c:pt>
                <c:pt idx="3">
                  <c:v>40455</c:v>
                </c:pt>
              </c:numCache>
            </c:numRef>
          </c:val>
          <c:extLst>
            <c:ext xmlns:c16="http://schemas.microsoft.com/office/drawing/2014/chart" uri="{C3380CC4-5D6E-409C-BE32-E72D297353CC}">
              <c16:uniqueId val="{00000005-1657-4963-B8E5-AC5E18B60BE8}"/>
            </c:ext>
          </c:extLst>
        </c:ser>
        <c:ser>
          <c:idx val="2"/>
          <c:order val="2"/>
          <c:tx>
            <c:strRef>
              <c:f>'1 grafikas'!$D$1</c:f>
              <c:strCache>
                <c:ptCount val="1"/>
                <c:pt idx="0">
                  <c:v>2026</c:v>
                </c:pt>
              </c:strCache>
            </c:strRef>
          </c:tx>
          <c:spPr>
            <a:solidFill>
              <a:schemeClr val="accent6"/>
            </a:solidFill>
            <a:ln>
              <a:noFill/>
            </a:ln>
            <a:effectLst/>
          </c:spPr>
          <c:invertIfNegative val="0"/>
          <c:dLbls>
            <c:dLbl>
              <c:idx val="0"/>
              <c:layout>
                <c:manualLayout>
                  <c:x val="1.1474469305794564E-2"/>
                  <c:y val="-4.077471967380224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657-4963-B8E5-AC5E18B60BE8}"/>
                </c:ext>
              </c:extLst>
            </c:dLbl>
            <c:dLbl>
              <c:idx val="1"/>
              <c:layout>
                <c:manualLayout>
                  <c:x val="2.294893861158912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657-4963-B8E5-AC5E18B60BE8}"/>
                </c:ext>
              </c:extLst>
            </c:dLbl>
            <c:dLbl>
              <c:idx val="2"/>
              <c:layout>
                <c:manualLayout>
                  <c:x val="2.524383247274805E-2"/>
                  <c:y val="-7.475278918470454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657-4963-B8E5-AC5E18B60BE8}"/>
                </c:ext>
              </c:extLst>
            </c:dLbl>
            <c:dLbl>
              <c:idx val="3"/>
              <c:layout>
                <c:manualLayout>
                  <c:x val="1.3769363166953529E-2"/>
                  <c:y val="8.154943934760449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657-4963-B8E5-AC5E18B60B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grafikas'!$A$2:$A$5</c:f>
              <c:strCache>
                <c:ptCount val="4"/>
                <c:pt idx="0">
                  <c:v>01 Miesto urbanistinės plėtros programa</c:v>
                </c:pt>
                <c:pt idx="1">
                  <c:v>02 Kultūros plėtros programa</c:v>
                </c:pt>
                <c:pt idx="2">
                  <c:v>03 Aplinkos apsaugos programa</c:v>
                </c:pt>
                <c:pt idx="3">
                  <c:v>04 Miesto infrastruktūros objektų priežiūros, modernizavimo ir plėtros programa</c:v>
                </c:pt>
              </c:strCache>
            </c:strRef>
          </c:cat>
          <c:val>
            <c:numRef>
              <c:f>'1 grafikas'!$D$2:$D$5</c:f>
              <c:numCache>
                <c:formatCode>General</c:formatCode>
                <c:ptCount val="4"/>
                <c:pt idx="0">
                  <c:v>1049</c:v>
                </c:pt>
                <c:pt idx="1">
                  <c:v>8342.9</c:v>
                </c:pt>
                <c:pt idx="2">
                  <c:v>5456.9</c:v>
                </c:pt>
                <c:pt idx="3">
                  <c:v>44985.8</c:v>
                </c:pt>
              </c:numCache>
            </c:numRef>
          </c:val>
          <c:extLst>
            <c:ext xmlns:c16="http://schemas.microsoft.com/office/drawing/2014/chart" uri="{C3380CC4-5D6E-409C-BE32-E72D297353CC}">
              <c16:uniqueId val="{0000000A-1657-4963-B8E5-AC5E18B60BE8}"/>
            </c:ext>
          </c:extLst>
        </c:ser>
        <c:dLbls>
          <c:showLegendKey val="0"/>
          <c:showVal val="0"/>
          <c:showCatName val="0"/>
          <c:showSerName val="0"/>
          <c:showPercent val="0"/>
          <c:showBubbleSize val="0"/>
        </c:dLbls>
        <c:gapWidth val="219"/>
        <c:overlap val="-27"/>
        <c:axId val="549564720"/>
        <c:axId val="549561840"/>
      </c:barChart>
      <c:catAx>
        <c:axId val="549564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49561840"/>
        <c:crosses val="autoZero"/>
        <c:auto val="1"/>
        <c:lblAlgn val="ctr"/>
        <c:lblOffset val="100"/>
        <c:noMultiLvlLbl val="0"/>
      </c:catAx>
      <c:valAx>
        <c:axId val="549561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95647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1" u="none" strike="noStrike" kern="1200" spc="0" baseline="0">
                <a:solidFill>
                  <a:sysClr val="windowText" lastClr="000000"/>
                </a:solidFill>
                <a:latin typeface="+mn-lt"/>
                <a:ea typeface="+mn-ea"/>
                <a:cs typeface="+mn-cs"/>
              </a:defRPr>
            </a:pPr>
            <a:r>
              <a:rPr lang="lt-LT" sz="1200" b="1" i="1" baseline="0">
                <a:solidFill>
                  <a:sysClr val="windowText" lastClr="000000"/>
                </a:solidFill>
                <a:latin typeface="Times New Roman" panose="02020603050405020304" pitchFamily="18" charset="0"/>
              </a:rPr>
              <a:t>05-08 programos 2024-2026 metų asignavimų ir kitų lėšų paskirstymas, tūkst.Eur</a:t>
            </a:r>
          </a:p>
        </c:rich>
      </c:tx>
      <c:layout>
        <c:manualLayout>
          <c:xMode val="edge"/>
          <c:yMode val="edge"/>
          <c:x val="0.15017094017094018"/>
          <c:y val="1.984126984126984E-2"/>
        </c:manualLayout>
      </c:layout>
      <c:overlay val="0"/>
      <c:spPr>
        <a:noFill/>
        <a:ln>
          <a:noFill/>
        </a:ln>
        <a:effectLst/>
      </c:spPr>
      <c:txPr>
        <a:bodyPr rot="0" spcFirstLastPara="1" vertOverflow="ellipsis" vert="horz" wrap="square" anchor="ctr" anchorCtr="1"/>
        <a:lstStyle/>
        <a:p>
          <a:pPr>
            <a:defRPr sz="1200" b="0" i="1"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Lapas1!$B$1</c:f>
              <c:strCache>
                <c:ptCount val="1"/>
                <c:pt idx="0">
                  <c:v>2024</c:v>
                </c:pt>
              </c:strCache>
            </c:strRef>
          </c:tx>
          <c:spPr>
            <a:solidFill>
              <a:schemeClr val="accent2"/>
            </a:solidFill>
            <a:ln>
              <a:noFill/>
            </a:ln>
            <a:effectLst/>
          </c:spPr>
          <c:invertIfNegative val="0"/>
          <c:dLbls>
            <c:dLbl>
              <c:idx val="0"/>
              <c:layout>
                <c:manualLayout>
                  <c:x val="-1.3698630136986301E-2"/>
                  <c:y val="-7.711092133564159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68D-40D1-BA68-1F0681419A7E}"/>
                </c:ext>
              </c:extLst>
            </c:dLbl>
            <c:dLbl>
              <c:idx val="1"/>
              <c:layout>
                <c:manualLayout>
                  <c:x val="-2.511415525114155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8D-40D1-BA68-1F0681419A7E}"/>
                </c:ext>
              </c:extLst>
            </c:dLbl>
            <c:dLbl>
              <c:idx val="2"/>
              <c:layout>
                <c:manualLayout>
                  <c:x val="-2.054794520547953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8D-40D1-BA68-1F0681419A7E}"/>
                </c:ext>
              </c:extLst>
            </c:dLbl>
            <c:dLbl>
              <c:idx val="3"/>
              <c:layout>
                <c:manualLayout>
                  <c:x val="-4.1095890410958902E-2"/>
                  <c:y val="2.1030494216614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8D-40D1-BA68-1F0681419A7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05 Miesto ekonominės plėtros programa</c:v>
                </c:pt>
                <c:pt idx="1">
                  <c:v>06 Turto valdymo ir privatizavimo programa</c:v>
                </c:pt>
                <c:pt idx="2">
                  <c:v>07 Sporto plėtros programa</c:v>
                </c:pt>
                <c:pt idx="3">
                  <c:v>08 Švietimo prieinamumo ir kokybės užtikrinimo programa</c:v>
                </c:pt>
              </c:strCache>
            </c:strRef>
          </c:cat>
          <c:val>
            <c:numRef>
              <c:f>Lapas1!$B$2:$B$5</c:f>
              <c:numCache>
                <c:formatCode>General</c:formatCode>
                <c:ptCount val="4"/>
                <c:pt idx="0">
                  <c:v>3815.6</c:v>
                </c:pt>
                <c:pt idx="1">
                  <c:v>1712</c:v>
                </c:pt>
                <c:pt idx="2">
                  <c:v>18201</c:v>
                </c:pt>
                <c:pt idx="3">
                  <c:v>132986.20000000001</c:v>
                </c:pt>
              </c:numCache>
            </c:numRef>
          </c:val>
          <c:extLst>
            <c:ext xmlns:c16="http://schemas.microsoft.com/office/drawing/2014/chart" uri="{C3380CC4-5D6E-409C-BE32-E72D297353CC}">
              <c16:uniqueId val="{00000004-768D-40D1-BA68-1F0681419A7E}"/>
            </c:ext>
          </c:extLst>
        </c:ser>
        <c:ser>
          <c:idx val="1"/>
          <c:order val="1"/>
          <c:tx>
            <c:strRef>
              <c:f>Lapas1!$C$1</c:f>
              <c:strCache>
                <c:ptCount val="1"/>
                <c:pt idx="0">
                  <c:v>2025</c:v>
                </c:pt>
              </c:strCache>
            </c:strRef>
          </c:tx>
          <c:spPr>
            <a:solidFill>
              <a:schemeClr val="accent4"/>
            </a:solidFill>
            <a:ln>
              <a:noFill/>
            </a:ln>
            <a:effectLst/>
          </c:spPr>
          <c:invertIfNegative val="0"/>
          <c:dLbls>
            <c:dLbl>
              <c:idx val="3"/>
              <c:layout>
                <c:manualLayout>
                  <c:x val="-9.1324200913242004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68D-40D1-BA68-1F0681419A7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05 Miesto ekonominės plėtros programa</c:v>
                </c:pt>
                <c:pt idx="1">
                  <c:v>06 Turto valdymo ir privatizavimo programa</c:v>
                </c:pt>
                <c:pt idx="2">
                  <c:v>07 Sporto plėtros programa</c:v>
                </c:pt>
                <c:pt idx="3">
                  <c:v>08 Švietimo prieinamumo ir kokybės užtikrinimo programa</c:v>
                </c:pt>
              </c:strCache>
            </c:strRef>
          </c:cat>
          <c:val>
            <c:numRef>
              <c:f>Lapas1!$C$2:$C$5</c:f>
              <c:numCache>
                <c:formatCode>General</c:formatCode>
                <c:ptCount val="4"/>
                <c:pt idx="0">
                  <c:v>905</c:v>
                </c:pt>
                <c:pt idx="1">
                  <c:v>1597.1</c:v>
                </c:pt>
                <c:pt idx="2">
                  <c:v>22644.3</c:v>
                </c:pt>
                <c:pt idx="3">
                  <c:v>143538.20000000001</c:v>
                </c:pt>
              </c:numCache>
            </c:numRef>
          </c:val>
          <c:extLst>
            <c:ext xmlns:c16="http://schemas.microsoft.com/office/drawing/2014/chart" uri="{C3380CC4-5D6E-409C-BE32-E72D297353CC}">
              <c16:uniqueId val="{00000006-768D-40D1-BA68-1F0681419A7E}"/>
            </c:ext>
          </c:extLst>
        </c:ser>
        <c:ser>
          <c:idx val="2"/>
          <c:order val="2"/>
          <c:tx>
            <c:strRef>
              <c:f>Lapas1!$D$1</c:f>
              <c:strCache>
                <c:ptCount val="1"/>
                <c:pt idx="0">
                  <c:v>2026</c:v>
                </c:pt>
              </c:strCache>
            </c:strRef>
          </c:tx>
          <c:spPr>
            <a:solidFill>
              <a:schemeClr val="accent6"/>
            </a:solidFill>
            <a:ln>
              <a:noFill/>
            </a:ln>
            <a:effectLst/>
          </c:spPr>
          <c:invertIfNegative val="0"/>
          <c:dLbls>
            <c:dLbl>
              <c:idx val="0"/>
              <c:layout>
                <c:manualLayout>
                  <c:x val="9.1324200913241588E-3"/>
                  <c:y val="-1.5422184267128318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68D-40D1-BA68-1F0681419A7E}"/>
                </c:ext>
              </c:extLst>
            </c:dLbl>
            <c:dLbl>
              <c:idx val="1"/>
              <c:layout>
                <c:manualLayout>
                  <c:x val="1.8264840182648318E-2"/>
                  <c:y val="1.261829652996845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68D-40D1-BA68-1F0681419A7E}"/>
                </c:ext>
              </c:extLst>
            </c:dLbl>
            <c:dLbl>
              <c:idx val="2"/>
              <c:layout>
                <c:manualLayout>
                  <c:x val="2.7397260273972601E-2"/>
                  <c:y val="-1.5422184267128318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68D-40D1-BA68-1F0681419A7E}"/>
                </c:ext>
              </c:extLst>
            </c:dLbl>
            <c:dLbl>
              <c:idx val="3"/>
              <c:layout>
                <c:manualLayout>
                  <c:x val="2.2831050228310501E-2"/>
                  <c:y val="4.206098843322779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68D-40D1-BA68-1F0681419A7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05 Miesto ekonominės plėtros programa</c:v>
                </c:pt>
                <c:pt idx="1">
                  <c:v>06 Turto valdymo ir privatizavimo programa</c:v>
                </c:pt>
                <c:pt idx="2">
                  <c:v>07 Sporto plėtros programa</c:v>
                </c:pt>
                <c:pt idx="3">
                  <c:v>08 Švietimo prieinamumo ir kokybės užtikrinimo programa</c:v>
                </c:pt>
              </c:strCache>
            </c:strRef>
          </c:cat>
          <c:val>
            <c:numRef>
              <c:f>Lapas1!$D$2:$D$5</c:f>
              <c:numCache>
                <c:formatCode>General</c:formatCode>
                <c:ptCount val="4"/>
                <c:pt idx="0">
                  <c:v>2577</c:v>
                </c:pt>
                <c:pt idx="1">
                  <c:v>1600.6</c:v>
                </c:pt>
                <c:pt idx="2">
                  <c:v>19812.5</c:v>
                </c:pt>
                <c:pt idx="3">
                  <c:v>138049</c:v>
                </c:pt>
              </c:numCache>
            </c:numRef>
          </c:val>
          <c:extLst>
            <c:ext xmlns:c16="http://schemas.microsoft.com/office/drawing/2014/chart" uri="{C3380CC4-5D6E-409C-BE32-E72D297353CC}">
              <c16:uniqueId val="{0000000B-768D-40D1-BA68-1F0681419A7E}"/>
            </c:ext>
          </c:extLst>
        </c:ser>
        <c:dLbls>
          <c:showLegendKey val="0"/>
          <c:showVal val="0"/>
          <c:showCatName val="0"/>
          <c:showSerName val="0"/>
          <c:showPercent val="0"/>
          <c:showBubbleSize val="0"/>
        </c:dLbls>
        <c:gapWidth val="219"/>
        <c:overlap val="-27"/>
        <c:axId val="549564720"/>
        <c:axId val="549561840"/>
      </c:barChart>
      <c:catAx>
        <c:axId val="549564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49561840"/>
        <c:crosses val="autoZero"/>
        <c:auto val="1"/>
        <c:lblAlgn val="ctr"/>
        <c:lblOffset val="100"/>
        <c:noMultiLvlLbl val="0"/>
      </c:catAx>
      <c:valAx>
        <c:axId val="549561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95647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1" u="none" strike="noStrike" kern="1200" spc="0" baseline="0">
                <a:solidFill>
                  <a:sysClr val="windowText" lastClr="000000"/>
                </a:solidFill>
                <a:latin typeface="+mn-lt"/>
                <a:ea typeface="+mn-ea"/>
                <a:cs typeface="+mn-cs"/>
              </a:defRPr>
            </a:pPr>
            <a:r>
              <a:rPr lang="lt-LT" sz="1200" b="1" i="1" baseline="0">
                <a:solidFill>
                  <a:sysClr val="windowText" lastClr="000000"/>
                </a:solidFill>
                <a:latin typeface="Times New Roman" panose="02020603050405020304" pitchFamily="18" charset="0"/>
              </a:rPr>
              <a:t>09-11 programos 2024-2026 metų asignavimų ir kitų lėšų paskirstymas, tūkst.Eur</a:t>
            </a:r>
          </a:p>
        </c:rich>
      </c:tx>
      <c:layout>
        <c:manualLayout>
          <c:xMode val="edge"/>
          <c:yMode val="edge"/>
          <c:x val="0.16916663194878415"/>
          <c:y val="2.2392406428648477E-3"/>
        </c:manualLayout>
      </c:layout>
      <c:overlay val="0"/>
      <c:spPr>
        <a:noFill/>
        <a:ln>
          <a:noFill/>
        </a:ln>
        <a:effectLst/>
      </c:spPr>
      <c:txPr>
        <a:bodyPr rot="0" spcFirstLastPara="1" vertOverflow="ellipsis" vert="horz" wrap="square" anchor="ctr" anchorCtr="1"/>
        <a:lstStyle/>
        <a:p>
          <a:pPr>
            <a:defRPr sz="1200" b="0" i="1"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2202584549542772"/>
          <c:y val="0.14767556494462583"/>
          <c:w val="0.64836155220857128"/>
          <c:h val="0.7285542731816057"/>
        </c:manualLayout>
      </c:layout>
      <c:barChart>
        <c:barDir val="col"/>
        <c:grouping val="clustered"/>
        <c:varyColors val="0"/>
        <c:ser>
          <c:idx val="0"/>
          <c:order val="0"/>
          <c:tx>
            <c:strRef>
              <c:f>Lapas1!$B$1</c:f>
              <c:strCache>
                <c:ptCount val="1"/>
                <c:pt idx="0">
                  <c:v>2024</c:v>
                </c:pt>
              </c:strCache>
            </c:strRef>
          </c:tx>
          <c:spPr>
            <a:solidFill>
              <a:schemeClr val="accent2"/>
            </a:solidFill>
            <a:ln>
              <a:noFill/>
            </a:ln>
            <a:effectLst/>
          </c:spPr>
          <c:invertIfNegative val="0"/>
          <c:dLbls>
            <c:dLbl>
              <c:idx val="0"/>
              <c:layout>
                <c:manualLayout>
                  <c:x val="-9.894867037724203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03E-444C-B478-FEFE3BA7E2B0}"/>
                </c:ext>
              </c:extLst>
            </c:dLbl>
            <c:dLbl>
              <c:idx val="1"/>
              <c:layout>
                <c:manualLayout>
                  <c:x val="-4.4067661889267036E-2"/>
                  <c:y val="1.82648243349746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03E-444C-B478-FEFE3BA7E2B0}"/>
                </c:ext>
              </c:extLst>
            </c:dLbl>
            <c:dLbl>
              <c:idx val="2"/>
              <c:layout>
                <c:manualLayout>
                  <c:x val="-3.9579468150896815E-2"/>
                  <c:y val="1.32013201320132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03E-444C-B478-FEFE3BA7E2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09 Bendruomenės sveikatinimo programa</c:v>
                </c:pt>
                <c:pt idx="1">
                  <c:v>10 Socialinės paramos įgyvendinimo programa</c:v>
                </c:pt>
                <c:pt idx="2">
                  <c:v>11 Savivaldybės veiklos programa</c:v>
                </c:pt>
              </c:strCache>
            </c:strRef>
          </c:cat>
          <c:val>
            <c:numRef>
              <c:f>Lapas1!$B$2:$B$4</c:f>
              <c:numCache>
                <c:formatCode>General</c:formatCode>
                <c:ptCount val="3"/>
                <c:pt idx="0">
                  <c:v>6819.8</c:v>
                </c:pt>
                <c:pt idx="1">
                  <c:v>70833.899999999994</c:v>
                </c:pt>
                <c:pt idx="2">
                  <c:v>28494.7</c:v>
                </c:pt>
              </c:numCache>
            </c:numRef>
          </c:val>
          <c:extLst>
            <c:ext xmlns:c16="http://schemas.microsoft.com/office/drawing/2014/chart" uri="{C3380CC4-5D6E-409C-BE32-E72D297353CC}">
              <c16:uniqueId val="{00000002-703E-444C-B478-FEFE3BA7E2B0}"/>
            </c:ext>
          </c:extLst>
        </c:ser>
        <c:ser>
          <c:idx val="1"/>
          <c:order val="1"/>
          <c:tx>
            <c:strRef>
              <c:f>Lapas1!$C$1</c:f>
              <c:strCache>
                <c:ptCount val="1"/>
                <c:pt idx="0">
                  <c:v>2025</c:v>
                </c:pt>
              </c:strCache>
            </c:strRef>
          </c:tx>
          <c:spPr>
            <a:solidFill>
              <a:schemeClr val="accent4"/>
            </a:solidFill>
            <a:ln>
              <a:noFill/>
            </a:ln>
            <a:effectLst/>
          </c:spPr>
          <c:invertIfNegative val="0"/>
          <c:dLbls>
            <c:dLbl>
              <c:idx val="0"/>
              <c:layout>
                <c:manualLayout>
                  <c:x val="4.9474335188620672E-3"/>
                  <c:y val="8.800880088008881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03E-444C-B478-FEFE3BA7E2B0}"/>
                </c:ext>
              </c:extLst>
            </c:dLbl>
            <c:dLbl>
              <c:idx val="1"/>
              <c:layout>
                <c:manualLayout>
                  <c:x val="-1.1757789535567357E-2"/>
                  <c:y val="1.09589041095890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03E-444C-B478-FEFE3BA7E2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09 Bendruomenės sveikatinimo programa</c:v>
                </c:pt>
                <c:pt idx="1">
                  <c:v>10 Socialinės paramos įgyvendinimo programa</c:v>
                </c:pt>
                <c:pt idx="2">
                  <c:v>11 Savivaldybės veiklos programa</c:v>
                </c:pt>
              </c:strCache>
            </c:strRef>
          </c:cat>
          <c:val>
            <c:numRef>
              <c:f>Lapas1!$C$2:$C$4</c:f>
              <c:numCache>
                <c:formatCode>General</c:formatCode>
                <c:ptCount val="3"/>
                <c:pt idx="0">
                  <c:v>4075.7</c:v>
                </c:pt>
                <c:pt idx="1">
                  <c:v>71560.7</c:v>
                </c:pt>
                <c:pt idx="2">
                  <c:v>28224.7</c:v>
                </c:pt>
              </c:numCache>
            </c:numRef>
          </c:val>
          <c:extLst>
            <c:ext xmlns:c16="http://schemas.microsoft.com/office/drawing/2014/chart" uri="{C3380CC4-5D6E-409C-BE32-E72D297353CC}">
              <c16:uniqueId val="{00000004-703E-444C-B478-FEFE3BA7E2B0}"/>
            </c:ext>
          </c:extLst>
        </c:ser>
        <c:ser>
          <c:idx val="2"/>
          <c:order val="2"/>
          <c:tx>
            <c:strRef>
              <c:f>Lapas1!$D$1</c:f>
              <c:strCache>
                <c:ptCount val="1"/>
                <c:pt idx="0">
                  <c:v>2026</c:v>
                </c:pt>
              </c:strCache>
            </c:strRef>
          </c:tx>
          <c:spPr>
            <a:solidFill>
              <a:schemeClr val="accent6"/>
            </a:solidFill>
            <a:ln>
              <a:noFill/>
            </a:ln>
            <a:effectLst/>
          </c:spPr>
          <c:invertIfNegative val="0"/>
          <c:dLbls>
            <c:dLbl>
              <c:idx val="0"/>
              <c:layout>
                <c:manualLayout>
                  <c:x val="2.968460111317254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03E-444C-B478-FEFE3BA7E2B0}"/>
                </c:ext>
              </c:extLst>
            </c:dLbl>
            <c:dLbl>
              <c:idx val="1"/>
              <c:layout>
                <c:manualLayout>
                  <c:x val="2.5867136978248089E-2"/>
                  <c:y val="2.19178082191780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03E-444C-B478-FEFE3BA7E2B0}"/>
                </c:ext>
              </c:extLst>
            </c:dLbl>
            <c:dLbl>
              <c:idx val="2"/>
              <c:layout>
                <c:manualLayout>
                  <c:x val="3.463203463203463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03E-444C-B478-FEFE3BA7E2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09 Bendruomenės sveikatinimo programa</c:v>
                </c:pt>
                <c:pt idx="1">
                  <c:v>10 Socialinės paramos įgyvendinimo programa</c:v>
                </c:pt>
                <c:pt idx="2">
                  <c:v>11 Savivaldybės veiklos programa</c:v>
                </c:pt>
              </c:strCache>
            </c:strRef>
          </c:cat>
          <c:val>
            <c:numRef>
              <c:f>Lapas1!$D$2:$D$4</c:f>
              <c:numCache>
                <c:formatCode>General</c:formatCode>
                <c:ptCount val="3"/>
                <c:pt idx="0">
                  <c:v>4213.3</c:v>
                </c:pt>
                <c:pt idx="1">
                  <c:v>72118.899999999994</c:v>
                </c:pt>
                <c:pt idx="2">
                  <c:v>30592.799999999999</c:v>
                </c:pt>
              </c:numCache>
            </c:numRef>
          </c:val>
          <c:extLst>
            <c:ext xmlns:c16="http://schemas.microsoft.com/office/drawing/2014/chart" uri="{C3380CC4-5D6E-409C-BE32-E72D297353CC}">
              <c16:uniqueId val="{00000007-703E-444C-B478-FEFE3BA7E2B0}"/>
            </c:ext>
          </c:extLst>
        </c:ser>
        <c:dLbls>
          <c:showLegendKey val="0"/>
          <c:showVal val="0"/>
          <c:showCatName val="0"/>
          <c:showSerName val="0"/>
          <c:showPercent val="0"/>
          <c:showBubbleSize val="0"/>
        </c:dLbls>
        <c:gapWidth val="219"/>
        <c:overlap val="-27"/>
        <c:axId val="549564720"/>
        <c:axId val="549561840"/>
      </c:barChart>
      <c:catAx>
        <c:axId val="549564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49561840"/>
        <c:crosses val="autoZero"/>
        <c:auto val="1"/>
        <c:lblAlgn val="ctr"/>
        <c:lblOffset val="100"/>
        <c:noMultiLvlLbl val="0"/>
      </c:catAx>
      <c:valAx>
        <c:axId val="549561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95647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507871fccd4d009080955f42d2b7cd" PartId="ba1b19ad307e416ba66ce384c84ffbda">
    <Part Type="skyrius" Nr="1" Title="SAVIVALDYBĖS MISIJA IR VEIKLOS PRIORITETAI" DocPartId="a1be86084b48440cadd9dab971accbac" PartId="e3ffb517bf254f8f99c73c0b9cbb89fe"/>
    <Part Type="skyrius" Nr="2" Title="SAVIVALDYBĖS PLĖTROS TIKSLAI, UŽDAVINIAI IR JŲ STEBĖSENOS RODIKLIAI" DocPartId="257fcc0f68474eda832d3b42063adf87" PartId="0fe88c4bf6a94ade9eba557c802c6879">
      <Part Type="punktas" Nr="1" Abbr="1 p." DocPartId="00a9c3065a5643cb8afac66d9cc0954f" PartId="9cc8807da0e642afb4406ef6805556dc"/>
      <Part Type="punktas" Nr="2" Abbr="2 p." DocPartId="53a49c3428b24083ba04c14d3abbcb53" PartId="7a07528081e5426791b60b9aedc21e50"/>
      <Part Type="punktas" Nr="3" Abbr="3 p." DocPartId="1ff44314e04d4cd5b8f477d574fb46b9" PartId="20d83ef2f21c4adf822a6d1a795febf5"/>
    </Part>
    <Part Type="skyrius" Nr="3" Title="PLANUOJAMI PASIEKTI REZULTATAI" DocPartId="4ea74d46eaca436b83183fc9e2fceaa1" PartId="185a16e209834ff9960b66acde24eedf"/>
    <Part Type="skyrius" Nr="4" Title="PROGRAMOS" DocPartId="218357a14b6943c18b935821de56e088" PartId="a8154319941a4382aa2a0bf4089d73eb"/>
    <Part Type="skyrius" Nr="5" Title="SAVIVALDYBĖS VALDOMŲ ĮMONIŲ IR VIEŠŲJŲ ĮSTAIGŲ PLANUOJAMOS PASIEKTI PAGRINDINIŲ VEIKLOS RODIKLIŲ REIKŠMĖS" DocPartId="db43f1e6413a421abe7593b94a309377" PartId="398a5c46d72045e7a4760a0704a50ca0">
      <Part Type="punktas" Nr="1" Abbr="1 p." DocPartId="a49cb42a62c64459af2eae80056d0077" PartId="59c4f1cae71343d9bd0467baedc97f7e"/>
      <Part Type="punktas" Nr="2" Abbr="2 p." DocPartId="58d1a303f83a470da8e4707578d93dab" PartId="fc6e201803874cbd8853f0d7173d5890"/>
    </Part>
    <Part Type="signatura" DocPartId="96c8b7896f50469eb7d95a907c71a9e2" PartId="b99f293c1ab7499faae51c7407dd4465"/>
  </Part>
</Parts>
</file>

<file path=customXml/itemProps1.xml><?xml version="1.0" encoding="utf-8"?>
<ds:datastoreItem xmlns:ds="http://schemas.openxmlformats.org/officeDocument/2006/customXml" ds:itemID="{92492D09-5C0D-460E-8118-BDD3D8FD73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12777</Words>
  <Characters>82034</Characters>
  <Application>Microsoft Office Word</Application>
  <DocSecurity>4</DocSecurity>
  <Lines>4825</Lines>
  <Paragraphs>3058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91753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2024-01-18T08:31:00Z</dcterms:created>
  <dc:creator>Kristina Kečedži</dc:creator>
  <lastModifiedBy>adlibuser</lastModifiedBy>
  <lastPrinted>2023-11-28T09:19:00Z</lastPrinted>
  <dcterms:modified xsi:type="dcterms:W3CDTF">2024-01-18T08:31:00Z</dcterms:modified>
  <revision>2</revision>
</coreProperties>
</file>