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964b0584ac9435d8dd5b543fd76e52b"/>
        <w:lock w:val="sdtLocked"/>
        <w:richText/>
      </w:sdtPr>
      <w:sdtContent>
        <w:p>
          <w:pPr>
            <w:tabs>
              <w:tab w:val="center" w:pos="4153"/>
              <w:tab w:val="right" w:pos="8306"/>
            </w:tabs>
            <w:spacing w:line="276" w:lineRule="auto"/>
            <w:rPr>
              <w:sz w:val="22"/>
              <w:szCs w:val="22"/>
            </w:rPr>
          </w:pPr>
        </w:p>
        <w:p>
          <w:pPr>
            <w:rPr>
              <w:sz w:val="18"/>
              <w:szCs w:val="18"/>
            </w:rPr>
          </w:pPr>
        </w:p>
        <w:p>
          <w:pPr>
            <w:ind w:left="7088"/>
            <w:jc w:val="both"/>
            <w:rPr>
              <w:b/>
              <w:szCs w:val="24"/>
              <w:lang w:eastAsia="lt-LT"/>
            </w:rPr>
          </w:pPr>
          <w:r>
            <w:rPr>
              <w:b/>
              <w:caps/>
              <w:szCs w:val="24"/>
              <w:lang w:eastAsia="lt-LT"/>
            </w:rPr>
            <w:t>P</w:t>
          </w:r>
          <w:r>
            <w:rPr>
              <w:b/>
              <w:szCs w:val="24"/>
              <w:lang w:eastAsia="lt-LT"/>
            </w:rPr>
            <w:t>rojekto</w:t>
          </w:r>
        </w:p>
        <w:p>
          <w:pPr>
            <w:ind w:left="7088"/>
            <w:jc w:val="both"/>
            <w:rPr>
              <w:b/>
              <w:szCs w:val="24"/>
              <w:lang w:eastAsia="lt-LT"/>
            </w:rPr>
          </w:pPr>
          <w:r>
            <w:rPr>
              <w:b/>
              <w:szCs w:val="24"/>
              <w:lang w:eastAsia="lt-LT"/>
            </w:rPr>
            <w:t>lyginamasis variantas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LIETUVOS RESPUBLIKOS VYRIAUSYBĖ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jc w:val="center"/>
            <w:rPr>
              <w:b/>
              <w:bCs/>
              <w:caps/>
              <w:color w:val="000000"/>
              <w:szCs w:val="24"/>
              <w:lang w:eastAsia="lt-LT"/>
            </w:rPr>
          </w:pPr>
          <w:r>
            <w:rPr>
              <w:b/>
              <w:bCs/>
              <w:caps/>
              <w:color w:val="000000"/>
              <w:szCs w:val="24"/>
              <w:lang w:eastAsia="lt-LT"/>
            </w:rPr>
            <w:t>NUTARIMAS</w:t>
          </w:r>
        </w:p>
        <w:p>
          <w:pPr>
            <w:jc w:val="center"/>
            <w:rPr>
              <w:b/>
              <w:lang w:eastAsia="lt-LT"/>
            </w:rPr>
          </w:pPr>
          <w:r>
            <w:rPr>
              <w:b/>
              <w:szCs w:val="24"/>
              <w:lang w:eastAsia="lt-LT"/>
            </w:rPr>
            <w:t xml:space="preserve">DĖL LIETUVOS RESPUBLIKOS VYRIAUSYBĖS 2004 M. BALANDŽIO 16 D. NUTARIMO </w:t>
          </w:r>
          <w:r>
            <w:rPr>
              <w:b/>
              <w:iCs/>
              <w:szCs w:val="24"/>
              <w:lang w:eastAsia="lt-LT"/>
            </w:rPr>
            <w:t>NR.</w:t>
          </w:r>
          <w:r>
            <w:rPr>
              <w:b/>
              <w:szCs w:val="24"/>
              <w:lang w:eastAsia="lt-LT"/>
            </w:rPr>
            <w:t xml:space="preserve"> 438 „</w:t>
          </w:r>
          <w:r>
            <w:rPr>
              <w:b/>
              <w:bCs/>
              <w:szCs w:val="24"/>
              <w:lang w:eastAsia="lt-LT"/>
            </w:rPr>
            <w:t>DĖL IMPORTUOJAMŲ PREKIŲ NEAPMOKESTINIMO IMPORTO PRIDĖTINĖS VERTĖS MOKESČIU</w:t>
          </w:r>
          <w:r>
            <w:rPr>
              <w:b/>
              <w:szCs w:val="24"/>
              <w:lang w:eastAsia="lt-LT"/>
            </w:rPr>
            <w:t>“ PAKEITIMO</w:t>
          </w:r>
        </w:p>
        <w:p>
          <w:pPr>
            <w:rPr>
              <w:b/>
              <w:caps/>
              <w:szCs w:val="24"/>
            </w:rPr>
          </w:pPr>
        </w:p>
        <w:p>
          <w:pPr>
            <w:jc w:val="center"/>
            <w:rPr>
              <w:szCs w:val="24"/>
            </w:rPr>
          </w:pPr>
          <w:r>
            <w:rPr>
              <w:szCs w:val="24"/>
            </w:rPr>
            <w:t>2022 m.          d. Nr.      </w:t>
          </w:r>
        </w:p>
        <w:p>
          <w:pPr>
            <w:jc w:val="center"/>
            <w:rPr>
              <w:szCs w:val="24"/>
            </w:rPr>
          </w:pPr>
          <w:r>
            <w:rPr>
              <w:szCs w:val="24"/>
            </w:rPr>
            <w:t>Vilnius</w:t>
          </w:r>
        </w:p>
        <w:p>
          <w:pPr>
            <w:spacing w:line="240" w:lineRule="atLeast"/>
            <w:jc w:val="center"/>
            <w:rPr>
              <w:color w:val="000000"/>
            </w:rPr>
          </w:pPr>
        </w:p>
        <w:sdt>
          <w:sdtPr>
            <w:alias w:val="preambule"/>
            <w:tag w:val="part_216e67ae27504748aa8dc420b328a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Lietuvos Respublikos Vyriausybė n u t a r i a:</w:t>
              </w:r>
            </w:p>
          </w:sdtContent>
        </w:sdt>
        <w:sdt>
          <w:sdtPr>
            <w:alias w:val="pastraipa"/>
            <w:tag w:val="part_aa3a6b79fdf14393b05307c20ef0cbac"/>
            <w:lock w:val="sdtLocked"/>
            <w:richText/>
          </w:sdtPr>
          <w:sdtContent>
            <w:p>
              <w:pPr>
                <w:spacing w:line="360" w:lineRule="atLeast"/>
                <w:ind w:firstLine="720"/>
                <w:jc w:val="both"/>
                <w:rPr>
                  <w:szCs w:val="24"/>
                  <w:lang w:eastAsia="lt-LT"/>
                </w:rPr>
              </w:pPr>
              <w:r>
                <w:rPr>
                  <w:szCs w:val="24"/>
                  <w:lang w:eastAsia="lt-LT"/>
                </w:rPr>
                <w:t>Pakeisti Lietuvos Respublikos Vyriausybės 2004 m. balandžio 16 d. nutarimą Nr. 438 „Dėl Importuojamų prekių neapmokestinimo importo pridėtinės vertės mokesčiu“:</w:t>
              </w:r>
            </w:p>
          </w:sdtContent>
        </w:sdt>
        <w:sdt>
          <w:sdtPr>
            <w:alias w:val="1 p."/>
            <w:tag w:val="part_1f88c27b42e647908949419e19d82b2f"/>
            <w:lock w:val="sdtLocked"/>
            <w:richText/>
          </w:sdtPr>
          <w:sdtContent>
            <w:p>
              <w:pPr>
                <w:spacing w:line="360" w:lineRule="atLeast"/>
                <w:ind w:firstLine="720"/>
                <w:jc w:val="both"/>
                <w:rPr>
                  <w:szCs w:val="24"/>
                  <w:lang w:eastAsia="lt-LT"/>
                </w:rPr>
              </w:pPr>
              <w:sdt>
                <w:sdtPr>
                  <w:alias w:val="Numeris"/>
                  <w:tag w:val="nr_1f88c27b42e647908949419e19d82b2f"/>
                  <w:lock w:val="sdtLocked"/>
                  <w:richText/>
                </w:sdtPr>
                <w:sdtContent>
                  <w:r>
                    <w:rPr>
                      <w:szCs w:val="24"/>
                      <w:lang w:eastAsia="lt-LT"/>
                    </w:rPr>
                    <w:t>1</w:t>
                  </w:r>
                </w:sdtContent>
              </w:sdt>
              <w:r>
                <w:rPr>
                  <w:szCs w:val="24"/>
                  <w:lang w:eastAsia="lt-LT"/>
                </w:rPr>
                <w:t>. Pakeisti nurodytą nutarimą ir jį išdėstyti nauja redakcija (Importuojamų prekių neapmokestinimo importo pridėtinės vertės mokesčiu taisyklės nauja redakcija nedėstomos):</w:t>
              </w:r>
            </w:p>
            <w:sdt>
              <w:sdtPr>
                <w:alias w:val="citata"/>
                <w:tag w:val="part_ad27aec3a62a422484e654a4a761e451"/>
                <w:lock w:val="sdtLocked"/>
                <w:richText/>
              </w:sdtPr>
              <w:sdtContent>
                <w:sdt>
                  <w:sdtPr>
                    <w:alias w:val="pagrindine"/>
                    <w:tag w:val="part_8b5033ba1a604acf8f5e3e398400f634"/>
                    <w:lock w:val="sdtLocked"/>
                    <w:richText/>
                  </w:sdtPr>
                  <w:sdtContent>
                    <w:p>
                      <w:pPr>
                        <w:spacing w:line="360" w:lineRule="atLeast"/>
                        <w:jc w:val="center"/>
                        <w:rPr>
                          <w:szCs w:val="24"/>
                          <w:lang w:eastAsia="lt-LT"/>
                        </w:rPr>
                      </w:pPr>
                      <w:r>
                        <w:rPr>
                          <w:szCs w:val="24"/>
                          <w:lang w:eastAsia="lt-LT"/>
                        </w:rPr>
                        <w:t>„LIETUVOS RESPUBLIKOS VYRIAUSYBĖ</w:t>
                      </w:r>
                    </w:p>
                    <w:p>
                      <w:pPr>
                        <w:jc w:val="center"/>
                        <w:rPr>
                          <w:szCs w:val="24"/>
                          <w:lang w:eastAsia="lt-LT"/>
                        </w:rPr>
                      </w:pPr>
                    </w:p>
                    <w:p>
                      <w:pPr>
                        <w:jc w:val="center"/>
                        <w:rPr>
                          <w:szCs w:val="24"/>
                          <w:lang w:eastAsia="lt-LT"/>
                        </w:rPr>
                      </w:pPr>
                      <w:r>
                        <w:rPr>
                          <w:szCs w:val="24"/>
                          <w:lang w:eastAsia="lt-LT"/>
                        </w:rPr>
                        <w:t>NUTARIMAS</w:t>
                      </w:r>
                    </w:p>
                    <w:p>
                      <w:pPr>
                        <w:jc w:val="center"/>
                        <w:rPr>
                          <w:szCs w:val="24"/>
                          <w:lang w:eastAsia="lt-LT"/>
                        </w:rPr>
                      </w:pPr>
                      <w:r>
                        <w:rPr>
                          <w:szCs w:val="24"/>
                          <w:lang w:eastAsia="lt-LT"/>
                        </w:rPr>
                        <w:t xml:space="preserve">DĖL IMPORTUOJAMŲ PREKIŲ NEAPMOKESTINIMO IMPORTO PRIDĖTINĖS VERTĖS MOKESČIU </w:t>
                      </w:r>
                      <w:r>
                        <w:rPr>
                          <w:b/>
                          <w:szCs w:val="24"/>
                          <w:lang w:eastAsia="lt-LT"/>
                        </w:rPr>
                        <w:t>TAISYKLIŲ PATVIRTINIMO</w:t>
                      </w:r>
                    </w:p>
                    <w:p>
                      <w:pPr>
                        <w:ind w:firstLine="720"/>
                        <w:jc w:val="center"/>
                        <w:rPr>
                          <w:bCs/>
                          <w:color w:val="000000"/>
                          <w:szCs w:val="24"/>
                          <w:lang w:eastAsia="lt-LT"/>
                        </w:rPr>
                      </w:pPr>
                    </w:p>
                    <w:sdt>
                      <w:sdtPr>
                        <w:alias w:val="preambule"/>
                        <w:tag w:val="part_d6351a584fc1458fab409ed8acf5017e"/>
                        <w:lock w:val="sdtLocked"/>
                        <w:richText/>
                      </w:sdtPr>
                      <w:sdtContent>
                        <w:p>
                          <w:pPr>
                            <w:spacing w:line="360" w:lineRule="atLeast"/>
                            <w:ind w:firstLine="720"/>
                            <w:jc w:val="both"/>
                            <w:textAlignment w:val="baseline"/>
                            <w:rPr>
                              <w:color w:val="000000"/>
                              <w:szCs w:val="24"/>
                              <w:lang w:eastAsia="lt-LT"/>
                            </w:rPr>
                          </w:pPr>
                          <w:r>
                            <w:rPr>
                              <w:color w:val="000000"/>
                              <w:szCs w:val="24"/>
                              <w:lang w:eastAsia="lt-LT"/>
                            </w:rPr>
                            <w:t xml:space="preserve">Vadovaudamasi Lietuvos Respublikos pridėtinės vertės mokesčio įstatymo 40 straipsnio 2 dalimi ir įgyvendindama 2009 m. spalio 19 d. Tarybos direktyvos </w:t>
                          </w:r>
                          <w:fldSimple w:instr="HYPERLINK http://eur-lex.europa.eu/legal-content/LIT/TXT/?uri=CELEX:32009L0132&amp;locale=lt \t _blank">
                            <w:r>
                              <w:rPr>
                                <w:color w:val="0000FF" w:themeColor="hyperlink"/>
                                <w:szCs w:val="24"/>
                                <w:lang w:eastAsia="lt-LT"/>
                                <w:u w:val="single"/>
                              </w:rPr>
                              <w:t>2009/132/EB</w:t>
                            </w:r>
                          </w:fldSimple>
                          <w:r>
                            <w:rPr>
                              <w:color w:val="000000"/>
                              <w:szCs w:val="24"/>
                              <w:lang w:eastAsia="lt-LT"/>
                            </w:rPr>
                            <w:t xml:space="preserve"> dėl Direktyvos </w:t>
                          </w:r>
                          <w:fldSimple w:instr="HYPERLINK http://eur-lex.europa.eu/legal-content/LIT/TXT/?uri=CELEX:32006L0112&amp;locale=lt \t _blank">
                            <w:r>
                              <w:rPr>
                                <w:color w:val="0000FF" w:themeColor="hyperlink"/>
                                <w:szCs w:val="24"/>
                                <w:lang w:eastAsia="lt-LT"/>
                                <w:u w:val="single"/>
                              </w:rPr>
                              <w:t>2006/112/EB</w:t>
                            </w:r>
                          </w:fldSimple>
                          <w:r>
                            <w:rPr>
                              <w:color w:val="000000"/>
                              <w:szCs w:val="24"/>
                              <w:lang w:eastAsia="lt-LT"/>
                            </w:rPr>
                            <w:t xml:space="preserve"> 143 straipsnio b ir c punktų taikymo, neapmokestinant galutinio tam tikrų prekių importo pridėtinės vertės mokesčiu, su paskutiniais pakeitimais, padarytais </w:t>
                          </w:r>
                          <w:r>
                            <w:rPr>
                              <w:strike/>
                              <w:color w:val="000000"/>
                              <w:szCs w:val="24"/>
                              <w:lang w:eastAsia="lt-LT"/>
                            </w:rPr>
                            <w:t>2017 m. gruodžio 5 d. Tarybos direktyva (ES) 2017/2455</w:t>
                          </w:r>
                          <w:r>
                            <w:rPr>
                              <w:color w:val="000000"/>
                              <w:szCs w:val="24"/>
                              <w:lang w:eastAsia="lt-LT"/>
                            </w:rPr>
                            <w:t xml:space="preserve"> </w:t>
                          </w:r>
                          <w:r>
                            <w:rPr>
                              <w:b/>
                              <w:color w:val="000000"/>
                              <w:szCs w:val="24"/>
                              <w:lang w:eastAsia="lt-LT"/>
                            </w:rPr>
                            <w:t>2020 m. liepos 20 d. Tarybos sprendimu (ES) 2020/1109</w:t>
                          </w:r>
                          <w:r>
                            <w:rPr>
                              <w:color w:val="000000"/>
                              <w:szCs w:val="24"/>
                              <w:lang w:eastAsia="lt-LT"/>
                            </w:rPr>
                            <w:t>, nuostatas, Lietuvos Respublikos Vyriausybė n u t a r i a:</w:t>
                          </w:r>
                        </w:p>
                      </w:sdtContent>
                    </w:sdt>
                    <w:sdt>
                      <w:sdtPr>
                        <w:alias w:val="1 p."/>
                        <w:tag w:val="part_f2e005bc5a5c47fc92db0d2978914ead"/>
                        <w:lock w:val="sdtLocked"/>
                        <w:richText/>
                      </w:sdtPr>
                      <w:sdtContent>
                        <w:p>
                          <w:pPr>
                            <w:spacing w:line="360" w:lineRule="atLeast"/>
                            <w:ind w:firstLine="720"/>
                            <w:jc w:val="both"/>
                            <w:rPr>
                              <w:color w:val="000000"/>
                              <w:szCs w:val="24"/>
                              <w:lang w:eastAsia="lt-LT"/>
                            </w:rPr>
                          </w:pPr>
                          <w:sdt>
                            <w:sdtPr>
                              <w:alias w:val="Numeris"/>
                              <w:tag w:val="nr_f2e005bc5a5c47fc92db0d2978914ead"/>
                              <w:lock w:val="sdtLocked"/>
                              <w:richText/>
                            </w:sdtPr>
                            <w:sdtContent>
                              <w:r>
                                <w:rPr>
                                  <w:strike/>
                                  <w:color w:val="000000"/>
                                  <w:szCs w:val="24"/>
                                  <w:lang w:eastAsia="lt-LT"/>
                                </w:rPr>
                                <w:t>1</w:t>
                              </w:r>
                            </w:sdtContent>
                          </w:sdt>
                          <w:r>
                            <w:rPr>
                              <w:strike/>
                              <w:color w:val="000000"/>
                              <w:szCs w:val="24"/>
                              <w:lang w:eastAsia="lt-LT"/>
                            </w:rPr>
                            <w:t>.</w:t>
                          </w:r>
                          <w:r>
                            <w:rPr>
                              <w:color w:val="000000"/>
                              <w:szCs w:val="24"/>
                              <w:lang w:eastAsia="lt-LT"/>
                            </w:rPr>
                            <w:t xml:space="preserve"> Patvirtinti Importuojamų prekių neapmokestinimo importo pridėtinės vertės mokesčiu taisykles (pridedama).</w:t>
                          </w:r>
                        </w:p>
                      </w:sdtContent>
                    </w:sdt>
                    <w:sdt>
                      <w:sdtPr>
                        <w:alias w:val="2 p."/>
                        <w:tag w:val="part_c4e94769a03b4298a6cfd1feafa2807c"/>
                        <w:lock w:val="sdtLocked"/>
                        <w:richText/>
                      </w:sdtPr>
                      <w:sdtContent>
                        <w:p>
                          <w:pPr>
                            <w:spacing w:line="360" w:lineRule="atLeast"/>
                            <w:ind w:firstLine="720"/>
                            <w:jc w:val="both"/>
                            <w:rPr>
                              <w:strike/>
                              <w:color w:val="000000"/>
                              <w:szCs w:val="24"/>
                              <w:lang w:eastAsia="lt-LT"/>
                            </w:rPr>
                          </w:pPr>
                          <w:sdt>
                            <w:sdtPr>
                              <w:alias w:val="Numeris"/>
                              <w:tag w:val="nr_c4e94769a03b4298a6cfd1feafa2807c"/>
                              <w:lock w:val="sdtLocked"/>
                              <w:richText/>
                            </w:sdtPr>
                            <w:sdtContent>
                              <w:r>
                                <w:rPr>
                                  <w:strike/>
                                  <w:color w:val="000000"/>
                                  <w:szCs w:val="24"/>
                                  <w:lang w:eastAsia="lt-LT"/>
                                </w:rPr>
                                <w:t>2</w:t>
                              </w:r>
                            </w:sdtContent>
                          </w:sdt>
                          <w:r>
                            <w:rPr>
                              <w:strike/>
                              <w:color w:val="000000"/>
                              <w:szCs w:val="24"/>
                              <w:lang w:eastAsia="lt-LT"/>
                            </w:rPr>
                            <w:t>. Pripažinti netekusiais galios:</w:t>
                          </w:r>
                        </w:p>
                        <w:sdt>
                          <w:sdtPr>
                            <w:alias w:val="2.1 pp."/>
                            <w:tag w:val="part_4f4cf063b84741208808b543389ca5f6"/>
                            <w:lock w:val="sdtLocked"/>
                            <w:richText/>
                          </w:sdtPr>
                          <w:sdtContent>
                            <w:p>
                              <w:pPr>
                                <w:spacing w:line="360" w:lineRule="atLeast"/>
                                <w:ind w:firstLine="720"/>
                                <w:jc w:val="both"/>
                                <w:rPr>
                                  <w:strike/>
                                  <w:color w:val="000000"/>
                                  <w:szCs w:val="24"/>
                                  <w:lang w:eastAsia="lt-LT"/>
                                </w:rPr>
                              </w:pPr>
                              <w:sdt>
                                <w:sdtPr>
                                  <w:alias w:val="Numeris"/>
                                  <w:tag w:val="nr_4f4cf063b84741208808b543389ca5f6"/>
                                  <w:lock w:val="sdtLocked"/>
                                  <w:richText/>
                                </w:sdtPr>
                                <w:sdtContent>
                                  <w:r>
                                    <w:rPr>
                                      <w:strike/>
                                      <w:color w:val="000000"/>
                                      <w:szCs w:val="24"/>
                                      <w:lang w:eastAsia="lt-LT"/>
                                    </w:rPr>
                                    <w:t>2.1</w:t>
                                  </w:r>
                                </w:sdtContent>
                              </w:sdt>
                              <w:r>
                                <w:rPr>
                                  <w:strike/>
                                  <w:color w:val="000000"/>
                                  <w:szCs w:val="24"/>
                                  <w:lang w:eastAsia="lt-LT"/>
                                </w:rPr>
                                <w:t xml:space="preserve">. Lietuvos Respublikos Vyriausybės 2002 m. birželio 12 d. nutarimą Nr. 868 „Dėl importuojamų prekių neapmokestinimo importo pridėtinės vertės mokesčiu ir akcizais“ (Žin., 2002, Nr. </w:t>
                              </w:r>
                              <w:fldSimple w:instr="HYPERLINK https://www.e-tar.lt/portal/legalAct.html?documentId=TAIS.168580 \t _blank">
                                <w:r>
                                  <w:rPr>
                                    <w:strike/>
                                    <w:color w:val="0000FF" w:themeColor="hyperlink"/>
                                    <w:szCs w:val="24"/>
                                    <w:lang w:eastAsia="lt-LT"/>
                                    <w:u w:val="single"/>
                                  </w:rPr>
                                  <w:t>60-2431</w:t>
                                </w:r>
                              </w:fldSimple>
                              <w:r>
                                <w:rPr>
                                  <w:strike/>
                                  <w:color w:val="000000"/>
                                  <w:szCs w:val="24"/>
                                  <w:lang w:eastAsia="lt-LT"/>
                                </w:rPr>
                                <w:t>);</w:t>
                              </w:r>
                            </w:p>
                          </w:sdtContent>
                        </w:sdt>
                        <w:sdt>
                          <w:sdtPr>
                            <w:alias w:val="2.2 pp."/>
                            <w:tag w:val="part_0287a9e867044196bf6b0c1a3641f326"/>
                            <w:lock w:val="sdtLocked"/>
                            <w:richText/>
                          </w:sdtPr>
                          <w:sdtContent>
                            <w:p>
                              <w:pPr>
                                <w:spacing w:line="360" w:lineRule="atLeast"/>
                                <w:ind w:firstLine="720"/>
                                <w:jc w:val="both"/>
                                <w:rPr>
                                  <w:strike/>
                                  <w:color w:val="000000"/>
                                  <w:szCs w:val="24"/>
                                  <w:lang w:eastAsia="lt-LT"/>
                                </w:rPr>
                              </w:pPr>
                              <w:sdt>
                                <w:sdtPr>
                                  <w:alias w:val="Numeris"/>
                                  <w:tag w:val="nr_0287a9e867044196bf6b0c1a3641f326"/>
                                  <w:lock w:val="sdtLocked"/>
                                  <w:richText/>
                                </w:sdtPr>
                                <w:sdtContent>
                                  <w:r>
                                    <w:rPr>
                                      <w:strike/>
                                      <w:color w:val="000000"/>
                                      <w:szCs w:val="24"/>
                                      <w:lang w:eastAsia="lt-LT"/>
                                    </w:rPr>
                                    <w:t>2.2</w:t>
                                  </w:r>
                                </w:sdtContent>
                              </w:sdt>
                              <w:r>
                                <w:rPr>
                                  <w:strike/>
                                  <w:color w:val="000000"/>
                                  <w:szCs w:val="24"/>
                                  <w:lang w:eastAsia="lt-LT"/>
                                </w:rPr>
                                <w:t xml:space="preserve">. Lietuvos Respublikos Vyriausybės 2003 m. spalio 7 d. nutarimą Nr. 1224 „Dėl Lietuvos Respublikos Vyriausybės 2002 m. birželio 12 d. nutarimo Nr. 868 „Dėl importuojamų prekių neapmokestinimo importo pridėtinės vertės mokesčiu ir akcizais“ pakeitimo“ (Žin., 2003, Nr. </w:t>
                              </w:r>
                              <w:fldSimple w:instr="HYPERLINK https://www.e-tar.lt/portal/legalAct.html?documentId=TAIS.218974 \t _blank">
                                <w:r>
                                  <w:rPr>
                                    <w:strike/>
                                    <w:color w:val="0000FF" w:themeColor="hyperlink"/>
                                    <w:szCs w:val="24"/>
                                    <w:lang w:eastAsia="lt-LT"/>
                                    <w:u w:val="single"/>
                                  </w:rPr>
                                  <w:t>95-4285</w:t>
                                </w:r>
                              </w:fldSimple>
                              <w:r>
                                <w:rPr>
                                  <w:strike/>
                                  <w:color w:val="000000"/>
                                  <w:szCs w:val="24"/>
                                  <w:lang w:eastAsia="lt-LT"/>
                                </w:rPr>
                                <w:t>).</w:t>
                              </w:r>
                            </w:p>
                          </w:sdtContent>
                        </w:sdt>
                      </w:sdtContent>
                    </w:sdt>
                    <w:sdt>
                      <w:sdtPr>
                        <w:alias w:val="3 p."/>
                        <w:tag w:val="part_aa49b476c4f54796b4f62aa33b560ed4"/>
                        <w:lock w:val="sdtLocked"/>
                        <w:richText/>
                      </w:sdtPr>
                      <w:sdtContent>
                        <w:p>
                          <w:pPr>
                            <w:spacing w:line="360" w:lineRule="atLeast"/>
                            <w:ind w:firstLine="720"/>
                            <w:jc w:val="both"/>
                            <w:rPr>
                              <w:color w:val="000000"/>
                              <w:szCs w:val="24"/>
                              <w:lang w:eastAsia="lt-LT"/>
                            </w:rPr>
                          </w:pPr>
                          <w:sdt>
                            <w:sdtPr>
                              <w:alias w:val="Numeris"/>
                              <w:tag w:val="nr_aa49b476c4f54796b4f62aa33b560ed4"/>
                              <w:lock w:val="sdtLocked"/>
                              <w:richText/>
                            </w:sdtPr>
                            <w:sdtContent>
                              <w:r>
                                <w:rPr>
                                  <w:strike/>
                                  <w:color w:val="000000"/>
                                  <w:szCs w:val="24"/>
                                  <w:lang w:eastAsia="lt-LT"/>
                                </w:rPr>
                                <w:t>3</w:t>
                              </w:r>
                            </w:sdtContent>
                          </w:sdt>
                          <w:r>
                            <w:rPr>
                              <w:strike/>
                              <w:color w:val="000000"/>
                              <w:szCs w:val="24"/>
                              <w:lang w:eastAsia="lt-LT"/>
                            </w:rPr>
                            <w:t>. Šis nutarimas įsigalioja nuo 2004 m. gegužės 1 dienos.</w:t>
                          </w:r>
                          <w:r>
                            <w:rPr>
                              <w:color w:val="000000"/>
                              <w:szCs w:val="24"/>
                              <w:lang w:eastAsia="lt-LT"/>
                            </w:rPr>
                            <w:t>“</w:t>
                          </w:r>
                        </w:p>
                      </w:sdtContent>
                    </w:sdt>
                  </w:sdtContent>
                </w:sdt>
              </w:sdtContent>
            </w:sdt>
          </w:sdtContent>
        </w:sdt>
        <w:sdt>
          <w:sdtPr>
            <w:alias w:val="2 p."/>
            <w:tag w:val="part_0a0b3ff9f5824083b98802aca53a7e52"/>
            <w:lock w:val="sdtLocked"/>
            <w:richText/>
          </w:sdtPr>
          <w:sdtContent>
            <w:p>
              <w:pPr>
                <w:spacing w:line="360" w:lineRule="atLeast"/>
                <w:ind w:firstLine="720"/>
                <w:jc w:val="both"/>
                <w:rPr>
                  <w:szCs w:val="24"/>
                  <w:lang w:eastAsia="lt-LT"/>
                </w:rPr>
              </w:pPr>
              <w:sdt>
                <w:sdtPr>
                  <w:alias w:val="Numeris"/>
                  <w:tag w:val="nr_0a0b3ff9f5824083b98802aca53a7e52"/>
                  <w:lock w:val="sdtLocked"/>
                  <w:richText/>
                </w:sdtPr>
                <w:sdtContent>
                  <w:r>
                    <w:rPr>
                      <w:szCs w:val="24"/>
                      <w:lang w:eastAsia="lt-LT"/>
                    </w:rPr>
                    <w:t>2</w:t>
                  </w:r>
                </w:sdtContent>
              </w:sdt>
              <w:r>
                <w:rPr>
                  <w:szCs w:val="24"/>
                  <w:lang w:eastAsia="lt-LT"/>
                </w:rPr>
                <w:t>. Pakeisti nurodytu nutarimu patvirtintas Importuojamų prekių neapmokestinimo importo pridėtinės vertės mokesčiu taisykles:</w:t>
              </w:r>
            </w:p>
            <w:sdt>
              <w:sdtPr>
                <w:alias w:val="2.1 pp."/>
                <w:tag w:val="part_e861b5925e8249dcb6783c2a080f9418"/>
                <w:lock w:val="sdtLocked"/>
                <w:richText/>
              </w:sdtPr>
              <w:sdtContent>
                <w:p>
                  <w:pPr>
                    <w:spacing w:line="360" w:lineRule="atLeast"/>
                    <w:ind w:firstLine="720"/>
                    <w:jc w:val="both"/>
                    <w:rPr>
                      <w:szCs w:val="24"/>
                      <w:lang w:eastAsia="lt-LT"/>
                    </w:rPr>
                  </w:pPr>
                  <w:sdt>
                    <w:sdtPr>
                      <w:alias w:val="Numeris"/>
                      <w:tag w:val="nr_e861b5925e8249dcb6783c2a080f9418"/>
                      <w:lock w:val="sdtLocked"/>
                      <w:richText/>
                    </w:sdtPr>
                    <w:sdtContent>
                      <w:r>
                        <w:rPr>
                          <w:szCs w:val="24"/>
                          <w:lang w:eastAsia="lt-LT"/>
                        </w:rPr>
                        <w:t>2.1</w:t>
                      </w:r>
                    </w:sdtContent>
                  </w:sdt>
                  <w:r>
                    <w:rPr>
                      <w:szCs w:val="24"/>
                      <w:lang w:eastAsia="lt-LT"/>
                    </w:rPr>
                    <w:t>. Pakeisti 1 punktą ir jį išdėstyti taip:</w:t>
                  </w:r>
                </w:p>
                <w:sdt>
                  <w:sdtPr>
                    <w:alias w:val="citata"/>
                    <w:tag w:val="part_b2ba85b24b1043d98734bfcdef91118b"/>
                    <w:lock w:val="sdtLocked"/>
                    <w:richText/>
                  </w:sdtPr>
                  <w:sdtContent>
                    <w:sdt>
                      <w:sdtPr>
                        <w:alias w:val="1 p."/>
                        <w:tag w:val="part_a5e38386848a44bbb3bec0ce8ca06903"/>
                        <w:lock w:val="sdtLocked"/>
                        <w:richText/>
                      </w:sdtPr>
                      <w:sdtContent>
                        <w:p>
                          <w:pPr>
                            <w:spacing w:line="360" w:lineRule="atLeast"/>
                            <w:ind w:firstLine="720"/>
                            <w:jc w:val="both"/>
                            <w:rPr>
                              <w:szCs w:val="24"/>
                              <w:lang w:eastAsia="lt-LT"/>
                            </w:rPr>
                          </w:pPr>
                          <w:r>
                            <w:rPr>
                              <w:szCs w:val="24"/>
                              <w:lang w:eastAsia="lt-LT"/>
                            </w:rPr>
                            <w:t>„</w:t>
                          </w:r>
                          <w:sdt>
                            <w:sdtPr>
                              <w:alias w:val="Numeris"/>
                              <w:tag w:val="nr_a5e38386848a44bbb3bec0ce8ca06903"/>
                              <w:lock w:val="sdtLocked"/>
                              <w:richText/>
                            </w:sdtPr>
                            <w:sdtContent>
                              <w:r>
                                <w:rPr>
                                  <w:szCs w:val="24"/>
                                  <w:lang w:eastAsia="lt-LT"/>
                                </w:rPr>
                                <w:t>1</w:t>
                              </w:r>
                            </w:sdtContent>
                          </w:sdt>
                          <w:r>
                            <w:rPr>
                              <w:szCs w:val="24"/>
                              <w:lang w:eastAsia="lt-LT"/>
                            </w:rPr>
                            <w:t xml:space="preserve">. Importuojamų prekių neapmokestinimo importo pridėtinės vertės mokesčiu </w:t>
                          </w:r>
                          <w:r>
                            <w:rPr>
                              <w:strike/>
                              <w:szCs w:val="24"/>
                              <w:lang w:eastAsia="lt-LT"/>
                            </w:rPr>
                            <w:t>taisyklės</w:t>
                          </w:r>
                          <w:r>
                            <w:rPr>
                              <w:szCs w:val="24"/>
                              <w:lang w:eastAsia="lt-LT"/>
                            </w:rPr>
                            <w:t xml:space="preserve"> </w:t>
                          </w:r>
                          <w:r>
                            <w:rPr>
                              <w:b/>
                              <w:szCs w:val="24"/>
                              <w:lang w:eastAsia="lt-LT"/>
                            </w:rPr>
                            <w:t>taisyklėse</w:t>
                          </w:r>
                          <w:r>
                            <w:rPr>
                              <w:szCs w:val="24"/>
                              <w:lang w:eastAsia="lt-LT"/>
                            </w:rPr>
                            <w:t xml:space="preserve"> (toliau – Taisyklės) </w:t>
                          </w:r>
                          <w:r>
                            <w:rPr>
                              <w:strike/>
                              <w:szCs w:val="24"/>
                              <w:lang w:eastAsia="lt-LT"/>
                            </w:rPr>
                            <w:t>nustato</w:t>
                          </w:r>
                          <w:r>
                            <w:rPr>
                              <w:szCs w:val="24"/>
                              <w:lang w:eastAsia="lt-LT"/>
                            </w:rPr>
                            <w:t xml:space="preserve"> </w:t>
                          </w:r>
                          <w:r>
                            <w:rPr>
                              <w:b/>
                              <w:szCs w:val="24"/>
                              <w:lang w:eastAsia="lt-LT"/>
                            </w:rPr>
                            <w:t>nustatoma</w:t>
                          </w:r>
                          <w:r>
                            <w:rPr>
                              <w:szCs w:val="24"/>
                              <w:lang w:eastAsia="lt-LT"/>
                            </w:rPr>
                            <w:t xml:space="preserve"> Lietuvos Respublikos pridėtinės vertės mokesčio įstatymo </w:t>
                          </w:r>
                          <w:r>
                            <w:rPr>
                              <w:strike/>
                              <w:szCs w:val="24"/>
                              <w:lang w:eastAsia="lt-LT"/>
                            </w:rPr>
                            <w:t>(toliau – Pridėtinės vertės mokesčio įstatymas)</w:t>
                          </w:r>
                          <w:r>
                            <w:rPr>
                              <w:szCs w:val="24"/>
                              <w:lang w:eastAsia="lt-LT"/>
                            </w:rPr>
                            <w:t xml:space="preserve"> 40 straipsnio 1 dalies, išskyrus 10 </w:t>
                          </w:r>
                          <w:r>
                            <w:rPr>
                              <w:strike/>
                              <w:szCs w:val="24"/>
                              <w:lang w:eastAsia="lt-LT"/>
                            </w:rPr>
                            <w:t>ir 24 punktus</w:t>
                          </w:r>
                          <w:r>
                            <w:rPr>
                              <w:szCs w:val="24"/>
                              <w:lang w:eastAsia="lt-LT"/>
                            </w:rPr>
                            <w:t xml:space="preserve"> </w:t>
                          </w:r>
                          <w:r>
                            <w:rPr>
                              <w:b/>
                              <w:szCs w:val="24"/>
                              <w:lang w:eastAsia="lt-LT"/>
                            </w:rPr>
                            <w:t>punktą</w:t>
                          </w:r>
                          <w:r>
                            <w:rPr>
                              <w:szCs w:val="24"/>
                              <w:lang w:eastAsia="lt-LT"/>
                            </w:rPr>
                            <w:t xml:space="preserve">, taikymo </w:t>
                          </w:r>
                          <w:r>
                            <w:rPr>
                              <w:strike/>
                              <w:szCs w:val="24"/>
                              <w:lang w:eastAsia="lt-LT"/>
                            </w:rPr>
                            <w:t>tvarką</w:t>
                          </w:r>
                          <w:r>
                            <w:rPr>
                              <w:szCs w:val="24"/>
                              <w:lang w:eastAsia="lt-LT"/>
                            </w:rPr>
                            <w:t xml:space="preserve"> </w:t>
                          </w:r>
                          <w:r>
                            <w:rPr>
                              <w:b/>
                              <w:szCs w:val="24"/>
                              <w:lang w:eastAsia="lt-LT"/>
                            </w:rPr>
                            <w:t>tvarka</w:t>
                          </w:r>
                          <w:r>
                            <w:rPr>
                              <w:szCs w:val="24"/>
                              <w:lang w:eastAsia="lt-LT"/>
                            </w:rPr>
                            <w:t>.“</w:t>
                          </w:r>
                        </w:p>
                      </w:sdtContent>
                    </w:sdt>
                  </w:sdtContent>
                </w:sdt>
              </w:sdtContent>
            </w:sdt>
            <w:sdt>
              <w:sdtPr>
                <w:alias w:val="2.2 pp."/>
                <w:tag w:val="part_b5a63f11632c48c196880056a26e3b8a"/>
                <w:lock w:val="sdtLocked"/>
                <w:richText/>
              </w:sdtPr>
              <w:sdtContent>
                <w:p>
                  <w:pPr>
                    <w:tabs>
                      <w:tab w:val="left" w:pos="567"/>
                    </w:tabs>
                    <w:spacing w:line="360" w:lineRule="atLeast"/>
                    <w:ind w:firstLine="720"/>
                    <w:jc w:val="both"/>
                    <w:rPr>
                      <w:szCs w:val="24"/>
                      <w:lang w:eastAsia="lt-LT"/>
                    </w:rPr>
                  </w:pPr>
                  <w:sdt>
                    <w:sdtPr>
                      <w:alias w:val="Numeris"/>
                      <w:tag w:val="nr_b5a63f11632c48c196880056a26e3b8a"/>
                      <w:lock w:val="sdtLocked"/>
                      <w:richText/>
                    </w:sdtPr>
                    <w:sdtContent>
                      <w:r>
                        <w:rPr>
                          <w:szCs w:val="24"/>
                          <w:lang w:eastAsia="lt-LT"/>
                        </w:rPr>
                        <w:t>2.2</w:t>
                      </w:r>
                    </w:sdtContent>
                  </w:sdt>
                  <w:r>
                    <w:rPr>
                      <w:szCs w:val="24"/>
                      <w:lang w:eastAsia="lt-LT"/>
                    </w:rPr>
                    <w:t>. Pakeisti 3 punktą ir jį išdėstyti taip:</w:t>
                  </w:r>
                </w:p>
                <w:sdt>
                  <w:sdtPr>
                    <w:alias w:val="citata"/>
                    <w:tag w:val="part_ac719f53e6fe439492ab567d0bba68e9"/>
                    <w:lock w:val="sdtLocked"/>
                    <w:richText/>
                  </w:sdtPr>
                  <w:sdtContent>
                    <w:sdt>
                      <w:sdtPr>
                        <w:alias w:val="3 p."/>
                        <w:tag w:val="part_bf272226c4014273a38981ac4533be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r>
                            <w:rPr>
                              <w:color w:val="000000"/>
                              <w:szCs w:val="24"/>
                            </w:rPr>
                            <w:t>„</w:t>
                          </w:r>
                          <w:sdt>
                            <w:sdtPr>
                              <w:alias w:val="Numeris"/>
                              <w:tag w:val="nr_bf272226c4014273a38981ac4533be29"/>
                              <w:lock w:val="sdtLocked"/>
                              <w:richText/>
                            </w:sdtPr>
                            <w:sdtContent>
                              <w:r>
                                <w:rPr>
                                  <w:color w:val="000000"/>
                                  <w:szCs w:val="24"/>
                                </w:rPr>
                                <w:t>3</w:t>
                              </w:r>
                            </w:sdtContent>
                          </w:sdt>
                          <w:r>
                            <w:rPr>
                              <w:color w:val="000000"/>
                              <w:szCs w:val="24"/>
                            </w:rPr>
                            <w:t>. Pridėtinės vertės mokesčio įstatymo 40 straipsnio 1 dalies 2–4, 6, 8, 9, 11–17, 20, 22</w:t>
                          </w:r>
                          <w:r>
                            <w:rPr>
                              <w:strike/>
                              <w:color w:val="000000"/>
                              <w:szCs w:val="24"/>
                            </w:rPr>
                            <w:t>,</w:t>
                          </w:r>
                          <w:r>
                            <w:rPr>
                              <w:color w:val="000000"/>
                              <w:szCs w:val="24"/>
                            </w:rPr>
                            <w:t xml:space="preserve"> </w:t>
                          </w:r>
                          <w:r>
                            <w:rPr>
                              <w:b/>
                              <w:color w:val="000000"/>
                              <w:szCs w:val="24"/>
                            </w:rPr>
                            <w:t>ir</w:t>
                          </w:r>
                          <w:r>
                            <w:rPr>
                              <w:color w:val="000000"/>
                              <w:szCs w:val="24"/>
                            </w:rPr>
                            <w:t xml:space="preserve"> 23 </w:t>
                          </w:r>
                          <w:r>
                            <w:rPr>
                              <w:strike/>
                              <w:color w:val="000000"/>
                              <w:szCs w:val="24"/>
                            </w:rPr>
                            <w:t>ir 25</w:t>
                          </w:r>
                          <w:r>
                            <w:rPr>
                              <w:color w:val="000000"/>
                              <w:szCs w:val="24"/>
                            </w:rPr>
                            <w:t xml:space="preserve"> punktuose nurodytų prekių neapmokestinimas importo pridėtinės vertės mokesčiu (toliau – PVM) taikomas ta pačia tvarka ir tomis pačiomis sąlygomis kaip ir šių prekių, jeigu jos būtų importuojamos į Sąjungos muitų teritoriją, atleidimas nuo importo muitų, kaip nustatyta 2009 m. lapkričio 16 d. Tarybos reglamente </w:t>
                          </w:r>
                          <w:fldSimple w:instr="HYPERLINK http://eur-lex.europa.eu/legal-content/LIT/TXT/?uri=CELEX:32009R1186&amp;locale=lt \t _blank">
                            <w:r>
                              <w:rPr>
                                <w:color w:val="0000FF" w:themeColor="hyperlink"/>
                                <w:szCs w:val="24"/>
                                <w:u w:val="single"/>
                              </w:rPr>
                              <w:t>(EB) Nr. 1186/2009</w:t>
                            </w:r>
                          </w:fldSimple>
                          <w:r>
                            <w:rPr>
                              <w:color w:val="000000"/>
                              <w:szCs w:val="24"/>
                            </w:rPr>
                            <w:t>, nustatančiame Bendrijos atleidimo nuo muitų sistemą</w:t>
                          </w:r>
                          <w:r>
                            <w:rPr>
                              <w:strike/>
                              <w:color w:val="000000"/>
                              <w:szCs w:val="24"/>
                            </w:rPr>
                            <w:t>.“</w:t>
                          </w:r>
                          <w:r>
                            <w:rPr>
                              <w:b/>
                              <w:color w:val="000000"/>
                              <w:szCs w:val="24"/>
                            </w:rPr>
                            <w:t xml:space="preserve">, </w:t>
                          </w:r>
                          <w:r>
                            <w:rPr>
                              <w:b/>
                              <w:szCs w:val="24"/>
                              <w:lang w:eastAsia="lt-LT"/>
                            </w:rPr>
                            <w:t xml:space="preserve">o </w:t>
                          </w:r>
                          <w:r>
                            <w:rPr>
                              <w:b/>
                              <w:bCs/>
                              <w:szCs w:val="24"/>
                              <w:lang w:eastAsia="lt-LT"/>
                            </w:rPr>
                            <w:t xml:space="preserve">Pridėtinės vertės mokesčio įstatymo 40 straipsnio 1 dalies 25 punkte nurodytų prekių </w:t>
                            <w:noBreakHyphen/>
                          </w:r>
                          <w:r>
                            <w:rPr>
                              <w:b/>
                              <w:bCs/>
                              <w:szCs w:val="24"/>
                              <w:lang w:eastAsia="lt-LT"/>
                            </w:rPr>
                            <w:t xml:space="preserve"> ta pačia tvarka ir tomis pačiomis sąlygomis kaip ir šių prekių, jeigu jos būtų importuojamos į Sąjungos muitų teritoriją, atleidimas nuo importo muitų, kaip nustatyta 2013 m. spalio 9 d. Europos Parlamento ir Tarybos reglamente </w:t>
                          </w:r>
                          <w:fldSimple w:instr="HYPERLINK http://eur-lex.europa.eu/legal-content/LIT/TXT/?uri=CELEX:32013R0952&amp;locale=lt \t _blank">
                            <w:r>
                              <w:rPr>
                                <w:b/>
                                <w:bCs/>
                                <w:szCs w:val="24"/>
                                <w:lang w:eastAsia="lt-LT"/>
                                <w:u w:val="single"/>
                                <w:color w:val="0000FF" w:themeColor="hyperlink"/>
                              </w:rPr>
                              <w:t>(ES) Nr. 952/2013</w:t>
                            </w:r>
                          </w:fldSimple>
                          <w:r>
                            <w:rPr>
                              <w:b/>
                              <w:bCs/>
                              <w:szCs w:val="24"/>
                              <w:lang w:eastAsia="lt-LT"/>
                            </w:rPr>
                            <w:t>, kuriuo nustatomas Sąjungos muitinės kodeksas, su visais pakeitimais.</w:t>
                          </w:r>
                          <w:r>
                            <w:rPr>
                              <w:bCs/>
                              <w:szCs w:val="24"/>
                              <w:lang w:eastAsia="lt-LT"/>
                            </w:rPr>
                            <w:t>“</w:t>
                          </w:r>
                        </w:p>
                        <w:sdt>
                          <w:sdtPr>
                            <w:alias w:val="2.3 pp."/>
                            <w:tag w:val="part_712faad9e093478fa43820c0c645150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sdt>
                                <w:sdtPr>
                                  <w:alias w:val="Numeris"/>
                                  <w:tag w:val="nr_712faad9e093478fa43820c0c645150e"/>
                                  <w:lock w:val="sdtLocked"/>
                                  <w:richText/>
                                </w:sdtPr>
                                <w:sdtContent>
                                  <w:r>
                                    <w:rPr>
                                      <w:bCs/>
                                      <w:szCs w:val="24"/>
                                      <w:lang w:eastAsia="lt-LT"/>
                                    </w:rPr>
                                    <w:t>2.3</w:t>
                                  </w:r>
                                </w:sdtContent>
                              </w:sdt>
                              <w:r>
                                <w:rPr>
                                  <w:bCs/>
                                  <w:szCs w:val="24"/>
                                  <w:lang w:eastAsia="lt-LT"/>
                                </w:rPr>
                                <w:t>. Pakeisti 5 punktą ir jį išdėstyti taip:</w:t>
                              </w:r>
                            </w:p>
                            <w:p>
                              <w:pPr>
                                <w:spacing w:line="360" w:lineRule="atLeast"/>
                                <w:ind w:firstLine="720"/>
                                <w:jc w:val="both"/>
                                <w:rPr>
                                  <w:szCs w:val="24"/>
                                  <w:lang w:eastAsia="lt-LT"/>
                                </w:rPr>
                              </w:pPr>
                              <w:r>
                                <w:rPr>
                                  <w:szCs w:val="24"/>
                                  <w:lang w:eastAsia="lt-LT"/>
                                </w:rPr>
                                <w:t xml:space="preserve">„5. Taikant Pridėtinės vertės mokesčio įstatymo 40 straipsnio 1 dalies 1 punktą, asmeniniais daiktais laikomi Reglamento </w:t>
                              </w:r>
                              <w:fldSimple w:instr="HYPERLINK http://eur-lex.europa.eu/legal-content/LIT/TXT/?uri=CELEX:32009R1186&amp;locale=lt \t _blank">
                                <w:r>
                                  <w:rPr>
                                    <w:szCs w:val="24"/>
                                    <w:lang w:eastAsia="lt-LT"/>
                                    <w:u w:val="single"/>
                                    <w:color w:val="0000FF" w:themeColor="hyperlink"/>
                                  </w:rPr>
                                  <w:t>(EB) Nr. 1186/2009</w:t>
                                </w:r>
                              </w:fldSimple>
                              <w:r>
                                <w:rPr>
                                  <w:szCs w:val="24"/>
                                  <w:lang w:eastAsia="lt-LT"/>
                                </w:rPr>
                                <w:t xml:space="preserve"> 4 straipsnio a ir b punktuose nustatytus reikalavimus atitinkantys:</w:t>
                              </w:r>
                            </w:p>
                          </w:sdtContent>
                        </w:sdt>
                        <w:sdt>
                          <w:sdtPr>
                            <w:alias w:val="5.1 pp."/>
                            <w:tag w:val="part_0d164c999c8549c7b9bba628a348e28f"/>
                            <w:lock w:val="sdtLocked"/>
                            <w:richText/>
                          </w:sdtPr>
                          <w:sdtContent>
                            <w:p>
                              <w:pPr>
                                <w:spacing w:line="360" w:lineRule="atLeast"/>
                                <w:ind w:firstLine="720"/>
                                <w:jc w:val="both"/>
                                <w:rPr>
                                  <w:szCs w:val="24"/>
                                  <w:lang w:eastAsia="lt-LT"/>
                                </w:rPr>
                              </w:pPr>
                              <w:sdt>
                                <w:sdtPr>
                                  <w:alias w:val="Numeris"/>
                                  <w:tag w:val="nr_0d164c999c8549c7b9bba628a348e28f"/>
                                  <w:lock w:val="sdtLocked"/>
                                  <w:richText/>
                                </w:sdtPr>
                                <w:sdtContent>
                                  <w:r>
                                    <w:rPr>
                                      <w:szCs w:val="24"/>
                                      <w:lang w:eastAsia="lt-LT"/>
                                    </w:rPr>
                                    <w:t>5.1</w:t>
                                  </w:r>
                                </w:sdtContent>
                              </w:sdt>
                              <w:r>
                                <w:rPr>
                                  <w:szCs w:val="24"/>
                                  <w:lang w:eastAsia="lt-LT"/>
                                </w:rPr>
                                <w:t xml:space="preserve">. asmens higienos reikmenys, patalynė, baldai, įranga ir panašūs daiktai, dviračiai, motociklai, asmeninio naudojimo transporto priemonės ir jų priekabos, turistinės automobilių priekabos-nameliai, pramoginiai laivai, asmeninio naudojimo orlaiviai, maisto produktai (jeigu jų kiekis atitinka įprastines fizinio asmens ir jo šeimos reikmes), naminiai ir jojamieji gyvūnai ir kiti asmeniniai daiktai, jeigu jie pagal paskirtį, kiekį ir kitas aplinkybes akivaizdžiai neskirti parduoti ar naudoti ekonominėje veikloje </w:t>
                              </w:r>
                              <w:r>
                                <w:rPr>
                                  <w:strike/>
                                  <w:szCs w:val="24"/>
                                  <w:lang w:eastAsia="lt-LT"/>
                                </w:rPr>
                                <w:t xml:space="preserve">(įskaitant </w:t>
                              </w:r>
                              <w:r>
                                <w:rPr>
                                  <w:strike/>
                                  <w:lang w:eastAsia="lt-LT"/>
                                </w:rPr>
                                <w:t>daiktus, kurie skirti naudoti pagal amatą arba pagal profesiją</w:t>
                              </w:r>
                              <w:r>
                                <w:rPr>
                                  <w:strike/>
                                  <w:szCs w:val="24"/>
                                  <w:lang w:eastAsia="lt-LT"/>
                                </w:rPr>
                                <w:t>)</w:t>
                              </w:r>
                              <w:r>
                                <w:rPr>
                                  <w:szCs w:val="24"/>
                                  <w:lang w:eastAsia="lt-LT"/>
                                </w:rPr>
                                <w:t xml:space="preserve">, o asmens naudojami individualiems ar jo namų ūkio poreikiams tenkinti; </w:t>
                              </w:r>
                            </w:p>
                          </w:sdtContent>
                        </w:sdt>
                        <w:sdt>
                          <w:sdtPr>
                            <w:alias w:val="5.2 pp."/>
                            <w:tag w:val="part_d41e49d3797644cb899dcca79d114bcc"/>
                            <w:lock w:val="sdtLocked"/>
                            <w:richText/>
                          </w:sdtPr>
                          <w:sdtContent>
                            <w:p>
                              <w:pPr>
                                <w:spacing w:line="360" w:lineRule="atLeast"/>
                                <w:ind w:firstLine="720"/>
                                <w:jc w:val="both"/>
                                <w:rPr>
                                  <w:szCs w:val="24"/>
                                  <w:lang w:eastAsia="lt-LT"/>
                                </w:rPr>
                              </w:pPr>
                              <w:sdt>
                                <w:sdtPr>
                                  <w:alias w:val="Numeris"/>
                                  <w:tag w:val="nr_d41e49d3797644cb899dcca79d114bcc"/>
                                  <w:lock w:val="sdtLocked"/>
                                  <w:richText/>
                                </w:sdtPr>
                                <w:sdtContent>
                                  <w:r>
                                    <w:rPr>
                                      <w:szCs w:val="24"/>
                                      <w:lang w:eastAsia="lt-LT"/>
                                    </w:rPr>
                                    <w:t>5.2</w:t>
                                  </w:r>
                                </w:sdtContent>
                              </w:sdt>
                              <w:r>
                                <w:rPr>
                                  <w:szCs w:val="24"/>
                                  <w:lang w:eastAsia="lt-LT"/>
                                </w:rPr>
                                <w:t xml:space="preserve">. asmeniniai nešiojamieji taikomosios dailės ir laisvųjų menų įrankiai, </w:t>
                              </w:r>
                              <w:r>
                                <w:rPr>
                                  <w:b/>
                                  <w:szCs w:val="24"/>
                                  <w:lang w:eastAsia="lt-LT"/>
                                </w:rPr>
                                <w:t xml:space="preserve">kurie skirti naudoti pagal amatą </w:t>
                              </w:r>
                              <w:r>
                                <w:rPr>
                                  <w:strike/>
                                  <w:szCs w:val="24"/>
                                  <w:lang w:eastAsia="lt-LT"/>
                                </w:rPr>
                                <w:t>kuriuos asmenys naudoja prekybos</w:t>
                              </w:r>
                              <w:r>
                                <w:rPr>
                                  <w:szCs w:val="24"/>
                                  <w:lang w:eastAsia="lt-LT"/>
                                </w:rPr>
                                <w:t xml:space="preserve"> ar profesinėje veikloje.“</w:t>
                              </w:r>
                            </w:p>
                          </w:sdtContent>
                        </w:sdt>
                      </w:sdtContent>
                    </w:sdt>
                  </w:sdtContent>
                </w:sdt>
              </w:sdtContent>
            </w:sdt>
            <w:sdt>
              <w:sdtPr>
                <w:alias w:val="2.4 pp."/>
                <w:tag w:val="part_02afc65c05a14ae5bf479f7b0be12a7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rPr>
                  </w:pPr>
                  <w:sdt>
                    <w:sdtPr>
                      <w:alias w:val="Numeris"/>
                      <w:tag w:val="nr_02afc65c05a14ae5bf479f7b0be12a70"/>
                      <w:lock w:val="sdtLocked"/>
                      <w:richText/>
                    </w:sdtPr>
                    <w:sdtContent>
                      <w:r>
                        <w:rPr>
                          <w:color w:val="000000"/>
                          <w:szCs w:val="24"/>
                        </w:rPr>
                        <w:t>2.4</w:t>
                      </w:r>
                    </w:sdtContent>
                  </w:sdt>
                  <w:r>
                    <w:rPr>
                      <w:color w:val="000000"/>
                      <w:szCs w:val="24"/>
                    </w:rPr>
                    <w:t>. Papildyti 6.4 papunkčiu:</w:t>
                  </w:r>
                </w:p>
                <w:sdt>
                  <w:sdtPr>
                    <w:alias w:val="citata"/>
                    <w:tag w:val="part_ff3d7232d9ad455e89126709325a2902"/>
                    <w:lock w:val="sdtLocked"/>
                    <w:richText/>
                  </w:sdtPr>
                  <w:sdtContent>
                    <w:sdt>
                      <w:sdtPr>
                        <w:alias w:val="6.4 pp."/>
                        <w:tag w:val="part_f1c75137529343b597d9331689236e5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r>
                            <w:rPr>
                              <w:szCs w:val="24"/>
                              <w:lang w:eastAsia="lt-LT"/>
                            </w:rPr>
                            <w:t>„</w:t>
                          </w:r>
                          <w:sdt>
                            <w:sdtPr>
                              <w:alias w:val="Numeris"/>
                              <w:tag w:val="nr_f1c75137529343b597d9331689236e57"/>
                              <w:lock w:val="sdtLocked"/>
                              <w:richText/>
                            </w:sdtPr>
                            <w:sdtContent>
                              <w:r>
                                <w:rPr>
                                  <w:b/>
                                  <w:bCs/>
                                  <w:szCs w:val="24"/>
                                  <w:lang w:eastAsia="lt-LT"/>
                                </w:rPr>
                                <w:t>6.4</w:t>
                              </w:r>
                            </w:sdtContent>
                          </w:sdt>
                          <w:r>
                            <w:rPr>
                              <w:b/>
                              <w:bCs/>
                              <w:szCs w:val="24"/>
                              <w:lang w:eastAsia="lt-LT"/>
                            </w:rPr>
                            <w:t>. daiktai, kurie skirti naudoti pagal amatą arba pagal profesiją, išskyrus Taisyklių 5.2 papunktyje nurodytus daiktus.</w:t>
                          </w:r>
                          <w:r>
                            <w:rPr>
                              <w:bCs/>
                              <w:szCs w:val="24"/>
                              <w:lang w:eastAsia="lt-LT"/>
                            </w:rPr>
                            <w:t>“</w:t>
                          </w:r>
                        </w:p>
                      </w:sdtContent>
                    </w:sdt>
                  </w:sdtContent>
                </w:sdt>
              </w:sdtContent>
            </w:sdt>
            <w:sdt>
              <w:sdtPr>
                <w:alias w:val="2.5 pp."/>
                <w:tag w:val="part_6cf20f01b7fa4f138e56db5c165fc0d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rPr>
                  </w:pPr>
                  <w:sdt>
                    <w:sdtPr>
                      <w:alias w:val="Numeris"/>
                      <w:tag w:val="nr_6cf20f01b7fa4f138e56db5c165fc0d1"/>
                      <w:lock w:val="sdtLocked"/>
                      <w:richText/>
                    </w:sdtPr>
                    <w:sdtContent>
                      <w:r>
                        <w:rPr>
                          <w:color w:val="000000"/>
                          <w:szCs w:val="24"/>
                        </w:rPr>
                        <w:t>2.5</w:t>
                      </w:r>
                    </w:sdtContent>
                  </w:sdt>
                  <w:r>
                    <w:rPr>
                      <w:color w:val="000000"/>
                      <w:szCs w:val="24"/>
                    </w:rPr>
                    <w:t>. Pakeisti 7 punktą ir jį išdėstyti taip:</w:t>
                  </w:r>
                </w:p>
                <w:sdt>
                  <w:sdtPr>
                    <w:alias w:val="citata"/>
                    <w:tag w:val="part_310d09c356474b0d82047cc09cc38fd2"/>
                    <w:lock w:val="sdtLocked"/>
                    <w:richText/>
                  </w:sdtPr>
                  <w:sdtContent>
                    <w:sdt>
                      <w:sdtPr>
                        <w:alias w:val="7 p."/>
                        <w:tag w:val="part_e006f020eee542d79f4c78837958e27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rPr>
                          </w:pPr>
                          <w:r>
                            <w:rPr>
                              <w:color w:val="000000"/>
                            </w:rPr>
                            <w:t>„</w:t>
                          </w:r>
                          <w:sdt>
                            <w:sdtPr>
                              <w:alias w:val="Numeris"/>
                              <w:tag w:val="nr_e006f020eee542d79f4c78837958e27b"/>
                              <w:lock w:val="sdtLocked"/>
                              <w:richText/>
                            </w:sdtPr>
                            <w:sdtContent>
                              <w:r>
                                <w:rPr>
                                  <w:color w:val="000000"/>
                                </w:rPr>
                                <w:t>7</w:t>
                              </w:r>
                            </w:sdtContent>
                          </w:sdt>
                          <w:r>
                            <w:rPr>
                              <w:color w:val="000000"/>
                            </w:rPr>
                            <w:t xml:space="preserve">.  Persikeliantis asmuo muitinės įstaigai turi pateikti dokumentus, įrodančius, kad ne trumpiau kaip 12 paskutinių mėnesių jis gyveno už Europos Sąjungos teritorijos, ir leidimą gyventi Lietuvos Respublikoje, kuris galioja ne trumpiau kaip 12 mėnesių, jeigu šį leidimą būtina turėti. </w:t>
                          </w:r>
                          <w:r>
                            <w:rPr>
                              <w:b/>
                              <w:color w:val="000000"/>
                            </w:rPr>
                            <w:t>Reikalavimas pateikti ne trumpiau kaip 12 mėnesių galiojantį leidimą gyventi Lietuvos Respublikoje netaikomas persikeliantiems asmenims, kuriems suteikta laikinoji apsauga ir kurie muitinės įstaigai pateikia leidimą laikinai gyventi Lietuvos Respublikoje, išduotą Lietuvos Respublikos įstatymo „Dėl užsieniečių teisinės padėties“ 40 straipsnio 1 dalies 10 punkte nustatytu pagrindu, arba Migracijos departamento prie Lietuvos Respublikos vidaus reikalų ministerijos sprendimą suteikti užsieniečiui laikinąją apsaugą.</w:t>
                          </w:r>
                          <w:r>
                            <w:rPr>
                              <w:color w:val="000000"/>
                            </w:rPr>
                            <w:t>“</w:t>
                          </w:r>
                        </w:p>
                      </w:sdtContent>
                    </w:sdt>
                  </w:sdtContent>
                </w:sdt>
              </w:sdtContent>
            </w:sdt>
            <w:sdt>
              <w:sdtPr>
                <w:alias w:val="2.6 pp."/>
                <w:tag w:val="part_4bccca2079a947fba50bc277e83d2e2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rPr>
                  </w:pPr>
                  <w:sdt>
                    <w:sdtPr>
                      <w:alias w:val="Numeris"/>
                      <w:tag w:val="nr_4bccca2079a947fba50bc277e83d2e24"/>
                      <w:lock w:val="sdtLocked"/>
                      <w:richText/>
                    </w:sdtPr>
                    <w:sdtContent>
                      <w:r>
                        <w:rPr>
                          <w:color w:val="000000"/>
                          <w:szCs w:val="24"/>
                        </w:rPr>
                        <w:t>2.6</w:t>
                      </w:r>
                    </w:sdtContent>
                  </w:sdt>
                  <w:r>
                    <w:rPr>
                      <w:color w:val="000000"/>
                      <w:szCs w:val="24"/>
                    </w:rPr>
                    <w:t>. Pakeisti 9 punktą ir jį išdėstyti taip:</w:t>
                  </w:r>
                </w:p>
                <w:sdt>
                  <w:sdtPr>
                    <w:alias w:val="citata"/>
                    <w:tag w:val="part_d61e1683933a4b109282eb9107d37d86"/>
                    <w:lock w:val="sdtLocked"/>
                    <w:richText/>
                  </w:sdtPr>
                  <w:sdtContent>
                    <w:sdt>
                      <w:sdtPr>
                        <w:alias w:val="9 p."/>
                        <w:tag w:val="part_c1c6a0ac721b440da518b68cee68f47c"/>
                        <w:lock w:val="sdtLocked"/>
                        <w:richText/>
                      </w:sdtPr>
                      <w:sdtContent>
                        <w:p>
                          <w:pPr>
                            <w:spacing w:line="360" w:lineRule="atLeast"/>
                            <w:ind w:firstLine="720"/>
                            <w:jc w:val="both"/>
                            <w:rPr>
                              <w:szCs w:val="24"/>
                              <w:lang w:eastAsia="lt-LT"/>
                            </w:rPr>
                          </w:pPr>
                          <w:r>
                            <w:rPr>
                              <w:szCs w:val="24"/>
                              <w:lang w:eastAsia="lt-LT"/>
                            </w:rPr>
                            <w:t>„</w:t>
                          </w:r>
                          <w:sdt>
                            <w:sdtPr>
                              <w:alias w:val="Numeris"/>
                              <w:tag w:val="nr_c1c6a0ac721b440da518b68cee68f47c"/>
                              <w:lock w:val="sdtLocked"/>
                              <w:richText/>
                            </w:sdtPr>
                            <w:sdtContent>
                              <w:r>
                                <w:rPr>
                                  <w:szCs w:val="24"/>
                                  <w:lang w:eastAsia="lt-LT"/>
                                </w:rPr>
                                <w:t>9</w:t>
                              </w:r>
                            </w:sdtContent>
                          </w:sdt>
                          <w:r>
                            <w:rPr>
                              <w:szCs w:val="24"/>
                              <w:lang w:eastAsia="lt-LT"/>
                            </w:rPr>
                            <w:t xml:space="preserve">. Taisyklių 8 punkte nustatytas reikalavimas dėl asmeninių daiktų importavimo laiko netaikomas tuo atveju, kai persikeliantis asmuo importuoja Lietuvos Respublikoje asmeninius daiktus dar neturėdamas nuolatinės gyvenamosios vietos Lietuvos Respublikoje, tačiau ketina Lietuvos Respublikoje apsigyventi per 6 mėnesius nuo pirmos importuojamų daiktų siuntos išleidimo į laisvą apyvartą dienos. Šiuo atveju </w:t>
                          </w:r>
                          <w:r>
                            <w:rPr>
                              <w:b/>
                              <w:bCs/>
                              <w:szCs w:val="24"/>
                              <w:lang w:eastAsia="lt-LT"/>
                            </w:rPr>
                            <w:t xml:space="preserve">Reglamento </w:t>
                          </w:r>
                          <w:fldSimple w:instr="HYPERLINK http://eur-lex.europa.eu/legal-content/LIT/TXT/?uri=CELEX:32009R1186&amp;locale=lt \t _blank">
                            <w:r>
                              <w:rPr>
                                <w:b/>
                                <w:bCs/>
                                <w:szCs w:val="24"/>
                                <w:lang w:eastAsia="lt-LT"/>
                                <w:u w:val="single"/>
                                <w:color w:val="0000FF" w:themeColor="hyperlink"/>
                              </w:rPr>
                              <w:t>(EB) Nr. 1186/2009</w:t>
                            </w:r>
                          </w:fldSimple>
                          <w:r>
                            <w:rPr>
                              <w:b/>
                              <w:bCs/>
                              <w:szCs w:val="24"/>
                              <w:lang w:eastAsia="lt-LT"/>
                            </w:rPr>
                            <w:t xml:space="preserve"> 4 straipsnio a punkte nustatytas laikotarpis skaičiuojamas nuo pirmos importuojamų daiktų siuntos išleidimo į laisvą apyvartą dienos, taip pat </w:t>
                          </w:r>
                          <w:r>
                            <w:rPr>
                              <w:szCs w:val="24"/>
                              <w:lang w:eastAsia="lt-LT"/>
                            </w:rPr>
                            <w:t xml:space="preserve">muitinės </w:t>
                          </w:r>
                          <w:r>
                            <w:rPr>
                              <w:strike/>
                              <w:szCs w:val="24"/>
                              <w:lang w:eastAsia="lt-LT"/>
                            </w:rPr>
                            <w:t>įstaiga turi teisę pareikalauti pateikti</w:t>
                          </w:r>
                          <w:r>
                            <w:rPr>
                              <w:szCs w:val="24"/>
                              <w:lang w:eastAsia="lt-LT"/>
                            </w:rPr>
                            <w:t xml:space="preserve"> </w:t>
                          </w:r>
                          <w:r>
                            <w:rPr>
                              <w:b/>
                              <w:szCs w:val="24"/>
                              <w:lang w:eastAsia="lt-LT"/>
                            </w:rPr>
                            <w:t xml:space="preserve">įstaigai pateikiama </w:t>
                          </w:r>
                          <w:r>
                            <w:rPr>
                              <w:strike/>
                              <w:szCs w:val="24"/>
                              <w:lang w:eastAsia="lt-LT"/>
                            </w:rPr>
                            <w:t>garantiją</w:t>
                          </w:r>
                          <w:r>
                            <w:rPr>
                              <w:szCs w:val="24"/>
                              <w:lang w:eastAsia="lt-LT"/>
                            </w:rPr>
                            <w:t xml:space="preserve"> </w:t>
                          </w:r>
                          <w:r>
                            <w:rPr>
                              <w:b/>
                              <w:szCs w:val="24"/>
                              <w:lang w:eastAsia="lt-LT"/>
                            </w:rPr>
                            <w:t>garantija</w:t>
                          </w:r>
                          <w:r>
                            <w:rPr>
                              <w:szCs w:val="24"/>
                              <w:lang w:eastAsia="lt-LT"/>
                            </w:rPr>
                            <w:t>,</w:t>
                          </w:r>
                          <w:r>
                            <w:rPr>
                              <w:b/>
                              <w:szCs w:val="24"/>
                              <w:lang w:eastAsia="lt-LT"/>
                            </w:rPr>
                            <w:t xml:space="preserve"> </w:t>
                          </w:r>
                          <w:r>
                            <w:rPr>
                              <w:strike/>
                              <w:szCs w:val="24"/>
                              <w:lang w:eastAsia="lt-LT"/>
                            </w:rPr>
                            <w:t>užtikrinančią</w:t>
                          </w:r>
                          <w:r>
                            <w:rPr>
                              <w:szCs w:val="24"/>
                              <w:lang w:eastAsia="lt-LT"/>
                            </w:rPr>
                            <w:t xml:space="preserve"> </w:t>
                          </w:r>
                          <w:r>
                            <w:rPr>
                              <w:b/>
                              <w:szCs w:val="24"/>
                              <w:lang w:eastAsia="lt-LT"/>
                            </w:rPr>
                            <w:t>užtikrinanti</w:t>
                          </w:r>
                          <w:r>
                            <w:rPr>
                              <w:szCs w:val="24"/>
                              <w:lang w:eastAsia="lt-LT"/>
                            </w:rPr>
                            <w:t xml:space="preserve"> mokestinės prievolės įvykdymą.“</w:t>
                          </w:r>
                        </w:p>
                      </w:sdtContent>
                    </w:sdt>
                  </w:sdtContent>
                </w:sdt>
              </w:sdtContent>
            </w:sdt>
            <w:sdt>
              <w:sdtPr>
                <w:alias w:val="2.7 pp."/>
                <w:tag w:val="part_cefa78543b854542975c6fa752e88b7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rPr>
                  </w:pPr>
                  <w:sdt>
                    <w:sdtPr>
                      <w:alias w:val="Numeris"/>
                      <w:tag w:val="nr_cefa78543b854542975c6fa752e88b71"/>
                      <w:lock w:val="sdtLocked"/>
                      <w:richText/>
                    </w:sdtPr>
                    <w:sdtContent>
                      <w:r>
                        <w:rPr>
                          <w:color w:val="000000"/>
                          <w:szCs w:val="24"/>
                        </w:rPr>
                        <w:t>2.7</w:t>
                      </w:r>
                    </w:sdtContent>
                  </w:sdt>
                  <w:r>
                    <w:rPr>
                      <w:color w:val="000000"/>
                      <w:szCs w:val="24"/>
                    </w:rPr>
                    <w:t>. Pakeisti 11 punktą ir jį išdėstyti taip:</w:t>
                  </w:r>
                </w:p>
                <w:sdt>
                  <w:sdtPr>
                    <w:alias w:val="citata"/>
                    <w:tag w:val="part_85a11cbc29d2474392eef027450ec5f5"/>
                    <w:lock w:val="sdtLocked"/>
                    <w:richText/>
                  </w:sdtPr>
                  <w:sdtContent>
                    <w:sdt>
                      <w:sdtPr>
                        <w:alias w:val="11 p."/>
                        <w:tag w:val="part_e7f1e62bc6924119ad7e04c3d15b8507"/>
                        <w:lock w:val="sdtLocked"/>
                        <w:richText/>
                      </w:sdtPr>
                      <w:sdtContent>
                        <w:p>
                          <w:pPr>
                            <w:spacing w:line="360" w:lineRule="atLeast"/>
                            <w:ind w:firstLine="720"/>
                            <w:jc w:val="both"/>
                            <w:rPr>
                              <w:szCs w:val="24"/>
                              <w:lang w:eastAsia="lt-LT"/>
                            </w:rPr>
                          </w:pPr>
                          <w:r>
                            <w:rPr>
                              <w:szCs w:val="24"/>
                              <w:lang w:eastAsia="lt-LT"/>
                            </w:rPr>
                            <w:t>„</w:t>
                          </w:r>
                          <w:sdt>
                            <w:sdtPr>
                              <w:alias w:val="Numeris"/>
                              <w:tag w:val="nr_e7f1e62bc6924119ad7e04c3d15b8507"/>
                              <w:lock w:val="sdtLocked"/>
                              <w:richText/>
                            </w:sdtPr>
                            <w:sdtContent>
                              <w:r>
                                <w:rPr>
                                  <w:szCs w:val="24"/>
                                  <w:lang w:eastAsia="lt-LT"/>
                                </w:rPr>
                                <w:t>11</w:t>
                              </w:r>
                            </w:sdtContent>
                          </w:sdt>
                          <w:r>
                            <w:rPr>
                              <w:szCs w:val="24"/>
                              <w:lang w:eastAsia="lt-LT"/>
                            </w:rPr>
                            <w:t xml:space="preserve">. Muitinės įstaiga, remdamasi muitinės deklaracijoje, priimtoje išleidžiant asmeninius daiktus į laisvą apyvartą, asmens pranešime nurodytais ir (arba) kitaip gautais duomenimis, apskaičiuoja mokėtiną importo PVM pagal PVM tarifą, galiojusį asmeninių daiktų perleidimo dieną, ir tą dieną nustatytą jų apmokestinamąją vertę. Apskaičiuotas ir mokėtinas importo PVM sumokamas </w:t>
                          </w:r>
                          <w:r>
                            <w:rPr>
                              <w:strike/>
                              <w:szCs w:val="24"/>
                              <w:lang w:eastAsia="lt-LT"/>
                            </w:rPr>
                            <w:t>Mokesčių mokėjimo muitinėje</w:t>
                          </w:r>
                          <w:r>
                            <w:rPr>
                              <w:szCs w:val="24"/>
                              <w:lang w:eastAsia="lt-LT"/>
                            </w:rPr>
                            <w:t xml:space="preserve"> </w:t>
                          </w:r>
                          <w:r>
                            <w:rPr>
                              <w:b/>
                              <w:bCs/>
                              <w:szCs w:val="24"/>
                              <w:lang w:eastAsia="lt-LT"/>
                            </w:rPr>
                            <w:t xml:space="preserve">Muitinės administruojamų mokesčių ir su jais susijusių sumų mokėjimo </w:t>
                          </w:r>
                          <w:r>
                            <w:rPr>
                              <w:szCs w:val="24"/>
                              <w:lang w:eastAsia="lt-LT"/>
                            </w:rPr>
                            <w:t xml:space="preserve">taisyklių, patvirtintų Lietuvos Respublikos Vyriausybės 1996 m. birželio 24 d. nutarimu Nr. 748 „Dėl </w:t>
                          </w:r>
                          <w:r>
                            <w:rPr>
                              <w:strike/>
                              <w:szCs w:val="24"/>
                              <w:lang w:eastAsia="lt-LT"/>
                            </w:rPr>
                            <w:t>Mokesčių mokėjimo muitinėje</w:t>
                          </w:r>
                          <w:r>
                            <w:rPr>
                              <w:szCs w:val="24"/>
                              <w:lang w:eastAsia="lt-LT"/>
                            </w:rPr>
                            <w:t xml:space="preserve"> </w:t>
                          </w:r>
                          <w:r>
                            <w:rPr>
                              <w:b/>
                              <w:bCs/>
                              <w:szCs w:val="24"/>
                              <w:lang w:eastAsia="lt-LT"/>
                            </w:rPr>
                            <w:t>Muitinės administruojamų mokesčių ir su jais susijusių sumų mokėjimo</w:t>
                          </w:r>
                          <w:r>
                            <w:rPr>
                              <w:szCs w:val="24"/>
                              <w:lang w:eastAsia="lt-LT"/>
                            </w:rPr>
                            <w:t xml:space="preserve"> taisyklių patvirtinimo“ (toliau – </w:t>
                          </w:r>
                          <w:r>
                            <w:rPr>
                              <w:strike/>
                              <w:szCs w:val="24"/>
                              <w:lang w:eastAsia="lt-LT"/>
                            </w:rPr>
                            <w:t>Mokesčių mokėjimo muitinėje</w:t>
                          </w:r>
                          <w:r>
                            <w:rPr>
                              <w:b/>
                              <w:bCs/>
                              <w:szCs w:val="24"/>
                              <w:lang w:eastAsia="lt-LT"/>
                            </w:rPr>
                            <w:t xml:space="preserve"> Muitinės administruojamų mokesčių ir su jais susijusių sumų mokėjimo</w:t>
                          </w:r>
                          <w:r>
                            <w:rPr>
                              <w:szCs w:val="24"/>
                              <w:lang w:eastAsia="lt-LT"/>
                            </w:rPr>
                            <w:t xml:space="preserve"> taisyklės), nustatyta tvarka. </w:t>
                          </w:r>
                          <w:r>
                            <w:rPr>
                              <w:strike/>
                              <w:szCs w:val="24"/>
                              <w:lang w:eastAsia="lt-LT"/>
                            </w:rPr>
                            <w:t>Nesumokėtos importo PVM ir delspinigių sumos išieškomos Lietuvos Respublikos mokesčių administravimo įstatymo (toliau – Mokesčių administravimo įstatymas) nustatyta tvarka.</w:t>
                          </w:r>
                          <w:r>
                            <w:rPr>
                              <w:szCs w:val="24"/>
                              <w:lang w:eastAsia="lt-LT"/>
                            </w:rPr>
                            <w:t xml:space="preserve"> Šiame punkte nurodytu atveju </w:t>
                          </w:r>
                          <w:r>
                            <w:rPr>
                              <w:strike/>
                              <w:szCs w:val="24"/>
                              <w:lang w:eastAsia="lt-LT"/>
                            </w:rPr>
                            <w:t>Mokesčių mokėjimo muitinėje</w:t>
                          </w:r>
                          <w:r>
                            <w:rPr>
                              <w:b/>
                              <w:bCs/>
                              <w:szCs w:val="24"/>
                              <w:lang w:eastAsia="lt-LT"/>
                            </w:rPr>
                            <w:t xml:space="preserve"> Muitinės administruojamų mokesčių ir su jais susijusių sumų mokėjimo</w:t>
                          </w:r>
                          <w:r>
                            <w:rPr>
                              <w:szCs w:val="24"/>
                              <w:lang w:eastAsia="lt-LT"/>
                            </w:rPr>
                            <w:t xml:space="preserve"> taisyklių nustatytu laiku nesumokėjus importo PVM, skaičiuojami delspinigiai </w:t>
                          </w:r>
                          <w:r>
                            <w:rPr>
                              <w:b/>
                              <w:bCs/>
                              <w:szCs w:val="24"/>
                              <w:lang w:eastAsia="lt-LT"/>
                            </w:rPr>
                            <w:t xml:space="preserve">Lietuvos Respublikos </w:t>
                          </w:r>
                          <w:r>
                            <w:rPr>
                              <w:strike/>
                              <w:szCs w:val="24"/>
                              <w:lang w:eastAsia="lt-LT"/>
                            </w:rPr>
                            <w:t>Mokesčių</w:t>
                          </w:r>
                          <w:r>
                            <w:rPr>
                              <w:szCs w:val="24"/>
                              <w:lang w:eastAsia="lt-LT"/>
                            </w:rPr>
                            <w:t xml:space="preserve"> </w:t>
                          </w:r>
                          <w:r>
                            <w:rPr>
                              <w:b/>
                              <w:szCs w:val="24"/>
                              <w:lang w:eastAsia="lt-LT"/>
                            </w:rPr>
                            <w:t xml:space="preserve">mokesčių </w:t>
                          </w:r>
                          <w:r>
                            <w:rPr>
                              <w:szCs w:val="24"/>
                              <w:lang w:eastAsia="lt-LT"/>
                            </w:rPr>
                            <w:t xml:space="preserve">administravimo įstatymo nustatyta tvarka. </w:t>
                          </w:r>
                          <w:r>
                            <w:rPr>
                              <w:b/>
                              <w:bCs/>
                              <w:szCs w:val="24"/>
                              <w:lang w:eastAsia="lt-LT"/>
                            </w:rPr>
                            <w:t>Nesumokėtos importo PVM ir delspinigių sumos išieškomos Mokesčių administravimo įstatymo nustatyta tvarka</w:t>
                          </w:r>
                          <w:r>
                            <w:rPr>
                              <w:szCs w:val="24"/>
                              <w:lang w:eastAsia="lt-LT"/>
                            </w:rPr>
                            <w:t>.“</w:t>
                          </w:r>
                        </w:p>
                      </w:sdtContent>
                    </w:sdt>
                  </w:sdtContent>
                </w:sdt>
              </w:sdtContent>
            </w:sdt>
            <w:sdt>
              <w:sdtPr>
                <w:alias w:val="2.8 pp."/>
                <w:tag w:val="part_797880d7bdd843a698a86ca49d9a82c8"/>
                <w:lock w:val="sdtLocked"/>
                <w:richText/>
              </w:sdtPr>
              <w:sdtContent>
                <w:p>
                  <w:pPr>
                    <w:spacing w:line="360" w:lineRule="atLeast"/>
                    <w:ind w:firstLine="720"/>
                    <w:jc w:val="both"/>
                    <w:rPr>
                      <w:szCs w:val="24"/>
                      <w:lang w:eastAsia="lt-LT"/>
                    </w:rPr>
                  </w:pPr>
                  <w:sdt>
                    <w:sdtPr>
                      <w:alias w:val="Numeris"/>
                      <w:tag w:val="nr_797880d7bdd843a698a86ca49d9a82c8"/>
                      <w:lock w:val="sdtLocked"/>
                      <w:richText/>
                    </w:sdtPr>
                    <w:sdtContent>
                      <w:r>
                        <w:rPr>
                          <w:szCs w:val="24"/>
                          <w:lang w:eastAsia="lt-LT"/>
                        </w:rPr>
                        <w:t>2.8</w:t>
                      </w:r>
                    </w:sdtContent>
                  </w:sdt>
                  <w:r>
                    <w:rPr>
                      <w:szCs w:val="24"/>
                      <w:lang w:eastAsia="lt-LT"/>
                    </w:rPr>
                    <w:t>. Pakeisti 12 punktą ir jį išdėstyti taip:</w:t>
                  </w:r>
                </w:p>
                <w:sdt>
                  <w:sdtPr>
                    <w:alias w:val="citata"/>
                    <w:tag w:val="part_beef89b1da8e441d8e421bdf80a1b0e6"/>
                    <w:lock w:val="sdtLocked"/>
                    <w:richText/>
                  </w:sdtPr>
                  <w:sdtContent>
                    <w:sdt>
                      <w:sdtPr>
                        <w:alias w:val="12 p."/>
                        <w:tag w:val="part_b02cb6e26c264a919c9f0047d505b06b"/>
                        <w:lock w:val="sdtLocked"/>
                        <w:richText/>
                      </w:sdtPr>
                      <w:sdtContent>
                        <w:p>
                          <w:pPr>
                            <w:spacing w:line="360" w:lineRule="atLeast"/>
                            <w:ind w:firstLine="720"/>
                            <w:jc w:val="both"/>
                            <w:rPr>
                              <w:szCs w:val="24"/>
                              <w:lang w:eastAsia="lt-LT"/>
                            </w:rPr>
                          </w:pPr>
                          <w:r>
                            <w:rPr>
                              <w:szCs w:val="24"/>
                              <w:lang w:eastAsia="lt-LT"/>
                            </w:rPr>
                            <w:t>„</w:t>
                          </w:r>
                          <w:sdt>
                            <w:sdtPr>
                              <w:alias w:val="Numeris"/>
                              <w:tag w:val="nr_b02cb6e26c264a919c9f0047d505b06b"/>
                              <w:lock w:val="sdtLocked"/>
                              <w:richText/>
                            </w:sdtPr>
                            <w:sdtContent>
                              <w:r>
                                <w:rPr>
                                  <w:szCs w:val="24"/>
                                  <w:lang w:eastAsia="lt-LT"/>
                                </w:rPr>
                                <w:t>12</w:t>
                              </w:r>
                            </w:sdtContent>
                          </w:sdt>
                          <w:r>
                            <w:rPr>
                              <w:szCs w:val="24"/>
                              <w:lang w:eastAsia="lt-LT"/>
                            </w:rPr>
                            <w:t>. Pridėtinės vertės mokesčio įstatymo 40 straipsnio 1 dalies 1 punkte nustatytas neapmokestinimas importo PVM taikomas ir asmens, kuris persikelia dėl susijusių su darbo veikla aplinkybių ir persikėlimo metu dar neturi nuolatinės gyvenamosios vietos Lietuvos Respublikoje, tačiau po kurio laiko ketina joje apsigyventi, asmeniniams daiktams. Šiuo atveju:</w:t>
                          </w:r>
                        </w:p>
                        <w:sdt>
                          <w:sdtPr>
                            <w:alias w:val="12.1 pp."/>
                            <w:tag w:val="part_1104dfd6dbf64bb3a17ec7899a970320"/>
                            <w:lock w:val="sdtLocked"/>
                            <w:richText/>
                          </w:sdtPr>
                          <w:sdtContent>
                            <w:p>
                              <w:pPr>
                                <w:spacing w:line="360" w:lineRule="atLeast"/>
                                <w:ind w:firstLine="720"/>
                                <w:jc w:val="both"/>
                                <w:textAlignment w:val="baseline"/>
                                <w:rPr>
                                  <w:szCs w:val="24"/>
                                  <w:lang w:eastAsia="lt-LT"/>
                                </w:rPr>
                              </w:pPr>
                              <w:sdt>
                                <w:sdtPr>
                                  <w:alias w:val="Numeris"/>
                                  <w:tag w:val="nr_1104dfd6dbf64bb3a17ec7899a970320"/>
                                  <w:lock w:val="sdtLocked"/>
                                  <w:richText/>
                                </w:sdtPr>
                                <w:sdtContent>
                                  <w:r>
                                    <w:rPr>
                                      <w:szCs w:val="24"/>
                                    </w:rPr>
                                    <w:t>12.1</w:t>
                                  </w:r>
                                </w:sdtContent>
                              </w:sdt>
                              <w:r>
                                <w:rPr>
                                  <w:szCs w:val="24"/>
                                </w:rPr>
                                <w:t xml:space="preserve">. muitinės </w:t>
                              </w:r>
                              <w:r>
                                <w:rPr>
                                  <w:strike/>
                                  <w:szCs w:val="24"/>
                                </w:rPr>
                                <w:t>įstaiga turi teisę pareikalauti, kad toks asmuo pateiktų garantiją</w:t>
                              </w:r>
                              <w:r>
                                <w:rPr>
                                  <w:szCs w:val="24"/>
                                </w:rPr>
                                <w:t xml:space="preserve"> </w:t>
                              </w:r>
                              <w:r>
                                <w:rPr>
                                  <w:b/>
                                  <w:szCs w:val="24"/>
                                </w:rPr>
                                <w:t>įstaigai pateikiama garantija</w:t>
                              </w:r>
                              <w:r>
                                <w:rPr>
                                  <w:szCs w:val="24"/>
                                </w:rPr>
                                <w:t xml:space="preserve">, </w:t>
                              </w:r>
                              <w:r>
                                <w:rPr>
                                  <w:strike/>
                                  <w:szCs w:val="24"/>
                                </w:rPr>
                                <w:t>užtikrinančią</w:t>
                              </w:r>
                              <w:r>
                                <w:rPr>
                                  <w:szCs w:val="24"/>
                                </w:rPr>
                                <w:t xml:space="preserve"> </w:t>
                              </w:r>
                              <w:r>
                                <w:rPr>
                                  <w:b/>
                                  <w:szCs w:val="24"/>
                                </w:rPr>
                                <w:t xml:space="preserve">užtikrinanti </w:t>
                              </w:r>
                              <w:r>
                                <w:rPr>
                                  <w:szCs w:val="24"/>
                                </w:rPr>
                                <w:t xml:space="preserve">mokestinės prievolės įvykdymą. Minėtos garantijos muitinės įstaiga pateikti nereikalauja, jeigu fizinis asmuo </w:t>
                              </w:r>
                              <w:r>
                                <w:rPr>
                                  <w:strike/>
                                  <w:szCs w:val="24"/>
                                </w:rPr>
                                <w:t xml:space="preserve">Reglamento </w:t>
                              </w:r>
                              <w:fldSimple w:instr="HYPERLINK http://eur-lex.europa.eu/legal-content/LIT/TXT/?uri=CELEX:32009R1186&amp;locale=lt \t _blank">
                                <w:r>
                                  <w:rPr>
                                    <w:strike/>
                                    <w:szCs w:val="24"/>
                                    <w:u w:val="single"/>
                                    <w:color w:val="0000FF" w:themeColor="hyperlink"/>
                                  </w:rPr>
                                  <w:t>(EB) Nr. 1186/2009</w:t>
                                </w:r>
                              </w:fldSimple>
                              <w:r>
                                <w:rPr>
                                  <w:strike/>
                                  <w:szCs w:val="24"/>
                                </w:rPr>
                                <w:t xml:space="preserve"> 10 straipsnio 1 dalyje nurodytomis aplinkybėmis keičia nuolatinę gyvenamąją vietą ir atvyksta gyventi į Lietuvos Respubliką bei</w:t>
                              </w:r>
                              <w:r>
                                <w:rPr>
                                  <w:szCs w:val="24"/>
                                </w:rPr>
                                <w:t xml:space="preserve"> muitinės įstaigai pateikia darbo sutartį, sudarytą su juridiniu asmeniu, kuris </w:t>
                              </w:r>
                              <w:r>
                                <w:rPr>
                                  <w:color w:val="000000"/>
                                  <w:szCs w:val="24"/>
                                </w:rPr>
                                <w:t xml:space="preserve">Lietuvos Respublikos investicijų įstatymo nustatyta tvarka </w:t>
                              </w:r>
                              <w:r>
                                <w:rPr>
                                  <w:szCs w:val="24"/>
                                </w:rPr>
                                <w:t xml:space="preserve">su </w:t>
                              </w:r>
                              <w:r>
                                <w:rPr>
                                  <w:color w:val="000000"/>
                                  <w:szCs w:val="24"/>
                                </w:rPr>
                                <w:t xml:space="preserve">Lietuvos Respublikos Vyriausybe ar jos įgaliota institucija yra sudaręs investicijų sutartį (toliau – investicijų sutartis), arba tokio juridinio asmens įmonių grupės, kaip ji apibrėžiama Lietuvos Respublikos įmonių grupių konsoliduotosios </w:t>
                              </w:r>
                              <w:r>
                                <w:rPr>
                                  <w:strike/>
                                  <w:color w:val="000000"/>
                                  <w:szCs w:val="24"/>
                                </w:rPr>
                                <w:t>finansinės</w:t>
                              </w:r>
                              <w:r>
                                <w:rPr>
                                  <w:color w:val="000000"/>
                                  <w:szCs w:val="24"/>
                                </w:rPr>
                                <w:t xml:space="preserve"> atskaitomybės įstatyme, įmone</w:t>
                              </w:r>
                              <w:r>
                                <w:rPr>
                                  <w:szCs w:val="24"/>
                                </w:rPr>
                                <w:t xml:space="preserve">. </w:t>
                              </w:r>
                              <w:r>
                                <w:rPr>
                                  <w:color w:val="000000"/>
                                  <w:szCs w:val="24"/>
                                </w:rPr>
                                <w:t>Lietuvos Respublikos ekonomikos ir inovacijų ministerija savo interneto svetainėje skelbia sąrašą juridinių asmenų, su kuriais yra sudarytos investicijų sutartys. Sąraše nurodomos ir šių juridinių asmenų grupės įmonės, su kuriomis pasirašytą darbo sutartį fizinis asmuo gali pateikti muitinės įstaigai</w:t>
                              </w:r>
                              <w:r>
                                <w:rPr>
                                  <w:szCs w:val="24"/>
                                </w:rPr>
                                <w:t>;</w:t>
                              </w:r>
                            </w:p>
                          </w:sdtContent>
                        </w:sdt>
                        <w:sdt>
                          <w:sdtPr>
                            <w:alias w:val="12.2 pp."/>
                            <w:tag w:val="part_c613c0217d9841239dc03eef7fe08c66"/>
                            <w:lock w:val="sdtLocked"/>
                            <w:richText/>
                          </w:sdtPr>
                          <w:sdtContent>
                            <w:p>
                              <w:pPr>
                                <w:spacing w:line="360" w:lineRule="atLeast"/>
                                <w:ind w:firstLine="720"/>
                                <w:jc w:val="both"/>
                                <w:rPr>
                                  <w:szCs w:val="24"/>
                                  <w:lang w:eastAsia="lt-LT"/>
                                </w:rPr>
                              </w:pPr>
                              <w:sdt>
                                <w:sdtPr>
                                  <w:alias w:val="Numeris"/>
                                  <w:tag w:val="nr_c613c0217d9841239dc03eef7fe08c66"/>
                                  <w:lock w:val="sdtLocked"/>
                                  <w:richText/>
                                </w:sdtPr>
                                <w:sdtContent>
                                  <w:r>
                                    <w:rPr>
                                      <w:szCs w:val="24"/>
                                      <w:lang w:eastAsia="lt-LT"/>
                                    </w:rPr>
                                    <w:t>12.2</w:t>
                                  </w:r>
                                </w:sdtContent>
                              </w:sdt>
                              <w:r>
                                <w:rPr>
                                  <w:szCs w:val="24"/>
                                  <w:lang w:eastAsia="lt-LT"/>
                                </w:rPr>
                                <w:t xml:space="preserve">. šis asmuo turi pateikti muitinės įstaigai dokumentus, įrodančius aplinkybes, dėl kurių jis persikelia į Lietuvos Respubliką; </w:t>
                              </w:r>
                            </w:p>
                          </w:sdtContent>
                        </w:sdt>
                        <w:sdt>
                          <w:sdtPr>
                            <w:alias w:val="12.3 pp."/>
                            <w:tag w:val="part_5c0966cf7f014354bbc9cd43e42cdff1"/>
                            <w:lock w:val="sdtLocked"/>
                            <w:richText/>
                          </w:sdtPr>
                          <w:sdtContent>
                            <w:p>
                              <w:pPr>
                                <w:spacing w:line="360" w:lineRule="atLeast"/>
                                <w:ind w:firstLine="720"/>
                                <w:jc w:val="both"/>
                                <w:rPr>
                                  <w:szCs w:val="24"/>
                                  <w:lang w:eastAsia="lt-LT"/>
                                </w:rPr>
                              </w:pPr>
                              <w:sdt>
                                <w:sdtPr>
                                  <w:alias w:val="Numeris"/>
                                  <w:tag w:val="nr_5c0966cf7f014354bbc9cd43e42cdff1"/>
                                  <w:lock w:val="sdtLocked"/>
                                  <w:richText/>
                                </w:sdtPr>
                                <w:sdtContent>
                                  <w:r>
                                    <w:rPr>
                                      <w:szCs w:val="24"/>
                                      <w:lang w:eastAsia="lt-LT"/>
                                    </w:rPr>
                                    <w:t>12.3</w:t>
                                  </w:r>
                                </w:sdtContent>
                              </w:sdt>
                              <w:r>
                                <w:rPr>
                                  <w:szCs w:val="24"/>
                                  <w:lang w:eastAsia="lt-LT"/>
                                </w:rPr>
                                <w:t xml:space="preserve">. šio asmens asmeniniai daiktai turi būti importuojami (visi vienu metu arba keliomis atskiromis siuntomis) per 12 mėnesių nuo pirmos importuojamų daiktų siuntos išleidimo į laisvą apyvartą dienos </w:t>
                              </w:r>
                              <w:r>
                                <w:rPr>
                                  <w:lang w:eastAsia="lt-LT"/>
                                </w:rPr>
                                <w:t>(</w:t>
                              </w:r>
                              <w:r>
                                <w:rPr>
                                  <w:szCs w:val="24"/>
                                  <w:lang w:eastAsia="lt-LT"/>
                                </w:rPr>
                                <w:t>Muitinės departamento nustatyta tvarka ir atvejais šis laikotarpis muitinės įstaigos sprendimu gali būti pratęstas)</w:t>
                              </w:r>
                              <w:r>
                                <w:rPr>
                                  <w:strike/>
                                  <w:szCs w:val="24"/>
                                  <w:lang w:eastAsia="lt-LT"/>
                                </w:rPr>
                                <w:t>.</w:t>
                              </w:r>
                              <w:r>
                                <w:rPr>
                                  <w:b/>
                                  <w:szCs w:val="24"/>
                                  <w:lang w:eastAsia="lt-LT"/>
                                </w:rPr>
                                <w:t>;</w:t>
                              </w:r>
                            </w:p>
                          </w:sdtContent>
                        </w:sdt>
                        <w:sdt>
                          <w:sdtPr>
                            <w:alias w:val="12.4 pp."/>
                            <w:tag w:val="part_add50211ee37476e9e9e22935398d260"/>
                            <w:lock w:val="sdtLocked"/>
                            <w:richText/>
                          </w:sdtPr>
                          <w:sdtContent>
                            <w:p>
                              <w:pPr>
                                <w:spacing w:line="360" w:lineRule="atLeast"/>
                                <w:ind w:firstLine="720"/>
                                <w:jc w:val="both"/>
                                <w:rPr>
                                  <w:szCs w:val="24"/>
                                  <w:lang w:eastAsia="lt-LT"/>
                                </w:rPr>
                              </w:pPr>
                              <w:sdt>
                                <w:sdtPr>
                                  <w:alias w:val="Numeris"/>
                                  <w:tag w:val="nr_add50211ee37476e9e9e22935398d260"/>
                                  <w:lock w:val="sdtLocked"/>
                                  <w:richText/>
                                </w:sdtPr>
                                <w:sdtContent>
                                  <w:r>
                                    <w:rPr>
                                      <w:b/>
                                      <w:bCs/>
                                      <w:szCs w:val="24"/>
                                      <w:lang w:eastAsia="lt-LT"/>
                                    </w:rPr>
                                    <w:t>12.4</w:t>
                                  </w:r>
                                </w:sdtContent>
                              </w:sdt>
                              <w:r>
                                <w:rPr>
                                  <w:b/>
                                  <w:bCs/>
                                  <w:szCs w:val="24"/>
                                  <w:lang w:eastAsia="lt-LT"/>
                                </w:rPr>
                                <w:t xml:space="preserve">. Reglamento </w:t>
                              </w:r>
                              <w:fldSimple w:instr="HYPERLINK http://eur-lex.europa.eu/legal-content/LIT/TXT/?uri=CELEX:32009R1186&amp;locale=lt \t _blank">
                                <w:r>
                                  <w:rPr>
                                    <w:b/>
                                    <w:bCs/>
                                    <w:szCs w:val="24"/>
                                    <w:lang w:eastAsia="lt-LT"/>
                                    <w:u w:val="single"/>
                                    <w:color w:val="0000FF" w:themeColor="hyperlink"/>
                                  </w:rPr>
                                  <w:t>(EB) Nr. 1186/2009</w:t>
                                </w:r>
                              </w:fldSimple>
                              <w:r>
                                <w:rPr>
                                  <w:b/>
                                  <w:bCs/>
                                  <w:szCs w:val="24"/>
                                  <w:lang w:eastAsia="lt-LT"/>
                                </w:rPr>
                                <w:t xml:space="preserve"> 4 straipsnio a punkte nustatytas laikotarpis skaičiuojamas nuo pirmos importuojamų daiktų siuntos išleidimo į laisvą apyvartą dienos.</w:t>
                              </w:r>
                              <w:r>
                                <w:rPr>
                                  <w:szCs w:val="24"/>
                                  <w:lang w:eastAsia="lt-LT"/>
                                </w:rPr>
                                <w:t>“</w:t>
                              </w:r>
                            </w:p>
                          </w:sdtContent>
                        </w:sdt>
                      </w:sdtContent>
                    </w:sdt>
                  </w:sdtContent>
                </w:sdt>
              </w:sdtContent>
            </w:sdt>
            <w:sdt>
              <w:sdtPr>
                <w:alias w:val="2.9 pp."/>
                <w:tag w:val="part_e2e8cba9069e4443b705766f266b50b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rPr>
                  </w:pPr>
                  <w:sdt>
                    <w:sdtPr>
                      <w:alias w:val="Numeris"/>
                      <w:tag w:val="nr_e2e8cba9069e4443b705766f266b50b3"/>
                      <w:lock w:val="sdtLocked"/>
                      <w:richText/>
                    </w:sdtPr>
                    <w:sdtContent>
                      <w:r>
                        <w:rPr>
                          <w:color w:val="000000"/>
                          <w:szCs w:val="24"/>
                        </w:rPr>
                        <w:t>2.9</w:t>
                      </w:r>
                    </w:sdtContent>
                  </w:sdt>
                  <w:r>
                    <w:rPr>
                      <w:color w:val="000000"/>
                      <w:szCs w:val="24"/>
                    </w:rPr>
                    <w:t>. Papildyti 13</w:t>
                  </w:r>
                  <w:r>
                    <w:rPr>
                      <w:color w:val="000000"/>
                      <w:szCs w:val="24"/>
                      <w:vertAlign w:val="superscript"/>
                    </w:rPr>
                    <w:t>1</w:t>
                  </w:r>
                  <w:r>
                    <w:rPr>
                      <w:color w:val="000000"/>
                      <w:szCs w:val="24"/>
                    </w:rPr>
                    <w:t xml:space="preserve"> punktu:</w:t>
                  </w:r>
                </w:p>
                <w:sdt>
                  <w:sdtPr>
                    <w:alias w:val="citata"/>
                    <w:tag w:val="part_bb469cb574814e48a318da33b2eac364"/>
                    <w:lock w:val="sdtLocked"/>
                    <w:richText/>
                  </w:sdtPr>
                  <w:sdtContent>
                    <w:sdt>
                      <w:sdtPr>
                        <w:alias w:val="13-1 p."/>
                        <w:tag w:val="part_a159c8027ce841c69d1a30554d25509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
                              <w:bCs/>
                              <w:szCs w:val="24"/>
                              <w:lang w:eastAsia="lt-LT"/>
                            </w:rPr>
                          </w:pPr>
                          <w:r>
                            <w:rPr>
                              <w:bCs/>
                              <w:szCs w:val="24"/>
                              <w:lang w:eastAsia="lt-LT"/>
                            </w:rPr>
                            <w:t>„</w:t>
                          </w:r>
                          <w:sdt>
                            <w:sdtPr>
                              <w:alias w:val="Numeris"/>
                              <w:tag w:val="nr_a159c8027ce841c69d1a30554d25509a"/>
                              <w:lock w:val="sdtLocked"/>
                              <w:richText/>
                            </w:sdtPr>
                            <w:sdtContent>
                              <w:r>
                                <w:rPr>
                                  <w:b/>
                                  <w:bCs/>
                                  <w:szCs w:val="24"/>
                                  <w:lang w:eastAsia="lt-LT"/>
                                </w:rPr>
                                <w:t>13</w:t>
                              </w:r>
                              <w:r>
                                <w:rPr>
                                  <w:b/>
                                  <w:bCs/>
                                  <w:szCs w:val="24"/>
                                  <w:vertAlign w:val="superscript"/>
                                  <w:lang w:eastAsia="lt-LT"/>
                                </w:rPr>
                                <w:t>1</w:t>
                              </w:r>
                            </w:sdtContent>
                          </w:sdt>
                          <w:r>
                            <w:rPr>
                              <w:b/>
                              <w:bCs/>
                              <w:szCs w:val="24"/>
                              <w:lang w:eastAsia="lt-LT"/>
                            </w:rPr>
                            <w:t xml:space="preserve">. Jeigu persikeliantis asmuo nuolatinę gyvenamąją vietą keičia ir iš ne valstybės narės į Lietuvos Respubliką persikelia dėl išskirtinių politinių aplinkybių, Pridėtinės vertės mokesčio įstatymo 40 straipsnio 1 dalies 1 punkte nustatytas neapmokestinimas importo PVM taikomas neatsižvelgiant į Reglamento </w:t>
                          </w:r>
                          <w:fldSimple w:instr="HYPERLINK http://eur-lex.europa.eu/legal-content/LIT/TXT/?uri=CELEX:32009R1186&amp;locale=lt \t _blank">
                            <w:r>
                              <w:rPr>
                                <w:b/>
                                <w:bCs/>
                                <w:szCs w:val="24"/>
                                <w:lang w:eastAsia="lt-LT"/>
                                <w:u w:val="single"/>
                                <w:color w:val="0000FF" w:themeColor="hyperlink"/>
                              </w:rPr>
                              <w:t>(EB) Nr. 1186/2009</w:t>
                            </w:r>
                          </w:fldSimple>
                          <w:r>
                            <w:rPr>
                              <w:b/>
                              <w:bCs/>
                              <w:szCs w:val="24"/>
                              <w:lang w:eastAsia="lt-LT"/>
                            </w:rPr>
                            <w:t xml:space="preserve"> 4 straipsnio </w:t>
                          </w:r>
                          <w:r>
                            <w:rPr>
                              <w:b/>
                              <w:color w:val="000000"/>
                              <w:szCs w:val="24"/>
                              <w:lang w:eastAsia="lt-LT"/>
                            </w:rPr>
                            <w:t>a ir b</w:t>
                          </w:r>
                          <w:r>
                            <w:rPr>
                              <w:b/>
                              <w:bCs/>
                              <w:szCs w:val="24"/>
                              <w:lang w:eastAsia="lt-LT"/>
                            </w:rPr>
                            <w:t xml:space="preserve"> punktus bei Taisyklių 6.3 ir 6.4 papunkčius, taip pat netaikomos Taisyklių 10 ir 11 punktų nuostatos.</w:t>
                          </w:r>
                          <w:r>
                            <w:rPr>
                              <w:bCs/>
                              <w:szCs w:val="24"/>
                              <w:lang w:eastAsia="lt-LT"/>
                            </w:rPr>
                            <w:t xml:space="preserve"> </w:t>
                          </w:r>
                          <w:r>
                            <w:rPr>
                              <w:b/>
                              <w:bCs/>
                              <w:szCs w:val="24"/>
                              <w:lang w:eastAsia="lt-LT"/>
                            </w:rPr>
                            <w:t xml:space="preserve">Šio punkto nuostatos taikomos </w:t>
                          </w:r>
                          <w:r>
                            <w:rPr>
                              <w:b/>
                              <w:bCs/>
                              <w:color w:val="000000"/>
                            </w:rPr>
                            <w:t>asmeniui, kuris muitinės įstaigai pateikia leidimą laikinai gyventi Lietuvos Respublikoje, išduotą Lietuvos Respublikos įstatymo „Dėl užsieniečių teisinės padėties“ 40 straipsnio 1 dalies 9 ar 10 punkte nustatytu pagrindu, arba leidimą nuolat gyventi Lietuvos Respublikoje, išduotą Lietuvos Respublikos įstatymo „Dėl užsieniečių teisinės padėties“ 53 straipsnio 1 dalies 7 punkte nustatytu pagrindu.</w:t>
                          </w:r>
                          <w:r>
                            <w:rPr>
                              <w:bCs/>
                              <w:color w:val="000000"/>
                            </w:rPr>
                            <w:t>“</w:t>
                          </w:r>
                        </w:p>
                      </w:sdtContent>
                    </w:sdt>
                  </w:sdtContent>
                </w:sdt>
              </w:sdtContent>
            </w:sdt>
            <w:sdt>
              <w:sdtPr>
                <w:alias w:val="2.10 pp."/>
                <w:tag w:val="part_3a087d431d03476ea95f9da5395106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
                      <w:bCs/>
                      <w:szCs w:val="24"/>
                      <w:lang w:eastAsia="lt-LT"/>
                    </w:rPr>
                  </w:pPr>
                  <w:sdt>
                    <w:sdtPr>
                      <w:alias w:val="Numeris"/>
                      <w:tag w:val="nr_3a087d431d03476ea95f9da5395106e2"/>
                      <w:lock w:val="sdtLocked"/>
                      <w:richText/>
                    </w:sdtPr>
                    <w:sdtContent>
                      <w:r>
                        <w:rPr>
                          <w:bCs/>
                          <w:szCs w:val="24"/>
                          <w:lang w:eastAsia="lt-LT"/>
                        </w:rPr>
                        <w:t>2.10</w:t>
                      </w:r>
                    </w:sdtContent>
                  </w:sdt>
                  <w:r>
                    <w:rPr>
                      <w:bCs/>
                      <w:szCs w:val="24"/>
                      <w:lang w:eastAsia="lt-LT"/>
                    </w:rPr>
                    <w:t>. Pakeisti 16.2 papunktį ir jį išdėstyti taip:</w:t>
                  </w:r>
                </w:p>
                <w:sdt>
                  <w:sdtPr>
                    <w:alias w:val="citata"/>
                    <w:tag w:val="part_f4e1ec5d83fb46929b6bd43ca150bf29"/>
                    <w:lock w:val="sdtLocked"/>
                    <w:richText/>
                  </w:sdtPr>
                  <w:sdtContent>
                    <w:sdt>
                      <w:sdtPr>
                        <w:alias w:val="16.2 pp."/>
                        <w:tag w:val="part_4a15698d9fad4699afaadf3502645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rPr>
                          </w:pPr>
                          <w:r>
                            <w:rPr>
                              <w:bCs/>
                              <w:szCs w:val="24"/>
                              <w:lang w:eastAsia="lt-LT"/>
                            </w:rPr>
                            <w:t>„</w:t>
                          </w:r>
                          <w:sdt>
                            <w:sdtPr>
                              <w:alias w:val="Numeris"/>
                              <w:tag w:val="nr_4a15698d9fad4699afaadf3502645a65"/>
                              <w:lock w:val="sdtLocked"/>
                              <w:richText/>
                            </w:sdtPr>
                            <w:sdtContent>
                              <w:r>
                                <w:rPr>
                                  <w:color w:val="000000"/>
                                </w:rPr>
                                <w:t>16.2</w:t>
                              </w:r>
                            </w:sdtContent>
                          </w:sdt>
                          <w:r>
                            <w:rPr>
                              <w:color w:val="000000"/>
                            </w:rPr>
                            <w:t>. kitiems asmenims, kurių pagrindinė veikla – švietimas ar mokslinių tyrimų atlikimas ir kurie turi Lietuvos Respublikos švietimo</w:t>
                          </w:r>
                          <w:r>
                            <w:rPr>
                              <w:b/>
                              <w:color w:val="000000"/>
                            </w:rPr>
                            <w:t>, mokslo ir sporto</w:t>
                          </w:r>
                          <w:r>
                            <w:rPr>
                              <w:color w:val="000000"/>
                            </w:rPr>
                            <w:t xml:space="preserve"> </w:t>
                          </w:r>
                          <w:r>
                            <w:rPr>
                              <w:strike/>
                              <w:color w:val="000000"/>
                            </w:rPr>
                            <w:t>ir mokslo</w:t>
                          </w:r>
                          <w:r>
                            <w:rPr>
                              <w:color w:val="000000"/>
                            </w:rPr>
                            <w:t xml:space="preserve"> ministerijos ar kitos valstybės narės kompetentingos institucijos išduotą leidimą importuoti šias prekes be importo PVM.“</w:t>
                          </w:r>
                        </w:p>
                      </w:sdtContent>
                    </w:sdt>
                  </w:sdtContent>
                </w:sdt>
              </w:sdtContent>
            </w:sdt>
            <w:sdt>
              <w:sdtPr>
                <w:alias w:val="2.11 pp."/>
                <w:tag w:val="part_8924fb11d60f4999ab08afc22ec34e8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rPr>
                  </w:pPr>
                  <w:sdt>
                    <w:sdtPr>
                      <w:alias w:val="Numeris"/>
                      <w:tag w:val="nr_8924fb11d60f4999ab08afc22ec34e81"/>
                      <w:lock w:val="sdtLocked"/>
                      <w:richText/>
                    </w:sdtPr>
                    <w:sdtContent>
                      <w:r>
                        <w:rPr>
                          <w:color w:val="000000"/>
                        </w:rPr>
                        <w:t>2.11</w:t>
                      </w:r>
                    </w:sdtContent>
                  </w:sdt>
                  <w:r>
                    <w:rPr>
                      <w:color w:val="000000"/>
                    </w:rPr>
                    <w:t>. Pakeisti 17 punktą ir jį išdėstyti taip:</w:t>
                  </w:r>
                </w:p>
                <w:sdt>
                  <w:sdtPr>
                    <w:alias w:val="citata"/>
                    <w:tag w:val="part_af7f689fa2a247cf93dea8f0e20259a8"/>
                    <w:lock w:val="sdtLocked"/>
                    <w:richText/>
                  </w:sdtPr>
                  <w:sdtContent>
                    <w:sdt>
                      <w:sdtPr>
                        <w:alias w:val="17 p."/>
                        <w:tag w:val="part_7aa77accbfd940eb8d111e2796fdf11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rPr>
                          </w:pPr>
                          <w:r>
                            <w:rPr>
                              <w:color w:val="000000"/>
                            </w:rPr>
                            <w:t>„</w:t>
                          </w:r>
                          <w:sdt>
                            <w:sdtPr>
                              <w:alias w:val="Numeris"/>
                              <w:tag w:val="nr_7aa77accbfd940eb8d111e2796fdf111"/>
                              <w:lock w:val="sdtLocked"/>
                              <w:richText/>
                            </w:sdtPr>
                            <w:sdtContent>
                              <w:r>
                                <w:rPr>
                                  <w:color w:val="000000"/>
                                </w:rPr>
                                <w:t>17</w:t>
                              </w:r>
                            </w:sdtContent>
                          </w:sdt>
                          <w:r>
                            <w:rPr>
                              <w:color w:val="000000"/>
                            </w:rPr>
                            <w:t xml:space="preserve">. Importuojant Lietuvos Respublikoje prekes, kurios atitinka Pridėtinės vertės mokesčio įstatymo 40 straipsnio 1 dalies 7 punkto nuostatas, muitinės įstaigai turi būti pateiktas Taisyklių 16 punkte nurodytų asmenų registravimo pažymėjimas, o jeigu tai asmenys, nurodyti Taisyklių 16.2 papunktyje, – ir </w:t>
                          </w:r>
                          <w:r>
                            <w:rPr>
                              <w:strike/>
                              <w:color w:val="000000"/>
                            </w:rPr>
                            <w:t>Lietuvos Respublikos švietimo</w:t>
                          </w:r>
                          <w:r>
                            <w:rPr>
                              <w:color w:val="000000"/>
                            </w:rPr>
                            <w:t xml:space="preserve"> </w:t>
                          </w:r>
                          <w:r>
                            <w:rPr>
                              <w:b/>
                              <w:color w:val="000000"/>
                            </w:rPr>
                            <w:t>Švietimo, mokslo ir sporto</w:t>
                          </w:r>
                          <w:r>
                            <w:rPr>
                              <w:color w:val="000000"/>
                            </w:rPr>
                            <w:t xml:space="preserve"> </w:t>
                          </w:r>
                          <w:r>
                            <w:rPr>
                              <w:strike/>
                              <w:color w:val="000000"/>
                            </w:rPr>
                            <w:t>ir mokslo</w:t>
                          </w:r>
                          <w:r>
                            <w:rPr>
                              <w:color w:val="000000"/>
                            </w:rPr>
                            <w:t xml:space="preserve"> ministerijos ar kitos valstybės narės kompetentingos institucijos išduotas leidimas.“</w:t>
                          </w:r>
                        </w:p>
                      </w:sdtContent>
                    </w:sdt>
                  </w:sdtContent>
                </w:sdt>
              </w:sdtContent>
            </w:sdt>
            <w:sdt>
              <w:sdtPr>
                <w:alias w:val="2.12 pp."/>
                <w:tag w:val="part_d75bfcc850ee4616bf30425331e00c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rPr>
                  </w:pPr>
                  <w:sdt>
                    <w:sdtPr>
                      <w:alias w:val="Numeris"/>
                      <w:tag w:val="nr_d75bfcc850ee4616bf30425331e00c73"/>
                      <w:lock w:val="sdtLocked"/>
                      <w:richText/>
                    </w:sdtPr>
                    <w:sdtContent>
                      <w:r>
                        <w:rPr>
                          <w:color w:val="000000"/>
                        </w:rPr>
                        <w:t>2.12</w:t>
                      </w:r>
                    </w:sdtContent>
                  </w:sdt>
                  <w:r>
                    <w:rPr>
                      <w:color w:val="000000"/>
                    </w:rPr>
                    <w:t>. Pakeisti 18.2 papunktį ir jį išdėstyti taip:</w:t>
                  </w:r>
                </w:p>
                <w:sdt>
                  <w:sdtPr>
                    <w:alias w:val="citata"/>
                    <w:tag w:val="part_677598cd424b46729d4583a6e0d5e831"/>
                    <w:lock w:val="sdtLocked"/>
                    <w:richText/>
                  </w:sdtPr>
                  <w:sdtContent>
                    <w:sdt>
                      <w:sdtPr>
                        <w:alias w:val="18.2 pp."/>
                        <w:tag w:val="part_8ee4be100ed74882a55ac2eb3406686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r>
                            <w:rPr>
                              <w:color w:val="000000"/>
                            </w:rPr>
                            <w:t>„</w:t>
                          </w:r>
                          <w:sdt>
                            <w:sdtPr>
                              <w:alias w:val="Numeris"/>
                              <w:tag w:val="nr_8ee4be100ed74882a55ac2eb34066869"/>
                              <w:lock w:val="sdtLocked"/>
                              <w:richText/>
                            </w:sdtPr>
                            <w:sdtContent>
                              <w:r>
                                <w:rPr>
                                  <w:color w:val="000000"/>
                                </w:rPr>
                                <w:t>18.2</w:t>
                              </w:r>
                            </w:sdtContent>
                          </w:sdt>
                          <w:r>
                            <w:rPr>
                              <w:color w:val="000000"/>
                            </w:rPr>
                            <w:t xml:space="preserve">. nemokamai įsigytus ne parduoti skirtus mokomojo, mokslinio arba kultūrinio pobūdžio kolekcinius daiktus ir meno kūrinius, importuojamus muziejų, galerijų ir kitų ne pelno siekiančių juridinių asmenų, taip pat asmenų, kuriems kompetentingos institucijos (Lietuvos Respublikoje – </w:t>
                          </w:r>
                          <w:r>
                            <w:rPr>
                              <w:strike/>
                              <w:color w:val="000000"/>
                            </w:rPr>
                            <w:t>Lietuvos Respublikos švietimo</w:t>
                          </w:r>
                          <w:r>
                            <w:rPr>
                              <w:color w:val="000000"/>
                            </w:rPr>
                            <w:t xml:space="preserve"> </w:t>
                          </w:r>
                          <w:r>
                            <w:rPr>
                              <w:b/>
                              <w:color w:val="000000"/>
                            </w:rPr>
                            <w:t>Švietimo, mokslo ir sporto</w:t>
                          </w:r>
                          <w:r>
                            <w:rPr>
                              <w:color w:val="000000"/>
                            </w:rPr>
                            <w:t xml:space="preserve"> </w:t>
                          </w:r>
                          <w:r>
                            <w:rPr>
                              <w:strike/>
                              <w:color w:val="000000"/>
                            </w:rPr>
                            <w:t>ir mokslo</w:t>
                          </w:r>
                          <w:r>
                            <w:rPr>
                              <w:color w:val="000000"/>
                            </w:rPr>
                            <w:t xml:space="preserve"> ministerija ar Lietuvos Respublikos kultūros ministerija) suteikė leidimą (importuojant šis leidimas turi būti pateiktas muitinės įstaigai) juos importuoti be importo PVM. Jeigu šios prekės nebuvo įsigytos nemokamai, Pridėtinės vertės mokesčio įstatymo 40 straipsnio 1 dalies 18 punktas taikomas tik tuo atveju, jeigu jos įsigytos ne iš apmokestinamojo asmens;“.</w:t>
                          </w:r>
                        </w:p>
                      </w:sdtContent>
                    </w:sdt>
                  </w:sdtContent>
                </w:sdt>
              </w:sdtContent>
            </w:sdt>
            <w:sdt>
              <w:sdtPr>
                <w:alias w:val="2.13 pp."/>
                <w:tag w:val="part_331f23e1ee9946df89f543240333951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szCs w:val="24"/>
                    </w:rPr>
                  </w:pPr>
                  <w:sdt>
                    <w:sdtPr>
                      <w:alias w:val="Numeris"/>
                      <w:tag w:val="nr_331f23e1ee9946df89f5432403339513"/>
                      <w:lock w:val="sdtLocked"/>
                      <w:richText/>
                    </w:sdtPr>
                    <w:sdtContent>
                      <w:r>
                        <w:rPr>
                          <w:bCs/>
                          <w:szCs w:val="24"/>
                          <w:lang w:eastAsia="lt-LT"/>
                        </w:rPr>
                        <w:t>2.13</w:t>
                      </w:r>
                    </w:sdtContent>
                  </w:sdt>
                  <w:r>
                    <w:rPr>
                      <w:bCs/>
                      <w:szCs w:val="24"/>
                      <w:lang w:eastAsia="lt-LT"/>
                    </w:rPr>
                    <w:t>. Pakeisti 21 punktą ir jį išdėstyti taip:</w:t>
                  </w:r>
                </w:p>
                <w:sdt>
                  <w:sdtPr>
                    <w:alias w:val="citata"/>
                    <w:tag w:val="part_0b307dc8454d4c959f605956e30635d3"/>
                    <w:lock w:val="sdtLocked"/>
                    <w:richText/>
                  </w:sdtPr>
                  <w:sdtContent>
                    <w:sdt>
                      <w:sdtPr>
                        <w:alias w:val="21 p."/>
                        <w:tag w:val="part_e7340c15d70f4e1f970aedda4c47ae9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e7340c15d70f4e1f970aedda4c47ae91"/>
                              <w:lock w:val="sdtLocked"/>
                              <w:richText/>
                            </w:sdtPr>
                            <w:sdtContent>
                              <w:r>
                                <w:rPr>
                                  <w:szCs w:val="24"/>
                                  <w:lang w:eastAsia="lt-LT"/>
                                </w:rPr>
                                <w:t>21</w:t>
                              </w:r>
                            </w:sdtContent>
                          </w:sdt>
                          <w:r>
                            <w:rPr>
                              <w:szCs w:val="24"/>
                              <w:lang w:eastAsia="lt-LT"/>
                            </w:rPr>
                            <w:t xml:space="preserve">. Jeigu asmuo ketina Pridėtinės vertės mokesčio įstatymo 40 straipsnio 1 dalies 21 punkte nurodytas prekes, kurios buvo neapmokestintos importo PVM, išpilti iš kuro bakų, išskyrus atvejus, kai šios prekės išpilamos dėl transporto priemonės remonto, jis privalo iki šiame punkte nurodyto prekių išpylimo apie tai pranešti muitinės įstaigai, kurios veiklos zonoje prekes numato išpilti, ir ne vėliau kaip kitą darbo dieną po šiame punkte nurodyto prekių išpylimo pateikti duomenis, reikalingus importo PVM dydžiui nustatyti. Muitinės įstaiga, remdamasi asmens pranešime nurodytais ir (arba) kitaip gautais duomenimis, apskaičiuoja mokėtiną importo PVM pagal PVM tarifą, galiojusį prekių išpylimo dieną, ir tą dieną nustatytą prekių apmokestinamąją vertę. Apskaičiuotas ir mokėtinas importo PVM sumokamas </w:t>
                          </w:r>
                          <w:r>
                            <w:rPr>
                              <w:strike/>
                              <w:szCs w:val="24"/>
                              <w:lang w:eastAsia="lt-LT"/>
                            </w:rPr>
                            <w:t>Mokesčių mokėjimo muitinėje</w:t>
                          </w:r>
                          <w:r>
                            <w:rPr>
                              <w:b/>
                              <w:bCs/>
                              <w:szCs w:val="24"/>
                              <w:lang w:eastAsia="lt-LT"/>
                            </w:rPr>
                            <w:t xml:space="preserve"> Muitinės administruojamų mokesčių ir su jais susijusių sumų mokėjimo</w:t>
                          </w:r>
                          <w:r>
                            <w:rPr>
                              <w:szCs w:val="24"/>
                              <w:lang w:eastAsia="lt-LT"/>
                            </w:rPr>
                            <w:t xml:space="preserve"> taisyklių nustatyta tvarka. Jeigu asmuo Pridėtinės vertės mokesčio įstatymo 40 straipsnio 1 dalies 21 punkte nurodytas prekes, kurios buvo neapmokestintos importo PVM, išpila iš kuro bakų dėl būtino transporto priemonės remonto, jis apie tai privalo nedelsdamas, ne vėliau kaip kitą darbo dieną nuo tokio prekių išpylimo, pranešti muitinės įstaigai, kurios veiklos zonoje prekės išpiltos. Valstybinė mokesčių inspekcija, nustačiusi šiame punkte nurodytas aplinkybes, ar policijos pareigūnai, įtarę esant šiame punkte nurodytų prekių išpylimo atvejus, per 5 darbo dienas praneša apie tai muitinės įstaigai, kurios veiklos zonoje prekės išpiltos. </w:t>
                          </w:r>
                          <w:r>
                            <w:rPr>
                              <w:strike/>
                              <w:szCs w:val="24"/>
                              <w:lang w:eastAsia="lt-LT"/>
                            </w:rPr>
                            <w:t>Nesumokėtos importo PVM ir delspinigių sumos išieškomos Mokesčių administravimo įstatymo nustatyta tvarka.</w:t>
                          </w:r>
                          <w:r>
                            <w:rPr>
                              <w:szCs w:val="24"/>
                              <w:lang w:eastAsia="lt-LT"/>
                            </w:rPr>
                            <w:t xml:space="preserve"> Šiame punkte nurodytu atveju </w:t>
                          </w:r>
                          <w:r>
                            <w:rPr>
                              <w:strike/>
                              <w:szCs w:val="24"/>
                              <w:lang w:eastAsia="lt-LT"/>
                            </w:rPr>
                            <w:t>Mokesčių mokėjimo muitinėje</w:t>
                          </w:r>
                          <w:r>
                            <w:rPr>
                              <w:b/>
                              <w:bCs/>
                              <w:szCs w:val="24"/>
                              <w:lang w:eastAsia="lt-LT"/>
                            </w:rPr>
                            <w:t xml:space="preserve"> Muitinės administruojamų mokesčių ir su jais susijusių sumų mokėjimo</w:t>
                          </w:r>
                          <w:r>
                            <w:rPr>
                              <w:szCs w:val="24"/>
                              <w:lang w:eastAsia="lt-LT"/>
                            </w:rPr>
                            <w:t xml:space="preserve"> taisyklių nustatytu laiku nesumokėjus importo PVM, skaičiuojami delspinigiai Mokesčių administravimo įstatymo nustatyta tvarka. </w:t>
                          </w:r>
                          <w:r>
                            <w:rPr>
                              <w:b/>
                              <w:bCs/>
                              <w:szCs w:val="24"/>
                              <w:lang w:eastAsia="lt-LT"/>
                            </w:rPr>
                            <w:t>Nesumokėtos importo PVM ir delspinigių sumos išieškomos Mokesčių administravimo įstatymo nustatyta tvarka.</w:t>
                          </w:r>
                          <w:r>
                            <w:rPr>
                              <w:szCs w:val="24"/>
                              <w:lang w:eastAsia="lt-LT"/>
                            </w:rPr>
                            <w:t>“</w:t>
                          </w:r>
                        </w:p>
                      </w:sdtContent>
                    </w:sdt>
                  </w:sdtContent>
                </w:sdt>
              </w:sdtContent>
            </w:sdt>
            <w:sdt>
              <w:sdtPr>
                <w:alias w:val="2.14 pp."/>
                <w:tag w:val="part_a63d23f5d22e45b191de2a96fbe955a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63d23f5d22e45b191de2a96fbe955ac"/>
                      <w:lock w:val="sdtLocked"/>
                      <w:richText/>
                    </w:sdtPr>
                    <w:sdtContent>
                      <w:r>
                        <w:rPr>
                          <w:szCs w:val="24"/>
                          <w:lang w:eastAsia="lt-LT"/>
                        </w:rPr>
                        <w:t>2.14</w:t>
                      </w:r>
                    </w:sdtContent>
                  </w:sdt>
                  <w:r>
                    <w:rPr>
                      <w:szCs w:val="24"/>
                      <w:lang w:eastAsia="lt-LT"/>
                    </w:rPr>
                    <w:t>. Pakeisti priedą ir jį išdėstyti taip:</w:t>
                  </w:r>
                </w:p>
                <w:sdt>
                  <w:sdtPr>
                    <w:alias w:val="citata"/>
                    <w:tag w:val="part_7e38a402b1c94b228499450e4272b314"/>
                    <w:lock w:val="sdtLocked"/>
                    <w:richText/>
                  </w:sdtPr>
                  <w:sdtContent>
                    <w:sdt>
                      <w:sdtPr>
                        <w:alias w:val="pr."/>
                        <w:tag w:val="part_fd26ebf0ed974b459fa358dec6327031"/>
                        <w:lock w:val="sdtLocked"/>
                        <w:richText/>
                      </w:sdtPr>
                      <w:sdtContent>
                        <w:p>
                          <w:pPr>
                            <w:ind w:left="4536"/>
                            <w:rPr>
                              <w:szCs w:val="24"/>
                              <w:lang w:eastAsia="lt-LT"/>
                            </w:rPr>
                          </w:pPr>
                          <w:r>
                            <w:rPr>
                              <w:szCs w:val="24"/>
                              <w:lang w:eastAsia="lt-LT"/>
                            </w:rPr>
                            <w:t xml:space="preserve">„Importuojamų prekių neapmokestinimo </w:t>
                          </w:r>
                        </w:p>
                        <w:p>
                          <w:pPr>
                            <w:ind w:left="4536"/>
                            <w:rPr>
                              <w:lang w:eastAsia="lt-LT"/>
                            </w:rPr>
                          </w:pPr>
                          <w:r>
                            <w:rPr>
                              <w:szCs w:val="24"/>
                              <w:lang w:eastAsia="lt-LT"/>
                            </w:rPr>
                            <w:t>importo pridėtinės vertės mokesčiu taisyklių</w:t>
                          </w:r>
                          <w:r>
                            <w:rPr>
                              <w:lang w:eastAsia="ar-SA"/>
                            </w:rPr>
                            <w:br/>
                          </w:r>
                          <w:r>
                            <w:rPr>
                              <w:lang w:eastAsia="lt-LT"/>
                            </w:rPr>
                            <w:t>priedas</w:t>
                          </w:r>
                        </w:p>
                        <w:p>
                          <w:pPr>
                            <w:tabs>
                              <w:tab w:val="left" w:pos="-284"/>
                            </w:tabs>
                            <w:rPr>
                              <w:caps/>
                              <w:lang w:eastAsia="lt-LT"/>
                            </w:r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fd26ebf0ed974b459fa358dec6327031"/>
                              <w:lock w:val="sdtLocked"/>
                              <w:richText/>
                            </w:sdtPr>
                            <w:sdtContent>
                              <w:r>
                                <w:rPr>
                                  <w:szCs w:val="24"/>
                                  <w:lang w:eastAsia="lt-LT"/>
                                </w:rPr>
                                <w:t>PREKĖS, KURIAS TIEKIA JUNGTINĖS TAUTOS ARBA JUNGTINIŲ TAUTŲ SPECIALIZUOTOS AGENTŪROS IR KURIOMS TAIKOMA IMPORTO PVM LENGVATA</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1560"/>
                            <w:gridCol w:w="7796"/>
                          </w:tblGrid>
                          <w:tr>
                            <w:trPr>
                              <w:tblHeader/>
                            </w:trPr>
                            <w:tc>
                              <w:tcPr>
                                <w:tcW w:w="156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Prekės kodas</w:t>
                                </w:r>
                              </w:p>
                            </w:tc>
                            <w:tc>
                              <w:tcPr>
                                <w:tcW w:w="779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Prekės aprašymas</w:t>
                                </w:r>
                              </w:p>
                            </w:tc>
                          </w:tr>
                          <w:tr>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3704 00</w:t>
                                </w:r>
                              </w:p>
                              <w:p>
                                <w:pPr>
                                  <w:ind w:firstLine="57"/>
                                  <w:jc w:val="both"/>
                                  <w:rPr>
                                    <w:szCs w:val="24"/>
                                    <w:lang w:eastAsia="lt-LT"/>
                                  </w:rPr>
                                </w:pPr>
                              </w:p>
                              <w:p>
                                <w:pPr>
                                  <w:jc w:val="both"/>
                                  <w:rPr>
                                    <w:szCs w:val="24"/>
                                    <w:lang w:eastAsia="lt-LT"/>
                                  </w:rPr>
                                </w:pPr>
                                <w:r>
                                  <w:rPr>
                                    <w:sz w:val="22"/>
                                    <w:szCs w:val="22"/>
                                    <w:lang w:eastAsia="lt-LT"/>
                                  </w:rPr>
                                  <w:t>ex3704 00 10</w:t>
                                </w:r>
                              </w:p>
                            </w:tc>
                            <w:tc>
                              <w:tcPr>
                                <w:tcW w:w="7796"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Fotografijos plokštelės, juostos, popierius, kartonas ir tekstilės medžiagos, eksponuotos, bet neišryškintos:</w:t>
                                </w:r>
                              </w:p>
                              <w:p>
                                <w:pPr>
                                  <w:jc w:val="both"/>
                                  <w:rPr>
                                    <w:szCs w:val="24"/>
                                    <w:lang w:eastAsia="lt-LT"/>
                                  </w:rPr>
                                </w:pPr>
                                <w:r>
                                  <w:rPr>
                                    <w:sz w:val="22"/>
                                    <w:szCs w:val="22"/>
                                    <w:lang w:eastAsia="lt-LT"/>
                                  </w:rPr>
                                  <w:t>plokštelės ir juostos:</w:t>
                                </w:r>
                              </w:p>
                              <w:p>
                                <w:pPr>
                                  <w:ind w:left="209"/>
                                  <w:rPr>
                                    <w:szCs w:val="24"/>
                                    <w:lang w:eastAsia="lt-LT"/>
                                  </w:rPr>
                                </w:pPr>
                                <w:r>
                                  <w:rPr>
                                    <w:sz w:val="22"/>
                                    <w:szCs w:val="22"/>
                                    <w:lang w:eastAsia="lt-LT"/>
                                  </w:rPr>
                                  <w:t>mokomojo, mokslinio ar kultūrinio pobūdžio kinematografinės juostos ir pozityvai</w:t>
                                </w:r>
                              </w:p>
                            </w:tc>
                          </w:tr>
                          <w:tr>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b/>
                                    <w:szCs w:val="24"/>
                                    <w:lang w:eastAsia="lt-LT"/>
                                  </w:rPr>
                                </w:pPr>
                                <w:r>
                                  <w:rPr>
                                    <w:sz w:val="22"/>
                                    <w:szCs w:val="22"/>
                                    <w:lang w:eastAsia="lt-LT"/>
                                  </w:rPr>
                                  <w:t xml:space="preserve">ex3705 </w:t>
                                </w:r>
                                <w:r>
                                  <w:rPr>
                                    <w:b/>
                                    <w:sz w:val="22"/>
                                    <w:szCs w:val="22"/>
                                    <w:lang w:eastAsia="lt-LT"/>
                                  </w:rPr>
                                  <w:t>00</w:t>
                                </w:r>
                              </w:p>
                            </w:tc>
                            <w:tc>
                              <w:tcPr>
                                <w:tcW w:w="7796"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Fotografijos plokštelės ir juostos, eksponuotos ir išryškintos, išskyrus kino juostas:</w:t>
                                </w:r>
                              </w:p>
                              <w:p>
                                <w:pPr>
                                  <w:ind w:left="209"/>
                                  <w:rPr>
                                    <w:szCs w:val="24"/>
                                    <w:lang w:eastAsia="lt-LT"/>
                                  </w:rPr>
                                </w:pPr>
                                <w:r>
                                  <w:rPr>
                                    <w:sz w:val="22"/>
                                    <w:szCs w:val="22"/>
                                    <w:lang w:eastAsia="lt-LT"/>
                                  </w:rPr>
                                  <w:t>mokomojo, mokslinio ar kultūrinio pobūdžio</w:t>
                                </w:r>
                              </w:p>
                            </w:tc>
                          </w:tr>
                          <w:tr>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3706</w:t>
                                </w:r>
                              </w:p>
                              <w:p>
                                <w:pPr>
                                  <w:ind w:firstLine="57"/>
                                  <w:jc w:val="both"/>
                                  <w:rPr>
                                    <w:szCs w:val="24"/>
                                    <w:lang w:eastAsia="lt-LT"/>
                                  </w:rPr>
                                </w:pPr>
                              </w:p>
                              <w:p>
                                <w:pPr>
                                  <w:jc w:val="both"/>
                                  <w:rPr>
                                    <w:szCs w:val="24"/>
                                    <w:lang w:eastAsia="lt-LT"/>
                                  </w:rPr>
                                </w:pPr>
                                <w:r>
                                  <w:rPr>
                                    <w:sz w:val="22"/>
                                    <w:szCs w:val="22"/>
                                    <w:lang w:eastAsia="lt-LT"/>
                                  </w:rPr>
                                  <w:t>3706 10</w:t>
                                </w:r>
                              </w:p>
                              <w:p>
                                <w:pPr>
                                  <w:ind w:firstLine="57"/>
                                  <w:jc w:val="both"/>
                                  <w:rPr>
                                    <w:szCs w:val="24"/>
                                    <w:lang w:eastAsia="lt-LT"/>
                                  </w:rPr>
                                </w:pPr>
                              </w:p>
                              <w:p>
                                <w:pPr>
                                  <w:jc w:val="both"/>
                                  <w:rPr>
                                    <w:szCs w:val="24"/>
                                    <w:lang w:eastAsia="lt-LT"/>
                                  </w:rPr>
                                </w:pPr>
                                <w:r>
                                  <w:rPr>
                                    <w:sz w:val="22"/>
                                    <w:szCs w:val="22"/>
                                    <w:lang w:eastAsia="lt-LT"/>
                                  </w:rPr>
                                  <w:t>ex3706 10 99</w:t>
                                </w:r>
                              </w:p>
                              <w:p>
                                <w:pPr>
                                  <w:ind w:firstLine="57"/>
                                  <w:jc w:val="both"/>
                                  <w:rPr>
                                    <w:szCs w:val="24"/>
                                    <w:lang w:eastAsia="lt-LT"/>
                                  </w:rPr>
                                </w:pPr>
                              </w:p>
                              <w:p>
                                <w:pPr>
                                  <w:ind w:firstLine="57"/>
                                  <w:jc w:val="both"/>
                                  <w:rPr>
                                    <w:szCs w:val="24"/>
                                    <w:lang w:eastAsia="lt-LT"/>
                                  </w:rPr>
                                </w:pPr>
                              </w:p>
                              <w:p>
                                <w:pPr>
                                  <w:ind w:firstLine="57"/>
                                  <w:jc w:val="both"/>
                                  <w:rPr>
                                    <w:szCs w:val="24"/>
                                    <w:lang w:eastAsia="lt-LT"/>
                                  </w:rPr>
                                </w:pPr>
                              </w:p>
                              <w:p>
                                <w:pPr>
                                  <w:ind w:firstLine="57"/>
                                  <w:jc w:val="both"/>
                                  <w:rPr>
                                    <w:szCs w:val="24"/>
                                    <w:lang w:eastAsia="lt-LT"/>
                                  </w:rPr>
                                </w:pPr>
                              </w:p>
                              <w:p>
                                <w:pPr>
                                  <w:ind w:firstLine="57"/>
                                  <w:jc w:val="both"/>
                                  <w:rPr>
                                    <w:szCs w:val="24"/>
                                    <w:lang w:eastAsia="lt-LT"/>
                                  </w:rPr>
                                </w:pPr>
                              </w:p>
                              <w:p>
                                <w:pPr>
                                  <w:ind w:firstLine="57"/>
                                  <w:jc w:val="both"/>
                                  <w:rPr>
                                    <w:szCs w:val="24"/>
                                    <w:lang w:eastAsia="lt-LT"/>
                                  </w:rPr>
                                </w:pPr>
                              </w:p>
                              <w:p>
                                <w:pPr>
                                  <w:ind w:firstLine="57"/>
                                  <w:jc w:val="both"/>
                                  <w:rPr>
                                    <w:szCs w:val="24"/>
                                    <w:lang w:eastAsia="lt-LT"/>
                                  </w:rPr>
                                </w:pPr>
                              </w:p>
                              <w:p>
                                <w:pPr>
                                  <w:jc w:val="both"/>
                                  <w:rPr>
                                    <w:szCs w:val="24"/>
                                    <w:lang w:eastAsia="lt-LT"/>
                                  </w:rPr>
                                </w:pPr>
                                <w:r>
                                  <w:rPr>
                                    <w:sz w:val="22"/>
                                    <w:szCs w:val="22"/>
                                    <w:lang w:eastAsia="lt-LT"/>
                                  </w:rPr>
                                  <w:t>3706 90</w:t>
                                </w:r>
                              </w:p>
                              <w:p>
                                <w:pPr>
                                  <w:ind w:firstLine="57"/>
                                  <w:jc w:val="both"/>
                                  <w:rPr>
                                    <w:szCs w:val="24"/>
                                    <w:lang w:eastAsia="lt-LT"/>
                                  </w:rPr>
                                </w:pPr>
                              </w:p>
                              <w:p>
                                <w:pPr>
                                  <w:ind w:firstLine="57"/>
                                  <w:jc w:val="both"/>
                                  <w:rPr>
                                    <w:szCs w:val="24"/>
                                    <w:lang w:eastAsia="lt-LT"/>
                                  </w:rPr>
                                </w:pPr>
                              </w:p>
                              <w:p>
                                <w:pPr>
                                  <w:jc w:val="both"/>
                                  <w:rPr>
                                    <w:szCs w:val="24"/>
                                    <w:lang w:eastAsia="lt-LT"/>
                                  </w:rPr>
                                </w:pPr>
                                <w:r>
                                  <w:rPr>
                                    <w:sz w:val="22"/>
                                    <w:szCs w:val="22"/>
                                    <w:lang w:eastAsia="lt-LT"/>
                                  </w:rPr>
                                  <w:t>ex3706 90 52</w:t>
                                </w:r>
                              </w:p>
                              <w:p>
                                <w:pPr>
                                  <w:jc w:val="both"/>
                                  <w:rPr>
                                    <w:szCs w:val="24"/>
                                    <w:lang w:eastAsia="lt-LT"/>
                                  </w:rPr>
                                </w:pPr>
                                <w:r>
                                  <w:rPr>
                                    <w:sz w:val="22"/>
                                    <w:szCs w:val="22"/>
                                    <w:lang w:eastAsia="lt-LT"/>
                                  </w:rPr>
                                  <w:t>ex3706 90 91</w:t>
                                </w:r>
                              </w:p>
                              <w:p>
                                <w:pPr>
                                  <w:jc w:val="both"/>
                                  <w:rPr>
                                    <w:szCs w:val="24"/>
                                    <w:lang w:eastAsia="lt-LT"/>
                                  </w:rPr>
                                </w:pPr>
                                <w:r>
                                  <w:rPr>
                                    <w:sz w:val="22"/>
                                    <w:szCs w:val="22"/>
                                    <w:lang w:eastAsia="lt-LT"/>
                                  </w:rPr>
                                  <w:t>ex3706 90 99</w:t>
                                </w:r>
                              </w:p>
                            </w:tc>
                            <w:tc>
                              <w:tcPr>
                                <w:tcW w:w="7796"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Kino juostos, eksponuotos ir išryškintos, su garso takeliu ar be garso takelio arba sudarytos tik iš garso takelio:</w:t>
                                </w:r>
                              </w:p>
                              <w:p>
                                <w:pPr>
                                  <w:ind w:left="209"/>
                                  <w:rPr>
                                    <w:szCs w:val="24"/>
                                    <w:lang w:eastAsia="lt-LT"/>
                                  </w:rPr>
                                </w:pPr>
                                <w:r>
                                  <w:rPr>
                                    <w:sz w:val="22"/>
                                    <w:szCs w:val="22"/>
                                    <w:lang w:eastAsia="lt-LT"/>
                                  </w:rPr>
                                  <w:t>kurių plotis ne mažesnis kaip 35 mm:</w:t>
                                </w:r>
                              </w:p>
                              <w:p>
                                <w:pPr>
                                  <w:ind w:left="209"/>
                                  <w:rPr>
                                    <w:strike/>
                                    <w:szCs w:val="24"/>
                                    <w:lang w:eastAsia="lt-LT"/>
                                  </w:rPr>
                                </w:pPr>
                                <w:r>
                                  <w:rPr>
                                    <w:strike/>
                                    <w:sz w:val="22"/>
                                    <w:szCs w:val="22"/>
                                    <w:lang w:eastAsia="lt-LT"/>
                                  </w:rPr>
                                  <w:t>kitos:</w:t>
                                </w:r>
                              </w:p>
                              <w:p>
                                <w:pPr>
                                  <w:ind w:left="351"/>
                                  <w:rPr>
                                    <w:szCs w:val="24"/>
                                    <w:lang w:eastAsia="lt-LT"/>
                                  </w:rPr>
                                </w:pPr>
                                <w:r>
                                  <w:rPr>
                                    <w:sz w:val="22"/>
                                    <w:szCs w:val="22"/>
                                    <w:lang w:eastAsia="lt-LT"/>
                                  </w:rPr>
                                  <w:t>kiti pozityvai:</w:t>
                                </w:r>
                              </w:p>
                              <w:p>
                                <w:pPr>
                                  <w:ind w:left="493"/>
                                  <w:rPr>
                                    <w:szCs w:val="24"/>
                                    <w:lang w:eastAsia="lt-LT"/>
                                  </w:rPr>
                                </w:pPr>
                                <w:r>
                                  <w:rPr>
                                    <w:sz w:val="22"/>
                                    <w:szCs w:val="22"/>
                                    <w:lang w:eastAsia="lt-LT"/>
                                  </w:rPr>
                                  <w:t>kino kronikos (kino žurnalai), su garso takeliu ar be garso takelio, vaizduojančios įvežimo metu vykstančius įvykius ir importuojamos ne daugiau kaip po 2 kiekvienos temos egzempliorius, skirtus kopijuoti</w:t>
                                </w:r>
                              </w:p>
                              <w:p>
                                <w:pPr>
                                  <w:ind w:left="493"/>
                                  <w:rPr>
                                    <w:szCs w:val="24"/>
                                    <w:lang w:eastAsia="lt-LT"/>
                                  </w:rPr>
                                </w:pPr>
                                <w:r>
                                  <w:rPr>
                                    <w:sz w:val="22"/>
                                    <w:szCs w:val="22"/>
                                    <w:lang w:eastAsia="lt-LT"/>
                                  </w:rPr>
                                  <w:t>archyvinė filmuota medžiaga, su garso takeliu ar be garso takelio, skirta naudoti kartu su kino kronikomis (kino žurnalais)</w:t>
                                </w:r>
                              </w:p>
                              <w:p>
                                <w:pPr>
                                  <w:ind w:left="493"/>
                                  <w:rPr>
                                    <w:szCs w:val="24"/>
                                    <w:lang w:eastAsia="lt-LT"/>
                                  </w:rPr>
                                </w:pPr>
                                <w:r>
                                  <w:rPr>
                                    <w:sz w:val="22"/>
                                    <w:szCs w:val="22"/>
                                    <w:lang w:eastAsia="lt-LT"/>
                                  </w:rPr>
                                  <w:t>pramoginės juostos, skirtos vaikams ir jaunimui</w:t>
                                </w:r>
                              </w:p>
                              <w:p>
                                <w:pPr>
                                  <w:ind w:left="493"/>
                                  <w:rPr>
                                    <w:szCs w:val="24"/>
                                    <w:lang w:eastAsia="lt-LT"/>
                                  </w:rPr>
                                </w:pPr>
                                <w:r>
                                  <w:rPr>
                                    <w:sz w:val="22"/>
                                    <w:szCs w:val="22"/>
                                    <w:lang w:eastAsia="lt-LT"/>
                                  </w:rPr>
                                  <w:t>kitos mokomojo, mokslinio ar kultūrinio pobūdžio juostos</w:t>
                                </w:r>
                              </w:p>
                              <w:p>
                                <w:pPr>
                                  <w:ind w:left="209"/>
                                  <w:rPr>
                                    <w:szCs w:val="24"/>
                                    <w:lang w:eastAsia="lt-LT"/>
                                  </w:rPr>
                                </w:pPr>
                                <w:r>
                                  <w:rPr>
                                    <w:sz w:val="22"/>
                                    <w:szCs w:val="22"/>
                                    <w:lang w:eastAsia="lt-LT"/>
                                  </w:rPr>
                                  <w:t>Kitos:</w:t>
                                </w:r>
                              </w:p>
                              <w:p>
                                <w:pPr>
                                  <w:ind w:left="351"/>
                                  <w:rPr>
                                    <w:strike/>
                                    <w:szCs w:val="24"/>
                                    <w:lang w:eastAsia="lt-LT"/>
                                  </w:rPr>
                                </w:pPr>
                                <w:r>
                                  <w:rPr>
                                    <w:strike/>
                                    <w:sz w:val="22"/>
                                    <w:szCs w:val="22"/>
                                    <w:lang w:eastAsia="lt-LT"/>
                                  </w:rPr>
                                  <w:t>kitos:</w:t>
                                </w:r>
                              </w:p>
                              <w:p>
                                <w:pPr>
                                  <w:ind w:left="493"/>
                                  <w:rPr>
                                    <w:szCs w:val="24"/>
                                    <w:lang w:eastAsia="lt-LT"/>
                                  </w:rPr>
                                </w:pPr>
                                <w:r>
                                  <w:rPr>
                                    <w:sz w:val="22"/>
                                    <w:szCs w:val="22"/>
                                    <w:lang w:eastAsia="lt-LT"/>
                                  </w:rPr>
                                  <w:t>kiti pozityvai:</w:t>
                                </w:r>
                              </w:p>
                              <w:p>
                                <w:pPr>
                                  <w:ind w:left="635"/>
                                  <w:rPr>
                                    <w:szCs w:val="24"/>
                                    <w:lang w:eastAsia="lt-LT"/>
                                  </w:rPr>
                                </w:pPr>
                                <w:r>
                                  <w:rPr>
                                    <w:sz w:val="22"/>
                                    <w:szCs w:val="22"/>
                                    <w:lang w:eastAsia="lt-LT"/>
                                  </w:rPr>
                                  <w:t>kino kronikos (kino žurnalai), su garso takeliu ar be garso takelio, vaizduojančios įvežimo metu vykstančius įvykius ir importuojamos ne daugiau kaip po 2 kiekvienos temos egzempliorius, skirtus kopijuoti</w:t>
                                </w:r>
                              </w:p>
                              <w:p>
                                <w:pPr>
                                  <w:ind w:left="635"/>
                                  <w:rPr>
                                    <w:szCs w:val="24"/>
                                    <w:lang w:eastAsia="lt-LT"/>
                                  </w:rPr>
                                </w:pPr>
                                <w:r>
                                  <w:rPr>
                                    <w:sz w:val="22"/>
                                    <w:szCs w:val="22"/>
                                    <w:lang w:eastAsia="lt-LT"/>
                                  </w:rPr>
                                  <w:t>archyvinė filmuota medžiaga, su garso takeliu ar be garso takelio, skirta naudoti kartu su kino kronikomis (kino žurnalais)</w:t>
                                </w:r>
                              </w:p>
                              <w:p>
                                <w:pPr>
                                  <w:ind w:left="635"/>
                                  <w:rPr>
                                    <w:szCs w:val="24"/>
                                    <w:lang w:eastAsia="lt-LT"/>
                                  </w:rPr>
                                </w:pPr>
                                <w:r>
                                  <w:rPr>
                                    <w:sz w:val="22"/>
                                    <w:szCs w:val="22"/>
                                    <w:lang w:eastAsia="lt-LT"/>
                                  </w:rPr>
                                  <w:t>pramoginės juostos, skirtos vaikams ir jaunimui</w:t>
                                </w:r>
                              </w:p>
                              <w:p>
                                <w:pPr>
                                  <w:ind w:left="635"/>
                                  <w:rPr>
                                    <w:szCs w:val="24"/>
                                    <w:lang w:eastAsia="lt-LT"/>
                                  </w:rPr>
                                </w:pPr>
                                <w:r>
                                  <w:rPr>
                                    <w:sz w:val="22"/>
                                    <w:szCs w:val="22"/>
                                    <w:lang w:eastAsia="lt-LT"/>
                                  </w:rPr>
                                  <w:t>kitos mokomojo, mokslinio ar kultūrinio pobūdžio juostos</w:t>
                                </w:r>
                              </w:p>
                            </w:tc>
                          </w:tr>
                          <w:tr>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4911</w:t>
                                </w:r>
                              </w:p>
                              <w:p>
                                <w:pPr>
                                  <w:ind w:firstLine="57"/>
                                  <w:jc w:val="both"/>
                                  <w:rPr>
                                    <w:szCs w:val="24"/>
                                    <w:lang w:eastAsia="lt-LT"/>
                                  </w:rPr>
                                </w:pPr>
                              </w:p>
                              <w:p>
                                <w:pPr>
                                  <w:jc w:val="both"/>
                                  <w:rPr>
                                    <w:strike/>
                                    <w:szCs w:val="24"/>
                                    <w:lang w:eastAsia="lt-LT"/>
                                  </w:rPr>
                                </w:pPr>
                                <w:r>
                                  <w:rPr>
                                    <w:strike/>
                                    <w:sz w:val="22"/>
                                    <w:szCs w:val="22"/>
                                    <w:lang w:eastAsia="lt-LT"/>
                                  </w:rPr>
                                  <w:t>4911 99</w:t>
                                </w:r>
                              </w:p>
                              <w:p>
                                <w:pPr>
                                  <w:jc w:val="both"/>
                                  <w:rPr>
                                    <w:szCs w:val="24"/>
                                    <w:lang w:eastAsia="lt-LT"/>
                                  </w:rPr>
                                </w:pPr>
                                <w:r>
                                  <w:rPr>
                                    <w:sz w:val="22"/>
                                    <w:szCs w:val="22"/>
                                    <w:lang w:eastAsia="lt-LT"/>
                                  </w:rPr>
                                  <w:t>ex4911 99 00</w:t>
                                </w:r>
                              </w:p>
                            </w:tc>
                            <w:tc>
                              <w:tcPr>
                                <w:tcW w:w="7796"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Kiti spaudiniai, įskaitant spausdintus paveikslus ir fotografijas:</w:t>
                                </w:r>
                              </w:p>
                              <w:p>
                                <w:pPr>
                                  <w:ind w:left="209"/>
                                  <w:rPr>
                                    <w:strike/>
                                    <w:szCs w:val="24"/>
                                    <w:lang w:eastAsia="lt-LT"/>
                                  </w:rPr>
                                </w:pPr>
                                <w:r>
                                  <w:rPr>
                                    <w:strike/>
                                    <w:sz w:val="22"/>
                                    <w:szCs w:val="22"/>
                                    <w:lang w:eastAsia="lt-LT"/>
                                  </w:rPr>
                                  <w:t>kiti:</w:t>
                                </w:r>
                              </w:p>
                              <w:p>
                                <w:pPr>
                                  <w:ind w:left="351"/>
                                  <w:rPr>
                                    <w:strike/>
                                    <w:szCs w:val="24"/>
                                    <w:lang w:eastAsia="lt-LT"/>
                                  </w:rPr>
                                </w:pPr>
                                <w:r>
                                  <w:rPr>
                                    <w:strike/>
                                    <w:sz w:val="22"/>
                                    <w:szCs w:val="22"/>
                                    <w:lang w:eastAsia="lt-LT"/>
                                  </w:rPr>
                                  <w:t>kiti:</w:t>
                                </w:r>
                              </w:p>
                              <w:p>
                                <w:pPr>
                                  <w:ind w:left="493"/>
                                  <w:rPr>
                                    <w:szCs w:val="24"/>
                                    <w:lang w:eastAsia="lt-LT"/>
                                  </w:rPr>
                                </w:pPr>
                                <w:r>
                                  <w:rPr>
                                    <w:sz w:val="22"/>
                                    <w:szCs w:val="22"/>
                                    <w:lang w:eastAsia="lt-LT"/>
                                  </w:rPr>
                                  <w:t>kiti:</w:t>
                                </w:r>
                              </w:p>
                              <w:p>
                                <w:pPr>
                                  <w:ind w:left="493"/>
                                  <w:rPr>
                                    <w:szCs w:val="24"/>
                                    <w:lang w:eastAsia="lt-LT"/>
                                  </w:rPr>
                                </w:pPr>
                                <w:r>
                                  <w:rPr>
                                    <w:sz w:val="22"/>
                                    <w:szCs w:val="22"/>
                                    <w:lang w:eastAsia="lt-LT"/>
                                  </w:rPr>
                                  <w:t>kortelės ar kitos duomenų saugojimo laikmenos, skirtos mokomojo, mokslinio ar kultūrinio pobūdžio kompiuterizuotai informacijai ir dokumentacijai</w:t>
                                </w:r>
                              </w:p>
                              <w:p>
                                <w:pPr>
                                  <w:ind w:left="493"/>
                                  <w:rPr>
                                    <w:szCs w:val="24"/>
                                    <w:lang w:eastAsia="lt-LT"/>
                                  </w:rPr>
                                </w:pPr>
                                <w:r>
                                  <w:rPr>
                                    <w:sz w:val="22"/>
                                    <w:szCs w:val="22"/>
                                    <w:lang w:eastAsia="lt-LT"/>
                                  </w:rPr>
                                  <w:t>sieninės schemos, skirtos tik demonstruoti ir mokyti</w:t>
                                </w:r>
                              </w:p>
                            </w:tc>
                          </w:tr>
                          <w:tr>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ex8523</w:t>
                                </w:r>
                              </w:p>
                            </w:tc>
                            <w:tc>
                              <w:tcPr>
                                <w:tcW w:w="7796"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Patefono plokštelės, juostos ir kitos įrašytos garso arba kitų įrašų laikmenos, įskaitant patefono plokštelių gamybai naudojamas matricas ir formas, bet neskaitant gaminių, klasifikuojamų Kombinuotosios nomenklatūros N 37 skirsnyje:</w:t>
                                </w:r>
                              </w:p>
                              <w:p>
                                <w:pPr>
                                  <w:ind w:left="209"/>
                                  <w:rPr>
                                    <w:szCs w:val="24"/>
                                    <w:lang w:eastAsia="lt-LT"/>
                                  </w:rPr>
                                </w:pPr>
                                <w:r>
                                  <w:rPr>
                                    <w:sz w:val="22"/>
                                    <w:szCs w:val="22"/>
                                    <w:lang w:eastAsia="lt-LT"/>
                                  </w:rPr>
                                  <w:t>mokomojo, mokslinio ar kultūrinio pobūdžio</w:t>
                                </w:r>
                              </w:p>
                            </w:tc>
                          </w:tr>
                          <w:tr>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ex9023 00</w:t>
                                </w:r>
                              </w:p>
                            </w:tc>
                            <w:tc>
                              <w:tcPr>
                                <w:tcW w:w="7796"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 xml:space="preserve">Prietaisai, aparatai ir modeliai, pritaikyti </w:t>
                                </w:r>
                                <w:r>
                                  <w:rPr>
                                    <w:strike/>
                                    <w:sz w:val="22"/>
                                    <w:szCs w:val="22"/>
                                    <w:lang w:eastAsia="lt-LT"/>
                                  </w:rPr>
                                  <w:t>tik demonstruoti</w:t>
                                </w:r>
                                <w:r>
                                  <w:rPr>
                                    <w:sz w:val="22"/>
                                    <w:szCs w:val="22"/>
                                    <w:lang w:eastAsia="lt-LT"/>
                                  </w:rPr>
                                  <w:t xml:space="preserve"> </w:t>
                                </w:r>
                                <w:r>
                                  <w:rPr>
                                    <w:b/>
                                    <w:sz w:val="22"/>
                                    <w:szCs w:val="22"/>
                                    <w:lang w:eastAsia="lt-LT"/>
                                  </w:rPr>
                                  <w:t xml:space="preserve">demonstravimui </w:t>
                                </w:r>
                                <w:r>
                                  <w:rPr>
                                    <w:sz w:val="22"/>
                                    <w:szCs w:val="22"/>
                                    <w:lang w:eastAsia="lt-LT"/>
                                  </w:rPr>
                                  <w:t>(pavyzdžiui, mokymo metu arba parodose), netinkami naudoti kitiems tikslams:</w:t>
                                </w:r>
                              </w:p>
                              <w:p>
                                <w:pPr>
                                  <w:ind w:left="209"/>
                                  <w:rPr>
                                    <w:szCs w:val="24"/>
                                    <w:lang w:eastAsia="lt-LT"/>
                                  </w:rPr>
                                </w:pPr>
                                <w:r>
                                  <w:rPr>
                                    <w:sz w:val="22"/>
                                    <w:szCs w:val="22"/>
                                    <w:lang w:eastAsia="lt-LT"/>
                                  </w:rPr>
                                  <w:t>mokomojo, mokslinio ar kultūrinio pobūdžio šablonai, modeliai ir sieninės schemos, skirti tik demonstruoti ir mokyti</w:t>
                                </w:r>
                              </w:p>
                              <w:p>
                                <w:pPr>
                                  <w:ind w:left="209"/>
                                  <w:rPr>
                                    <w:szCs w:val="24"/>
                                    <w:lang w:eastAsia="lt-LT"/>
                                  </w:rPr>
                                </w:pPr>
                                <w:r>
                                  <w:rPr>
                                    <w:sz w:val="22"/>
                                    <w:szCs w:val="22"/>
                                    <w:lang w:eastAsia="lt-LT"/>
                                  </w:rPr>
                                  <w:t>teorinių sąvokų, tokių kaip molekulinės struktūros ar matematinės formulės, maketai arba vaizdinės išraiškos priemonės</w:t>
                                </w:r>
                              </w:p>
                            </w:tc>
                          </w:tr>
                          <w:tr>
                            <w:tc>
                              <w:tcPr>
                                <w:tcW w:w="15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Įvairūs</w:t>
                                </w:r>
                              </w:p>
                            </w:tc>
                            <w:tc>
                              <w:tcPr>
                                <w:tcW w:w="7796"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Hologramos, skirtos vaizdui gauti lazeriniu metodu</w:t>
                                </w:r>
                              </w:p>
                              <w:p>
                                <w:pPr>
                                  <w:rPr>
                                    <w:szCs w:val="24"/>
                                    <w:lang w:eastAsia="lt-LT"/>
                                  </w:rPr>
                                </w:pPr>
                                <w:r>
                                  <w:rPr>
                                    <w:sz w:val="22"/>
                                    <w:szCs w:val="22"/>
                                    <w:lang w:eastAsia="lt-LT"/>
                                  </w:rPr>
                                  <w:t>multimedijos rinkiniai</w:t>
                                </w:r>
                              </w:p>
                              <w:p>
                                <w:pPr>
                                  <w:rPr>
                                    <w:szCs w:val="24"/>
                                    <w:lang w:eastAsia="lt-LT"/>
                                  </w:rPr>
                                </w:pPr>
                                <w:r>
                                  <w:rPr>
                                    <w:sz w:val="22"/>
                                    <w:szCs w:val="22"/>
                                    <w:lang w:eastAsia="lt-LT"/>
                                  </w:rPr>
                                  <w:t>medžiaga programuotam mokymui, įskaitant medžiagą rinkiniuose su atitinkama spausdinta medžiaga</w:t>
                                </w:r>
                              </w:p>
                            </w:tc>
                          </w:tr>
                        </w:tbl>
                        <w:p>
                          <w:pPr>
                            <w:ind w:firstLine="24"/>
                            <w:rPr>
                              <w:color w:val="000000"/>
                              <w:sz w:val="27"/>
                              <w:szCs w:val="27"/>
                              <w:lang w:eastAsia="lt-LT"/>
                            </w:rPr>
                          </w:pPr>
                        </w:p>
                        <w:p>
                          <w:pPr>
                            <w:jc w:val="both"/>
                            <w:rPr>
                              <w:color w:val="000000"/>
                              <w:sz w:val="27"/>
                              <w:szCs w:val="27"/>
                              <w:lang w:eastAsia="lt-LT"/>
                            </w:rPr>
                          </w:pPr>
                          <w:r>
                            <w:rPr>
                              <w:b/>
                              <w:color w:val="000000"/>
                              <w:sz w:val="20"/>
                              <w:lang w:eastAsia="lt-LT"/>
                            </w:rPr>
                            <w:t>Pastaba.</w:t>
                          </w:r>
                          <w:r>
                            <w:rPr>
                              <w:color w:val="000000"/>
                              <w:sz w:val="20"/>
                              <w:lang w:eastAsia="lt-LT"/>
                            </w:rPr>
                            <w:t xml:space="preserve"> Prekių kodai pateikiami pagal Kombinuotosios nomenklatūros </w:t>
                          </w:r>
                          <w:r>
                            <w:rPr>
                              <w:strike/>
                              <w:color w:val="000000"/>
                              <w:sz w:val="20"/>
                              <w:lang w:eastAsia="lt-LT"/>
                            </w:rPr>
                            <w:t>2016</w:t>
                          </w:r>
                          <w:r>
                            <w:rPr>
                              <w:color w:val="000000"/>
                              <w:sz w:val="20"/>
                              <w:lang w:eastAsia="lt-LT"/>
                            </w:rPr>
                            <w:t xml:space="preserve"> </w:t>
                          </w:r>
                          <w:r>
                            <w:rPr>
                              <w:b/>
                              <w:color w:val="000000"/>
                              <w:sz w:val="20"/>
                              <w:lang w:eastAsia="lt-LT"/>
                            </w:rPr>
                            <w:t xml:space="preserve">2022 </w:t>
                          </w:r>
                          <w:r>
                            <w:rPr>
                              <w:color w:val="000000"/>
                              <w:sz w:val="20"/>
                              <w:lang w:eastAsia="lt-LT"/>
                            </w:rPr>
                            <w:t>metų versiją.“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ind w:firstLine="720"/>
                            <w:jc w:val="both"/>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p>
                        <w:p>
                          <w:pPr>
                            <w:jc w:val="both"/>
                            <w:rPr>
                              <w:szCs w:val="24"/>
                            </w:rPr>
                          </w:pPr>
                          <w:r>
                            <w:rPr>
                              <w:szCs w:val="24"/>
                            </w:rPr>
                            <w:t>Ministras Pirmininkas</w:t>
                          </w:r>
                        </w:p>
                        <w:p>
                          <w:pPr>
                            <w:jc w:val="both"/>
                            <w:rPr>
                              <w:szCs w:val="24"/>
                            </w:rPr>
                          </w:pPr>
                        </w:p>
                        <w:p>
                          <w:pPr>
                            <w:jc w:val="both"/>
                            <w:rPr>
                              <w:szCs w:val="24"/>
                            </w:rPr>
                          </w:pPr>
                          <w:r>
                            <w:rPr>
                              <w:szCs w:val="24"/>
                            </w:rPr>
                            <w:t>Finansų ministras</w:t>
                          </w:r>
                        </w:p>
                        <w:p>
                          <w:pPr>
                            <w:spacing w:line="300" w:lineRule="auto"/>
                          </w:pPr>
                        </w:p>
                      </w:sdtContent>
                    </w:sdt>
                  </w:sdtContent>
                </w:sdt>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3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revisionView w:inkAnnotation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157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6F44F3D-B426-4BB1-9E29-8341500F861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46345">
      <w:bodyDiv w:val="1"/>
      <w:marLeft w:val="0"/>
      <w:marRight w:val="0"/>
      <w:marTop w:val="0"/>
      <w:marBottom w:val="0"/>
      <w:divBdr>
        <w:top w:val="none" w:sz="0" w:space="0" w:color="auto"/>
        <w:left w:val="none" w:sz="0" w:space="0" w:color="auto"/>
        <w:bottom w:val="none" w:sz="0" w:space="0" w:color="auto"/>
        <w:right w:val="none" w:sz="0" w:space="0" w:color="auto"/>
      </w:divBdr>
    </w:div>
    <w:div w:id="4598982">
      <w:bodyDiv w:val="1"/>
      <w:marLeft w:val="0"/>
      <w:marRight w:val="0"/>
      <w:marTop w:val="0"/>
      <w:marBottom w:val="0"/>
      <w:divBdr>
        <w:top w:val="none" w:sz="0" w:space="0" w:color="auto"/>
        <w:left w:val="none" w:sz="0" w:space="0" w:color="auto"/>
        <w:bottom w:val="none" w:sz="0" w:space="0" w:color="auto"/>
        <w:right w:val="none" w:sz="0" w:space="0" w:color="auto"/>
      </w:divBdr>
    </w:div>
    <w:div w:id="5984834">
      <w:bodyDiv w:val="1"/>
      <w:marLeft w:val="0"/>
      <w:marRight w:val="0"/>
      <w:marTop w:val="0"/>
      <w:marBottom w:val="0"/>
      <w:divBdr>
        <w:top w:val="none" w:sz="0" w:space="0" w:color="auto"/>
        <w:left w:val="none" w:sz="0" w:space="0" w:color="auto"/>
        <w:bottom w:val="none" w:sz="0" w:space="0" w:color="auto"/>
        <w:right w:val="none" w:sz="0" w:space="0" w:color="auto"/>
      </w:divBdr>
    </w:div>
    <w:div w:id="20976840">
      <w:bodyDiv w:val="1"/>
      <w:marLeft w:val="0"/>
      <w:marRight w:val="0"/>
      <w:marTop w:val="0"/>
      <w:marBottom w:val="0"/>
      <w:divBdr>
        <w:top w:val="none" w:sz="0" w:space="0" w:color="auto"/>
        <w:left w:val="none" w:sz="0" w:space="0" w:color="auto"/>
        <w:bottom w:val="none" w:sz="0" w:space="0" w:color="auto"/>
        <w:right w:val="none" w:sz="0" w:space="0" w:color="auto"/>
      </w:divBdr>
    </w:div>
    <w:div w:id="34739547">
      <w:bodyDiv w:val="1"/>
      <w:marLeft w:val="0"/>
      <w:marRight w:val="0"/>
      <w:marTop w:val="0"/>
      <w:marBottom w:val="0"/>
      <w:divBdr>
        <w:top w:val="none" w:sz="0" w:space="0" w:color="auto"/>
        <w:left w:val="none" w:sz="0" w:space="0" w:color="auto"/>
        <w:bottom w:val="none" w:sz="0" w:space="0" w:color="auto"/>
        <w:right w:val="none" w:sz="0" w:space="0" w:color="auto"/>
      </w:divBdr>
    </w:div>
    <w:div w:id="63184818">
      <w:bodyDiv w:val="1"/>
      <w:marLeft w:val="0"/>
      <w:marRight w:val="0"/>
      <w:marTop w:val="0"/>
      <w:marBottom w:val="0"/>
      <w:divBdr>
        <w:top w:val="none" w:sz="0" w:space="0" w:color="auto"/>
        <w:left w:val="none" w:sz="0" w:space="0" w:color="auto"/>
        <w:bottom w:val="none" w:sz="0" w:space="0" w:color="auto"/>
        <w:right w:val="none" w:sz="0" w:space="0" w:color="auto"/>
      </w:divBdr>
    </w:div>
    <w:div w:id="93482033">
      <w:bodyDiv w:val="1"/>
      <w:marLeft w:val="0"/>
      <w:marRight w:val="0"/>
      <w:marTop w:val="0"/>
      <w:marBottom w:val="0"/>
      <w:divBdr>
        <w:top w:val="none" w:sz="0" w:space="0" w:color="auto"/>
        <w:left w:val="none" w:sz="0" w:space="0" w:color="auto"/>
        <w:bottom w:val="none" w:sz="0" w:space="0" w:color="auto"/>
        <w:right w:val="none" w:sz="0" w:space="0" w:color="auto"/>
      </w:divBdr>
    </w:div>
    <w:div w:id="95297996">
      <w:bodyDiv w:val="1"/>
      <w:marLeft w:val="0"/>
      <w:marRight w:val="0"/>
      <w:marTop w:val="0"/>
      <w:marBottom w:val="0"/>
      <w:divBdr>
        <w:top w:val="none" w:sz="0" w:space="0" w:color="auto"/>
        <w:left w:val="none" w:sz="0" w:space="0" w:color="auto"/>
        <w:bottom w:val="none" w:sz="0" w:space="0" w:color="auto"/>
        <w:right w:val="none" w:sz="0" w:space="0" w:color="auto"/>
      </w:divBdr>
    </w:div>
    <w:div w:id="96217888">
      <w:bodyDiv w:val="1"/>
      <w:marLeft w:val="0"/>
      <w:marRight w:val="0"/>
      <w:marTop w:val="0"/>
      <w:marBottom w:val="0"/>
      <w:divBdr>
        <w:top w:val="none" w:sz="0" w:space="0" w:color="auto"/>
        <w:left w:val="none" w:sz="0" w:space="0" w:color="auto"/>
        <w:bottom w:val="none" w:sz="0" w:space="0" w:color="auto"/>
        <w:right w:val="none" w:sz="0" w:space="0" w:color="auto"/>
      </w:divBdr>
    </w:div>
    <w:div w:id="97457968">
      <w:bodyDiv w:val="1"/>
      <w:marLeft w:val="0"/>
      <w:marRight w:val="0"/>
      <w:marTop w:val="0"/>
      <w:marBottom w:val="0"/>
      <w:divBdr>
        <w:top w:val="none" w:sz="0" w:space="0" w:color="auto"/>
        <w:left w:val="none" w:sz="0" w:space="0" w:color="auto"/>
        <w:bottom w:val="none" w:sz="0" w:space="0" w:color="auto"/>
        <w:right w:val="none" w:sz="0" w:space="0" w:color="auto"/>
      </w:divBdr>
      <w:divsChild>
        <w:div w:id="2128044934">
          <w:marLeft w:val="0"/>
          <w:marRight w:val="0"/>
          <w:marTop w:val="0"/>
          <w:marBottom w:val="0"/>
          <w:divBdr>
            <w:top w:val="none" w:sz="0" w:space="0" w:color="auto"/>
            <w:left w:val="none" w:sz="0" w:space="0" w:color="auto"/>
            <w:bottom w:val="none" w:sz="0" w:space="0" w:color="auto"/>
            <w:right w:val="none" w:sz="0" w:space="0" w:color="auto"/>
          </w:divBdr>
          <w:divsChild>
            <w:div w:id="1284263627">
              <w:marLeft w:val="0"/>
              <w:marRight w:val="0"/>
              <w:marTop w:val="120"/>
              <w:marBottom w:val="0"/>
              <w:divBdr>
                <w:top w:val="none" w:sz="0" w:space="0" w:color="auto"/>
                <w:left w:val="none" w:sz="0" w:space="0" w:color="auto"/>
                <w:bottom w:val="none" w:sz="0" w:space="0" w:color="auto"/>
                <w:right w:val="none" w:sz="0" w:space="0" w:color="auto"/>
              </w:divBdr>
            </w:div>
            <w:div w:id="1751347431">
              <w:marLeft w:val="0"/>
              <w:marRight w:val="0"/>
              <w:marTop w:val="0"/>
              <w:marBottom w:val="0"/>
              <w:divBdr>
                <w:top w:val="none" w:sz="0" w:space="0" w:color="auto"/>
                <w:left w:val="none" w:sz="0" w:space="0" w:color="auto"/>
                <w:bottom w:val="none" w:sz="0" w:space="0" w:color="auto"/>
                <w:right w:val="none" w:sz="0" w:space="0" w:color="auto"/>
              </w:divBdr>
            </w:div>
          </w:divsChild>
        </w:div>
        <w:div w:id="424573487">
          <w:marLeft w:val="0"/>
          <w:marRight w:val="0"/>
          <w:marTop w:val="0"/>
          <w:marBottom w:val="0"/>
          <w:divBdr>
            <w:top w:val="none" w:sz="0" w:space="0" w:color="auto"/>
            <w:left w:val="none" w:sz="0" w:space="0" w:color="auto"/>
            <w:bottom w:val="none" w:sz="0" w:space="0" w:color="auto"/>
            <w:right w:val="none" w:sz="0" w:space="0" w:color="auto"/>
          </w:divBdr>
          <w:divsChild>
            <w:div w:id="1080636004">
              <w:marLeft w:val="0"/>
              <w:marRight w:val="0"/>
              <w:marTop w:val="120"/>
              <w:marBottom w:val="0"/>
              <w:divBdr>
                <w:top w:val="none" w:sz="0" w:space="0" w:color="auto"/>
                <w:left w:val="none" w:sz="0" w:space="0" w:color="auto"/>
                <w:bottom w:val="none" w:sz="0" w:space="0" w:color="auto"/>
                <w:right w:val="none" w:sz="0" w:space="0" w:color="auto"/>
              </w:divBdr>
            </w:div>
            <w:div w:id="106214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01671">
      <w:bodyDiv w:val="1"/>
      <w:marLeft w:val="0"/>
      <w:marRight w:val="0"/>
      <w:marTop w:val="0"/>
      <w:marBottom w:val="0"/>
      <w:divBdr>
        <w:top w:val="none" w:sz="0" w:space="0" w:color="auto"/>
        <w:left w:val="none" w:sz="0" w:space="0" w:color="auto"/>
        <w:bottom w:val="none" w:sz="0" w:space="0" w:color="auto"/>
        <w:right w:val="none" w:sz="0" w:space="0" w:color="auto"/>
      </w:divBdr>
    </w:div>
    <w:div w:id="149978436">
      <w:bodyDiv w:val="1"/>
      <w:marLeft w:val="0"/>
      <w:marRight w:val="0"/>
      <w:marTop w:val="0"/>
      <w:marBottom w:val="0"/>
      <w:divBdr>
        <w:top w:val="none" w:sz="0" w:space="0" w:color="auto"/>
        <w:left w:val="none" w:sz="0" w:space="0" w:color="auto"/>
        <w:bottom w:val="none" w:sz="0" w:space="0" w:color="auto"/>
        <w:right w:val="none" w:sz="0" w:space="0" w:color="auto"/>
      </w:divBdr>
    </w:div>
    <w:div w:id="188374632">
      <w:bodyDiv w:val="1"/>
      <w:marLeft w:val="0"/>
      <w:marRight w:val="0"/>
      <w:marTop w:val="0"/>
      <w:marBottom w:val="0"/>
      <w:divBdr>
        <w:top w:val="none" w:sz="0" w:space="0" w:color="auto"/>
        <w:left w:val="none" w:sz="0" w:space="0" w:color="auto"/>
        <w:bottom w:val="none" w:sz="0" w:space="0" w:color="auto"/>
        <w:right w:val="none" w:sz="0" w:space="0" w:color="auto"/>
      </w:divBdr>
    </w:div>
    <w:div w:id="191656695">
      <w:bodyDiv w:val="1"/>
      <w:marLeft w:val="0"/>
      <w:marRight w:val="0"/>
      <w:marTop w:val="0"/>
      <w:marBottom w:val="0"/>
      <w:divBdr>
        <w:top w:val="none" w:sz="0" w:space="0" w:color="auto"/>
        <w:left w:val="none" w:sz="0" w:space="0" w:color="auto"/>
        <w:bottom w:val="none" w:sz="0" w:space="0" w:color="auto"/>
        <w:right w:val="none" w:sz="0" w:space="0" w:color="auto"/>
      </w:divBdr>
    </w:div>
    <w:div w:id="206911507">
      <w:bodyDiv w:val="1"/>
      <w:marLeft w:val="0"/>
      <w:marRight w:val="0"/>
      <w:marTop w:val="0"/>
      <w:marBottom w:val="0"/>
      <w:divBdr>
        <w:top w:val="none" w:sz="0" w:space="0" w:color="auto"/>
        <w:left w:val="none" w:sz="0" w:space="0" w:color="auto"/>
        <w:bottom w:val="none" w:sz="0" w:space="0" w:color="auto"/>
        <w:right w:val="none" w:sz="0" w:space="0" w:color="auto"/>
      </w:divBdr>
    </w:div>
    <w:div w:id="217517850">
      <w:bodyDiv w:val="1"/>
      <w:marLeft w:val="0"/>
      <w:marRight w:val="0"/>
      <w:marTop w:val="0"/>
      <w:marBottom w:val="0"/>
      <w:divBdr>
        <w:top w:val="none" w:sz="0" w:space="0" w:color="auto"/>
        <w:left w:val="none" w:sz="0" w:space="0" w:color="auto"/>
        <w:bottom w:val="none" w:sz="0" w:space="0" w:color="auto"/>
        <w:right w:val="none" w:sz="0" w:space="0" w:color="auto"/>
      </w:divBdr>
    </w:div>
    <w:div w:id="250891572">
      <w:bodyDiv w:val="1"/>
      <w:marLeft w:val="0"/>
      <w:marRight w:val="0"/>
      <w:marTop w:val="0"/>
      <w:marBottom w:val="0"/>
      <w:divBdr>
        <w:top w:val="none" w:sz="0" w:space="0" w:color="auto"/>
        <w:left w:val="none" w:sz="0" w:space="0" w:color="auto"/>
        <w:bottom w:val="none" w:sz="0" w:space="0" w:color="auto"/>
        <w:right w:val="none" w:sz="0" w:space="0" w:color="auto"/>
      </w:divBdr>
    </w:div>
    <w:div w:id="256409529">
      <w:bodyDiv w:val="1"/>
      <w:marLeft w:val="0"/>
      <w:marRight w:val="0"/>
      <w:marTop w:val="0"/>
      <w:marBottom w:val="0"/>
      <w:divBdr>
        <w:top w:val="none" w:sz="0" w:space="0" w:color="auto"/>
        <w:left w:val="none" w:sz="0" w:space="0" w:color="auto"/>
        <w:bottom w:val="none" w:sz="0" w:space="0" w:color="auto"/>
        <w:right w:val="none" w:sz="0" w:space="0" w:color="auto"/>
      </w:divBdr>
    </w:div>
    <w:div w:id="261453980">
      <w:bodyDiv w:val="1"/>
      <w:marLeft w:val="0"/>
      <w:marRight w:val="0"/>
      <w:marTop w:val="0"/>
      <w:marBottom w:val="0"/>
      <w:divBdr>
        <w:top w:val="none" w:sz="0" w:space="0" w:color="auto"/>
        <w:left w:val="none" w:sz="0" w:space="0" w:color="auto"/>
        <w:bottom w:val="none" w:sz="0" w:space="0" w:color="auto"/>
        <w:right w:val="none" w:sz="0" w:space="0" w:color="auto"/>
      </w:divBdr>
    </w:div>
    <w:div w:id="261840409">
      <w:bodyDiv w:val="1"/>
      <w:marLeft w:val="0"/>
      <w:marRight w:val="0"/>
      <w:marTop w:val="0"/>
      <w:marBottom w:val="0"/>
      <w:divBdr>
        <w:top w:val="none" w:sz="0" w:space="0" w:color="auto"/>
        <w:left w:val="none" w:sz="0" w:space="0" w:color="auto"/>
        <w:bottom w:val="none" w:sz="0" w:space="0" w:color="auto"/>
        <w:right w:val="none" w:sz="0" w:space="0" w:color="auto"/>
      </w:divBdr>
      <w:divsChild>
        <w:div w:id="821897099">
          <w:marLeft w:val="0"/>
          <w:marRight w:val="0"/>
          <w:marTop w:val="0"/>
          <w:marBottom w:val="0"/>
          <w:divBdr>
            <w:top w:val="none" w:sz="0" w:space="0" w:color="auto"/>
            <w:left w:val="none" w:sz="0" w:space="0" w:color="auto"/>
            <w:bottom w:val="none" w:sz="0" w:space="0" w:color="auto"/>
            <w:right w:val="none" w:sz="0" w:space="0" w:color="auto"/>
          </w:divBdr>
          <w:divsChild>
            <w:div w:id="1384452639">
              <w:marLeft w:val="0"/>
              <w:marRight w:val="0"/>
              <w:marTop w:val="0"/>
              <w:marBottom w:val="0"/>
              <w:divBdr>
                <w:top w:val="none" w:sz="0" w:space="0" w:color="auto"/>
                <w:left w:val="none" w:sz="0" w:space="0" w:color="auto"/>
                <w:bottom w:val="none" w:sz="0" w:space="0" w:color="auto"/>
                <w:right w:val="none" w:sz="0" w:space="0" w:color="auto"/>
              </w:divBdr>
              <w:divsChild>
                <w:div w:id="1310130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4891698">
      <w:bodyDiv w:val="1"/>
      <w:marLeft w:val="0"/>
      <w:marRight w:val="0"/>
      <w:marTop w:val="0"/>
      <w:marBottom w:val="0"/>
      <w:divBdr>
        <w:top w:val="none" w:sz="0" w:space="0" w:color="auto"/>
        <w:left w:val="none" w:sz="0" w:space="0" w:color="auto"/>
        <w:bottom w:val="none" w:sz="0" w:space="0" w:color="auto"/>
        <w:right w:val="none" w:sz="0" w:space="0" w:color="auto"/>
      </w:divBdr>
    </w:div>
    <w:div w:id="290282100">
      <w:bodyDiv w:val="1"/>
      <w:marLeft w:val="0"/>
      <w:marRight w:val="0"/>
      <w:marTop w:val="0"/>
      <w:marBottom w:val="0"/>
      <w:divBdr>
        <w:top w:val="none" w:sz="0" w:space="0" w:color="auto"/>
        <w:left w:val="none" w:sz="0" w:space="0" w:color="auto"/>
        <w:bottom w:val="none" w:sz="0" w:space="0" w:color="auto"/>
        <w:right w:val="none" w:sz="0" w:space="0" w:color="auto"/>
      </w:divBdr>
    </w:div>
    <w:div w:id="320356165">
      <w:bodyDiv w:val="1"/>
      <w:marLeft w:val="0"/>
      <w:marRight w:val="0"/>
      <w:marTop w:val="0"/>
      <w:marBottom w:val="0"/>
      <w:divBdr>
        <w:top w:val="none" w:sz="0" w:space="0" w:color="auto"/>
        <w:left w:val="none" w:sz="0" w:space="0" w:color="auto"/>
        <w:bottom w:val="none" w:sz="0" w:space="0" w:color="auto"/>
        <w:right w:val="none" w:sz="0" w:space="0" w:color="auto"/>
      </w:divBdr>
    </w:div>
    <w:div w:id="320546188">
      <w:bodyDiv w:val="1"/>
      <w:marLeft w:val="0"/>
      <w:marRight w:val="0"/>
      <w:marTop w:val="0"/>
      <w:marBottom w:val="0"/>
      <w:divBdr>
        <w:top w:val="none" w:sz="0" w:space="0" w:color="auto"/>
        <w:left w:val="none" w:sz="0" w:space="0" w:color="auto"/>
        <w:bottom w:val="none" w:sz="0" w:space="0" w:color="auto"/>
        <w:right w:val="none" w:sz="0" w:space="0" w:color="auto"/>
      </w:divBdr>
    </w:div>
    <w:div w:id="341081814">
      <w:bodyDiv w:val="1"/>
      <w:marLeft w:val="0"/>
      <w:marRight w:val="0"/>
      <w:marTop w:val="0"/>
      <w:marBottom w:val="0"/>
      <w:divBdr>
        <w:top w:val="none" w:sz="0" w:space="0" w:color="auto"/>
        <w:left w:val="none" w:sz="0" w:space="0" w:color="auto"/>
        <w:bottom w:val="none" w:sz="0" w:space="0" w:color="auto"/>
        <w:right w:val="none" w:sz="0" w:space="0" w:color="auto"/>
      </w:divBdr>
    </w:div>
    <w:div w:id="362949352">
      <w:bodyDiv w:val="1"/>
      <w:marLeft w:val="0"/>
      <w:marRight w:val="0"/>
      <w:marTop w:val="0"/>
      <w:marBottom w:val="0"/>
      <w:divBdr>
        <w:top w:val="none" w:sz="0" w:space="0" w:color="auto"/>
        <w:left w:val="none" w:sz="0" w:space="0" w:color="auto"/>
        <w:bottom w:val="none" w:sz="0" w:space="0" w:color="auto"/>
        <w:right w:val="none" w:sz="0" w:space="0" w:color="auto"/>
      </w:divBdr>
    </w:div>
    <w:div w:id="364672588">
      <w:bodyDiv w:val="1"/>
      <w:marLeft w:val="0"/>
      <w:marRight w:val="0"/>
      <w:marTop w:val="0"/>
      <w:marBottom w:val="0"/>
      <w:divBdr>
        <w:top w:val="none" w:sz="0" w:space="0" w:color="auto"/>
        <w:left w:val="none" w:sz="0" w:space="0" w:color="auto"/>
        <w:bottom w:val="none" w:sz="0" w:space="0" w:color="auto"/>
        <w:right w:val="none" w:sz="0" w:space="0" w:color="auto"/>
      </w:divBdr>
    </w:div>
    <w:div w:id="366226102">
      <w:bodyDiv w:val="1"/>
      <w:marLeft w:val="0"/>
      <w:marRight w:val="0"/>
      <w:marTop w:val="0"/>
      <w:marBottom w:val="0"/>
      <w:divBdr>
        <w:top w:val="none" w:sz="0" w:space="0" w:color="auto"/>
        <w:left w:val="none" w:sz="0" w:space="0" w:color="auto"/>
        <w:bottom w:val="none" w:sz="0" w:space="0" w:color="auto"/>
        <w:right w:val="none" w:sz="0" w:space="0" w:color="auto"/>
      </w:divBdr>
      <w:divsChild>
        <w:div w:id="1165437600">
          <w:marLeft w:val="0"/>
          <w:marRight w:val="0"/>
          <w:marTop w:val="0"/>
          <w:marBottom w:val="0"/>
          <w:divBdr>
            <w:top w:val="none" w:sz="0" w:space="0" w:color="auto"/>
            <w:left w:val="none" w:sz="0" w:space="0" w:color="auto"/>
            <w:bottom w:val="none" w:sz="0" w:space="0" w:color="auto"/>
            <w:right w:val="none" w:sz="0" w:space="0" w:color="auto"/>
          </w:divBdr>
        </w:div>
        <w:div w:id="1612008677">
          <w:marLeft w:val="0"/>
          <w:marRight w:val="0"/>
          <w:marTop w:val="0"/>
          <w:marBottom w:val="0"/>
          <w:divBdr>
            <w:top w:val="none" w:sz="0" w:space="0" w:color="auto"/>
            <w:left w:val="none" w:sz="0" w:space="0" w:color="auto"/>
            <w:bottom w:val="none" w:sz="0" w:space="0" w:color="auto"/>
            <w:right w:val="none" w:sz="0" w:space="0" w:color="auto"/>
          </w:divBdr>
        </w:div>
      </w:divsChild>
    </w:div>
    <w:div w:id="373431312">
      <w:bodyDiv w:val="1"/>
      <w:marLeft w:val="0"/>
      <w:marRight w:val="0"/>
      <w:marTop w:val="0"/>
      <w:marBottom w:val="0"/>
      <w:divBdr>
        <w:top w:val="none" w:sz="0" w:space="0" w:color="auto"/>
        <w:left w:val="none" w:sz="0" w:space="0" w:color="auto"/>
        <w:bottom w:val="none" w:sz="0" w:space="0" w:color="auto"/>
        <w:right w:val="none" w:sz="0" w:space="0" w:color="auto"/>
      </w:divBdr>
    </w:div>
    <w:div w:id="381754628">
      <w:bodyDiv w:val="1"/>
      <w:marLeft w:val="0"/>
      <w:marRight w:val="0"/>
      <w:marTop w:val="0"/>
      <w:marBottom w:val="0"/>
      <w:divBdr>
        <w:top w:val="none" w:sz="0" w:space="0" w:color="auto"/>
        <w:left w:val="none" w:sz="0" w:space="0" w:color="auto"/>
        <w:bottom w:val="none" w:sz="0" w:space="0" w:color="auto"/>
        <w:right w:val="none" w:sz="0" w:space="0" w:color="auto"/>
      </w:divBdr>
    </w:div>
    <w:div w:id="390202899">
      <w:bodyDiv w:val="1"/>
      <w:marLeft w:val="0"/>
      <w:marRight w:val="0"/>
      <w:marTop w:val="0"/>
      <w:marBottom w:val="0"/>
      <w:divBdr>
        <w:top w:val="none" w:sz="0" w:space="0" w:color="auto"/>
        <w:left w:val="none" w:sz="0" w:space="0" w:color="auto"/>
        <w:bottom w:val="none" w:sz="0" w:space="0" w:color="auto"/>
        <w:right w:val="none" w:sz="0" w:space="0" w:color="auto"/>
      </w:divBdr>
    </w:div>
    <w:div w:id="407771450">
      <w:bodyDiv w:val="1"/>
      <w:marLeft w:val="0"/>
      <w:marRight w:val="0"/>
      <w:marTop w:val="0"/>
      <w:marBottom w:val="0"/>
      <w:divBdr>
        <w:top w:val="none" w:sz="0" w:space="0" w:color="auto"/>
        <w:left w:val="none" w:sz="0" w:space="0" w:color="auto"/>
        <w:bottom w:val="none" w:sz="0" w:space="0" w:color="auto"/>
        <w:right w:val="none" w:sz="0" w:space="0" w:color="auto"/>
      </w:divBdr>
    </w:div>
    <w:div w:id="412170076">
      <w:bodyDiv w:val="1"/>
      <w:marLeft w:val="0"/>
      <w:marRight w:val="0"/>
      <w:marTop w:val="0"/>
      <w:marBottom w:val="0"/>
      <w:divBdr>
        <w:top w:val="none" w:sz="0" w:space="0" w:color="auto"/>
        <w:left w:val="none" w:sz="0" w:space="0" w:color="auto"/>
        <w:bottom w:val="none" w:sz="0" w:space="0" w:color="auto"/>
        <w:right w:val="none" w:sz="0" w:space="0" w:color="auto"/>
      </w:divBdr>
    </w:div>
    <w:div w:id="415636323">
      <w:bodyDiv w:val="1"/>
      <w:marLeft w:val="0"/>
      <w:marRight w:val="0"/>
      <w:marTop w:val="0"/>
      <w:marBottom w:val="0"/>
      <w:divBdr>
        <w:top w:val="none" w:sz="0" w:space="0" w:color="auto"/>
        <w:left w:val="none" w:sz="0" w:space="0" w:color="auto"/>
        <w:bottom w:val="none" w:sz="0" w:space="0" w:color="auto"/>
        <w:right w:val="none" w:sz="0" w:space="0" w:color="auto"/>
      </w:divBdr>
    </w:div>
    <w:div w:id="425420797">
      <w:bodyDiv w:val="1"/>
      <w:marLeft w:val="0"/>
      <w:marRight w:val="0"/>
      <w:marTop w:val="0"/>
      <w:marBottom w:val="0"/>
      <w:divBdr>
        <w:top w:val="none" w:sz="0" w:space="0" w:color="auto"/>
        <w:left w:val="none" w:sz="0" w:space="0" w:color="auto"/>
        <w:bottom w:val="none" w:sz="0" w:space="0" w:color="auto"/>
        <w:right w:val="none" w:sz="0" w:space="0" w:color="auto"/>
      </w:divBdr>
    </w:div>
    <w:div w:id="433210490">
      <w:bodyDiv w:val="1"/>
      <w:marLeft w:val="0"/>
      <w:marRight w:val="0"/>
      <w:marTop w:val="0"/>
      <w:marBottom w:val="0"/>
      <w:divBdr>
        <w:top w:val="none" w:sz="0" w:space="0" w:color="auto"/>
        <w:left w:val="none" w:sz="0" w:space="0" w:color="auto"/>
        <w:bottom w:val="none" w:sz="0" w:space="0" w:color="auto"/>
        <w:right w:val="none" w:sz="0" w:space="0" w:color="auto"/>
      </w:divBdr>
    </w:div>
    <w:div w:id="445664148">
      <w:bodyDiv w:val="1"/>
      <w:marLeft w:val="0"/>
      <w:marRight w:val="0"/>
      <w:marTop w:val="0"/>
      <w:marBottom w:val="0"/>
      <w:divBdr>
        <w:top w:val="none" w:sz="0" w:space="0" w:color="auto"/>
        <w:left w:val="none" w:sz="0" w:space="0" w:color="auto"/>
        <w:bottom w:val="none" w:sz="0" w:space="0" w:color="auto"/>
        <w:right w:val="none" w:sz="0" w:space="0" w:color="auto"/>
      </w:divBdr>
    </w:div>
    <w:div w:id="454719005">
      <w:bodyDiv w:val="1"/>
      <w:marLeft w:val="0"/>
      <w:marRight w:val="0"/>
      <w:marTop w:val="0"/>
      <w:marBottom w:val="0"/>
      <w:divBdr>
        <w:top w:val="none" w:sz="0" w:space="0" w:color="auto"/>
        <w:left w:val="none" w:sz="0" w:space="0" w:color="auto"/>
        <w:bottom w:val="none" w:sz="0" w:space="0" w:color="auto"/>
        <w:right w:val="none" w:sz="0" w:space="0" w:color="auto"/>
      </w:divBdr>
    </w:div>
    <w:div w:id="455762320">
      <w:bodyDiv w:val="1"/>
      <w:marLeft w:val="0"/>
      <w:marRight w:val="0"/>
      <w:marTop w:val="0"/>
      <w:marBottom w:val="0"/>
      <w:divBdr>
        <w:top w:val="none" w:sz="0" w:space="0" w:color="auto"/>
        <w:left w:val="none" w:sz="0" w:space="0" w:color="auto"/>
        <w:bottom w:val="none" w:sz="0" w:space="0" w:color="auto"/>
        <w:right w:val="none" w:sz="0" w:space="0" w:color="auto"/>
      </w:divBdr>
    </w:div>
    <w:div w:id="480386851">
      <w:bodyDiv w:val="1"/>
      <w:marLeft w:val="0"/>
      <w:marRight w:val="0"/>
      <w:marTop w:val="0"/>
      <w:marBottom w:val="0"/>
      <w:divBdr>
        <w:top w:val="none" w:sz="0" w:space="0" w:color="auto"/>
        <w:left w:val="none" w:sz="0" w:space="0" w:color="auto"/>
        <w:bottom w:val="none" w:sz="0" w:space="0" w:color="auto"/>
        <w:right w:val="none" w:sz="0" w:space="0" w:color="auto"/>
      </w:divBdr>
    </w:div>
    <w:div w:id="508105751">
      <w:bodyDiv w:val="1"/>
      <w:marLeft w:val="0"/>
      <w:marRight w:val="0"/>
      <w:marTop w:val="0"/>
      <w:marBottom w:val="0"/>
      <w:divBdr>
        <w:top w:val="none" w:sz="0" w:space="0" w:color="auto"/>
        <w:left w:val="none" w:sz="0" w:space="0" w:color="auto"/>
        <w:bottom w:val="none" w:sz="0" w:space="0" w:color="auto"/>
        <w:right w:val="none" w:sz="0" w:space="0" w:color="auto"/>
      </w:divBdr>
    </w:div>
    <w:div w:id="516425716">
      <w:bodyDiv w:val="1"/>
      <w:marLeft w:val="0"/>
      <w:marRight w:val="0"/>
      <w:marTop w:val="0"/>
      <w:marBottom w:val="0"/>
      <w:divBdr>
        <w:top w:val="none" w:sz="0" w:space="0" w:color="auto"/>
        <w:left w:val="none" w:sz="0" w:space="0" w:color="auto"/>
        <w:bottom w:val="none" w:sz="0" w:space="0" w:color="auto"/>
        <w:right w:val="none" w:sz="0" w:space="0" w:color="auto"/>
      </w:divBdr>
    </w:div>
    <w:div w:id="527641861">
      <w:bodyDiv w:val="1"/>
      <w:marLeft w:val="0"/>
      <w:marRight w:val="0"/>
      <w:marTop w:val="0"/>
      <w:marBottom w:val="0"/>
      <w:divBdr>
        <w:top w:val="none" w:sz="0" w:space="0" w:color="auto"/>
        <w:left w:val="none" w:sz="0" w:space="0" w:color="auto"/>
        <w:bottom w:val="none" w:sz="0" w:space="0" w:color="auto"/>
        <w:right w:val="none" w:sz="0" w:space="0" w:color="auto"/>
      </w:divBdr>
    </w:div>
    <w:div w:id="544097655">
      <w:bodyDiv w:val="1"/>
      <w:marLeft w:val="0"/>
      <w:marRight w:val="0"/>
      <w:marTop w:val="0"/>
      <w:marBottom w:val="0"/>
      <w:divBdr>
        <w:top w:val="none" w:sz="0" w:space="0" w:color="auto"/>
        <w:left w:val="none" w:sz="0" w:space="0" w:color="auto"/>
        <w:bottom w:val="none" w:sz="0" w:space="0" w:color="auto"/>
        <w:right w:val="none" w:sz="0" w:space="0" w:color="auto"/>
      </w:divBdr>
    </w:div>
    <w:div w:id="557741624">
      <w:bodyDiv w:val="1"/>
      <w:marLeft w:val="0"/>
      <w:marRight w:val="0"/>
      <w:marTop w:val="0"/>
      <w:marBottom w:val="0"/>
      <w:divBdr>
        <w:top w:val="none" w:sz="0" w:space="0" w:color="auto"/>
        <w:left w:val="none" w:sz="0" w:space="0" w:color="auto"/>
        <w:bottom w:val="none" w:sz="0" w:space="0" w:color="auto"/>
        <w:right w:val="none" w:sz="0" w:space="0" w:color="auto"/>
      </w:divBdr>
    </w:div>
    <w:div w:id="566696633">
      <w:bodyDiv w:val="1"/>
      <w:marLeft w:val="0"/>
      <w:marRight w:val="0"/>
      <w:marTop w:val="0"/>
      <w:marBottom w:val="0"/>
      <w:divBdr>
        <w:top w:val="none" w:sz="0" w:space="0" w:color="auto"/>
        <w:left w:val="none" w:sz="0" w:space="0" w:color="auto"/>
        <w:bottom w:val="none" w:sz="0" w:space="0" w:color="auto"/>
        <w:right w:val="none" w:sz="0" w:space="0" w:color="auto"/>
      </w:divBdr>
    </w:div>
    <w:div w:id="579218830">
      <w:bodyDiv w:val="1"/>
      <w:marLeft w:val="0"/>
      <w:marRight w:val="0"/>
      <w:marTop w:val="0"/>
      <w:marBottom w:val="0"/>
      <w:divBdr>
        <w:top w:val="none" w:sz="0" w:space="0" w:color="auto"/>
        <w:left w:val="none" w:sz="0" w:space="0" w:color="auto"/>
        <w:bottom w:val="none" w:sz="0" w:space="0" w:color="auto"/>
        <w:right w:val="none" w:sz="0" w:space="0" w:color="auto"/>
      </w:divBdr>
    </w:div>
    <w:div w:id="585920729">
      <w:bodyDiv w:val="1"/>
      <w:marLeft w:val="0"/>
      <w:marRight w:val="0"/>
      <w:marTop w:val="0"/>
      <w:marBottom w:val="0"/>
      <w:divBdr>
        <w:top w:val="none" w:sz="0" w:space="0" w:color="auto"/>
        <w:left w:val="none" w:sz="0" w:space="0" w:color="auto"/>
        <w:bottom w:val="none" w:sz="0" w:space="0" w:color="auto"/>
        <w:right w:val="none" w:sz="0" w:space="0" w:color="auto"/>
      </w:divBdr>
    </w:div>
    <w:div w:id="591471728">
      <w:bodyDiv w:val="1"/>
      <w:marLeft w:val="0"/>
      <w:marRight w:val="0"/>
      <w:marTop w:val="0"/>
      <w:marBottom w:val="0"/>
      <w:divBdr>
        <w:top w:val="none" w:sz="0" w:space="0" w:color="auto"/>
        <w:left w:val="none" w:sz="0" w:space="0" w:color="auto"/>
        <w:bottom w:val="none" w:sz="0" w:space="0" w:color="auto"/>
        <w:right w:val="none" w:sz="0" w:space="0" w:color="auto"/>
      </w:divBdr>
    </w:div>
    <w:div w:id="593629112">
      <w:bodyDiv w:val="1"/>
      <w:marLeft w:val="0"/>
      <w:marRight w:val="0"/>
      <w:marTop w:val="0"/>
      <w:marBottom w:val="0"/>
      <w:divBdr>
        <w:top w:val="none" w:sz="0" w:space="0" w:color="auto"/>
        <w:left w:val="none" w:sz="0" w:space="0" w:color="auto"/>
        <w:bottom w:val="none" w:sz="0" w:space="0" w:color="auto"/>
        <w:right w:val="none" w:sz="0" w:space="0" w:color="auto"/>
      </w:divBdr>
    </w:div>
    <w:div w:id="597372764">
      <w:bodyDiv w:val="1"/>
      <w:marLeft w:val="0"/>
      <w:marRight w:val="0"/>
      <w:marTop w:val="0"/>
      <w:marBottom w:val="0"/>
      <w:divBdr>
        <w:top w:val="none" w:sz="0" w:space="0" w:color="auto"/>
        <w:left w:val="none" w:sz="0" w:space="0" w:color="auto"/>
        <w:bottom w:val="none" w:sz="0" w:space="0" w:color="auto"/>
        <w:right w:val="none" w:sz="0" w:space="0" w:color="auto"/>
      </w:divBdr>
    </w:div>
    <w:div w:id="612790287">
      <w:bodyDiv w:val="1"/>
      <w:marLeft w:val="0"/>
      <w:marRight w:val="0"/>
      <w:marTop w:val="0"/>
      <w:marBottom w:val="0"/>
      <w:divBdr>
        <w:top w:val="none" w:sz="0" w:space="0" w:color="auto"/>
        <w:left w:val="none" w:sz="0" w:space="0" w:color="auto"/>
        <w:bottom w:val="none" w:sz="0" w:space="0" w:color="auto"/>
        <w:right w:val="none" w:sz="0" w:space="0" w:color="auto"/>
      </w:divBdr>
    </w:div>
    <w:div w:id="623118963">
      <w:bodyDiv w:val="1"/>
      <w:marLeft w:val="0"/>
      <w:marRight w:val="0"/>
      <w:marTop w:val="0"/>
      <w:marBottom w:val="0"/>
      <w:divBdr>
        <w:top w:val="none" w:sz="0" w:space="0" w:color="auto"/>
        <w:left w:val="none" w:sz="0" w:space="0" w:color="auto"/>
        <w:bottom w:val="none" w:sz="0" w:space="0" w:color="auto"/>
        <w:right w:val="none" w:sz="0" w:space="0" w:color="auto"/>
      </w:divBdr>
    </w:div>
    <w:div w:id="630867196">
      <w:bodyDiv w:val="1"/>
      <w:marLeft w:val="0"/>
      <w:marRight w:val="0"/>
      <w:marTop w:val="0"/>
      <w:marBottom w:val="0"/>
      <w:divBdr>
        <w:top w:val="none" w:sz="0" w:space="0" w:color="auto"/>
        <w:left w:val="none" w:sz="0" w:space="0" w:color="auto"/>
        <w:bottom w:val="none" w:sz="0" w:space="0" w:color="auto"/>
        <w:right w:val="none" w:sz="0" w:space="0" w:color="auto"/>
      </w:divBdr>
    </w:div>
    <w:div w:id="641270149">
      <w:bodyDiv w:val="1"/>
      <w:marLeft w:val="0"/>
      <w:marRight w:val="0"/>
      <w:marTop w:val="0"/>
      <w:marBottom w:val="0"/>
      <w:divBdr>
        <w:top w:val="none" w:sz="0" w:space="0" w:color="auto"/>
        <w:left w:val="none" w:sz="0" w:space="0" w:color="auto"/>
        <w:bottom w:val="none" w:sz="0" w:space="0" w:color="auto"/>
        <w:right w:val="none" w:sz="0" w:space="0" w:color="auto"/>
      </w:divBdr>
    </w:div>
    <w:div w:id="645009504">
      <w:bodyDiv w:val="1"/>
      <w:marLeft w:val="0"/>
      <w:marRight w:val="0"/>
      <w:marTop w:val="0"/>
      <w:marBottom w:val="0"/>
      <w:divBdr>
        <w:top w:val="none" w:sz="0" w:space="0" w:color="auto"/>
        <w:left w:val="none" w:sz="0" w:space="0" w:color="auto"/>
        <w:bottom w:val="none" w:sz="0" w:space="0" w:color="auto"/>
        <w:right w:val="none" w:sz="0" w:space="0" w:color="auto"/>
      </w:divBdr>
    </w:div>
    <w:div w:id="654996832">
      <w:bodyDiv w:val="1"/>
      <w:marLeft w:val="0"/>
      <w:marRight w:val="0"/>
      <w:marTop w:val="0"/>
      <w:marBottom w:val="0"/>
      <w:divBdr>
        <w:top w:val="none" w:sz="0" w:space="0" w:color="auto"/>
        <w:left w:val="none" w:sz="0" w:space="0" w:color="auto"/>
        <w:bottom w:val="none" w:sz="0" w:space="0" w:color="auto"/>
        <w:right w:val="none" w:sz="0" w:space="0" w:color="auto"/>
      </w:divBdr>
    </w:div>
    <w:div w:id="656107069">
      <w:bodyDiv w:val="1"/>
      <w:marLeft w:val="0"/>
      <w:marRight w:val="0"/>
      <w:marTop w:val="0"/>
      <w:marBottom w:val="0"/>
      <w:divBdr>
        <w:top w:val="none" w:sz="0" w:space="0" w:color="auto"/>
        <w:left w:val="none" w:sz="0" w:space="0" w:color="auto"/>
        <w:bottom w:val="none" w:sz="0" w:space="0" w:color="auto"/>
        <w:right w:val="none" w:sz="0" w:space="0" w:color="auto"/>
      </w:divBdr>
    </w:div>
    <w:div w:id="659433171">
      <w:bodyDiv w:val="1"/>
      <w:marLeft w:val="0"/>
      <w:marRight w:val="0"/>
      <w:marTop w:val="0"/>
      <w:marBottom w:val="0"/>
      <w:divBdr>
        <w:top w:val="none" w:sz="0" w:space="0" w:color="auto"/>
        <w:left w:val="none" w:sz="0" w:space="0" w:color="auto"/>
        <w:bottom w:val="none" w:sz="0" w:space="0" w:color="auto"/>
        <w:right w:val="none" w:sz="0" w:space="0" w:color="auto"/>
      </w:divBdr>
    </w:div>
    <w:div w:id="667370432">
      <w:bodyDiv w:val="1"/>
      <w:marLeft w:val="0"/>
      <w:marRight w:val="0"/>
      <w:marTop w:val="0"/>
      <w:marBottom w:val="0"/>
      <w:divBdr>
        <w:top w:val="none" w:sz="0" w:space="0" w:color="auto"/>
        <w:left w:val="none" w:sz="0" w:space="0" w:color="auto"/>
        <w:bottom w:val="none" w:sz="0" w:space="0" w:color="auto"/>
        <w:right w:val="none" w:sz="0" w:space="0" w:color="auto"/>
      </w:divBdr>
    </w:div>
    <w:div w:id="677660631">
      <w:bodyDiv w:val="1"/>
      <w:marLeft w:val="0"/>
      <w:marRight w:val="0"/>
      <w:marTop w:val="0"/>
      <w:marBottom w:val="0"/>
      <w:divBdr>
        <w:top w:val="none" w:sz="0" w:space="0" w:color="auto"/>
        <w:left w:val="none" w:sz="0" w:space="0" w:color="auto"/>
        <w:bottom w:val="none" w:sz="0" w:space="0" w:color="auto"/>
        <w:right w:val="none" w:sz="0" w:space="0" w:color="auto"/>
      </w:divBdr>
    </w:div>
    <w:div w:id="692725332">
      <w:bodyDiv w:val="1"/>
      <w:marLeft w:val="0"/>
      <w:marRight w:val="0"/>
      <w:marTop w:val="0"/>
      <w:marBottom w:val="0"/>
      <w:divBdr>
        <w:top w:val="none" w:sz="0" w:space="0" w:color="auto"/>
        <w:left w:val="none" w:sz="0" w:space="0" w:color="auto"/>
        <w:bottom w:val="none" w:sz="0" w:space="0" w:color="auto"/>
        <w:right w:val="none" w:sz="0" w:space="0" w:color="auto"/>
      </w:divBdr>
    </w:div>
    <w:div w:id="696665201">
      <w:bodyDiv w:val="1"/>
      <w:marLeft w:val="0"/>
      <w:marRight w:val="0"/>
      <w:marTop w:val="0"/>
      <w:marBottom w:val="0"/>
      <w:divBdr>
        <w:top w:val="none" w:sz="0" w:space="0" w:color="auto"/>
        <w:left w:val="none" w:sz="0" w:space="0" w:color="auto"/>
        <w:bottom w:val="none" w:sz="0" w:space="0" w:color="auto"/>
        <w:right w:val="none" w:sz="0" w:space="0" w:color="auto"/>
      </w:divBdr>
    </w:div>
    <w:div w:id="716320094">
      <w:bodyDiv w:val="1"/>
      <w:marLeft w:val="0"/>
      <w:marRight w:val="0"/>
      <w:marTop w:val="0"/>
      <w:marBottom w:val="0"/>
      <w:divBdr>
        <w:top w:val="none" w:sz="0" w:space="0" w:color="auto"/>
        <w:left w:val="none" w:sz="0" w:space="0" w:color="auto"/>
        <w:bottom w:val="none" w:sz="0" w:space="0" w:color="auto"/>
        <w:right w:val="none" w:sz="0" w:space="0" w:color="auto"/>
      </w:divBdr>
    </w:div>
    <w:div w:id="725879075">
      <w:bodyDiv w:val="1"/>
      <w:marLeft w:val="0"/>
      <w:marRight w:val="0"/>
      <w:marTop w:val="0"/>
      <w:marBottom w:val="0"/>
      <w:divBdr>
        <w:top w:val="none" w:sz="0" w:space="0" w:color="auto"/>
        <w:left w:val="none" w:sz="0" w:space="0" w:color="auto"/>
        <w:bottom w:val="none" w:sz="0" w:space="0" w:color="auto"/>
        <w:right w:val="none" w:sz="0" w:space="0" w:color="auto"/>
      </w:divBdr>
    </w:div>
    <w:div w:id="743336069">
      <w:bodyDiv w:val="1"/>
      <w:marLeft w:val="0"/>
      <w:marRight w:val="0"/>
      <w:marTop w:val="0"/>
      <w:marBottom w:val="0"/>
      <w:divBdr>
        <w:top w:val="none" w:sz="0" w:space="0" w:color="auto"/>
        <w:left w:val="none" w:sz="0" w:space="0" w:color="auto"/>
        <w:bottom w:val="none" w:sz="0" w:space="0" w:color="auto"/>
        <w:right w:val="none" w:sz="0" w:space="0" w:color="auto"/>
      </w:divBdr>
    </w:div>
    <w:div w:id="756830603">
      <w:bodyDiv w:val="1"/>
      <w:marLeft w:val="0"/>
      <w:marRight w:val="0"/>
      <w:marTop w:val="0"/>
      <w:marBottom w:val="0"/>
      <w:divBdr>
        <w:top w:val="none" w:sz="0" w:space="0" w:color="auto"/>
        <w:left w:val="none" w:sz="0" w:space="0" w:color="auto"/>
        <w:bottom w:val="none" w:sz="0" w:space="0" w:color="auto"/>
        <w:right w:val="none" w:sz="0" w:space="0" w:color="auto"/>
      </w:divBdr>
    </w:div>
    <w:div w:id="814640328">
      <w:bodyDiv w:val="1"/>
      <w:marLeft w:val="0"/>
      <w:marRight w:val="0"/>
      <w:marTop w:val="0"/>
      <w:marBottom w:val="0"/>
      <w:divBdr>
        <w:top w:val="none" w:sz="0" w:space="0" w:color="auto"/>
        <w:left w:val="none" w:sz="0" w:space="0" w:color="auto"/>
        <w:bottom w:val="none" w:sz="0" w:space="0" w:color="auto"/>
        <w:right w:val="none" w:sz="0" w:space="0" w:color="auto"/>
      </w:divBdr>
    </w:div>
    <w:div w:id="829636435">
      <w:bodyDiv w:val="1"/>
      <w:marLeft w:val="0"/>
      <w:marRight w:val="0"/>
      <w:marTop w:val="0"/>
      <w:marBottom w:val="0"/>
      <w:divBdr>
        <w:top w:val="none" w:sz="0" w:space="0" w:color="auto"/>
        <w:left w:val="none" w:sz="0" w:space="0" w:color="auto"/>
        <w:bottom w:val="none" w:sz="0" w:space="0" w:color="auto"/>
        <w:right w:val="none" w:sz="0" w:space="0" w:color="auto"/>
      </w:divBdr>
    </w:div>
    <w:div w:id="864948487">
      <w:bodyDiv w:val="1"/>
      <w:marLeft w:val="0"/>
      <w:marRight w:val="0"/>
      <w:marTop w:val="0"/>
      <w:marBottom w:val="0"/>
      <w:divBdr>
        <w:top w:val="none" w:sz="0" w:space="0" w:color="auto"/>
        <w:left w:val="none" w:sz="0" w:space="0" w:color="auto"/>
        <w:bottom w:val="none" w:sz="0" w:space="0" w:color="auto"/>
        <w:right w:val="none" w:sz="0" w:space="0" w:color="auto"/>
      </w:divBdr>
    </w:div>
    <w:div w:id="873157989">
      <w:bodyDiv w:val="1"/>
      <w:marLeft w:val="0"/>
      <w:marRight w:val="0"/>
      <w:marTop w:val="0"/>
      <w:marBottom w:val="0"/>
      <w:divBdr>
        <w:top w:val="none" w:sz="0" w:space="0" w:color="auto"/>
        <w:left w:val="none" w:sz="0" w:space="0" w:color="auto"/>
        <w:bottom w:val="none" w:sz="0" w:space="0" w:color="auto"/>
        <w:right w:val="none" w:sz="0" w:space="0" w:color="auto"/>
      </w:divBdr>
    </w:div>
    <w:div w:id="878593715">
      <w:bodyDiv w:val="1"/>
      <w:marLeft w:val="0"/>
      <w:marRight w:val="0"/>
      <w:marTop w:val="0"/>
      <w:marBottom w:val="0"/>
      <w:divBdr>
        <w:top w:val="none" w:sz="0" w:space="0" w:color="auto"/>
        <w:left w:val="none" w:sz="0" w:space="0" w:color="auto"/>
        <w:bottom w:val="none" w:sz="0" w:space="0" w:color="auto"/>
        <w:right w:val="none" w:sz="0" w:space="0" w:color="auto"/>
      </w:divBdr>
    </w:div>
    <w:div w:id="879971412">
      <w:bodyDiv w:val="1"/>
      <w:marLeft w:val="0"/>
      <w:marRight w:val="0"/>
      <w:marTop w:val="0"/>
      <w:marBottom w:val="0"/>
      <w:divBdr>
        <w:top w:val="none" w:sz="0" w:space="0" w:color="auto"/>
        <w:left w:val="none" w:sz="0" w:space="0" w:color="auto"/>
        <w:bottom w:val="none" w:sz="0" w:space="0" w:color="auto"/>
        <w:right w:val="none" w:sz="0" w:space="0" w:color="auto"/>
      </w:divBdr>
    </w:div>
    <w:div w:id="880433402">
      <w:bodyDiv w:val="1"/>
      <w:marLeft w:val="0"/>
      <w:marRight w:val="0"/>
      <w:marTop w:val="0"/>
      <w:marBottom w:val="0"/>
      <w:divBdr>
        <w:top w:val="none" w:sz="0" w:space="0" w:color="auto"/>
        <w:left w:val="none" w:sz="0" w:space="0" w:color="auto"/>
        <w:bottom w:val="none" w:sz="0" w:space="0" w:color="auto"/>
        <w:right w:val="none" w:sz="0" w:space="0" w:color="auto"/>
      </w:divBdr>
    </w:div>
    <w:div w:id="888808044">
      <w:bodyDiv w:val="1"/>
      <w:marLeft w:val="0"/>
      <w:marRight w:val="0"/>
      <w:marTop w:val="0"/>
      <w:marBottom w:val="0"/>
      <w:divBdr>
        <w:top w:val="none" w:sz="0" w:space="0" w:color="auto"/>
        <w:left w:val="none" w:sz="0" w:space="0" w:color="auto"/>
        <w:bottom w:val="none" w:sz="0" w:space="0" w:color="auto"/>
        <w:right w:val="none" w:sz="0" w:space="0" w:color="auto"/>
      </w:divBdr>
    </w:div>
    <w:div w:id="902762847">
      <w:bodyDiv w:val="1"/>
      <w:marLeft w:val="0"/>
      <w:marRight w:val="0"/>
      <w:marTop w:val="0"/>
      <w:marBottom w:val="0"/>
      <w:divBdr>
        <w:top w:val="none" w:sz="0" w:space="0" w:color="auto"/>
        <w:left w:val="none" w:sz="0" w:space="0" w:color="auto"/>
        <w:bottom w:val="none" w:sz="0" w:space="0" w:color="auto"/>
        <w:right w:val="none" w:sz="0" w:space="0" w:color="auto"/>
      </w:divBdr>
    </w:div>
    <w:div w:id="924803627">
      <w:bodyDiv w:val="1"/>
      <w:marLeft w:val="0"/>
      <w:marRight w:val="0"/>
      <w:marTop w:val="0"/>
      <w:marBottom w:val="0"/>
      <w:divBdr>
        <w:top w:val="none" w:sz="0" w:space="0" w:color="auto"/>
        <w:left w:val="none" w:sz="0" w:space="0" w:color="auto"/>
        <w:bottom w:val="none" w:sz="0" w:space="0" w:color="auto"/>
        <w:right w:val="none" w:sz="0" w:space="0" w:color="auto"/>
      </w:divBdr>
    </w:div>
    <w:div w:id="955868602">
      <w:bodyDiv w:val="1"/>
      <w:marLeft w:val="0"/>
      <w:marRight w:val="0"/>
      <w:marTop w:val="0"/>
      <w:marBottom w:val="0"/>
      <w:divBdr>
        <w:top w:val="none" w:sz="0" w:space="0" w:color="auto"/>
        <w:left w:val="none" w:sz="0" w:space="0" w:color="auto"/>
        <w:bottom w:val="none" w:sz="0" w:space="0" w:color="auto"/>
        <w:right w:val="none" w:sz="0" w:space="0" w:color="auto"/>
      </w:divBdr>
    </w:div>
    <w:div w:id="967202866">
      <w:bodyDiv w:val="1"/>
      <w:marLeft w:val="0"/>
      <w:marRight w:val="0"/>
      <w:marTop w:val="0"/>
      <w:marBottom w:val="0"/>
      <w:divBdr>
        <w:top w:val="none" w:sz="0" w:space="0" w:color="auto"/>
        <w:left w:val="none" w:sz="0" w:space="0" w:color="auto"/>
        <w:bottom w:val="none" w:sz="0" w:space="0" w:color="auto"/>
        <w:right w:val="none" w:sz="0" w:space="0" w:color="auto"/>
      </w:divBdr>
    </w:div>
    <w:div w:id="970205868">
      <w:bodyDiv w:val="1"/>
      <w:marLeft w:val="0"/>
      <w:marRight w:val="0"/>
      <w:marTop w:val="0"/>
      <w:marBottom w:val="0"/>
      <w:divBdr>
        <w:top w:val="none" w:sz="0" w:space="0" w:color="auto"/>
        <w:left w:val="none" w:sz="0" w:space="0" w:color="auto"/>
        <w:bottom w:val="none" w:sz="0" w:space="0" w:color="auto"/>
        <w:right w:val="none" w:sz="0" w:space="0" w:color="auto"/>
      </w:divBdr>
    </w:div>
    <w:div w:id="981157384">
      <w:bodyDiv w:val="1"/>
      <w:marLeft w:val="0"/>
      <w:marRight w:val="0"/>
      <w:marTop w:val="0"/>
      <w:marBottom w:val="0"/>
      <w:divBdr>
        <w:top w:val="none" w:sz="0" w:space="0" w:color="auto"/>
        <w:left w:val="none" w:sz="0" w:space="0" w:color="auto"/>
        <w:bottom w:val="none" w:sz="0" w:space="0" w:color="auto"/>
        <w:right w:val="none" w:sz="0" w:space="0" w:color="auto"/>
      </w:divBdr>
    </w:div>
    <w:div w:id="991104758">
      <w:bodyDiv w:val="1"/>
      <w:marLeft w:val="0"/>
      <w:marRight w:val="0"/>
      <w:marTop w:val="0"/>
      <w:marBottom w:val="0"/>
      <w:divBdr>
        <w:top w:val="none" w:sz="0" w:space="0" w:color="auto"/>
        <w:left w:val="none" w:sz="0" w:space="0" w:color="auto"/>
        <w:bottom w:val="none" w:sz="0" w:space="0" w:color="auto"/>
        <w:right w:val="none" w:sz="0" w:space="0" w:color="auto"/>
      </w:divBdr>
    </w:div>
    <w:div w:id="1004017026">
      <w:bodyDiv w:val="1"/>
      <w:marLeft w:val="0"/>
      <w:marRight w:val="0"/>
      <w:marTop w:val="0"/>
      <w:marBottom w:val="0"/>
      <w:divBdr>
        <w:top w:val="none" w:sz="0" w:space="0" w:color="auto"/>
        <w:left w:val="none" w:sz="0" w:space="0" w:color="auto"/>
        <w:bottom w:val="none" w:sz="0" w:space="0" w:color="auto"/>
        <w:right w:val="none" w:sz="0" w:space="0" w:color="auto"/>
      </w:divBdr>
    </w:div>
    <w:div w:id="1011490229">
      <w:bodyDiv w:val="1"/>
      <w:marLeft w:val="0"/>
      <w:marRight w:val="0"/>
      <w:marTop w:val="0"/>
      <w:marBottom w:val="0"/>
      <w:divBdr>
        <w:top w:val="none" w:sz="0" w:space="0" w:color="auto"/>
        <w:left w:val="none" w:sz="0" w:space="0" w:color="auto"/>
        <w:bottom w:val="none" w:sz="0" w:space="0" w:color="auto"/>
        <w:right w:val="none" w:sz="0" w:space="0" w:color="auto"/>
      </w:divBdr>
    </w:div>
    <w:div w:id="1018889815">
      <w:bodyDiv w:val="1"/>
      <w:marLeft w:val="0"/>
      <w:marRight w:val="0"/>
      <w:marTop w:val="0"/>
      <w:marBottom w:val="0"/>
      <w:divBdr>
        <w:top w:val="none" w:sz="0" w:space="0" w:color="auto"/>
        <w:left w:val="none" w:sz="0" w:space="0" w:color="auto"/>
        <w:bottom w:val="none" w:sz="0" w:space="0" w:color="auto"/>
        <w:right w:val="none" w:sz="0" w:space="0" w:color="auto"/>
      </w:divBdr>
    </w:div>
    <w:div w:id="1027220810">
      <w:bodyDiv w:val="1"/>
      <w:marLeft w:val="0"/>
      <w:marRight w:val="0"/>
      <w:marTop w:val="0"/>
      <w:marBottom w:val="0"/>
      <w:divBdr>
        <w:top w:val="none" w:sz="0" w:space="0" w:color="auto"/>
        <w:left w:val="none" w:sz="0" w:space="0" w:color="auto"/>
        <w:bottom w:val="none" w:sz="0" w:space="0" w:color="auto"/>
        <w:right w:val="none" w:sz="0" w:space="0" w:color="auto"/>
      </w:divBdr>
    </w:div>
    <w:div w:id="1062412593">
      <w:bodyDiv w:val="1"/>
      <w:marLeft w:val="0"/>
      <w:marRight w:val="0"/>
      <w:marTop w:val="0"/>
      <w:marBottom w:val="0"/>
      <w:divBdr>
        <w:top w:val="none" w:sz="0" w:space="0" w:color="auto"/>
        <w:left w:val="none" w:sz="0" w:space="0" w:color="auto"/>
        <w:bottom w:val="none" w:sz="0" w:space="0" w:color="auto"/>
        <w:right w:val="none" w:sz="0" w:space="0" w:color="auto"/>
      </w:divBdr>
    </w:div>
    <w:div w:id="1071656859">
      <w:bodyDiv w:val="1"/>
      <w:marLeft w:val="0"/>
      <w:marRight w:val="0"/>
      <w:marTop w:val="0"/>
      <w:marBottom w:val="0"/>
      <w:divBdr>
        <w:top w:val="none" w:sz="0" w:space="0" w:color="auto"/>
        <w:left w:val="none" w:sz="0" w:space="0" w:color="auto"/>
        <w:bottom w:val="none" w:sz="0" w:space="0" w:color="auto"/>
        <w:right w:val="none" w:sz="0" w:space="0" w:color="auto"/>
      </w:divBdr>
    </w:div>
    <w:div w:id="1097140075">
      <w:bodyDiv w:val="1"/>
      <w:marLeft w:val="0"/>
      <w:marRight w:val="0"/>
      <w:marTop w:val="0"/>
      <w:marBottom w:val="0"/>
      <w:divBdr>
        <w:top w:val="none" w:sz="0" w:space="0" w:color="auto"/>
        <w:left w:val="none" w:sz="0" w:space="0" w:color="auto"/>
        <w:bottom w:val="none" w:sz="0" w:space="0" w:color="auto"/>
        <w:right w:val="none" w:sz="0" w:space="0" w:color="auto"/>
      </w:divBdr>
    </w:div>
    <w:div w:id="1098718685">
      <w:bodyDiv w:val="1"/>
      <w:marLeft w:val="0"/>
      <w:marRight w:val="0"/>
      <w:marTop w:val="0"/>
      <w:marBottom w:val="0"/>
      <w:divBdr>
        <w:top w:val="none" w:sz="0" w:space="0" w:color="auto"/>
        <w:left w:val="none" w:sz="0" w:space="0" w:color="auto"/>
        <w:bottom w:val="none" w:sz="0" w:space="0" w:color="auto"/>
        <w:right w:val="none" w:sz="0" w:space="0" w:color="auto"/>
      </w:divBdr>
    </w:div>
    <w:div w:id="1108544798">
      <w:bodyDiv w:val="1"/>
      <w:marLeft w:val="0"/>
      <w:marRight w:val="0"/>
      <w:marTop w:val="0"/>
      <w:marBottom w:val="0"/>
      <w:divBdr>
        <w:top w:val="none" w:sz="0" w:space="0" w:color="auto"/>
        <w:left w:val="none" w:sz="0" w:space="0" w:color="auto"/>
        <w:bottom w:val="none" w:sz="0" w:space="0" w:color="auto"/>
        <w:right w:val="none" w:sz="0" w:space="0" w:color="auto"/>
      </w:divBdr>
    </w:div>
    <w:div w:id="1117723169">
      <w:bodyDiv w:val="1"/>
      <w:marLeft w:val="0"/>
      <w:marRight w:val="0"/>
      <w:marTop w:val="0"/>
      <w:marBottom w:val="0"/>
      <w:divBdr>
        <w:top w:val="none" w:sz="0" w:space="0" w:color="auto"/>
        <w:left w:val="none" w:sz="0" w:space="0" w:color="auto"/>
        <w:bottom w:val="none" w:sz="0" w:space="0" w:color="auto"/>
        <w:right w:val="none" w:sz="0" w:space="0" w:color="auto"/>
      </w:divBdr>
    </w:div>
    <w:div w:id="1118720010">
      <w:bodyDiv w:val="1"/>
      <w:marLeft w:val="0"/>
      <w:marRight w:val="0"/>
      <w:marTop w:val="0"/>
      <w:marBottom w:val="0"/>
      <w:divBdr>
        <w:top w:val="none" w:sz="0" w:space="0" w:color="auto"/>
        <w:left w:val="none" w:sz="0" w:space="0" w:color="auto"/>
        <w:bottom w:val="none" w:sz="0" w:space="0" w:color="auto"/>
        <w:right w:val="none" w:sz="0" w:space="0" w:color="auto"/>
      </w:divBdr>
    </w:div>
    <w:div w:id="1121848886">
      <w:bodyDiv w:val="1"/>
      <w:marLeft w:val="0"/>
      <w:marRight w:val="0"/>
      <w:marTop w:val="0"/>
      <w:marBottom w:val="0"/>
      <w:divBdr>
        <w:top w:val="none" w:sz="0" w:space="0" w:color="auto"/>
        <w:left w:val="none" w:sz="0" w:space="0" w:color="auto"/>
        <w:bottom w:val="none" w:sz="0" w:space="0" w:color="auto"/>
        <w:right w:val="none" w:sz="0" w:space="0" w:color="auto"/>
      </w:divBdr>
    </w:div>
    <w:div w:id="1125930418">
      <w:bodyDiv w:val="1"/>
      <w:marLeft w:val="0"/>
      <w:marRight w:val="0"/>
      <w:marTop w:val="0"/>
      <w:marBottom w:val="0"/>
      <w:divBdr>
        <w:top w:val="none" w:sz="0" w:space="0" w:color="auto"/>
        <w:left w:val="none" w:sz="0" w:space="0" w:color="auto"/>
        <w:bottom w:val="none" w:sz="0" w:space="0" w:color="auto"/>
        <w:right w:val="none" w:sz="0" w:space="0" w:color="auto"/>
      </w:divBdr>
    </w:div>
    <w:div w:id="1151366718">
      <w:bodyDiv w:val="1"/>
      <w:marLeft w:val="0"/>
      <w:marRight w:val="0"/>
      <w:marTop w:val="0"/>
      <w:marBottom w:val="0"/>
      <w:divBdr>
        <w:top w:val="none" w:sz="0" w:space="0" w:color="auto"/>
        <w:left w:val="none" w:sz="0" w:space="0" w:color="auto"/>
        <w:bottom w:val="none" w:sz="0" w:space="0" w:color="auto"/>
        <w:right w:val="none" w:sz="0" w:space="0" w:color="auto"/>
      </w:divBdr>
    </w:div>
    <w:div w:id="1169055149">
      <w:bodyDiv w:val="1"/>
      <w:marLeft w:val="0"/>
      <w:marRight w:val="0"/>
      <w:marTop w:val="0"/>
      <w:marBottom w:val="0"/>
      <w:divBdr>
        <w:top w:val="none" w:sz="0" w:space="0" w:color="auto"/>
        <w:left w:val="none" w:sz="0" w:space="0" w:color="auto"/>
        <w:bottom w:val="none" w:sz="0" w:space="0" w:color="auto"/>
        <w:right w:val="none" w:sz="0" w:space="0" w:color="auto"/>
      </w:divBdr>
    </w:div>
    <w:div w:id="1174880065">
      <w:bodyDiv w:val="1"/>
      <w:marLeft w:val="0"/>
      <w:marRight w:val="0"/>
      <w:marTop w:val="0"/>
      <w:marBottom w:val="0"/>
      <w:divBdr>
        <w:top w:val="none" w:sz="0" w:space="0" w:color="auto"/>
        <w:left w:val="none" w:sz="0" w:space="0" w:color="auto"/>
        <w:bottom w:val="none" w:sz="0" w:space="0" w:color="auto"/>
        <w:right w:val="none" w:sz="0" w:space="0" w:color="auto"/>
      </w:divBdr>
    </w:div>
    <w:div w:id="1194073888">
      <w:bodyDiv w:val="1"/>
      <w:marLeft w:val="0"/>
      <w:marRight w:val="0"/>
      <w:marTop w:val="0"/>
      <w:marBottom w:val="0"/>
      <w:divBdr>
        <w:top w:val="none" w:sz="0" w:space="0" w:color="auto"/>
        <w:left w:val="none" w:sz="0" w:space="0" w:color="auto"/>
        <w:bottom w:val="none" w:sz="0" w:space="0" w:color="auto"/>
        <w:right w:val="none" w:sz="0" w:space="0" w:color="auto"/>
      </w:divBdr>
    </w:div>
    <w:div w:id="1196237300">
      <w:bodyDiv w:val="1"/>
      <w:marLeft w:val="0"/>
      <w:marRight w:val="0"/>
      <w:marTop w:val="0"/>
      <w:marBottom w:val="0"/>
      <w:divBdr>
        <w:top w:val="none" w:sz="0" w:space="0" w:color="auto"/>
        <w:left w:val="none" w:sz="0" w:space="0" w:color="auto"/>
        <w:bottom w:val="none" w:sz="0" w:space="0" w:color="auto"/>
        <w:right w:val="none" w:sz="0" w:space="0" w:color="auto"/>
      </w:divBdr>
    </w:div>
    <w:div w:id="1235629116">
      <w:bodyDiv w:val="1"/>
      <w:marLeft w:val="0"/>
      <w:marRight w:val="0"/>
      <w:marTop w:val="0"/>
      <w:marBottom w:val="0"/>
      <w:divBdr>
        <w:top w:val="none" w:sz="0" w:space="0" w:color="auto"/>
        <w:left w:val="none" w:sz="0" w:space="0" w:color="auto"/>
        <w:bottom w:val="none" w:sz="0" w:space="0" w:color="auto"/>
        <w:right w:val="none" w:sz="0" w:space="0" w:color="auto"/>
      </w:divBdr>
    </w:div>
    <w:div w:id="1244147381">
      <w:bodyDiv w:val="1"/>
      <w:marLeft w:val="0"/>
      <w:marRight w:val="0"/>
      <w:marTop w:val="0"/>
      <w:marBottom w:val="0"/>
      <w:divBdr>
        <w:top w:val="none" w:sz="0" w:space="0" w:color="auto"/>
        <w:left w:val="none" w:sz="0" w:space="0" w:color="auto"/>
        <w:bottom w:val="none" w:sz="0" w:space="0" w:color="auto"/>
        <w:right w:val="none" w:sz="0" w:space="0" w:color="auto"/>
      </w:divBdr>
    </w:div>
    <w:div w:id="1245651578">
      <w:bodyDiv w:val="1"/>
      <w:marLeft w:val="0"/>
      <w:marRight w:val="0"/>
      <w:marTop w:val="0"/>
      <w:marBottom w:val="0"/>
      <w:divBdr>
        <w:top w:val="none" w:sz="0" w:space="0" w:color="auto"/>
        <w:left w:val="none" w:sz="0" w:space="0" w:color="auto"/>
        <w:bottom w:val="none" w:sz="0" w:space="0" w:color="auto"/>
        <w:right w:val="none" w:sz="0" w:space="0" w:color="auto"/>
      </w:divBdr>
    </w:div>
    <w:div w:id="1276447493">
      <w:bodyDiv w:val="1"/>
      <w:marLeft w:val="0"/>
      <w:marRight w:val="0"/>
      <w:marTop w:val="0"/>
      <w:marBottom w:val="0"/>
      <w:divBdr>
        <w:top w:val="none" w:sz="0" w:space="0" w:color="auto"/>
        <w:left w:val="none" w:sz="0" w:space="0" w:color="auto"/>
        <w:bottom w:val="none" w:sz="0" w:space="0" w:color="auto"/>
        <w:right w:val="none" w:sz="0" w:space="0" w:color="auto"/>
      </w:divBdr>
    </w:div>
    <w:div w:id="1289975319">
      <w:bodyDiv w:val="1"/>
      <w:marLeft w:val="0"/>
      <w:marRight w:val="0"/>
      <w:marTop w:val="0"/>
      <w:marBottom w:val="0"/>
      <w:divBdr>
        <w:top w:val="none" w:sz="0" w:space="0" w:color="auto"/>
        <w:left w:val="none" w:sz="0" w:space="0" w:color="auto"/>
        <w:bottom w:val="none" w:sz="0" w:space="0" w:color="auto"/>
        <w:right w:val="none" w:sz="0" w:space="0" w:color="auto"/>
      </w:divBdr>
    </w:div>
    <w:div w:id="1310937526">
      <w:bodyDiv w:val="1"/>
      <w:marLeft w:val="0"/>
      <w:marRight w:val="0"/>
      <w:marTop w:val="0"/>
      <w:marBottom w:val="0"/>
      <w:divBdr>
        <w:top w:val="none" w:sz="0" w:space="0" w:color="auto"/>
        <w:left w:val="none" w:sz="0" w:space="0" w:color="auto"/>
        <w:bottom w:val="none" w:sz="0" w:space="0" w:color="auto"/>
        <w:right w:val="none" w:sz="0" w:space="0" w:color="auto"/>
      </w:divBdr>
    </w:div>
    <w:div w:id="1323385523">
      <w:bodyDiv w:val="1"/>
      <w:marLeft w:val="0"/>
      <w:marRight w:val="0"/>
      <w:marTop w:val="0"/>
      <w:marBottom w:val="0"/>
      <w:divBdr>
        <w:top w:val="none" w:sz="0" w:space="0" w:color="auto"/>
        <w:left w:val="none" w:sz="0" w:space="0" w:color="auto"/>
        <w:bottom w:val="none" w:sz="0" w:space="0" w:color="auto"/>
        <w:right w:val="none" w:sz="0" w:space="0" w:color="auto"/>
      </w:divBdr>
    </w:div>
    <w:div w:id="1328553787">
      <w:bodyDiv w:val="1"/>
      <w:marLeft w:val="0"/>
      <w:marRight w:val="0"/>
      <w:marTop w:val="0"/>
      <w:marBottom w:val="0"/>
      <w:divBdr>
        <w:top w:val="none" w:sz="0" w:space="0" w:color="auto"/>
        <w:left w:val="none" w:sz="0" w:space="0" w:color="auto"/>
        <w:bottom w:val="none" w:sz="0" w:space="0" w:color="auto"/>
        <w:right w:val="none" w:sz="0" w:space="0" w:color="auto"/>
      </w:divBdr>
    </w:div>
    <w:div w:id="1331374687">
      <w:bodyDiv w:val="1"/>
      <w:marLeft w:val="0"/>
      <w:marRight w:val="0"/>
      <w:marTop w:val="0"/>
      <w:marBottom w:val="0"/>
      <w:divBdr>
        <w:top w:val="none" w:sz="0" w:space="0" w:color="auto"/>
        <w:left w:val="none" w:sz="0" w:space="0" w:color="auto"/>
        <w:bottom w:val="none" w:sz="0" w:space="0" w:color="auto"/>
        <w:right w:val="none" w:sz="0" w:space="0" w:color="auto"/>
      </w:divBdr>
    </w:div>
    <w:div w:id="1358656801">
      <w:bodyDiv w:val="1"/>
      <w:marLeft w:val="0"/>
      <w:marRight w:val="0"/>
      <w:marTop w:val="0"/>
      <w:marBottom w:val="0"/>
      <w:divBdr>
        <w:top w:val="none" w:sz="0" w:space="0" w:color="auto"/>
        <w:left w:val="none" w:sz="0" w:space="0" w:color="auto"/>
        <w:bottom w:val="none" w:sz="0" w:space="0" w:color="auto"/>
        <w:right w:val="none" w:sz="0" w:space="0" w:color="auto"/>
      </w:divBdr>
    </w:div>
    <w:div w:id="1370296645">
      <w:bodyDiv w:val="1"/>
      <w:marLeft w:val="0"/>
      <w:marRight w:val="0"/>
      <w:marTop w:val="0"/>
      <w:marBottom w:val="0"/>
      <w:divBdr>
        <w:top w:val="none" w:sz="0" w:space="0" w:color="auto"/>
        <w:left w:val="none" w:sz="0" w:space="0" w:color="auto"/>
        <w:bottom w:val="none" w:sz="0" w:space="0" w:color="auto"/>
        <w:right w:val="none" w:sz="0" w:space="0" w:color="auto"/>
      </w:divBdr>
    </w:div>
    <w:div w:id="1380203306">
      <w:bodyDiv w:val="1"/>
      <w:marLeft w:val="0"/>
      <w:marRight w:val="0"/>
      <w:marTop w:val="0"/>
      <w:marBottom w:val="0"/>
      <w:divBdr>
        <w:top w:val="none" w:sz="0" w:space="0" w:color="auto"/>
        <w:left w:val="none" w:sz="0" w:space="0" w:color="auto"/>
        <w:bottom w:val="none" w:sz="0" w:space="0" w:color="auto"/>
        <w:right w:val="none" w:sz="0" w:space="0" w:color="auto"/>
      </w:divBdr>
    </w:div>
    <w:div w:id="1394691355">
      <w:bodyDiv w:val="1"/>
      <w:marLeft w:val="0"/>
      <w:marRight w:val="0"/>
      <w:marTop w:val="0"/>
      <w:marBottom w:val="0"/>
      <w:divBdr>
        <w:top w:val="none" w:sz="0" w:space="0" w:color="auto"/>
        <w:left w:val="none" w:sz="0" w:space="0" w:color="auto"/>
        <w:bottom w:val="none" w:sz="0" w:space="0" w:color="auto"/>
        <w:right w:val="none" w:sz="0" w:space="0" w:color="auto"/>
      </w:divBdr>
    </w:div>
    <w:div w:id="1396200107">
      <w:bodyDiv w:val="1"/>
      <w:marLeft w:val="0"/>
      <w:marRight w:val="0"/>
      <w:marTop w:val="0"/>
      <w:marBottom w:val="0"/>
      <w:divBdr>
        <w:top w:val="none" w:sz="0" w:space="0" w:color="auto"/>
        <w:left w:val="none" w:sz="0" w:space="0" w:color="auto"/>
        <w:bottom w:val="none" w:sz="0" w:space="0" w:color="auto"/>
        <w:right w:val="none" w:sz="0" w:space="0" w:color="auto"/>
      </w:divBdr>
    </w:div>
    <w:div w:id="1400052402">
      <w:bodyDiv w:val="1"/>
      <w:marLeft w:val="0"/>
      <w:marRight w:val="0"/>
      <w:marTop w:val="0"/>
      <w:marBottom w:val="0"/>
      <w:divBdr>
        <w:top w:val="none" w:sz="0" w:space="0" w:color="auto"/>
        <w:left w:val="none" w:sz="0" w:space="0" w:color="auto"/>
        <w:bottom w:val="none" w:sz="0" w:space="0" w:color="auto"/>
        <w:right w:val="none" w:sz="0" w:space="0" w:color="auto"/>
      </w:divBdr>
    </w:div>
    <w:div w:id="1430464181">
      <w:bodyDiv w:val="1"/>
      <w:marLeft w:val="0"/>
      <w:marRight w:val="0"/>
      <w:marTop w:val="0"/>
      <w:marBottom w:val="0"/>
      <w:divBdr>
        <w:top w:val="none" w:sz="0" w:space="0" w:color="auto"/>
        <w:left w:val="none" w:sz="0" w:space="0" w:color="auto"/>
        <w:bottom w:val="none" w:sz="0" w:space="0" w:color="auto"/>
        <w:right w:val="none" w:sz="0" w:space="0" w:color="auto"/>
      </w:divBdr>
    </w:div>
    <w:div w:id="1442413354">
      <w:bodyDiv w:val="1"/>
      <w:marLeft w:val="0"/>
      <w:marRight w:val="0"/>
      <w:marTop w:val="0"/>
      <w:marBottom w:val="0"/>
      <w:divBdr>
        <w:top w:val="none" w:sz="0" w:space="0" w:color="auto"/>
        <w:left w:val="none" w:sz="0" w:space="0" w:color="auto"/>
        <w:bottom w:val="none" w:sz="0" w:space="0" w:color="auto"/>
        <w:right w:val="none" w:sz="0" w:space="0" w:color="auto"/>
      </w:divBdr>
    </w:div>
    <w:div w:id="1461341975">
      <w:bodyDiv w:val="1"/>
      <w:marLeft w:val="0"/>
      <w:marRight w:val="0"/>
      <w:marTop w:val="0"/>
      <w:marBottom w:val="0"/>
      <w:divBdr>
        <w:top w:val="none" w:sz="0" w:space="0" w:color="auto"/>
        <w:left w:val="none" w:sz="0" w:space="0" w:color="auto"/>
        <w:bottom w:val="none" w:sz="0" w:space="0" w:color="auto"/>
        <w:right w:val="none" w:sz="0" w:space="0" w:color="auto"/>
      </w:divBdr>
    </w:div>
    <w:div w:id="1472361783">
      <w:bodyDiv w:val="1"/>
      <w:marLeft w:val="0"/>
      <w:marRight w:val="0"/>
      <w:marTop w:val="0"/>
      <w:marBottom w:val="0"/>
      <w:divBdr>
        <w:top w:val="none" w:sz="0" w:space="0" w:color="auto"/>
        <w:left w:val="none" w:sz="0" w:space="0" w:color="auto"/>
        <w:bottom w:val="none" w:sz="0" w:space="0" w:color="auto"/>
        <w:right w:val="none" w:sz="0" w:space="0" w:color="auto"/>
      </w:divBdr>
    </w:div>
    <w:div w:id="1474248774">
      <w:bodyDiv w:val="1"/>
      <w:marLeft w:val="0"/>
      <w:marRight w:val="0"/>
      <w:marTop w:val="0"/>
      <w:marBottom w:val="0"/>
      <w:divBdr>
        <w:top w:val="none" w:sz="0" w:space="0" w:color="auto"/>
        <w:left w:val="none" w:sz="0" w:space="0" w:color="auto"/>
        <w:bottom w:val="none" w:sz="0" w:space="0" w:color="auto"/>
        <w:right w:val="none" w:sz="0" w:space="0" w:color="auto"/>
      </w:divBdr>
    </w:div>
    <w:div w:id="1480613819">
      <w:bodyDiv w:val="1"/>
      <w:marLeft w:val="0"/>
      <w:marRight w:val="0"/>
      <w:marTop w:val="0"/>
      <w:marBottom w:val="0"/>
      <w:divBdr>
        <w:top w:val="none" w:sz="0" w:space="0" w:color="auto"/>
        <w:left w:val="none" w:sz="0" w:space="0" w:color="auto"/>
        <w:bottom w:val="none" w:sz="0" w:space="0" w:color="auto"/>
        <w:right w:val="none" w:sz="0" w:space="0" w:color="auto"/>
      </w:divBdr>
    </w:div>
    <w:div w:id="1485052841">
      <w:bodyDiv w:val="1"/>
      <w:marLeft w:val="0"/>
      <w:marRight w:val="0"/>
      <w:marTop w:val="0"/>
      <w:marBottom w:val="0"/>
      <w:divBdr>
        <w:top w:val="none" w:sz="0" w:space="0" w:color="auto"/>
        <w:left w:val="none" w:sz="0" w:space="0" w:color="auto"/>
        <w:bottom w:val="none" w:sz="0" w:space="0" w:color="auto"/>
        <w:right w:val="none" w:sz="0" w:space="0" w:color="auto"/>
      </w:divBdr>
    </w:div>
    <w:div w:id="1486583017">
      <w:bodyDiv w:val="1"/>
      <w:marLeft w:val="0"/>
      <w:marRight w:val="0"/>
      <w:marTop w:val="0"/>
      <w:marBottom w:val="0"/>
      <w:divBdr>
        <w:top w:val="none" w:sz="0" w:space="0" w:color="auto"/>
        <w:left w:val="none" w:sz="0" w:space="0" w:color="auto"/>
        <w:bottom w:val="none" w:sz="0" w:space="0" w:color="auto"/>
        <w:right w:val="none" w:sz="0" w:space="0" w:color="auto"/>
      </w:divBdr>
    </w:div>
    <w:div w:id="1494642086">
      <w:bodyDiv w:val="1"/>
      <w:marLeft w:val="0"/>
      <w:marRight w:val="0"/>
      <w:marTop w:val="0"/>
      <w:marBottom w:val="0"/>
      <w:divBdr>
        <w:top w:val="none" w:sz="0" w:space="0" w:color="auto"/>
        <w:left w:val="none" w:sz="0" w:space="0" w:color="auto"/>
        <w:bottom w:val="none" w:sz="0" w:space="0" w:color="auto"/>
        <w:right w:val="none" w:sz="0" w:space="0" w:color="auto"/>
      </w:divBdr>
    </w:div>
    <w:div w:id="1496921445">
      <w:bodyDiv w:val="1"/>
      <w:marLeft w:val="0"/>
      <w:marRight w:val="0"/>
      <w:marTop w:val="0"/>
      <w:marBottom w:val="0"/>
      <w:divBdr>
        <w:top w:val="none" w:sz="0" w:space="0" w:color="auto"/>
        <w:left w:val="none" w:sz="0" w:space="0" w:color="auto"/>
        <w:bottom w:val="none" w:sz="0" w:space="0" w:color="auto"/>
        <w:right w:val="none" w:sz="0" w:space="0" w:color="auto"/>
      </w:divBdr>
    </w:div>
    <w:div w:id="1502698455">
      <w:bodyDiv w:val="1"/>
      <w:marLeft w:val="0"/>
      <w:marRight w:val="0"/>
      <w:marTop w:val="0"/>
      <w:marBottom w:val="0"/>
      <w:divBdr>
        <w:top w:val="none" w:sz="0" w:space="0" w:color="auto"/>
        <w:left w:val="none" w:sz="0" w:space="0" w:color="auto"/>
        <w:bottom w:val="none" w:sz="0" w:space="0" w:color="auto"/>
        <w:right w:val="none" w:sz="0" w:space="0" w:color="auto"/>
      </w:divBdr>
    </w:div>
    <w:div w:id="1513495697">
      <w:bodyDiv w:val="1"/>
      <w:marLeft w:val="0"/>
      <w:marRight w:val="0"/>
      <w:marTop w:val="0"/>
      <w:marBottom w:val="0"/>
      <w:divBdr>
        <w:top w:val="none" w:sz="0" w:space="0" w:color="auto"/>
        <w:left w:val="none" w:sz="0" w:space="0" w:color="auto"/>
        <w:bottom w:val="none" w:sz="0" w:space="0" w:color="auto"/>
        <w:right w:val="none" w:sz="0" w:space="0" w:color="auto"/>
      </w:divBdr>
    </w:div>
    <w:div w:id="1540239820">
      <w:bodyDiv w:val="1"/>
      <w:marLeft w:val="0"/>
      <w:marRight w:val="0"/>
      <w:marTop w:val="0"/>
      <w:marBottom w:val="0"/>
      <w:divBdr>
        <w:top w:val="none" w:sz="0" w:space="0" w:color="auto"/>
        <w:left w:val="none" w:sz="0" w:space="0" w:color="auto"/>
        <w:bottom w:val="none" w:sz="0" w:space="0" w:color="auto"/>
        <w:right w:val="none" w:sz="0" w:space="0" w:color="auto"/>
      </w:divBdr>
    </w:div>
    <w:div w:id="1548447000">
      <w:bodyDiv w:val="1"/>
      <w:marLeft w:val="0"/>
      <w:marRight w:val="0"/>
      <w:marTop w:val="0"/>
      <w:marBottom w:val="0"/>
      <w:divBdr>
        <w:top w:val="none" w:sz="0" w:space="0" w:color="auto"/>
        <w:left w:val="none" w:sz="0" w:space="0" w:color="auto"/>
        <w:bottom w:val="none" w:sz="0" w:space="0" w:color="auto"/>
        <w:right w:val="none" w:sz="0" w:space="0" w:color="auto"/>
      </w:divBdr>
    </w:div>
    <w:div w:id="1568346900">
      <w:bodyDiv w:val="1"/>
      <w:marLeft w:val="0"/>
      <w:marRight w:val="0"/>
      <w:marTop w:val="0"/>
      <w:marBottom w:val="0"/>
      <w:divBdr>
        <w:top w:val="none" w:sz="0" w:space="0" w:color="auto"/>
        <w:left w:val="none" w:sz="0" w:space="0" w:color="auto"/>
        <w:bottom w:val="none" w:sz="0" w:space="0" w:color="auto"/>
        <w:right w:val="none" w:sz="0" w:space="0" w:color="auto"/>
      </w:divBdr>
    </w:div>
    <w:div w:id="1571959326">
      <w:bodyDiv w:val="1"/>
      <w:marLeft w:val="0"/>
      <w:marRight w:val="0"/>
      <w:marTop w:val="0"/>
      <w:marBottom w:val="0"/>
      <w:divBdr>
        <w:top w:val="none" w:sz="0" w:space="0" w:color="auto"/>
        <w:left w:val="none" w:sz="0" w:space="0" w:color="auto"/>
        <w:bottom w:val="none" w:sz="0" w:space="0" w:color="auto"/>
        <w:right w:val="none" w:sz="0" w:space="0" w:color="auto"/>
      </w:divBdr>
    </w:div>
    <w:div w:id="1582376419">
      <w:bodyDiv w:val="1"/>
      <w:marLeft w:val="0"/>
      <w:marRight w:val="0"/>
      <w:marTop w:val="0"/>
      <w:marBottom w:val="0"/>
      <w:divBdr>
        <w:top w:val="none" w:sz="0" w:space="0" w:color="auto"/>
        <w:left w:val="none" w:sz="0" w:space="0" w:color="auto"/>
        <w:bottom w:val="none" w:sz="0" w:space="0" w:color="auto"/>
        <w:right w:val="none" w:sz="0" w:space="0" w:color="auto"/>
      </w:divBdr>
    </w:div>
    <w:div w:id="1583492953">
      <w:bodyDiv w:val="1"/>
      <w:marLeft w:val="0"/>
      <w:marRight w:val="0"/>
      <w:marTop w:val="0"/>
      <w:marBottom w:val="0"/>
      <w:divBdr>
        <w:top w:val="none" w:sz="0" w:space="0" w:color="auto"/>
        <w:left w:val="none" w:sz="0" w:space="0" w:color="auto"/>
        <w:bottom w:val="none" w:sz="0" w:space="0" w:color="auto"/>
        <w:right w:val="none" w:sz="0" w:space="0" w:color="auto"/>
      </w:divBdr>
    </w:div>
    <w:div w:id="1588461653">
      <w:bodyDiv w:val="1"/>
      <w:marLeft w:val="0"/>
      <w:marRight w:val="0"/>
      <w:marTop w:val="0"/>
      <w:marBottom w:val="0"/>
      <w:divBdr>
        <w:top w:val="none" w:sz="0" w:space="0" w:color="auto"/>
        <w:left w:val="none" w:sz="0" w:space="0" w:color="auto"/>
        <w:bottom w:val="none" w:sz="0" w:space="0" w:color="auto"/>
        <w:right w:val="none" w:sz="0" w:space="0" w:color="auto"/>
      </w:divBdr>
    </w:div>
    <w:div w:id="1590851167">
      <w:bodyDiv w:val="1"/>
      <w:marLeft w:val="0"/>
      <w:marRight w:val="0"/>
      <w:marTop w:val="0"/>
      <w:marBottom w:val="0"/>
      <w:divBdr>
        <w:top w:val="none" w:sz="0" w:space="0" w:color="auto"/>
        <w:left w:val="none" w:sz="0" w:space="0" w:color="auto"/>
        <w:bottom w:val="none" w:sz="0" w:space="0" w:color="auto"/>
        <w:right w:val="none" w:sz="0" w:space="0" w:color="auto"/>
      </w:divBdr>
    </w:div>
    <w:div w:id="1591083745">
      <w:bodyDiv w:val="1"/>
      <w:marLeft w:val="0"/>
      <w:marRight w:val="0"/>
      <w:marTop w:val="0"/>
      <w:marBottom w:val="0"/>
      <w:divBdr>
        <w:top w:val="none" w:sz="0" w:space="0" w:color="auto"/>
        <w:left w:val="none" w:sz="0" w:space="0" w:color="auto"/>
        <w:bottom w:val="none" w:sz="0" w:space="0" w:color="auto"/>
        <w:right w:val="none" w:sz="0" w:space="0" w:color="auto"/>
      </w:divBdr>
    </w:div>
    <w:div w:id="1595360226">
      <w:bodyDiv w:val="1"/>
      <w:marLeft w:val="0"/>
      <w:marRight w:val="0"/>
      <w:marTop w:val="0"/>
      <w:marBottom w:val="0"/>
      <w:divBdr>
        <w:top w:val="none" w:sz="0" w:space="0" w:color="auto"/>
        <w:left w:val="none" w:sz="0" w:space="0" w:color="auto"/>
        <w:bottom w:val="none" w:sz="0" w:space="0" w:color="auto"/>
        <w:right w:val="none" w:sz="0" w:space="0" w:color="auto"/>
      </w:divBdr>
    </w:div>
    <w:div w:id="1603758698">
      <w:bodyDiv w:val="1"/>
      <w:marLeft w:val="0"/>
      <w:marRight w:val="0"/>
      <w:marTop w:val="0"/>
      <w:marBottom w:val="0"/>
      <w:divBdr>
        <w:top w:val="none" w:sz="0" w:space="0" w:color="auto"/>
        <w:left w:val="none" w:sz="0" w:space="0" w:color="auto"/>
        <w:bottom w:val="none" w:sz="0" w:space="0" w:color="auto"/>
        <w:right w:val="none" w:sz="0" w:space="0" w:color="auto"/>
      </w:divBdr>
    </w:div>
    <w:div w:id="1638486741">
      <w:bodyDiv w:val="1"/>
      <w:marLeft w:val="0"/>
      <w:marRight w:val="0"/>
      <w:marTop w:val="0"/>
      <w:marBottom w:val="0"/>
      <w:divBdr>
        <w:top w:val="none" w:sz="0" w:space="0" w:color="auto"/>
        <w:left w:val="none" w:sz="0" w:space="0" w:color="auto"/>
        <w:bottom w:val="none" w:sz="0" w:space="0" w:color="auto"/>
        <w:right w:val="none" w:sz="0" w:space="0" w:color="auto"/>
      </w:divBdr>
    </w:div>
    <w:div w:id="1649626580">
      <w:bodyDiv w:val="1"/>
      <w:marLeft w:val="0"/>
      <w:marRight w:val="0"/>
      <w:marTop w:val="0"/>
      <w:marBottom w:val="0"/>
      <w:divBdr>
        <w:top w:val="none" w:sz="0" w:space="0" w:color="auto"/>
        <w:left w:val="none" w:sz="0" w:space="0" w:color="auto"/>
        <w:bottom w:val="none" w:sz="0" w:space="0" w:color="auto"/>
        <w:right w:val="none" w:sz="0" w:space="0" w:color="auto"/>
      </w:divBdr>
    </w:div>
    <w:div w:id="1651015679">
      <w:bodyDiv w:val="1"/>
      <w:marLeft w:val="0"/>
      <w:marRight w:val="0"/>
      <w:marTop w:val="0"/>
      <w:marBottom w:val="0"/>
      <w:divBdr>
        <w:top w:val="none" w:sz="0" w:space="0" w:color="auto"/>
        <w:left w:val="none" w:sz="0" w:space="0" w:color="auto"/>
        <w:bottom w:val="none" w:sz="0" w:space="0" w:color="auto"/>
        <w:right w:val="none" w:sz="0" w:space="0" w:color="auto"/>
      </w:divBdr>
    </w:div>
    <w:div w:id="1698502913">
      <w:bodyDiv w:val="1"/>
      <w:marLeft w:val="0"/>
      <w:marRight w:val="0"/>
      <w:marTop w:val="0"/>
      <w:marBottom w:val="0"/>
      <w:divBdr>
        <w:top w:val="none" w:sz="0" w:space="0" w:color="auto"/>
        <w:left w:val="none" w:sz="0" w:space="0" w:color="auto"/>
        <w:bottom w:val="none" w:sz="0" w:space="0" w:color="auto"/>
        <w:right w:val="none" w:sz="0" w:space="0" w:color="auto"/>
      </w:divBdr>
    </w:div>
    <w:div w:id="1700622785">
      <w:bodyDiv w:val="1"/>
      <w:marLeft w:val="0"/>
      <w:marRight w:val="0"/>
      <w:marTop w:val="0"/>
      <w:marBottom w:val="0"/>
      <w:divBdr>
        <w:top w:val="none" w:sz="0" w:space="0" w:color="auto"/>
        <w:left w:val="none" w:sz="0" w:space="0" w:color="auto"/>
        <w:bottom w:val="none" w:sz="0" w:space="0" w:color="auto"/>
        <w:right w:val="none" w:sz="0" w:space="0" w:color="auto"/>
      </w:divBdr>
    </w:div>
    <w:div w:id="1703481513">
      <w:bodyDiv w:val="1"/>
      <w:marLeft w:val="0"/>
      <w:marRight w:val="0"/>
      <w:marTop w:val="0"/>
      <w:marBottom w:val="0"/>
      <w:divBdr>
        <w:top w:val="none" w:sz="0" w:space="0" w:color="auto"/>
        <w:left w:val="none" w:sz="0" w:space="0" w:color="auto"/>
        <w:bottom w:val="none" w:sz="0" w:space="0" w:color="auto"/>
        <w:right w:val="none" w:sz="0" w:space="0" w:color="auto"/>
      </w:divBdr>
    </w:div>
    <w:div w:id="1746341201">
      <w:bodyDiv w:val="1"/>
      <w:marLeft w:val="0"/>
      <w:marRight w:val="0"/>
      <w:marTop w:val="0"/>
      <w:marBottom w:val="0"/>
      <w:divBdr>
        <w:top w:val="none" w:sz="0" w:space="0" w:color="auto"/>
        <w:left w:val="none" w:sz="0" w:space="0" w:color="auto"/>
        <w:bottom w:val="none" w:sz="0" w:space="0" w:color="auto"/>
        <w:right w:val="none" w:sz="0" w:space="0" w:color="auto"/>
      </w:divBdr>
    </w:div>
    <w:div w:id="1753693953">
      <w:bodyDiv w:val="1"/>
      <w:marLeft w:val="0"/>
      <w:marRight w:val="0"/>
      <w:marTop w:val="0"/>
      <w:marBottom w:val="0"/>
      <w:divBdr>
        <w:top w:val="none" w:sz="0" w:space="0" w:color="auto"/>
        <w:left w:val="none" w:sz="0" w:space="0" w:color="auto"/>
        <w:bottom w:val="none" w:sz="0" w:space="0" w:color="auto"/>
        <w:right w:val="none" w:sz="0" w:space="0" w:color="auto"/>
      </w:divBdr>
    </w:div>
    <w:div w:id="1778941320">
      <w:bodyDiv w:val="1"/>
      <w:marLeft w:val="0"/>
      <w:marRight w:val="0"/>
      <w:marTop w:val="0"/>
      <w:marBottom w:val="0"/>
      <w:divBdr>
        <w:top w:val="none" w:sz="0" w:space="0" w:color="auto"/>
        <w:left w:val="none" w:sz="0" w:space="0" w:color="auto"/>
        <w:bottom w:val="none" w:sz="0" w:space="0" w:color="auto"/>
        <w:right w:val="none" w:sz="0" w:space="0" w:color="auto"/>
      </w:divBdr>
    </w:div>
    <w:div w:id="1792552718">
      <w:bodyDiv w:val="1"/>
      <w:marLeft w:val="0"/>
      <w:marRight w:val="0"/>
      <w:marTop w:val="0"/>
      <w:marBottom w:val="0"/>
      <w:divBdr>
        <w:top w:val="none" w:sz="0" w:space="0" w:color="auto"/>
        <w:left w:val="none" w:sz="0" w:space="0" w:color="auto"/>
        <w:bottom w:val="none" w:sz="0" w:space="0" w:color="auto"/>
        <w:right w:val="none" w:sz="0" w:space="0" w:color="auto"/>
      </w:divBdr>
    </w:div>
    <w:div w:id="1807819310">
      <w:bodyDiv w:val="1"/>
      <w:marLeft w:val="0"/>
      <w:marRight w:val="0"/>
      <w:marTop w:val="0"/>
      <w:marBottom w:val="0"/>
      <w:divBdr>
        <w:top w:val="none" w:sz="0" w:space="0" w:color="auto"/>
        <w:left w:val="none" w:sz="0" w:space="0" w:color="auto"/>
        <w:bottom w:val="none" w:sz="0" w:space="0" w:color="auto"/>
        <w:right w:val="none" w:sz="0" w:space="0" w:color="auto"/>
      </w:divBdr>
    </w:div>
    <w:div w:id="1808818250">
      <w:bodyDiv w:val="1"/>
      <w:marLeft w:val="0"/>
      <w:marRight w:val="0"/>
      <w:marTop w:val="0"/>
      <w:marBottom w:val="0"/>
      <w:divBdr>
        <w:top w:val="none" w:sz="0" w:space="0" w:color="auto"/>
        <w:left w:val="none" w:sz="0" w:space="0" w:color="auto"/>
        <w:bottom w:val="none" w:sz="0" w:space="0" w:color="auto"/>
        <w:right w:val="none" w:sz="0" w:space="0" w:color="auto"/>
      </w:divBdr>
    </w:div>
    <w:div w:id="1820345401">
      <w:bodyDiv w:val="1"/>
      <w:marLeft w:val="0"/>
      <w:marRight w:val="0"/>
      <w:marTop w:val="0"/>
      <w:marBottom w:val="0"/>
      <w:divBdr>
        <w:top w:val="none" w:sz="0" w:space="0" w:color="auto"/>
        <w:left w:val="none" w:sz="0" w:space="0" w:color="auto"/>
        <w:bottom w:val="none" w:sz="0" w:space="0" w:color="auto"/>
        <w:right w:val="none" w:sz="0" w:space="0" w:color="auto"/>
      </w:divBdr>
      <w:divsChild>
        <w:div w:id="1573929421">
          <w:marLeft w:val="0"/>
          <w:marRight w:val="0"/>
          <w:marTop w:val="0"/>
          <w:marBottom w:val="0"/>
          <w:divBdr>
            <w:top w:val="none" w:sz="0" w:space="0" w:color="auto"/>
            <w:left w:val="none" w:sz="0" w:space="0" w:color="auto"/>
            <w:bottom w:val="none" w:sz="0" w:space="0" w:color="auto"/>
            <w:right w:val="none" w:sz="0" w:space="0" w:color="auto"/>
          </w:divBdr>
        </w:div>
        <w:div w:id="1763140034">
          <w:marLeft w:val="0"/>
          <w:marRight w:val="0"/>
          <w:marTop w:val="0"/>
          <w:marBottom w:val="0"/>
          <w:divBdr>
            <w:top w:val="none" w:sz="0" w:space="0" w:color="auto"/>
            <w:left w:val="none" w:sz="0" w:space="0" w:color="auto"/>
            <w:bottom w:val="none" w:sz="0" w:space="0" w:color="auto"/>
            <w:right w:val="none" w:sz="0" w:space="0" w:color="auto"/>
          </w:divBdr>
        </w:div>
      </w:divsChild>
    </w:div>
    <w:div w:id="1821270057">
      <w:bodyDiv w:val="1"/>
      <w:marLeft w:val="0"/>
      <w:marRight w:val="0"/>
      <w:marTop w:val="0"/>
      <w:marBottom w:val="0"/>
      <w:divBdr>
        <w:top w:val="none" w:sz="0" w:space="0" w:color="auto"/>
        <w:left w:val="none" w:sz="0" w:space="0" w:color="auto"/>
        <w:bottom w:val="none" w:sz="0" w:space="0" w:color="auto"/>
        <w:right w:val="none" w:sz="0" w:space="0" w:color="auto"/>
      </w:divBdr>
    </w:div>
    <w:div w:id="1860124218">
      <w:bodyDiv w:val="1"/>
      <w:marLeft w:val="0"/>
      <w:marRight w:val="0"/>
      <w:marTop w:val="0"/>
      <w:marBottom w:val="0"/>
      <w:divBdr>
        <w:top w:val="none" w:sz="0" w:space="0" w:color="auto"/>
        <w:left w:val="none" w:sz="0" w:space="0" w:color="auto"/>
        <w:bottom w:val="none" w:sz="0" w:space="0" w:color="auto"/>
        <w:right w:val="none" w:sz="0" w:space="0" w:color="auto"/>
      </w:divBdr>
    </w:div>
    <w:div w:id="1903102541">
      <w:bodyDiv w:val="1"/>
      <w:marLeft w:val="0"/>
      <w:marRight w:val="0"/>
      <w:marTop w:val="0"/>
      <w:marBottom w:val="0"/>
      <w:divBdr>
        <w:top w:val="none" w:sz="0" w:space="0" w:color="auto"/>
        <w:left w:val="none" w:sz="0" w:space="0" w:color="auto"/>
        <w:bottom w:val="none" w:sz="0" w:space="0" w:color="auto"/>
        <w:right w:val="none" w:sz="0" w:space="0" w:color="auto"/>
      </w:divBdr>
    </w:div>
    <w:div w:id="1912496877">
      <w:bodyDiv w:val="1"/>
      <w:marLeft w:val="0"/>
      <w:marRight w:val="0"/>
      <w:marTop w:val="0"/>
      <w:marBottom w:val="0"/>
      <w:divBdr>
        <w:top w:val="none" w:sz="0" w:space="0" w:color="auto"/>
        <w:left w:val="none" w:sz="0" w:space="0" w:color="auto"/>
        <w:bottom w:val="none" w:sz="0" w:space="0" w:color="auto"/>
        <w:right w:val="none" w:sz="0" w:space="0" w:color="auto"/>
      </w:divBdr>
    </w:div>
    <w:div w:id="1916278465">
      <w:bodyDiv w:val="1"/>
      <w:marLeft w:val="0"/>
      <w:marRight w:val="0"/>
      <w:marTop w:val="0"/>
      <w:marBottom w:val="0"/>
      <w:divBdr>
        <w:top w:val="none" w:sz="0" w:space="0" w:color="auto"/>
        <w:left w:val="none" w:sz="0" w:space="0" w:color="auto"/>
        <w:bottom w:val="none" w:sz="0" w:space="0" w:color="auto"/>
        <w:right w:val="none" w:sz="0" w:space="0" w:color="auto"/>
      </w:divBdr>
      <w:divsChild>
        <w:div w:id="1642690088">
          <w:marLeft w:val="0"/>
          <w:marRight w:val="0"/>
          <w:marTop w:val="0"/>
          <w:marBottom w:val="0"/>
          <w:divBdr>
            <w:top w:val="none" w:sz="0" w:space="0" w:color="auto"/>
            <w:left w:val="none" w:sz="0" w:space="0" w:color="auto"/>
            <w:bottom w:val="none" w:sz="0" w:space="0" w:color="auto"/>
            <w:right w:val="none" w:sz="0" w:space="0" w:color="auto"/>
          </w:divBdr>
        </w:div>
        <w:div w:id="2092772917">
          <w:marLeft w:val="0"/>
          <w:marRight w:val="0"/>
          <w:marTop w:val="0"/>
          <w:marBottom w:val="0"/>
          <w:divBdr>
            <w:top w:val="none" w:sz="0" w:space="0" w:color="auto"/>
            <w:left w:val="none" w:sz="0" w:space="0" w:color="auto"/>
            <w:bottom w:val="none" w:sz="0" w:space="0" w:color="auto"/>
            <w:right w:val="none" w:sz="0" w:space="0" w:color="auto"/>
          </w:divBdr>
        </w:div>
        <w:div w:id="1897624200">
          <w:marLeft w:val="0"/>
          <w:marRight w:val="0"/>
          <w:marTop w:val="0"/>
          <w:marBottom w:val="0"/>
          <w:divBdr>
            <w:top w:val="none" w:sz="0" w:space="0" w:color="auto"/>
            <w:left w:val="none" w:sz="0" w:space="0" w:color="auto"/>
            <w:bottom w:val="none" w:sz="0" w:space="0" w:color="auto"/>
            <w:right w:val="none" w:sz="0" w:space="0" w:color="auto"/>
          </w:divBdr>
          <w:divsChild>
            <w:div w:id="991525497">
              <w:marLeft w:val="0"/>
              <w:marRight w:val="0"/>
              <w:marTop w:val="0"/>
              <w:marBottom w:val="0"/>
              <w:divBdr>
                <w:top w:val="none" w:sz="0" w:space="0" w:color="auto"/>
                <w:left w:val="none" w:sz="0" w:space="0" w:color="auto"/>
                <w:bottom w:val="none" w:sz="0" w:space="0" w:color="auto"/>
                <w:right w:val="none" w:sz="0" w:space="0" w:color="auto"/>
              </w:divBdr>
            </w:div>
            <w:div w:id="479813131">
              <w:marLeft w:val="0"/>
              <w:marRight w:val="0"/>
              <w:marTop w:val="0"/>
              <w:marBottom w:val="0"/>
              <w:divBdr>
                <w:top w:val="none" w:sz="0" w:space="0" w:color="auto"/>
                <w:left w:val="none" w:sz="0" w:space="0" w:color="auto"/>
                <w:bottom w:val="none" w:sz="0" w:space="0" w:color="auto"/>
                <w:right w:val="none" w:sz="0" w:space="0" w:color="auto"/>
              </w:divBdr>
            </w:div>
          </w:divsChild>
        </w:div>
        <w:div w:id="41373704">
          <w:marLeft w:val="0"/>
          <w:marRight w:val="0"/>
          <w:marTop w:val="0"/>
          <w:marBottom w:val="0"/>
          <w:divBdr>
            <w:top w:val="none" w:sz="0" w:space="0" w:color="auto"/>
            <w:left w:val="none" w:sz="0" w:space="0" w:color="auto"/>
            <w:bottom w:val="none" w:sz="0" w:space="0" w:color="auto"/>
            <w:right w:val="none" w:sz="0" w:space="0" w:color="auto"/>
          </w:divBdr>
        </w:div>
      </w:divsChild>
    </w:div>
    <w:div w:id="1919048814">
      <w:bodyDiv w:val="1"/>
      <w:marLeft w:val="0"/>
      <w:marRight w:val="0"/>
      <w:marTop w:val="0"/>
      <w:marBottom w:val="0"/>
      <w:divBdr>
        <w:top w:val="none" w:sz="0" w:space="0" w:color="auto"/>
        <w:left w:val="none" w:sz="0" w:space="0" w:color="auto"/>
        <w:bottom w:val="none" w:sz="0" w:space="0" w:color="auto"/>
        <w:right w:val="none" w:sz="0" w:space="0" w:color="auto"/>
      </w:divBdr>
    </w:div>
    <w:div w:id="1920089960">
      <w:bodyDiv w:val="1"/>
      <w:marLeft w:val="0"/>
      <w:marRight w:val="0"/>
      <w:marTop w:val="0"/>
      <w:marBottom w:val="0"/>
      <w:divBdr>
        <w:top w:val="none" w:sz="0" w:space="0" w:color="auto"/>
        <w:left w:val="none" w:sz="0" w:space="0" w:color="auto"/>
        <w:bottom w:val="none" w:sz="0" w:space="0" w:color="auto"/>
        <w:right w:val="none" w:sz="0" w:space="0" w:color="auto"/>
      </w:divBdr>
    </w:div>
    <w:div w:id="1924682790">
      <w:bodyDiv w:val="1"/>
      <w:marLeft w:val="0"/>
      <w:marRight w:val="0"/>
      <w:marTop w:val="0"/>
      <w:marBottom w:val="0"/>
      <w:divBdr>
        <w:top w:val="none" w:sz="0" w:space="0" w:color="auto"/>
        <w:left w:val="none" w:sz="0" w:space="0" w:color="auto"/>
        <w:bottom w:val="none" w:sz="0" w:space="0" w:color="auto"/>
        <w:right w:val="none" w:sz="0" w:space="0" w:color="auto"/>
      </w:divBdr>
    </w:div>
    <w:div w:id="1937900074">
      <w:bodyDiv w:val="1"/>
      <w:marLeft w:val="0"/>
      <w:marRight w:val="0"/>
      <w:marTop w:val="0"/>
      <w:marBottom w:val="0"/>
      <w:divBdr>
        <w:top w:val="none" w:sz="0" w:space="0" w:color="auto"/>
        <w:left w:val="none" w:sz="0" w:space="0" w:color="auto"/>
        <w:bottom w:val="none" w:sz="0" w:space="0" w:color="auto"/>
        <w:right w:val="none" w:sz="0" w:space="0" w:color="auto"/>
      </w:divBdr>
    </w:div>
    <w:div w:id="1941255276">
      <w:bodyDiv w:val="1"/>
      <w:marLeft w:val="0"/>
      <w:marRight w:val="0"/>
      <w:marTop w:val="0"/>
      <w:marBottom w:val="0"/>
      <w:divBdr>
        <w:top w:val="none" w:sz="0" w:space="0" w:color="auto"/>
        <w:left w:val="none" w:sz="0" w:space="0" w:color="auto"/>
        <w:bottom w:val="none" w:sz="0" w:space="0" w:color="auto"/>
        <w:right w:val="none" w:sz="0" w:space="0" w:color="auto"/>
      </w:divBdr>
    </w:div>
    <w:div w:id="1950964118">
      <w:bodyDiv w:val="1"/>
      <w:marLeft w:val="0"/>
      <w:marRight w:val="0"/>
      <w:marTop w:val="0"/>
      <w:marBottom w:val="0"/>
      <w:divBdr>
        <w:top w:val="none" w:sz="0" w:space="0" w:color="auto"/>
        <w:left w:val="none" w:sz="0" w:space="0" w:color="auto"/>
        <w:bottom w:val="none" w:sz="0" w:space="0" w:color="auto"/>
        <w:right w:val="none" w:sz="0" w:space="0" w:color="auto"/>
      </w:divBdr>
    </w:div>
    <w:div w:id="1952399360">
      <w:bodyDiv w:val="1"/>
      <w:marLeft w:val="0"/>
      <w:marRight w:val="0"/>
      <w:marTop w:val="0"/>
      <w:marBottom w:val="0"/>
      <w:divBdr>
        <w:top w:val="none" w:sz="0" w:space="0" w:color="auto"/>
        <w:left w:val="none" w:sz="0" w:space="0" w:color="auto"/>
        <w:bottom w:val="none" w:sz="0" w:space="0" w:color="auto"/>
        <w:right w:val="none" w:sz="0" w:space="0" w:color="auto"/>
      </w:divBdr>
    </w:div>
    <w:div w:id="1954289840">
      <w:bodyDiv w:val="1"/>
      <w:marLeft w:val="0"/>
      <w:marRight w:val="0"/>
      <w:marTop w:val="0"/>
      <w:marBottom w:val="0"/>
      <w:divBdr>
        <w:top w:val="none" w:sz="0" w:space="0" w:color="auto"/>
        <w:left w:val="none" w:sz="0" w:space="0" w:color="auto"/>
        <w:bottom w:val="none" w:sz="0" w:space="0" w:color="auto"/>
        <w:right w:val="none" w:sz="0" w:space="0" w:color="auto"/>
      </w:divBdr>
    </w:div>
    <w:div w:id="1969123370">
      <w:bodyDiv w:val="1"/>
      <w:marLeft w:val="0"/>
      <w:marRight w:val="0"/>
      <w:marTop w:val="0"/>
      <w:marBottom w:val="0"/>
      <w:divBdr>
        <w:top w:val="none" w:sz="0" w:space="0" w:color="auto"/>
        <w:left w:val="none" w:sz="0" w:space="0" w:color="auto"/>
        <w:bottom w:val="none" w:sz="0" w:space="0" w:color="auto"/>
        <w:right w:val="none" w:sz="0" w:space="0" w:color="auto"/>
      </w:divBdr>
    </w:div>
    <w:div w:id="1971546462">
      <w:bodyDiv w:val="1"/>
      <w:marLeft w:val="0"/>
      <w:marRight w:val="0"/>
      <w:marTop w:val="0"/>
      <w:marBottom w:val="0"/>
      <w:divBdr>
        <w:top w:val="none" w:sz="0" w:space="0" w:color="auto"/>
        <w:left w:val="none" w:sz="0" w:space="0" w:color="auto"/>
        <w:bottom w:val="none" w:sz="0" w:space="0" w:color="auto"/>
        <w:right w:val="none" w:sz="0" w:space="0" w:color="auto"/>
      </w:divBdr>
    </w:div>
    <w:div w:id="1990356961">
      <w:bodyDiv w:val="1"/>
      <w:marLeft w:val="0"/>
      <w:marRight w:val="0"/>
      <w:marTop w:val="0"/>
      <w:marBottom w:val="0"/>
      <w:divBdr>
        <w:top w:val="none" w:sz="0" w:space="0" w:color="auto"/>
        <w:left w:val="none" w:sz="0" w:space="0" w:color="auto"/>
        <w:bottom w:val="none" w:sz="0" w:space="0" w:color="auto"/>
        <w:right w:val="none" w:sz="0" w:space="0" w:color="auto"/>
      </w:divBdr>
    </w:div>
    <w:div w:id="1993021669">
      <w:bodyDiv w:val="1"/>
      <w:marLeft w:val="0"/>
      <w:marRight w:val="0"/>
      <w:marTop w:val="0"/>
      <w:marBottom w:val="0"/>
      <w:divBdr>
        <w:top w:val="none" w:sz="0" w:space="0" w:color="auto"/>
        <w:left w:val="none" w:sz="0" w:space="0" w:color="auto"/>
        <w:bottom w:val="none" w:sz="0" w:space="0" w:color="auto"/>
        <w:right w:val="none" w:sz="0" w:space="0" w:color="auto"/>
      </w:divBdr>
    </w:div>
    <w:div w:id="2026637239">
      <w:bodyDiv w:val="1"/>
      <w:marLeft w:val="0"/>
      <w:marRight w:val="0"/>
      <w:marTop w:val="0"/>
      <w:marBottom w:val="0"/>
      <w:divBdr>
        <w:top w:val="none" w:sz="0" w:space="0" w:color="auto"/>
        <w:left w:val="none" w:sz="0" w:space="0" w:color="auto"/>
        <w:bottom w:val="none" w:sz="0" w:space="0" w:color="auto"/>
        <w:right w:val="none" w:sz="0" w:space="0" w:color="auto"/>
      </w:divBdr>
    </w:div>
    <w:div w:id="2040664197">
      <w:bodyDiv w:val="1"/>
      <w:marLeft w:val="0"/>
      <w:marRight w:val="0"/>
      <w:marTop w:val="0"/>
      <w:marBottom w:val="0"/>
      <w:divBdr>
        <w:top w:val="none" w:sz="0" w:space="0" w:color="auto"/>
        <w:left w:val="none" w:sz="0" w:space="0" w:color="auto"/>
        <w:bottom w:val="none" w:sz="0" w:space="0" w:color="auto"/>
        <w:right w:val="none" w:sz="0" w:space="0" w:color="auto"/>
      </w:divBdr>
    </w:div>
    <w:div w:id="2042436911">
      <w:bodyDiv w:val="1"/>
      <w:marLeft w:val="0"/>
      <w:marRight w:val="0"/>
      <w:marTop w:val="0"/>
      <w:marBottom w:val="0"/>
      <w:divBdr>
        <w:top w:val="none" w:sz="0" w:space="0" w:color="auto"/>
        <w:left w:val="none" w:sz="0" w:space="0" w:color="auto"/>
        <w:bottom w:val="none" w:sz="0" w:space="0" w:color="auto"/>
        <w:right w:val="none" w:sz="0" w:space="0" w:color="auto"/>
      </w:divBdr>
    </w:div>
    <w:div w:id="2054116013">
      <w:bodyDiv w:val="1"/>
      <w:marLeft w:val="0"/>
      <w:marRight w:val="0"/>
      <w:marTop w:val="0"/>
      <w:marBottom w:val="0"/>
      <w:divBdr>
        <w:top w:val="none" w:sz="0" w:space="0" w:color="auto"/>
        <w:left w:val="none" w:sz="0" w:space="0" w:color="auto"/>
        <w:bottom w:val="none" w:sz="0" w:space="0" w:color="auto"/>
        <w:right w:val="none" w:sz="0" w:space="0" w:color="auto"/>
      </w:divBdr>
    </w:div>
    <w:div w:id="2057118371">
      <w:bodyDiv w:val="1"/>
      <w:marLeft w:val="0"/>
      <w:marRight w:val="0"/>
      <w:marTop w:val="0"/>
      <w:marBottom w:val="0"/>
      <w:divBdr>
        <w:top w:val="none" w:sz="0" w:space="0" w:color="auto"/>
        <w:left w:val="none" w:sz="0" w:space="0" w:color="auto"/>
        <w:bottom w:val="none" w:sz="0" w:space="0" w:color="auto"/>
        <w:right w:val="none" w:sz="0" w:space="0" w:color="auto"/>
      </w:divBdr>
    </w:div>
    <w:div w:id="2085907127">
      <w:bodyDiv w:val="1"/>
      <w:marLeft w:val="0"/>
      <w:marRight w:val="0"/>
      <w:marTop w:val="0"/>
      <w:marBottom w:val="0"/>
      <w:divBdr>
        <w:top w:val="none" w:sz="0" w:space="0" w:color="auto"/>
        <w:left w:val="none" w:sz="0" w:space="0" w:color="auto"/>
        <w:bottom w:val="none" w:sz="0" w:space="0" w:color="auto"/>
        <w:right w:val="none" w:sz="0" w:space="0" w:color="auto"/>
      </w:divBdr>
    </w:div>
    <w:div w:id="2097439829">
      <w:bodyDiv w:val="1"/>
      <w:marLeft w:val="0"/>
      <w:marRight w:val="0"/>
      <w:marTop w:val="0"/>
      <w:marBottom w:val="0"/>
      <w:divBdr>
        <w:top w:val="none" w:sz="0" w:space="0" w:color="auto"/>
        <w:left w:val="none" w:sz="0" w:space="0" w:color="auto"/>
        <w:bottom w:val="none" w:sz="0" w:space="0" w:color="auto"/>
        <w:right w:val="none" w:sz="0" w:space="0" w:color="auto"/>
      </w:divBdr>
    </w:div>
    <w:div w:id="2103604356">
      <w:bodyDiv w:val="1"/>
      <w:marLeft w:val="0"/>
      <w:marRight w:val="0"/>
      <w:marTop w:val="0"/>
      <w:marBottom w:val="0"/>
      <w:divBdr>
        <w:top w:val="none" w:sz="0" w:space="0" w:color="auto"/>
        <w:left w:val="none" w:sz="0" w:space="0" w:color="auto"/>
        <w:bottom w:val="none" w:sz="0" w:space="0" w:color="auto"/>
        <w:right w:val="none" w:sz="0" w:space="0" w:color="auto"/>
      </w:divBdr>
    </w:div>
    <w:div w:id="2108771383">
      <w:bodyDiv w:val="1"/>
      <w:marLeft w:val="0"/>
      <w:marRight w:val="0"/>
      <w:marTop w:val="0"/>
      <w:marBottom w:val="0"/>
      <w:divBdr>
        <w:top w:val="none" w:sz="0" w:space="0" w:color="auto"/>
        <w:left w:val="none" w:sz="0" w:space="0" w:color="auto"/>
        <w:bottom w:val="none" w:sz="0" w:space="0" w:color="auto"/>
        <w:right w:val="none" w:sz="0" w:space="0" w:color="auto"/>
      </w:divBdr>
    </w:div>
    <w:div w:id="2114665160">
      <w:bodyDiv w:val="1"/>
      <w:marLeft w:val="0"/>
      <w:marRight w:val="0"/>
      <w:marTop w:val="0"/>
      <w:marBottom w:val="0"/>
      <w:divBdr>
        <w:top w:val="none" w:sz="0" w:space="0" w:color="auto"/>
        <w:left w:val="none" w:sz="0" w:space="0" w:color="auto"/>
        <w:bottom w:val="none" w:sz="0" w:space="0" w:color="auto"/>
        <w:right w:val="none" w:sz="0" w:space="0" w:color="auto"/>
      </w:divBdr>
    </w:div>
    <w:div w:id="2123107111">
      <w:bodyDiv w:val="1"/>
      <w:marLeft w:val="0"/>
      <w:marRight w:val="0"/>
      <w:marTop w:val="0"/>
      <w:marBottom w:val="0"/>
      <w:divBdr>
        <w:top w:val="none" w:sz="0" w:space="0" w:color="auto"/>
        <w:left w:val="none" w:sz="0" w:space="0" w:color="auto"/>
        <w:bottom w:val="none" w:sz="0" w:space="0" w:color="auto"/>
        <w:right w:val="none" w:sz="0" w:space="0" w:color="auto"/>
      </w:divBdr>
    </w:div>
    <w:div w:id="2132244419">
      <w:bodyDiv w:val="1"/>
      <w:marLeft w:val="0"/>
      <w:marRight w:val="0"/>
      <w:marTop w:val="0"/>
      <w:marBottom w:val="0"/>
      <w:divBdr>
        <w:top w:val="none" w:sz="0" w:space="0" w:color="auto"/>
        <w:left w:val="none" w:sz="0" w:space="0" w:color="auto"/>
        <w:bottom w:val="none" w:sz="0" w:space="0" w:color="auto"/>
        <w:right w:val="none" w:sz="0" w:space="0" w:color="auto"/>
      </w:divBdr>
    </w:div>
    <w:div w:id="214488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5c7fdd040da496e9065acb12cc2cdac" PartId="2964b0584ac9435d8dd5b543fd76e52b">
    <Part Type="preambule" DocPartId="530d82f60804491fb9a53f29e47aa11e" PartId="216e67ae27504748aa8dc420b328aa23"/>
    <Part Type="pastraipa" DocPartId="c5d44e44d35b490dabc1b940a3f70622" PartId="aa3a6b79fdf14393b05307c20ef0cbac"/>
    <Part Type="punktas" Nr="1" Abbr="1 p." DocPartId="baaa5a99818b4d2b8da56f699068484c" PartId="1f88c27b42e647908949419e19d82b2f">
      <Part Type="citata" DocPartId="4d896cc74e634e9f97809d61d50c93f8" PartId="ad27aec3a62a422484e654a4a761e451">
        <Part Type="pagrindine" DocPartId="6c91aa4b95b8434e9e77a2749318bea5" PartId="8b5033ba1a604acf8f5e3e398400f634">
          <Part Type="preambule" DocPartId="d32d6fcb1b324159b3158bef56db34d2" PartId="d6351a584fc1458fab409ed8acf5017e"/>
          <Part Type="punktas" Nr="1" Abbr="1 p." DocPartId="e8798c721bb24480a26bd81ddc5b55a6" PartId="f2e005bc5a5c47fc92db0d2978914ead"/>
          <Part Type="punktas" Nr="2" Abbr="2 p." DocPartId="f309092f35a749b18946063be1d342ab" PartId="c4e94769a03b4298a6cfd1feafa2807c">
            <Part Type="papunktis" Nr="2.1" Abbr="2.1 pp." DocPartId="5e1eabaf822445cda8eee239e76cb498" PartId="4f4cf063b84741208808b543389ca5f6"/>
            <Part Type="papunktis" Nr="2.2" Abbr="2.2 pp." DocPartId="afcd5ba818a34d89886bc52ef6e67d22" PartId="0287a9e867044196bf6b0c1a3641f326"/>
          </Part>
          <Part Type="punktas" Nr="3" Abbr="3 p." DocPartId="b768273f90c946d9ba2d77a03d5e94f2" PartId="aa49b476c4f54796b4f62aa33b560ed4"/>
        </Part>
      </Part>
    </Part>
    <Part Type="punktas" Nr="2" Abbr="2 p." DocPartId="65f9d370de4641d4ba67b578523d4859" PartId="0a0b3ff9f5824083b98802aca53a7e52">
      <Part Type="papunktis" Nr="2.1" Abbr="2.1 pp." DocPartId="acefa8fd41af408aaab157d65fbc2eee" PartId="e861b5925e8249dcb6783c2a080f9418">
        <Part Type="citata" DocPartId="e7a7769b0ed64f269fa0ff4fd44c7793" PartId="b2ba85b24b1043d98734bfcdef91118b">
          <Part Type="punktas" Nr="1" Abbr="1 p." DocPartId="295f04dcd5894200bdc0df63a2611dc6" PartId="a5e38386848a44bbb3bec0ce8ca06903"/>
        </Part>
      </Part>
      <Part Type="papunktis" Nr="2.2" Abbr="2.2 pp." DocPartId="d5d60b7601594871b7a515c25ed8a7da" PartId="b5a63f11632c48c196880056a26e3b8a">
        <Part Type="citata" DocPartId="e8dae127a203407ba19674713daf8024" PartId="ac719f53e6fe439492ab567d0bba68e9">
          <Part Type="punktas" Nr="3" Abbr="3 p." DocPartId="83bed7b91c0c46bd8a0452ed8dd91066" PartId="bf272226c4014273a38981ac4533be29">
            <Part Type="papunktis" Nr="2.3" Abbr="2.3 pp." Notes="Numeris ne iš eilės. Trūksta dalių? [DocDalys]" DocPartId="56771a14ef854a16869dec2d69f4ca95" PartId="712faad9e093478fa43820c0c645150e"/>
            <Part Type="papunktis" Nr="5.1" Abbr="5.1 pp." Notes="Numeris ne iš eilės. Trūksta dalių? [DocDalys]" DocPartId="154d79fc9e5442daab354184b368d7db" PartId="0d164c999c8549c7b9bba628a348e28f"/>
            <Part Type="papunktis" Nr="5.2" Abbr="5.2 pp." DocPartId="1289fea08965407daa4a9bc2c9f2b2b2" PartId="d41e49d3797644cb899dcca79d114bcc"/>
          </Part>
        </Part>
      </Part>
      <Part Type="papunktis" Nr="2.4" Abbr="2.4 pp." Notes="Numeris ne iš eilės. Trūksta dalių? [DocDalys]" DocPartId="a57b6937583a4c0b935476512a456918" PartId="02afc65c05a14ae5bf479f7b0be12a70">
        <Part Type="citata" DocPartId="49d7f88554474ab48aac657c25d5c47c" PartId="ff3d7232d9ad455e89126709325a2902">
          <Part Type="papunktis" Nr="6.4" Abbr="6.4 pp." DocPartId="f424e19bc0dd46058ca5f40083c2c7fd" PartId="f1c75137529343b597d9331689236e57"/>
        </Part>
      </Part>
      <Part Type="papunktis" Nr="2.5" Abbr="2.5 pp." DocPartId="c337bf33d3e94c71a9f379969ce9ceab" PartId="6cf20f01b7fa4f138e56db5c165fc0d1">
        <Part Type="citata" DocPartId="f2e25f7b5599425f822f2c4ffce027d5" PartId="310d09c356474b0d82047cc09cc38fd2">
          <Part Type="punktas" Nr="7" Abbr="7 p." DocPartId="274d5722f1d741be9041eec419997827" PartId="e006f020eee542d79f4c78837958e27b"/>
        </Part>
      </Part>
      <Part Type="papunktis" Nr="2.6" Abbr="2.6 pp." DocPartId="ce56ec8d26f04b49a02302c3e5ef3e5e" PartId="4bccca2079a947fba50bc277e83d2e24">
        <Part Type="citata" DocPartId="efcc34f1883c45a0aabdbd8549345ac2" PartId="d61e1683933a4b109282eb9107d37d86">
          <Part Type="punktas" Nr="9" Abbr="9 p." DocPartId="3c4d8e2abec84a339d0fd34bb664a0c9" PartId="c1c6a0ac721b440da518b68cee68f47c"/>
        </Part>
      </Part>
      <Part Type="papunktis" Nr="2.7" Abbr="2.7 pp." DocPartId="b7fdc4e7cce04a2196a8b0bd1f98b5d9" PartId="cefa78543b854542975c6fa752e88b71">
        <Part Type="citata" DocPartId="b4b48c88aef14111a487b6c2915de59c" PartId="85a11cbc29d2474392eef027450ec5f5">
          <Part Type="punktas" Nr="11" Abbr="11 p." DocPartId="db7a124a20394735a64fec6d66824b81" PartId="e7f1e62bc6924119ad7e04c3d15b8507"/>
        </Part>
      </Part>
      <Part Type="papunktis" Nr="2.8" Abbr="2.8 pp." DocPartId="f8e486e78e8741988da32150f0468d05" PartId="797880d7bdd843a698a86ca49d9a82c8">
        <Part Type="citata" DocPartId="d943ce94af994e86bbce7b5bd6ee39e3" PartId="beef89b1da8e441d8e421bdf80a1b0e6">
          <Part Type="punktas" Nr="12" Abbr="12 p." DocPartId="c5bb9266f94b49a9b838a055ab13924e" PartId="b02cb6e26c264a919c9f0047d505b06b">
            <Part Type="papunktis" Nr="12.1" Abbr="12.1 pp." DocPartId="e90cc05469d04c788185adbb872c0b86" PartId="1104dfd6dbf64bb3a17ec7899a970320"/>
            <Part Type="papunktis" Nr="12.2" Abbr="12.2 pp." DocPartId="b4b35f2cb9e0434b82bb58d2315e58a9" PartId="c613c0217d9841239dc03eef7fe08c66"/>
            <Part Type="papunktis" Nr="12.3" Abbr="12.3 pp." DocPartId="ca41fa860b424d8ca4db9c597d390b3b" PartId="5c0966cf7f014354bbc9cd43e42cdff1"/>
            <Part Type="papunktis" Nr="12.4" Abbr="12.4 pp." DocPartId="99f28df575cb4d059a7a960a0b997e73" PartId="add50211ee37476e9e9e22935398d260"/>
          </Part>
        </Part>
      </Part>
      <Part Type="papunktis" Nr="2.9" Abbr="2.9 pp." DocPartId="e7dc96c04f754804b40a1ce315c56aa0" PartId="e2e8cba9069e4443b705766f266b50b3">
        <Part Type="citata" DocPartId="9996ca1a0f714c93baf8d775a53274c3" PartId="bb469cb574814e48a318da33b2eac364">
          <Part Type="punktas" Nr="13-1" Abbr="13-1 p." DocPartId="5d6f90bb6b08426bad32a74b1127f7f7" PartId="a159c8027ce841c69d1a30554d25509a"/>
        </Part>
      </Part>
      <Part Type="papunktis" Nr="2.10" Abbr="2.10 pp." DocPartId="3603cb061b0842618ffe281be63df655" PartId="3a087d431d03476ea95f9da5395106e2">
        <Part Type="citata" DocPartId="c46de7277ada48d381a11fb4a1c4bc57" PartId="f4e1ec5d83fb46929b6bd43ca150bf29">
          <Part Type="papunktis" Nr="16.2" Abbr="16.2 pp." DocPartId="d20740c05f364775a7d0495dbb5c33f2" PartId="4a15698d9fad4699afaadf3502645a65"/>
        </Part>
      </Part>
      <Part Type="papunktis" Nr="2.11" Abbr="2.11 pp." DocPartId="9e507679b3c748a2899fa1528090eb31" PartId="8924fb11d60f4999ab08afc22ec34e81">
        <Part Type="citata" DocPartId="e677b83c00d94c8f95daf5c880182b8b" PartId="af7f689fa2a247cf93dea8f0e20259a8">
          <Part Type="punktas" Nr="17" Abbr="17 p." DocPartId="8504e27f65124e83bb74f621866f8676" PartId="7aa77accbfd940eb8d111e2796fdf111"/>
        </Part>
      </Part>
      <Part Type="papunktis" Nr="2.12" Abbr="2.12 pp." DocPartId="e27b9d95ccdd4d058381e5582d7d0792" PartId="d75bfcc850ee4616bf30425331e00c73">
        <Part Type="citata" DocPartId="2225bbc1de8744e49a31947bc35a2dc6" PartId="677598cd424b46729d4583a6e0d5e831">
          <Part Type="papunktis" Nr="18.2" Abbr="18.2 pp." DocPartId="d7c251799323444a9331f4749ed3da67" PartId="8ee4be100ed74882a55ac2eb34066869"/>
        </Part>
      </Part>
      <Part Type="papunktis" Nr="2.13" Abbr="2.13 pp." DocPartId="bda71acb49da451ba3c077d425a4c292" PartId="331f23e1ee9946df89f5432403339513">
        <Part Type="citata" DocPartId="b731dce2237f4051b0aabc39e0746f09" PartId="0b307dc8454d4c959f605956e30635d3">
          <Part Type="punktas" Nr="21" Abbr="21 p." DocPartId="75f82eb8ebe6475582755ef50aeed5d6" PartId="e7340c15d70f4e1f970aedda4c47ae91"/>
        </Part>
      </Part>
      <Part Type="papunktis" Nr="2.14" Abbr="2.14 pp." DocPartId="f70141f435ba4257900786bd47726a14" PartId="a63d23f5d22e45b191de2a96fbe955ac">
        <Part Type="citata" DocPartId="9c11caea39ab4be6bbce4147a07205b2" PartId="7e38a402b1c94b228499450e4272b314">
          <Part Type="priedas" Abbr="pr." Title="PREKĖS, KURIAS TIEKIA JUNGTINĖS TAUTOS ARBA JUNGTINIŲ TAUTŲ SPECIALIZUOTOS AGENTŪROS IR KURIOMS TAIKOMA IMPORTO PVM LENGVATA" DocPartId="19ddd41cf7eb4397815df77e0ab189fc" PartId="fd26ebf0ed974b459fa358dec6327031"/>
        </Part>
      </Part>
    </Part>
  </Part>
</Parts>
</file>

<file path=customXml/itemProps1.xml><?xml version="1.0" encoding="utf-8"?>
<ds:datastoreItem xmlns:ds="http://schemas.openxmlformats.org/officeDocument/2006/customXml" ds:itemID="{5D488AF0-67F3-4A0E-B877-7B5DB7C5BC66}">
  <ds:schemaRefs>
    <ds:schemaRef ds:uri="http://schemas.openxmlformats.org/officeDocument/2006/bibliography"/>
  </ds:schemaRefs>
</ds:datastoreItem>
</file>

<file path=customXml/itemProps2.xml><?xml version="1.0" encoding="utf-8"?>
<ds:datastoreItem xmlns:ds="http://schemas.openxmlformats.org/officeDocument/2006/customXml" ds:itemID="{54C0990E-4812-49C7-B7DE-0997E897063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2270</Words>
  <Characters>15351</Characters>
  <Application>Microsoft Office Word</Application>
  <DocSecurity>4</DocSecurity>
  <Lines>289</Lines>
  <Paragraphs>127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17494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2022-08-17T09:45:00Z</dcterms:created>
  <dc:creator>Tadeuš Buivid</dc:creator>
  <lastModifiedBy>adlibuser</lastModifiedBy>
  <lastPrinted>2021-11-29T11:05:00Z</lastPrinted>
  <dcterms:modified xsi:type="dcterms:W3CDTF">2022-08-17T09:45:00Z</dcterms:modified>
  <revision>2</revision>
</coreProperties>
</file>