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lang w:eastAsia="lt-LT"/>
        </w:rPr>
      </w:pPr>
    </w:p>
    <w:p>
      <w:pPr>
        <w:jc w:val="center"/>
        <w:rPr>
          <w:b/>
          <w:color w:val="000000"/>
          <w:szCs w:val="24"/>
          <w:lang w:eastAsia="lt-LT"/>
        </w:rPr>
      </w:pPr>
      <w:r>
        <w:rPr>
          <w:b/>
          <w:color w:val="000000"/>
          <w:szCs w:val="24"/>
          <w:lang w:eastAsia="lt-LT"/>
        </w:rPr>
        <w:t>NUMATOMO TEISINIO REGULIAVIMO POVEIKIO VERTINIMO PAŽYMA</w:t>
      </w:r>
    </w:p>
    <w:p>
      <w:pPr>
        <w:rPr>
          <w:color w:val="0000FF"/>
          <w:lang w:eastAsia="lt-LT"/>
        </w:rPr>
      </w:pPr>
    </w:p>
    <w:tbl>
      <w:tblPr>
        <w:tblW w:w="9606" w:type="dxa"/>
        <w:tblLook w:val="00A0" w:firstRow="1" w:lastRow="0" w:firstColumn="1" w:lastColumn="0" w:noHBand="0" w:noVBand="0"/>
      </w:tblPr>
      <w:tblGrid>
        <w:gridCol w:w="2204"/>
        <w:gridCol w:w="7402"/>
      </w:tblGrid>
      <w:tr>
        <w:tc>
          <w:tcPr>
            <w:tcW w:w="2204" w:type="dxa"/>
            <w:shd w:val="clear" w:color="auto" w:fill="DBE5F1"/>
            <w:hideMark/>
          </w:tcPr>
          <w:p>
            <w:pPr>
              <w:rPr>
                <w:szCs w:val="24"/>
                <w:shd w:val="clear" w:color="auto" w:fill="DBE5F1"/>
                <w:lang w:eastAsia="lt-LT"/>
              </w:rPr>
            </w:pPr>
            <w:r>
              <w:rPr>
                <w:b/>
                <w:szCs w:val="24"/>
                <w:shd w:val="clear" w:color="auto" w:fill="DBE5F1"/>
                <w:lang w:eastAsia="lt-LT"/>
              </w:rPr>
              <w:t>Projekto pavadinimas</w:t>
            </w:r>
          </w:p>
        </w:tc>
        <w:tc>
          <w:tcPr>
            <w:tcW w:w="7402" w:type="dxa"/>
            <w:shd w:val="clear" w:color="auto" w:fill="DBE5F1"/>
          </w:tcPr>
          <w:p>
            <w:pPr>
              <w:jc w:val="both"/>
              <w:rPr>
                <w:szCs w:val="24"/>
                <w:lang w:eastAsia="lt-LT"/>
              </w:rPr>
            </w:pPr>
            <w:r>
              <w:rPr>
                <w:szCs w:val="24"/>
                <w:lang w:eastAsia="lt-LT"/>
              </w:rPr>
              <w:t xml:space="preserve">Lietuvos Respublikos aplinkos ministro įsakymo „Dėl </w:t>
            </w:r>
            <w:r>
              <w:rPr>
                <w:lang w:eastAsia="lt-LT"/>
              </w:rPr>
              <w:t xml:space="preserve">Lietuvos Respublikos aplinkos ministro 2005 m. gegužės 30 d. įsakymu Nr. D1-267 „Dėl Verslinės žvejybos vidaus vandenyse, įskaitant bendrąja daline nuosavybės teise priklausančius valstybei ir ūkio subjektams vandens telkinius, išskyrus privačius vidaus vandenų telkinius ir akvakultūros tvenkinius, tvarkos aprašo patvirtinimo“ pakeitimo“ </w:t>
            </w:r>
            <w:r>
              <w:rPr>
                <w:szCs w:val="24"/>
                <w:lang w:eastAsia="lt-LT"/>
              </w:rPr>
              <w:t>projektas (toliau – įsakymo projektas).</w:t>
            </w:r>
          </w:p>
          <w:p>
            <w:pPr>
              <w:widowControl w:val="0"/>
              <w:suppressAutoHyphens/>
              <w:jc w:val="both"/>
              <w:rPr>
                <w:rFonts w:eastAsia="Lucida Sans Unicode" w:cs="Tahoma"/>
                <w:szCs w:val="24"/>
                <w:lang w:eastAsia="lt-LT" w:bidi="en-US"/>
              </w:rPr>
            </w:pPr>
          </w:p>
        </w:tc>
      </w:tr>
    </w:tbl>
    <w:p>
      <w:pPr>
        <w:rPr>
          <w:sz w:val="22"/>
          <w:szCs w:val="22"/>
          <w:lang w:eastAsia="lt-LT"/>
        </w:rPr>
      </w:pPr>
    </w:p>
    <w:tbl>
      <w:tblPr>
        <w:tblW w:w="9606" w:type="dxa"/>
        <w:tblLook w:val="00A0" w:firstRow="1" w:lastRow="0" w:firstColumn="1" w:lastColumn="0" w:noHBand="0" w:noVBand="0"/>
      </w:tblPr>
      <w:tblGrid>
        <w:gridCol w:w="2191"/>
        <w:gridCol w:w="7415"/>
      </w:tblGrid>
      <w:tr>
        <w:tc>
          <w:tcPr>
            <w:tcW w:w="2191" w:type="dxa"/>
            <w:shd w:val="clear" w:color="auto" w:fill="DBE5F1"/>
            <w:hideMark/>
          </w:tcPr>
          <w:p>
            <w:pPr>
              <w:rPr>
                <w:szCs w:val="24"/>
                <w:lang w:eastAsia="lt-LT"/>
              </w:rPr>
            </w:pPr>
            <w:r>
              <w:rPr>
                <w:b/>
                <w:szCs w:val="24"/>
                <w:shd w:val="clear" w:color="auto" w:fill="DBE5F1"/>
                <w:lang w:eastAsia="lt-LT"/>
              </w:rPr>
              <w:t>Projekto rengėjas</w:t>
            </w:r>
          </w:p>
        </w:tc>
        <w:tc>
          <w:tcPr>
            <w:tcW w:w="7415" w:type="dxa"/>
            <w:shd w:val="clear" w:color="auto" w:fill="DBE5F1"/>
            <w:hideMark/>
          </w:tcPr>
          <w:p>
            <w:pPr>
              <w:jc w:val="both"/>
              <w:rPr>
                <w:b/>
                <w:szCs w:val="24"/>
                <w:lang w:eastAsia="lt-LT"/>
              </w:rPr>
            </w:pPr>
            <w:r>
              <w:rPr>
                <w:szCs w:val="24"/>
                <w:lang w:eastAsia="lt-LT"/>
              </w:rPr>
              <w:t>Aplinkos ministerijos Gamtos apsaugos politikos grupė</w:t>
            </w:r>
          </w:p>
        </w:tc>
      </w:tr>
    </w:tbl>
    <w:p>
      <w:pPr>
        <w:rPr>
          <w:sz w:val="22"/>
          <w:szCs w:val="22"/>
          <w:lang w:eastAsia="lt-LT"/>
        </w:rPr>
      </w:pPr>
    </w:p>
    <w:tbl>
      <w:tblPr>
        <w:tblW w:w="9606" w:type="dxa"/>
        <w:tblLook w:val="00A0" w:firstRow="1" w:lastRow="0" w:firstColumn="1" w:lastColumn="0" w:noHBand="0" w:noVBand="0"/>
      </w:tblPr>
      <w:tblGrid>
        <w:gridCol w:w="2189"/>
        <w:gridCol w:w="7417"/>
      </w:tblGrid>
      <w:tr>
        <w:tc>
          <w:tcPr>
            <w:tcW w:w="2189" w:type="dxa"/>
            <w:shd w:val="clear" w:color="auto" w:fill="DBE5F1"/>
            <w:hideMark/>
          </w:tcPr>
          <w:p>
            <w:pPr>
              <w:rPr>
                <w:b/>
                <w:szCs w:val="24"/>
                <w:lang w:eastAsia="lt-LT"/>
              </w:rPr>
            </w:pPr>
            <w:r>
              <w:rPr>
                <w:b/>
                <w:szCs w:val="24"/>
                <w:lang w:eastAsia="lt-LT"/>
              </w:rPr>
              <w:t>Projekto tikslas</w:t>
            </w:r>
          </w:p>
        </w:tc>
        <w:tc>
          <w:tcPr>
            <w:tcW w:w="7417" w:type="dxa"/>
            <w:shd w:val="clear" w:color="auto" w:fill="DBE5F1"/>
            <w:hideMark/>
          </w:tcPr>
          <w:p>
            <w:pPr>
              <w:jc w:val="both"/>
              <w:rPr>
                <w:szCs w:val="24"/>
                <w:lang w:eastAsia="lt-LT"/>
              </w:rPr>
            </w:pPr>
            <w:r>
              <w:rPr>
                <w:szCs w:val="24"/>
                <w:lang w:eastAsia="lt-LT"/>
              </w:rPr>
              <w:t>Įsakymo projekte siūloma pakeisti Verslinės žvejybos vidaus vandenyse, įskaitant bendrąja daline nuosavybės teise priklausančius valstybei ir ūkio subjektams vandens telkinius, išskyrus privačius vidaus vandenų telkinius ir akvakultūros tvenkinius, tvarkos aprašą įgyvendinant</w:t>
            </w:r>
            <w:r>
              <w:rPr>
                <w:lang w:eastAsia="lt-LT"/>
              </w:rPr>
              <w:t xml:space="preserve"> Aštuonioliktosios Lietuvos Respublikos Vyriausybės programos nuostatų įgyvendinimo plano, patvirtinto Lietuvos Respublikos Vyriausybės 2021 m. kovo 10 d.  nutarimu Nr. 155 „Dėl Aštuonioliktosios Lietuvos Respublikos Vyriausybės programos nuostatų įgyvendinimo plano patvirtinimo“, 6.4.18. papunktyje numatytą  priemonę – reikšmingai apriboti verslinę žvejybą vidaus vandenyse.</w:t>
            </w:r>
          </w:p>
          <w:p>
            <w:pPr>
              <w:jc w:val="both"/>
              <w:rPr>
                <w:szCs w:val="24"/>
                <w:lang w:eastAsia="lt-LT"/>
              </w:rPr>
            </w:pPr>
          </w:p>
        </w:tc>
      </w:tr>
    </w:tbl>
    <w:p>
      <w:pPr>
        <w:rPr>
          <w:sz w:val="22"/>
          <w:szCs w:val="22"/>
          <w:lang w:eastAsia="lt-LT"/>
        </w:rPr>
      </w:pPr>
    </w:p>
    <w:tbl>
      <w:tblPr>
        <w:tblW w:w="9606" w:type="dxa"/>
        <w:tblLook w:val="00A0" w:firstRow="1" w:lastRow="0" w:firstColumn="1" w:lastColumn="0" w:noHBand="0" w:noVBand="0"/>
      </w:tblPr>
      <w:tblGrid>
        <w:gridCol w:w="2164"/>
        <w:gridCol w:w="7442"/>
      </w:tblGrid>
      <w:tr>
        <w:trPr>
          <w:trHeight w:val="415"/>
        </w:trPr>
        <w:tc>
          <w:tcPr>
            <w:tcW w:w="2164" w:type="dxa"/>
            <w:shd w:val="clear" w:color="auto" w:fill="DBE5F1"/>
          </w:tcPr>
          <w:p>
            <w:pPr>
              <w:rPr>
                <w:szCs w:val="22"/>
                <w:lang w:eastAsia="lt-LT"/>
              </w:rPr>
            </w:pPr>
          </w:p>
        </w:tc>
        <w:tc>
          <w:tcPr>
            <w:tcW w:w="7442" w:type="dxa"/>
            <w:shd w:val="clear" w:color="auto" w:fill="DBE5F1"/>
            <w:hideMark/>
          </w:tcPr>
          <w:p>
            <w:pPr>
              <w:jc w:val="center"/>
              <w:rPr>
                <w:b/>
                <w:szCs w:val="24"/>
                <w:lang w:eastAsia="lt-LT"/>
              </w:rPr>
            </w:pPr>
            <w:r>
              <w:rPr>
                <w:b/>
                <w:szCs w:val="24"/>
                <w:lang w:eastAsia="lt-LT"/>
              </w:rPr>
              <w:t xml:space="preserve">Siūlomo projekto poveikio įvertinimas </w:t>
            </w:r>
          </w:p>
          <w:p>
            <w:pPr>
              <w:jc w:val="center"/>
              <w:rPr>
                <w:b/>
                <w:szCs w:val="22"/>
                <w:lang w:eastAsia="lt-LT"/>
              </w:rPr>
            </w:pPr>
            <w:r>
              <w:rPr>
                <w:b/>
                <w:szCs w:val="24"/>
                <w:lang w:eastAsia="lt-LT"/>
              </w:rPr>
              <w:t>(</w:t>
            </w:r>
            <w:r>
              <w:rPr>
                <w:b/>
                <w:bCs/>
                <w:szCs w:val="24"/>
                <w:lang w:eastAsia="lt-LT"/>
              </w:rPr>
              <w:t>teigiamos ir (ar) neigiamos pasekmės)</w:t>
            </w:r>
          </w:p>
        </w:tc>
      </w:tr>
    </w:tbl>
    <w:p>
      <w:pPr>
        <w:rPr>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tcPr>
          <w:p>
            <w:pPr>
              <w:rPr>
                <w:b/>
                <w:szCs w:val="24"/>
                <w:lang w:eastAsia="lt-LT"/>
              </w:rPr>
            </w:pPr>
            <w:r>
              <w:rPr>
                <w:b/>
                <w:szCs w:val="24"/>
                <w:lang w:eastAsia="lt-LT"/>
              </w:rPr>
              <w:t>Poveikis aplinkai ir klimato kaitai</w:t>
            </w:r>
          </w:p>
        </w:tc>
        <w:tc>
          <w:tcPr>
            <w:tcW w:w="7371" w:type="dxa"/>
          </w:tcPr>
          <w:p>
            <w:pPr>
              <w:ind w:right="176"/>
              <w:jc w:val="both"/>
              <w:rPr>
                <w:szCs w:val="24"/>
                <w:lang w:eastAsia="lt-LT"/>
              </w:rPr>
            </w:pPr>
            <w:r>
              <w:rPr>
                <w:szCs w:val="24"/>
                <w:lang w:eastAsia="lt-LT"/>
              </w:rPr>
              <w:t>Teigiamas. Bus sudarytos palankesnės sąlygos Kuršių mariomis neršti plaukiančioms migruojančioms žuvims (lašiša, šlakis, žiobris) ir žuvims, kurių ištekliai ženkliai mažėja (sterkai, vėgėlės).</w:t>
            </w:r>
          </w:p>
          <w:p>
            <w:pPr>
              <w:ind w:right="176"/>
              <w:jc w:val="both"/>
              <w:rPr>
                <w:szCs w:val="24"/>
                <w:lang w:eastAsia="lt-LT"/>
              </w:rPr>
            </w:pPr>
            <w:r>
              <w:rPr>
                <w:szCs w:val="24"/>
                <w:lang w:eastAsia="lt-LT"/>
              </w:rPr>
              <w:t>Taip pat bus sudarytos palankesnės sąlygos mėgėjų žvejybos plėtrai.</w:t>
            </w:r>
          </w:p>
        </w:tc>
      </w:tr>
    </w:tbl>
    <w:p>
      <w:pPr>
        <w:rPr>
          <w:lang w:eastAsia="lt-LT"/>
        </w:rPr>
      </w:pPr>
    </w:p>
    <w:tbl>
      <w:tblPr>
        <w:tblW w:w="9606" w:type="dxa"/>
        <w:tblLook w:val="00A0" w:firstRow="1" w:lastRow="0" w:firstColumn="1" w:lastColumn="0" w:noHBand="0" w:noVBand="0"/>
      </w:tblPr>
      <w:tblGrid>
        <w:gridCol w:w="2235"/>
        <w:gridCol w:w="7371"/>
      </w:tblGrid>
      <w:tr>
        <w:tc>
          <w:tcPr>
            <w:tcW w:w="2235" w:type="dxa"/>
            <w:shd w:val="clear" w:color="auto" w:fill="DBE5F1"/>
          </w:tcPr>
          <w:p>
            <w:pPr>
              <w:rPr>
                <w:b/>
                <w:szCs w:val="24"/>
                <w:lang w:eastAsia="lt-LT"/>
              </w:rPr>
            </w:pPr>
            <w:r>
              <w:rPr>
                <w:b/>
                <w:szCs w:val="24"/>
                <w:lang w:eastAsia="lt-LT"/>
              </w:rPr>
              <w:t>Poveikis administracinei naštai</w:t>
            </w:r>
          </w:p>
        </w:tc>
        <w:tc>
          <w:tcPr>
            <w:tcW w:w="7371" w:type="dxa"/>
          </w:tcPr>
          <w:p>
            <w:pPr>
              <w:ind w:right="176"/>
              <w:jc w:val="both"/>
              <w:rPr>
                <w:szCs w:val="24"/>
                <w:lang w:eastAsia="lt-LT"/>
              </w:rPr>
            </w:pPr>
            <w:r>
              <w:rPr>
                <w:szCs w:val="24"/>
                <w:lang w:eastAsia="lt-LT"/>
              </w:rPr>
              <w:t>Keičiamos žvejybos vidaus vandenyse reglamentavimo priemonės, tai poveikio administracinei naštai nebus.</w:t>
            </w:r>
          </w:p>
          <w:p>
            <w:pPr>
              <w:ind w:right="176"/>
              <w:jc w:val="both"/>
              <w:rPr>
                <w:szCs w:val="24"/>
                <w:lang w:eastAsia="lt-LT"/>
              </w:rPr>
            </w:pPr>
          </w:p>
        </w:tc>
      </w:tr>
    </w:tbl>
    <w:p>
      <w:pPr>
        <w:rPr>
          <w:lang w:eastAsia="lt-LT"/>
        </w:rPr>
      </w:pPr>
    </w:p>
    <w:p>
      <w:pPr>
        <w:rPr>
          <w:lang w:eastAsia="lt-LT"/>
        </w:rPr>
      </w:pPr>
    </w:p>
    <w:tbl>
      <w:tblPr>
        <w:tblW w:w="9322" w:type="dxa"/>
        <w:tblLook w:val="00A0" w:firstRow="1" w:lastRow="0" w:firstColumn="1" w:lastColumn="0" w:noHBand="0" w:noVBand="0"/>
      </w:tblPr>
      <w:tblGrid>
        <w:gridCol w:w="2235"/>
        <w:gridCol w:w="7087"/>
      </w:tblGrid>
      <w:tr>
        <w:tc>
          <w:tcPr>
            <w:tcW w:w="2235" w:type="dxa"/>
            <w:shd w:val="clear" w:color="auto" w:fill="DBE5F1"/>
          </w:tcPr>
          <w:p>
            <w:pPr>
              <w:rPr>
                <w:b/>
                <w:szCs w:val="24"/>
                <w:lang w:eastAsia="lt-LT"/>
              </w:rPr>
            </w:pPr>
            <w:r>
              <w:rPr>
                <w:b/>
                <w:szCs w:val="24"/>
                <w:lang w:eastAsia="lt-LT"/>
              </w:rPr>
              <w:t>Poveikis ekonomikai</w:t>
            </w:r>
          </w:p>
        </w:tc>
        <w:tc>
          <w:tcPr>
            <w:tcW w:w="7087" w:type="dxa"/>
          </w:tcPr>
          <w:p>
            <w:pPr>
              <w:ind w:right="-108"/>
              <w:jc w:val="both"/>
              <w:rPr>
                <w:szCs w:val="24"/>
                <w:lang w:eastAsia="lt-LT"/>
              </w:rPr>
            </w:pPr>
            <w:r>
              <w:rPr>
                <w:szCs w:val="24"/>
                <w:lang w:eastAsia="lt-LT"/>
              </w:rPr>
              <w:t xml:space="preserve">Neigiamas. Sumažės pajamos verslinę žvejybą vykdančių ūkio subjektų ir su žvejybos Kuršių mariose verslu susijusių </w:t>
            </w:r>
            <w:r>
              <w:rPr>
                <w:color w:val="000000"/>
                <w:szCs w:val="24"/>
                <w:lang w:eastAsia="en-GB"/>
              </w:rPr>
              <w:t>bendruomenių lūkesčiai, turizmas ir regiono ekonominis gyvybingumas</w:t>
            </w:r>
            <w:r>
              <w:rPr>
                <w:szCs w:val="24"/>
                <w:lang w:eastAsia="lt-LT"/>
              </w:rPr>
              <w:t xml:space="preserve">. </w:t>
            </w:r>
          </w:p>
        </w:tc>
      </w:tr>
    </w:tbl>
    <w:p>
      <w:pPr>
        <w:rPr>
          <w:lang w:eastAsia="lt-LT"/>
        </w:rPr>
      </w:pPr>
    </w:p>
    <w:p>
      <w:pPr>
        <w:rPr>
          <w:lang w:eastAsia="lt-LT"/>
        </w:rPr>
      </w:pPr>
    </w:p>
    <w:p>
      <w:pPr>
        <w:rPr>
          <w:lang w:eastAsia="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96"/>
      </w:tblGrid>
      <w:tr>
        <w:tc>
          <w:tcPr>
            <w:tcW w:w="2210" w:type="dxa"/>
            <w:tcBorders>
              <w:top w:val="nil"/>
              <w:left w:val="nil"/>
              <w:bottom w:val="nil"/>
              <w:right w:val="nil"/>
            </w:tcBorders>
            <w:shd w:val="clear" w:color="auto" w:fill="DBE5F1"/>
          </w:tcPr>
          <w:p>
            <w:pPr>
              <w:shd w:val="clear" w:color="auto" w:fill="DBE5F1"/>
              <w:rPr>
                <w:b/>
                <w:szCs w:val="24"/>
                <w:lang w:eastAsia="lt-LT"/>
              </w:rPr>
            </w:pPr>
            <w:r>
              <w:rPr>
                <w:b/>
                <w:lang w:eastAsia="lt-LT"/>
              </w:rPr>
              <w:t xml:space="preserve">Poveikis viešojo valdymo sistemai </w:t>
            </w:r>
          </w:p>
        </w:tc>
        <w:tc>
          <w:tcPr>
            <w:tcW w:w="7396" w:type="dxa"/>
            <w:tcBorders>
              <w:top w:val="nil"/>
              <w:left w:val="nil"/>
              <w:bottom w:val="nil"/>
              <w:right w:val="nil"/>
            </w:tcBorders>
            <w:hideMark/>
          </w:tcPr>
          <w:p>
            <w:pPr>
              <w:jc w:val="both"/>
              <w:rPr>
                <w:szCs w:val="24"/>
                <w:lang w:eastAsia="lt-LT"/>
              </w:rPr>
            </w:pPr>
            <w:r>
              <w:rPr>
                <w:szCs w:val="24"/>
                <w:lang w:eastAsia="lt-LT"/>
              </w:rPr>
              <w:t>Nebus.</w:t>
            </w:r>
          </w:p>
        </w:tc>
      </w:tr>
    </w:tbl>
    <w:p>
      <w:pPr>
        <w:rPr>
          <w:i/>
          <w:sz w:val="22"/>
          <w:szCs w:val="22"/>
          <w:lang w:eastAsia="lt-LT"/>
        </w:rPr>
      </w:pPr>
    </w:p>
    <w:p>
      <w:pPr>
        <w:rPr>
          <w:i/>
          <w:sz w:val="22"/>
          <w:szCs w:val="22"/>
          <w:lang w:eastAsia="lt-LT"/>
        </w:rPr>
      </w:pPr>
    </w:p>
    <w:p>
      <w:pPr>
        <w:rPr>
          <w:i/>
          <w:sz w:val="22"/>
          <w:szCs w:val="22"/>
          <w:lang w:eastAsia="lt-LT"/>
        </w:rPr>
      </w:pPr>
    </w:p>
    <w:p>
      <w:pPr>
        <w:rPr>
          <w:i/>
          <w:sz w:val="22"/>
          <w:szCs w:val="22"/>
          <w:lang w:eastAsia="lt-LT"/>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6936"/>
      </w:tblGrid>
      <w:tr>
        <w:tc>
          <w:tcPr>
            <w:tcW w:w="1390"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szCs w:val="24"/>
              </w:rPr>
            </w:pPr>
            <w:r>
              <w:rPr>
                <w:szCs w:val="24"/>
              </w:rPr>
              <w:t>Vardas ir pavardė</w:t>
            </w:r>
          </w:p>
        </w:tc>
        <w:tc>
          <w:tcPr>
            <w:tcW w:w="3610" w:type="pct"/>
            <w:tcBorders>
              <w:top w:val="single" w:sz="4" w:space="0" w:color="auto"/>
              <w:left w:val="single" w:sz="4" w:space="0" w:color="auto"/>
              <w:bottom w:val="single" w:sz="4" w:space="0" w:color="auto"/>
              <w:right w:val="single" w:sz="4" w:space="0" w:color="auto"/>
            </w:tcBorders>
            <w:tcMar>
              <w:top w:w="28" w:type="dxa"/>
              <w:bottom w:w="28" w:type="dxa"/>
            </w:tcMar>
          </w:tcPr>
          <w:p>
            <w:pPr>
              <w:rPr>
                <w:szCs w:val="22"/>
              </w:rPr>
            </w:pPr>
            <w:r>
              <w:rPr>
                <w:szCs w:val="22"/>
              </w:rPr>
              <w:t>Giedrius Ladukas</w:t>
            </w:r>
          </w:p>
        </w:tc>
      </w:tr>
      <w:tr>
        <w:tc>
          <w:tcPr>
            <w:tcW w:w="1390"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b/>
                <w:szCs w:val="24"/>
              </w:rPr>
            </w:pPr>
            <w:r>
              <w:rPr>
                <w:szCs w:val="24"/>
              </w:rPr>
              <w:t>Pareigos</w:t>
            </w:r>
          </w:p>
        </w:tc>
        <w:tc>
          <w:tcPr>
            <w:tcW w:w="3610"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2"/>
              </w:rPr>
            </w:pPr>
            <w:r>
              <w:rPr>
                <w:szCs w:val="22"/>
              </w:rPr>
              <w:t>Vyr. specialistas</w:t>
            </w:r>
          </w:p>
        </w:tc>
      </w:tr>
      <w:tr>
        <w:tc>
          <w:tcPr>
            <w:tcW w:w="1390"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b/>
                <w:szCs w:val="24"/>
              </w:rPr>
            </w:pPr>
            <w:r>
              <w:rPr>
                <w:szCs w:val="24"/>
              </w:rPr>
              <w:t>Institucija (padalinys)</w:t>
            </w:r>
          </w:p>
        </w:tc>
        <w:tc>
          <w:tcPr>
            <w:tcW w:w="3610"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2"/>
              </w:rPr>
            </w:pPr>
            <w:r>
              <w:rPr>
                <w:szCs w:val="22"/>
              </w:rPr>
              <w:t>Aplinkos ministerijos Gamtos apsaugos politikos grupė.</w:t>
            </w:r>
          </w:p>
        </w:tc>
      </w:tr>
      <w:tr>
        <w:trPr>
          <w:trHeight w:val="511"/>
        </w:trPr>
        <w:tc>
          <w:tcPr>
            <w:tcW w:w="1390" w:type="pct"/>
            <w:tcBorders>
              <w:top w:val="single" w:sz="4" w:space="0" w:color="auto"/>
              <w:left w:val="single" w:sz="4" w:space="0" w:color="auto"/>
              <w:bottom w:val="single" w:sz="4" w:space="0" w:color="auto"/>
              <w:right w:val="single" w:sz="4" w:space="0" w:color="auto"/>
            </w:tcBorders>
            <w:tcMar>
              <w:top w:w="28" w:type="dxa"/>
              <w:bottom w:w="28" w:type="dxa"/>
            </w:tcMar>
            <w:hideMark/>
          </w:tcPr>
          <w:p>
            <w:pPr>
              <w:rPr>
                <w:szCs w:val="24"/>
              </w:rPr>
            </w:pPr>
            <w:r>
              <w:rPr>
                <w:szCs w:val="24"/>
              </w:rPr>
              <w:t>Telefono numeris ir elektroninio pašto adresas</w:t>
            </w:r>
          </w:p>
        </w:tc>
        <w:tc>
          <w:tcPr>
            <w:tcW w:w="3610" w:type="pct"/>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2"/>
              </w:rPr>
            </w:pPr>
            <w:r>
              <w:rPr>
                <w:szCs w:val="22"/>
              </w:rPr>
              <w:t>862068938; giedrius.ladukas</w:t>
            </w:r>
            <w:r>
              <w:rPr>
                <w:szCs w:val="22"/>
                <w:lang w:val="en-US"/>
              </w:rPr>
              <w:t>@am.lt</w:t>
            </w:r>
          </w:p>
        </w:tc>
      </w:tr>
    </w:tbl>
    <w:p>
      <w:pPr>
        <w:jc w:val="both"/>
        <w:rPr>
          <w:b/>
          <w:sz w:val="22"/>
          <w:szCs w:val="22"/>
        </w:rPr>
      </w:pPr>
      <w:r>
        <w:rPr>
          <w:b/>
          <w:szCs w:val="24"/>
        </w:rPr>
        <w:t>Informacija apie asmenį ir instituciją, atsakingą už poveikio vertinimą</w:t>
      </w:r>
    </w:p>
    <w:p>
      <w:pPr>
        <w:rPr>
          <w:lang w:eastAsia="lt-LT"/>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p>
    <w:pPr>
      <w:tabs>
        <w:tab w:val="center" w:pos="4153"/>
        <w:tab w:val="right" w:pos="8306"/>
      </w:tabs>
      <w:jc w:val="center"/>
      <w:rPr>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74076-7AEC-44FB-B4AD-98605413E58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2073</Characters>
  <Application>Microsoft Office Word</Application>
  <DocSecurity>4</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2021-12-30T06:25:00Z</dcterms:created>
  <dc:creator>d.anuskevicius</dc:creator>
  <lastModifiedBy>adlibuser</lastModifiedBy>
  <lastPrinted>2014-03-19T06:45:00Z</lastPrinted>
  <dcterms:modified xsi:type="dcterms:W3CDTF">2021-12-30T06:25:00Z</dcterms:modified>
  <revision>2</revision>
</coreProperties>
</file>