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c94fc13ef44cc4ae4f6627e8f25e3d"/>
        <w:lock w:val="sdtLocked"/>
        <w:richText/>
      </w:sdtPr>
      <w:sdtContent>
        <w:p>
          <w:pPr>
            <w:rPr>
              <w:sz w:val="32"/>
              <w:szCs w:val="32"/>
            </w:rPr>
          </w:pPr>
        </w:p>
        <w:p>
          <w:pPr>
            <w:jc w:val="center"/>
            <w:rPr>
              <w:rFonts w:ascii="Arial" w:hAnsi="Arial" w:cs="Arial"/>
              <w:sz w:val="27"/>
              <w:szCs w:val="27"/>
              <w:lang w:eastAsia="lt-LT"/>
            </w:rPr>
          </w:pPr>
        </w:p>
        <w:p>
          <w:pPr>
            <w:rPr>
              <w:sz w:val="32"/>
              <w:szCs w:val="32"/>
            </w:rPr>
          </w:pPr>
        </w:p>
        <w:p>
          <w:pPr>
            <w:spacing w:line="278" w:lineRule="auto"/>
            <w:ind w:left="23"/>
            <w:jc w:val="center"/>
            <w:textAlignment w:val="center"/>
            <w:rPr>
              <w:b/>
              <w:bCs/>
              <w:kern w:val="2"/>
              <w:szCs w:val="24"/>
              <w:lang w:eastAsia="lt-LT"/>
            </w:rPr>
          </w:pPr>
          <w:r>
            <w:rPr>
              <w:b/>
              <w:bCs/>
              <w:kern w:val="2"/>
              <w:szCs w:val="24"/>
              <w:lang w:eastAsia="lt-LT"/>
            </w:rPr>
            <w:t>AIŠKINAMASIS RAŠTAS</w:t>
          </w:r>
        </w:p>
        <w:p>
          <w:pPr>
            <w:spacing w:line="278" w:lineRule="auto"/>
            <w:jc w:val="center"/>
            <w:rPr>
              <w:b/>
              <w:bCs/>
              <w:kern w:val="2"/>
              <w:sz w:val="28"/>
              <w:szCs w:val="28"/>
              <w:lang w:eastAsia="lt-LT"/>
            </w:rPr>
          </w:pPr>
          <w:r>
            <w:rPr>
              <w:b/>
              <w:caps/>
              <w:kern w:val="2"/>
              <w:szCs w:val="24"/>
              <w:lang w:eastAsia="lt-LT"/>
            </w:rPr>
            <w:t>DĖL VILNIAUS RAJONO SAVIVALDYBĖS TARYBOS SPRENDIMO „</w:t>
          </w:r>
          <w:r>
            <w:rPr>
              <w:b/>
              <w:bCs/>
              <w:kern w:val="2"/>
              <w:szCs w:val="24"/>
              <w:lang w:eastAsia="lt-LT"/>
            </w:rPr>
            <w:t xml:space="preserve">DĖL </w:t>
          </w:r>
          <w:r>
            <w:rPr>
              <w:b/>
              <w:bCs/>
              <w:color w:val="212529"/>
              <w:kern w:val="2"/>
              <w:szCs w:val="24"/>
              <w:shd w:val="clear" w:color="auto" w:fill="FFFFFF"/>
            </w:rPr>
            <w:t>VILNIAUS RAJONO SAVIVALDYBĖJE IKI 2030 METŲ NUMATOMŲ ĮRENGTI VIEŠAI PRIEINAMŲ ĮKROVIMO PRIEIGŲ PLANO PATVIRTINIMO</w:t>
          </w:r>
          <w:r>
            <w:rPr>
              <w:b/>
              <w:bCs/>
              <w:caps/>
              <w:kern w:val="2"/>
              <w:szCs w:val="24"/>
              <w:lang w:eastAsia="lt-LT"/>
            </w:rPr>
            <w:t>“ PROJEKTO</w:t>
          </w:r>
        </w:p>
        <w:p>
          <w:pPr>
            <w:spacing w:line="278" w:lineRule="auto"/>
            <w:ind w:left="720"/>
            <w:jc w:val="center"/>
            <w:rPr>
              <w:b/>
              <w:bCs/>
              <w:caps/>
              <w:kern w:val="2"/>
              <w:szCs w:val="24"/>
              <w:lang w:eastAsia="lt-LT"/>
            </w:rPr>
          </w:pPr>
        </w:p>
        <w:p>
          <w:pPr>
            <w:spacing w:line="278" w:lineRule="auto"/>
            <w:ind w:left="23"/>
            <w:jc w:val="center"/>
            <w:textAlignment w:val="center"/>
            <w:rPr>
              <w:kern w:val="2"/>
            </w:rPr>
          </w:pPr>
          <w:r>
            <w:rPr>
              <w:kern w:val="2"/>
              <w:szCs w:val="24"/>
              <w:lang w:eastAsia="lt-LT"/>
            </w:rPr>
            <w:t xml:space="preserve">2026 m.                        d.</w:t>
          </w:r>
        </w:p>
        <w:p>
          <w:pPr>
            <w:spacing w:line="278" w:lineRule="auto"/>
            <w:ind w:left="22"/>
            <w:jc w:val="center"/>
            <w:textAlignment w:val="center"/>
            <w:rPr>
              <w:kern w:val="2"/>
              <w:szCs w:val="24"/>
              <w:lang w:eastAsia="lt-LT"/>
            </w:rPr>
          </w:pPr>
          <w:r>
            <w:rPr>
              <w:kern w:val="2"/>
              <w:szCs w:val="24"/>
              <w:lang w:eastAsia="lt-LT"/>
            </w:rPr>
            <w:t>Vilnius</w:t>
          </w:r>
        </w:p>
        <w:p>
          <w:pPr>
            <w:rPr>
              <w:sz w:val="14"/>
              <w:szCs w:val="14"/>
            </w:rPr>
          </w:pPr>
        </w:p>
        <w:sdt>
          <w:sdtPr>
            <w:alias w:val="1 p."/>
            <w:tag w:val="part_f93315aa0b3f43178c1849b55c279c47"/>
            <w:lock w:val="sdtLocked"/>
            <w:richText/>
          </w:sdtPr>
          <w:sdtContent>
            <w:p>
              <w:pPr>
                <w:suppressAutoHyphens/>
                <w:ind w:firstLine="567"/>
                <w:jc w:val="both"/>
                <w:rPr>
                  <w:b/>
                  <w:kern w:val="2"/>
                  <w:szCs w:val="24"/>
                </w:rPr>
              </w:pPr>
              <w:sdt>
                <w:sdtPr>
                  <w:alias w:val="Numeris"/>
                  <w:tag w:val="nr_f93315aa0b3f43178c1849b55c279c47"/>
                  <w:lock w:val="sdtLocked"/>
                  <w:richText/>
                </w:sdtPr>
                <w:sdtContent>
                  <w:r>
                    <w:rPr>
                      <w:b/>
                      <w:kern w:val="2"/>
                      <w:szCs w:val="24"/>
                    </w:rPr>
                    <w:t>1</w:t>
                  </w:r>
                </w:sdtContent>
              </w:sdt>
              <w:r>
                <w:rPr>
                  <w:b/>
                  <w:kern w:val="2"/>
                  <w:szCs w:val="24"/>
                </w:rPr>
                <w:t>. Projekto rengimą paskatinusios priežastys, parengto projekto tikslai ir uždaviniai:</w:t>
              </w:r>
            </w:p>
            <w:p>
              <w:pPr>
                <w:spacing w:line="278" w:lineRule="auto"/>
                <w:ind w:firstLine="567"/>
                <w:jc w:val="both"/>
                <w:rPr>
                  <w:color w:val="000000"/>
                  <w:kern w:val="2"/>
                  <w:szCs w:val="24"/>
                </w:rPr>
              </w:pPr>
              <w:r>
                <w:rPr>
                  <w:kern w:val="2"/>
                  <w:szCs w:val="24"/>
                </w:rPr>
                <w:t xml:space="preserve">Projekto rengimą paskatinusios priežastys  ̶ </w:t>
              </w:r>
              <w:r>
                <w:rPr>
                  <w:color w:val="000000"/>
                  <w:kern w:val="2"/>
                  <w:szCs w:val="24"/>
                  <w:shd w:val="clear" w:color="auto" w:fill="FFFFFF"/>
                </w:rPr>
                <w:t xml:space="preserve">Lietuvos Respublikos alternatyviųjų degalų įstatymo (toliau – Įstatymas) 12 straipsnio 3 punkte ir 23 straipsnio 13 dalyje nustatyta, kad savivaldybė </w:t>
              </w:r>
              <w:r>
                <w:rPr>
                  <w:color w:val="000000"/>
                  <w:kern w:val="2"/>
                  <w:szCs w:val="24"/>
                </w:rPr>
                <w:t>imasi priemonių, kurios skatintų įkrovimo prieigų įrengimą savivaldybės teritorijoje, taip pat savivaldybės taryba arba jos įgaliota institucija patvirtina su Susisiekimo ministerija suderintus savivaldybės teritorijoje esančiuose vietinės reikšmės keliuose iki 2030 metų numatomų įrengti viešai prieinamų įkrovimo prieigų planus. Šiuose planuose turi būti numatytos prioritetinės vietos viešai prieinamoms įkrovimo prieigoms įrengti. Planai turi būti atnaujinami ne rečiau kaip kas 3 metus ir skelbiami savivaldybių interneto svetainėse.</w:t>
              </w:r>
            </w:p>
            <w:p>
              <w:pPr>
                <w:spacing w:line="278" w:lineRule="auto"/>
                <w:ind w:firstLine="567"/>
                <w:jc w:val="both"/>
                <w:rPr>
                  <w:kern w:val="2"/>
                  <w:szCs w:val="24"/>
                </w:rPr>
              </w:pPr>
              <w:r>
                <w:rPr>
                  <w:kern w:val="2"/>
                  <w:szCs w:val="24"/>
                </w:rPr>
                <w:t xml:space="preserve">Projekto uždaviniai – patvirtinti Tarybos sprendimu viešai prieinamų įkrovimo prieigų planą, kuriame </w:t>
              </w:r>
              <w:r>
                <w:rPr>
                  <w:color w:val="000000"/>
                  <w:kern w:val="2"/>
                  <w:szCs w:val="24"/>
                </w:rPr>
                <w:t>numatytos prioritetinės vietos viešai prieinamoms įkrovimo prieigoms įrengti</w:t>
              </w:r>
              <w:r>
                <w:rPr>
                  <w:kern w:val="2"/>
                  <w:szCs w:val="24"/>
                </w:rPr>
                <w:t>.</w:t>
              </w:r>
              <w:r>
                <w:rPr>
                  <w:rFonts w:ascii="Arial" w:hAnsi="Arial" w:cs="Arial"/>
                  <w:kern w:val="2"/>
                  <w:sz w:val="27"/>
                  <w:szCs w:val="27"/>
                </w:rPr>
                <w:t xml:space="preserve"> </w:t>
              </w:r>
              <w:r>
                <w:rPr>
                  <w:kern w:val="2"/>
                  <w:szCs w:val="24"/>
                </w:rPr>
                <w:t>Viešai prieinamų įkrovimo prieigų plano įgyvendinimu siekiama mažinti transporto sektoriaus poveikį klimatui, skatinti didesnį elektromobilių naudotojų skaičių, imtis priemonių, kurios skatintų elektromobilių įkrovimo prieigų įrengimą Savivaldybėje ir sudarytų tam palankesnes sąlygas.</w:t>
              </w:r>
            </w:p>
            <w:p>
              <w:pPr>
                <w:spacing w:line="278" w:lineRule="auto"/>
                <w:ind w:firstLine="567"/>
                <w:jc w:val="both"/>
                <w:rPr>
                  <w:kern w:val="2"/>
                  <w:szCs w:val="24"/>
                </w:rPr>
              </w:pPr>
            </w:p>
          </w:sdtContent>
        </w:sdt>
        <w:sdt>
          <w:sdtPr>
            <w:alias w:val="2 p."/>
            <w:tag w:val="part_aa288cb544174443b39f0d7857344a7e"/>
            <w:lock w:val="sdtLocked"/>
            <w:richText/>
          </w:sdtPr>
          <w:sdtContent>
            <w:p>
              <w:pPr>
                <w:suppressAutoHyphens/>
                <w:ind w:firstLine="567"/>
                <w:jc w:val="both"/>
                <w:rPr>
                  <w:b/>
                  <w:kern w:val="2"/>
                  <w:szCs w:val="24"/>
                </w:rPr>
              </w:pPr>
              <w:sdt>
                <w:sdtPr>
                  <w:alias w:val="Numeris"/>
                  <w:tag w:val="nr_aa288cb544174443b39f0d7857344a7e"/>
                  <w:lock w:val="sdtLocked"/>
                  <w:richText/>
                </w:sdtPr>
                <w:sdtContent>
                  <w:r>
                    <w:rPr>
                      <w:b/>
                      <w:kern w:val="2"/>
                      <w:szCs w:val="24"/>
                    </w:rPr>
                    <w:t>2</w:t>
                  </w:r>
                </w:sdtContent>
              </w:sdt>
              <w:r>
                <w:rPr>
                  <w:b/>
                  <w:kern w:val="2"/>
                  <w:szCs w:val="24"/>
                </w:rPr>
                <w:t>. Kaip šiuo metu yra reguliuojami projekte aptarti teisiniai santykiai:</w:t>
              </w:r>
            </w:p>
            <w:p>
              <w:pPr>
                <w:spacing w:line="278" w:lineRule="auto"/>
                <w:ind w:firstLine="567"/>
                <w:jc w:val="both"/>
                <w:rPr>
                  <w:kern w:val="2"/>
                  <w:szCs w:val="24"/>
                </w:rPr>
              </w:pPr>
              <w:r>
                <w:rPr>
                  <w:kern w:val="2"/>
                  <w:szCs w:val="24"/>
                </w:rPr>
                <w:t xml:space="preserve">Šiuo metu projekte aptarti teisiniai santykiai yra reguliuojami vadovaujantis Įstatymo 23 straipsnio 13 dalimi. </w:t>
              </w:r>
            </w:p>
            <w:p>
              <w:pPr>
                <w:spacing w:line="278" w:lineRule="auto"/>
                <w:ind w:firstLine="567"/>
                <w:jc w:val="both"/>
                <w:rPr>
                  <w:color w:val="FF0000"/>
                  <w:kern w:val="2"/>
                </w:rPr>
              </w:pPr>
            </w:p>
          </w:sdtContent>
        </w:sdt>
        <w:sdt>
          <w:sdtPr>
            <w:alias w:val="3 p."/>
            <w:tag w:val="part_04dc002a87834f4b8bb506869a6b3649"/>
            <w:lock w:val="sdtLocked"/>
            <w:richText/>
          </w:sdtPr>
          <w:sdtContent>
            <w:p>
              <w:pPr>
                <w:suppressAutoHyphens/>
                <w:ind w:firstLine="567"/>
                <w:jc w:val="both"/>
                <w:rPr>
                  <w:b/>
                  <w:kern w:val="2"/>
                  <w:szCs w:val="24"/>
                </w:rPr>
              </w:pPr>
              <w:sdt>
                <w:sdtPr>
                  <w:alias w:val="Numeris"/>
                  <w:tag w:val="nr_04dc002a87834f4b8bb506869a6b3649"/>
                  <w:lock w:val="sdtLocked"/>
                  <w:richText/>
                </w:sdtPr>
                <w:sdtContent>
                  <w:r>
                    <w:rPr>
                      <w:b/>
                      <w:kern w:val="2"/>
                      <w:szCs w:val="24"/>
                    </w:rPr>
                    <w:t>3</w:t>
                  </w:r>
                </w:sdtContent>
              </w:sdt>
              <w:r>
                <w:rPr>
                  <w:b/>
                  <w:kern w:val="2"/>
                  <w:szCs w:val="24"/>
                </w:rPr>
                <w:t>. Siūlomos naujos teisinio reguliavimo nuostatos ir kokių teigiamų rezultatų laukiama:</w:t>
              </w:r>
            </w:p>
            <w:p>
              <w:pPr>
                <w:spacing w:line="278" w:lineRule="auto"/>
                <w:ind w:firstLine="567"/>
                <w:jc w:val="both"/>
                <w:rPr>
                  <w:kern w:val="2"/>
                  <w:szCs w:val="24"/>
                </w:rPr>
              </w:pPr>
              <w:r>
                <w:rPr>
                  <w:kern w:val="2"/>
                  <w:szCs w:val="24"/>
                </w:rPr>
                <w:t>Siūlomos naujos teisinio reguliavimo nuostatos – patvirtintas viešai prieinamų elektromobilių įkrovimo prieigų planas.</w:t>
              </w:r>
            </w:p>
            <w:p>
              <w:pPr>
                <w:spacing w:line="278" w:lineRule="auto"/>
                <w:ind w:firstLine="567"/>
                <w:jc w:val="both"/>
                <w:rPr>
                  <w:kern w:val="2"/>
                  <w:szCs w:val="24"/>
                </w:rPr>
              </w:pPr>
            </w:p>
          </w:sdtContent>
        </w:sdt>
        <w:sdt>
          <w:sdtPr>
            <w:alias w:val="4 p."/>
            <w:tag w:val="part_ca171c42d2644cb58b9d7305fd52a95f"/>
            <w:lock w:val="sdtLocked"/>
            <w:richText/>
          </w:sdtPr>
          <w:sdtContent>
            <w:p>
              <w:pPr>
                <w:suppressAutoHyphens/>
                <w:ind w:left="567"/>
                <w:jc w:val="both"/>
                <w:rPr>
                  <w:b/>
                  <w:kern w:val="2"/>
                  <w:szCs w:val="24"/>
                </w:rPr>
              </w:pPr>
              <w:sdt>
                <w:sdtPr>
                  <w:alias w:val="Numeris"/>
                  <w:tag w:val="nr_ca171c42d2644cb58b9d7305fd52a95f"/>
                  <w:lock w:val="sdtLocked"/>
                  <w:richText/>
                </w:sdtPr>
                <w:sdtContent>
                  <w:r>
                    <w:rPr>
                      <w:b/>
                      <w:kern w:val="2"/>
                      <w:szCs w:val="24"/>
                    </w:rPr>
                    <w:t>4</w:t>
                  </w:r>
                </w:sdtContent>
              </w:sdt>
              <w:r>
                <w:rPr>
                  <w:b/>
                  <w:kern w:val="2"/>
                  <w:szCs w:val="24"/>
                </w:rPr>
                <w:t>. Galimos neigiamos priimto sprendimo pasekmės ir kokių priemonių reikėtų imtis, kad tokių pasekmių būtų išvengta:</w:t>
              </w:r>
            </w:p>
            <w:p>
              <w:pPr>
                <w:spacing w:line="278" w:lineRule="auto"/>
                <w:ind w:left="567"/>
                <w:jc w:val="both"/>
                <w:rPr>
                  <w:kern w:val="2"/>
                  <w:szCs w:val="24"/>
                </w:rPr>
              </w:pPr>
              <w:r>
                <w:rPr>
                  <w:kern w:val="2"/>
                  <w:szCs w:val="24"/>
                </w:rPr>
                <w:t>Galimų neigiamų priimto sprendimo pasekmių nenumatoma, jokių priemonių imtis nereikia.</w:t>
              </w:r>
            </w:p>
            <w:p>
              <w:pPr>
                <w:spacing w:line="278" w:lineRule="auto"/>
                <w:ind w:left="567"/>
                <w:jc w:val="both"/>
                <w:rPr>
                  <w:kern w:val="2"/>
                  <w:szCs w:val="24"/>
                </w:rPr>
              </w:pPr>
            </w:p>
          </w:sdtContent>
        </w:sdt>
        <w:sdt>
          <w:sdtPr>
            <w:alias w:val="5 p."/>
            <w:tag w:val="part_039197221d494ff5ad0362953f7bd26a"/>
            <w:lock w:val="sdtLocked"/>
            <w:richText/>
          </w:sdtPr>
          <w:sdtContent>
            <w:p>
              <w:pPr>
                <w:suppressAutoHyphens/>
                <w:ind w:firstLine="567"/>
                <w:jc w:val="both"/>
                <w:rPr>
                  <w:b/>
                  <w:kern w:val="2"/>
                  <w:szCs w:val="24"/>
                </w:rPr>
              </w:pPr>
              <w:sdt>
                <w:sdtPr>
                  <w:alias w:val="Numeris"/>
                  <w:tag w:val="nr_039197221d494ff5ad0362953f7bd26a"/>
                  <w:lock w:val="sdtLocked"/>
                  <w:richText/>
                </w:sdtPr>
                <w:sdtContent>
                  <w:r>
                    <w:rPr>
                      <w:b/>
                      <w:kern w:val="2"/>
                      <w:szCs w:val="24"/>
                    </w:rPr>
                    <w:t>5</w:t>
                  </w:r>
                </w:sdtContent>
              </w:sdt>
              <w:r>
                <w:rPr>
                  <w:b/>
                  <w:kern w:val="2"/>
                  <w:szCs w:val="24"/>
                </w:rPr>
                <w:t>. Lėšų poreikis ir šaltinis (-iai):</w:t>
              </w:r>
            </w:p>
            <w:p>
              <w:pPr>
                <w:spacing w:line="278" w:lineRule="auto"/>
                <w:ind w:firstLine="567"/>
                <w:jc w:val="both"/>
                <w:rPr>
                  <w:kern w:val="2"/>
                  <w:szCs w:val="24"/>
                  <w:lang w:eastAsia="lt-LT"/>
                </w:rPr>
              </w:pPr>
              <w:r>
                <w:rPr>
                  <w:color w:val="000000"/>
                  <w:kern w:val="2"/>
                  <w:szCs w:val="24"/>
                  <w:shd w:val="clear" w:color="auto" w:fill="FFFFFF"/>
                </w:rPr>
                <w:t>Projektas bus finansuojamas ES, SB ir VB lėšomis. </w:t>
              </w:r>
            </w:p>
            <w:p>
              <w:pPr>
                <w:spacing w:line="278" w:lineRule="auto"/>
                <w:ind w:firstLine="567"/>
                <w:jc w:val="both"/>
                <w:rPr>
                  <w:kern w:val="2"/>
                  <w:szCs w:val="24"/>
                  <w:lang w:eastAsia="lt-LT"/>
                </w:rPr>
              </w:pPr>
            </w:p>
          </w:sdtContent>
        </w:sdt>
        <w:sdt>
          <w:sdtPr>
            <w:alias w:val="6 p."/>
            <w:tag w:val="part_9fae0ec3af4f40d4b03ebe3e63e4e0a5"/>
            <w:lock w:val="sdtLocked"/>
            <w:richText/>
          </w:sdtPr>
          <w:sdtContent>
            <w:p>
              <w:pPr>
                <w:suppressAutoHyphens/>
                <w:ind w:firstLine="567"/>
                <w:jc w:val="both"/>
                <w:rPr>
                  <w:b/>
                  <w:kern w:val="2"/>
                  <w:szCs w:val="24"/>
                </w:rPr>
              </w:pPr>
              <w:sdt>
                <w:sdtPr>
                  <w:alias w:val="Numeris"/>
                  <w:tag w:val="nr_9fae0ec3af4f40d4b03ebe3e63e4e0a5"/>
                  <w:lock w:val="sdtLocked"/>
                  <w:richText/>
                </w:sdtPr>
                <w:sdtContent>
                  <w:r>
                    <w:rPr>
                      <w:b/>
                      <w:kern w:val="2"/>
                      <w:szCs w:val="24"/>
                    </w:rPr>
                    <w:t>6</w:t>
                  </w:r>
                </w:sdtContent>
              </w:sdt>
              <w:r>
                <w:rPr>
                  <w:b/>
                  <w:kern w:val="2"/>
                  <w:szCs w:val="24"/>
                </w:rPr>
                <w:t>. Projekto rengimo metu gauti specialistų vertinimai ir išvados:</w:t>
              </w:r>
            </w:p>
            <w:p>
              <w:pPr>
                <w:spacing w:line="278" w:lineRule="auto"/>
                <w:ind w:left="567"/>
                <w:jc w:val="both"/>
                <w:rPr>
                  <w:kern w:val="2"/>
                  <w:szCs w:val="24"/>
                </w:rPr>
              </w:pPr>
              <w:r>
                <w:rPr>
                  <w:kern w:val="2"/>
                  <w:szCs w:val="24"/>
                </w:rPr>
                <w:t>Teisės akto projekto antikorupcinis vertinimas atliktas suderinus teisės akto projektą viešojo</w:t>
              </w:r>
            </w:p>
            <w:p>
              <w:pPr>
                <w:spacing w:line="278" w:lineRule="auto"/>
                <w:jc w:val="both"/>
                <w:rPr>
                  <w:kern w:val="2"/>
                  <w:szCs w:val="24"/>
                </w:rPr>
              </w:pPr>
              <w:r>
                <w:rPr>
                  <w:kern w:val="2"/>
                  <w:szCs w:val="24"/>
                </w:rPr>
                <w:t xml:space="preserve">administravimo subjekte. Antikorupcinį vertinimą atliko Savivaldybės korupcijos prevencijos patarėjas. </w:t>
              </w:r>
              <w:r>
                <w:rPr>
                  <w:color w:val="000000"/>
                  <w:kern w:val="2"/>
                  <w:szCs w:val="24"/>
                  <w:shd w:val="clear" w:color="auto" w:fill="FFFFFF"/>
                </w:rPr>
                <w:t>Pateikta antikorupcinio vertinimo pažyma.</w:t>
              </w:r>
            </w:p>
            <w:p>
              <w:pPr>
                <w:spacing w:line="278" w:lineRule="auto"/>
                <w:jc w:val="both"/>
                <w:rPr>
                  <w:kern w:val="2"/>
                  <w:szCs w:val="24"/>
                </w:rPr>
              </w:pPr>
            </w:p>
          </w:sdtContent>
        </w:sdt>
        <w:sdt>
          <w:sdtPr>
            <w:alias w:val="7 p."/>
            <w:tag w:val="part_dbd9137bc09049d69298c3b97328402b"/>
            <w:lock w:val="sdtLocked"/>
            <w:richText/>
          </w:sdtPr>
          <w:sdtContent>
            <w:p>
              <w:pPr>
                <w:suppressAutoHyphens/>
                <w:ind w:firstLine="567"/>
                <w:jc w:val="both"/>
                <w:rPr>
                  <w:b/>
                  <w:kern w:val="2"/>
                  <w:szCs w:val="24"/>
                </w:rPr>
              </w:pPr>
              <w:sdt>
                <w:sdtPr>
                  <w:alias w:val="Numeris"/>
                  <w:tag w:val="nr_dbd9137bc09049d69298c3b97328402b"/>
                  <w:lock w:val="sdtLocked"/>
                  <w:richText/>
                </w:sdtPr>
                <w:sdtContent>
                  <w:r>
                    <w:rPr>
                      <w:b/>
                      <w:kern w:val="2"/>
                      <w:szCs w:val="24"/>
                    </w:rPr>
                    <w:t>7</w:t>
                  </w:r>
                </w:sdtContent>
              </w:sdt>
              <w:r>
                <w:rPr>
                  <w:b/>
                  <w:kern w:val="2"/>
                  <w:szCs w:val="24"/>
                </w:rPr>
                <w:t xml:space="preserve">. Kiti pagrindimai, skaičiavimai ar paaiškinimai: </w:t>
              </w:r>
            </w:p>
            <w:p>
              <w:pPr>
                <w:spacing w:line="278" w:lineRule="auto"/>
                <w:ind w:firstLine="620"/>
                <w:jc w:val="both"/>
                <w:rPr>
                  <w:kern w:val="2"/>
                  <w:szCs w:val="24"/>
                </w:rPr>
              </w:pPr>
              <w:r>
                <w:rPr>
                  <w:color w:val="000000"/>
                  <w:kern w:val="2"/>
                  <w:szCs w:val="24"/>
                  <w:shd w:val="clear" w:color="auto" w:fill="FFFFFF"/>
                </w:rPr>
                <w:t>Vilniaus rajono savivaldybėje planuojama įrengti 47 naujas viešai prieinamas elektromobilių įkrovimo prieigas, parinktas pagal strateginius traukos centrus.</w:t>
              </w:r>
            </w:p>
            <w:p>
              <w:pPr>
                <w:spacing w:line="278" w:lineRule="auto"/>
                <w:jc w:val="both"/>
                <w:rPr>
                  <w:kern w:val="2"/>
                  <w:szCs w:val="24"/>
                </w:rPr>
              </w:pPr>
            </w:p>
            <w:p>
              <w:pPr>
                <w:spacing w:line="278" w:lineRule="auto"/>
                <w:jc w:val="both"/>
                <w:rPr>
                  <w:kern w:val="2"/>
                  <w:szCs w:val="24"/>
                </w:rPr>
              </w:pPr>
            </w:p>
            <w:p>
              <w:pPr>
                <w:spacing w:line="278" w:lineRule="auto"/>
                <w:jc w:val="both"/>
                <w:rPr>
                  <w:kern w:val="2"/>
                  <w:szCs w:val="24"/>
                </w:rPr>
              </w:pPr>
            </w:p>
            <w:p>
              <w:pPr>
                <w:spacing w:line="278" w:lineRule="auto"/>
                <w:jc w:val="both"/>
                <w:rPr>
                  <w:kern w:val="2"/>
                  <w:szCs w:val="24"/>
                </w:rPr>
              </w:pPr>
            </w:p>
            <w:p>
              <w:pPr>
                <w:spacing w:line="278" w:lineRule="auto"/>
                <w:jc w:val="both"/>
                <w:rPr>
                  <w:kern w:val="2"/>
                  <w:szCs w:val="24"/>
                </w:rPr>
              </w:pPr>
            </w:p>
            <w:p>
              <w:pPr>
                <w:spacing w:line="278" w:lineRule="auto"/>
                <w:jc w:val="both"/>
                <w:rPr>
                  <w:kern w:val="2"/>
                  <w:szCs w:val="24"/>
                </w:rPr>
              </w:pPr>
            </w:p>
          </w:sdtContent>
        </w:sdt>
        <w:sdt>
          <w:sdtPr>
            <w:alias w:val="8 p."/>
            <w:tag w:val="part_715ffaf90b6b4eb587525b94d422345c"/>
            <w:lock w:val="sdtLocked"/>
            <w:richText/>
          </w:sdtPr>
          <w:sdtContent>
            <w:p>
              <w:pPr>
                <w:suppressAutoHyphens/>
                <w:ind w:firstLine="567"/>
                <w:jc w:val="both"/>
                <w:rPr>
                  <w:b/>
                  <w:kern w:val="2"/>
                  <w:szCs w:val="24"/>
                </w:rPr>
              </w:pPr>
              <w:sdt>
                <w:sdtPr>
                  <w:alias w:val="Numeris"/>
                  <w:tag w:val="nr_715ffaf90b6b4eb587525b94d422345c"/>
                  <w:lock w:val="sdtLocked"/>
                  <w:richText/>
                </w:sdtPr>
                <w:sdtContent>
                  <w:r>
                    <w:rPr>
                      <w:b/>
                      <w:kern w:val="2"/>
                      <w:szCs w:val="24"/>
                    </w:rPr>
                    <w:t>8</w:t>
                  </w:r>
                </w:sdtContent>
              </w:sdt>
              <w:r>
                <w:rPr>
                  <w:b/>
                  <w:kern w:val="2"/>
                  <w:szCs w:val="24"/>
                </w:rPr>
                <w:t>. Projektą siūloma svarstyti komitete (-uose):</w:t>
              </w:r>
            </w:p>
            <w:p>
              <w:pPr>
                <w:spacing w:line="278" w:lineRule="auto"/>
                <w:ind w:firstLine="567"/>
                <w:jc w:val="both"/>
                <w:rPr>
                  <w:kern w:val="2"/>
                  <w:szCs w:val="24"/>
                </w:rPr>
              </w:pPr>
              <w:r>
                <w:rPr>
                  <w:kern w:val="2"/>
                  <w:szCs w:val="24"/>
                </w:rPr>
                <w:t xml:space="preserve">Projektą siūloma svarstyti </w:t>
              </w:r>
              <w:r>
                <w:rPr>
                  <w:color w:val="000000"/>
                  <w:kern w:val="2"/>
                  <w:szCs w:val="24"/>
                  <w:shd w:val="clear" w:color="auto" w:fill="FFFFFF"/>
                </w:rPr>
                <w:t>Ekonomikos ir finansų, Kaimo, vietinio ūkio ir teritorijos planavimo (pagrindinis), Teisėtvarkos ir savivaldos plėtros bei Švietimo, kultūros, sporto ir jaunimo reikalų komitetuose. </w:t>
              </w:r>
            </w:p>
            <w:p>
              <w:pPr>
                <w:rPr>
                  <w:sz w:val="14"/>
                  <w:szCs w:val="14"/>
                </w:rPr>
              </w:pPr>
            </w:p>
            <w:p>
              <w:pPr>
                <w:spacing w:line="278" w:lineRule="auto"/>
                <w:jc w:val="both"/>
                <w:rPr>
                  <w:color w:val="FF0000"/>
                  <w:kern w:val="2"/>
                  <w:szCs w:val="24"/>
                </w:rPr>
              </w:pPr>
            </w:p>
            <w:p>
              <w:pPr>
                <w:rPr>
                  <w:sz w:val="14"/>
                  <w:szCs w:val="14"/>
                </w:rPr>
              </w:pPr>
            </w:p>
            <w:p>
              <w:pPr>
                <w:spacing w:line="278" w:lineRule="auto"/>
                <w:jc w:val="both"/>
                <w:rPr>
                  <w:kern w:val="2"/>
                  <w:szCs w:val="24"/>
                </w:rPr>
              </w:pPr>
            </w:p>
            <w:p>
              <w:pPr>
                <w:rPr>
                  <w:sz w:val="14"/>
                  <w:szCs w:val="14"/>
                </w:rPr>
              </w:pPr>
            </w:p>
            <w:tbl>
              <w:tblPr>
                <w:tblW w:w="9629" w:type="dxa"/>
                <w:tblCellMar>
                  <w:left w:w="10" w:type="dxa"/>
                  <w:right w:w="10" w:type="dxa"/>
                </w:tblCellMar>
                <w:tblLook w:val="04A0" w:firstRow="1" w:lastRow="0" w:firstColumn="1" w:lastColumn="0" w:noHBand="0" w:noVBand="1"/>
              </w:tblPr>
              <w:tblGrid>
                <w:gridCol w:w="4962"/>
                <w:gridCol w:w="1984"/>
                <w:gridCol w:w="2683"/>
              </w:tblGrid>
              <w:tr>
                <w:tc>
                  <w:tcPr>
                    <w:tcW w:w="4962" w:type="dxa"/>
                    <w:tcMar>
                      <w:top w:w="0" w:type="dxa"/>
                      <w:left w:w="0" w:type="dxa"/>
                      <w:bottom w:w="0" w:type="dxa"/>
                      <w:right w:w="0" w:type="dxa"/>
                    </w:tcMar>
                    <w:vAlign w:val="center"/>
                    <w:hideMark/>
                  </w:tcPr>
                  <w:p>
                    <w:pPr>
                      <w:spacing w:line="278" w:lineRule="auto"/>
                      <w:textAlignment w:val="center"/>
                      <w:rPr>
                        <w:kern w:val="2"/>
                        <w:szCs w:val="24"/>
                      </w:rPr>
                    </w:pPr>
                    <w:r>
                      <w:rPr>
                        <w:color w:val="000000"/>
                        <w:kern w:val="2"/>
                        <w:szCs w:val="24"/>
                        <w:bdr w:val="none" w:sz="0" w:space="0" w:color="auto" w:frame="1"/>
                      </w:rPr>
                      <w:t>Susisiekimo skyriaus vedėjas</w:t>
                    </w:r>
                  </w:p>
                </w:tc>
                <w:tc>
                  <w:tcPr>
                    <w:tcW w:w="1984" w:type="dxa"/>
                    <w:tcMar>
                      <w:top w:w="0" w:type="dxa"/>
                      <w:left w:w="0" w:type="dxa"/>
                      <w:bottom w:w="0" w:type="dxa"/>
                      <w:right w:w="0" w:type="dxa"/>
                    </w:tcMar>
                    <w:vAlign w:val="center"/>
                  </w:tcPr>
                  <w:p>
                    <w:pPr>
                      <w:spacing w:line="278" w:lineRule="auto"/>
                      <w:textAlignment w:val="center"/>
                      <w:rPr>
                        <w:kern w:val="2"/>
                        <w:szCs w:val="24"/>
                      </w:rPr>
                    </w:pPr>
                  </w:p>
                </w:tc>
                <w:tc>
                  <w:tcPr>
                    <w:tcW w:w="2683" w:type="dxa"/>
                    <w:tcMar>
                      <w:top w:w="0" w:type="dxa"/>
                      <w:left w:w="0" w:type="dxa"/>
                      <w:bottom w:w="0" w:type="dxa"/>
                      <w:right w:w="0" w:type="dxa"/>
                    </w:tcMar>
                    <w:vAlign w:val="center"/>
                    <w:hideMark/>
                  </w:tcPr>
                  <w:p>
                    <w:pPr>
                      <w:spacing w:line="278" w:lineRule="auto"/>
                      <w:jc w:val="right"/>
                      <w:textAlignment w:val="center"/>
                      <w:rPr>
                        <w:kern w:val="2"/>
                        <w:szCs w:val="24"/>
                      </w:rPr>
                    </w:pPr>
                    <w:r>
                      <w:rPr>
                        <w:color w:val="000000"/>
                        <w:kern w:val="2"/>
                        <w:szCs w:val="24"/>
                        <w:shd w:val="clear" w:color="auto" w:fill="FFFFFF"/>
                      </w:rPr>
                      <w:t>Jurijus Jelinskis</w:t>
                    </w:r>
                  </w:p>
                </w:tc>
              </w:tr>
            </w:tbl>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sdtContent>
        </w:sdt>
        <w:sdt>
          <w:sdtPr>
            <w:alias w:val="signatura"/>
            <w:tag w:val="part_6991284375d64dbaa503038c0e3e95e7"/>
            <w:lock w:val="sdtLocked"/>
            <w:richText/>
          </w:sdtPr>
          <w:sdtContent>
            <w:p>
              <w:pPr>
                <w:spacing w:line="278" w:lineRule="auto"/>
                <w:rPr>
                  <w:kern w:val="2"/>
                  <w:szCs w:val="24"/>
                </w:rPr>
              </w:pPr>
              <w:r>
                <w:rPr>
                  <w:color w:val="000000"/>
                  <w:kern w:val="2"/>
                  <w:szCs w:val="24"/>
                  <w:bdr w:val="none" w:sz="0" w:space="0" w:color="auto" w:frame="1"/>
                </w:rPr>
                <w:t>Susisiekimo skyriaus vyr. specialistė</w:t>
              </w:r>
              <w:r>
                <w:rPr>
                  <w:kern w:val="2"/>
                  <w:szCs w:val="24"/>
                </w:rPr>
                <w:t xml:space="preserve"> </w:t>
                <w:tab/>
                <w:tab/>
                <w:t xml:space="preserve">                                         Gražina Jarmalkovič </w:t>
              </w:r>
            </w:p>
            <w:p>
              <w:pPr>
                <w:rPr>
                  <w:sz w:val="32"/>
                  <w:szCs w:val="32"/>
                </w:rPr>
              </w:pPr>
            </w:p>
            <w:p>
              <w:pPr>
                <w:jc w:val="center"/>
                <w:rPr>
                  <w:rFonts w:ascii="Arial" w:hAnsi="Arial" w:cs="Arial"/>
                  <w:sz w:val="27"/>
                  <w:szCs w:val="27"/>
                  <w:lang w:eastAsia="lt-LT"/>
                </w:rPr>
              </w:pPr>
            </w:p>
            <w:p>
              <w:pPr>
                <w:rPr>
                  <w:sz w:val="32"/>
                  <w:szCs w:val="32"/>
                </w:rPr>
              </w:pPr>
            </w:p>
            <w:p>
              <w:pPr>
                <w:jc w:val="center"/>
                <w:rPr>
                  <w:rFonts w:ascii="Arial" w:hAnsi="Arial" w:cs="Arial"/>
                  <w:sz w:val="27"/>
                  <w:szCs w:val="27"/>
                  <w:lang w:eastAsia="lt-LT"/>
                </w:rPr>
              </w:pPr>
            </w:p>
            <w:p>
              <w:pPr>
                <w:rPr>
                  <w:sz w:val="32"/>
                  <w:szCs w:val="32"/>
                </w:rPr>
              </w:pPr>
            </w:p>
            <w:p>
              <w:pPr>
                <w:jc w:val="center"/>
                <w:rPr>
                  <w:rFonts w:ascii="Arial" w:hAnsi="Arial" w:cs="Arial"/>
                  <w:sz w:val="27"/>
                  <w:szCs w:val="27"/>
                  <w:lang w:eastAsia="lt-LT"/>
                </w:rPr>
              </w:pPr>
            </w:p>
            <w:p>
              <w:pPr>
                <w:rPr>
                  <w:sz w:val="32"/>
                  <w:szCs w:val="32"/>
                </w:rPr>
              </w:pPr>
            </w:p>
            <w:p>
              <w:pPr>
                <w:jc w:val="center"/>
                <w:rPr>
                  <w:rFonts w:ascii="Arial" w:hAnsi="Arial" w:cs="Arial"/>
                  <w:sz w:val="27"/>
                  <w:szCs w:val="27"/>
                  <w:lang w:eastAsia="lt-LT"/>
                </w:rPr>
              </w:pPr>
            </w:p>
            <w:p>
              <w:pPr>
                <w:rPr>
                  <w:sz w:val="32"/>
                  <w:szCs w:val="32"/>
                </w:rPr>
              </w:pPr>
            </w:p>
            <w:p>
              <w:pPr>
                <w:jc w:val="center"/>
                <w:rPr>
                  <w:rFonts w:ascii="Arial" w:hAnsi="Arial" w:cs="Arial"/>
                  <w:sz w:val="27"/>
                  <w:szCs w:val="27"/>
                  <w:lang w:eastAsia="lt-LT"/>
                </w:rPr>
              </w:pPr>
            </w:p>
            <w:p>
              <w:pPr>
                <w:rPr>
                  <w:sz w:val="32"/>
                  <w:szCs w:val="32"/>
                </w:rPr>
              </w:pPr>
            </w:p>
            <w:p>
              <w:pPr>
                <w:jc w:val="center"/>
                <w:rPr>
                  <w:rFonts w:ascii="Arial" w:hAnsi="Arial" w:cs="Arial"/>
                  <w:sz w:val="27"/>
                  <w:szCs w:val="27"/>
                  <w:lang w:eastAsia="lt-LT"/>
                </w:rPr>
              </w:pPr>
            </w:p>
            <w:p>
              <w:pPr>
                <w:rPr>
                  <w:sz w:val="32"/>
                  <w:szCs w:val="32"/>
                </w:rPr>
              </w:pPr>
            </w:p>
            <w:p>
              <w:pPr>
                <w:jc w:val="center"/>
                <w:rPr>
                  <w:rFonts w:ascii="Arial" w:hAnsi="Arial" w:cs="Arial"/>
                  <w:sz w:val="27"/>
                  <w:szCs w:val="27"/>
                  <w:lang w:eastAsia="lt-LT"/>
                </w:rPr>
              </w:pPr>
            </w:p>
            <w:p>
              <w:pPr>
                <w:rPr>
                  <w:sz w:val="32"/>
                  <w:szCs w:val="32"/>
                </w:rPr>
              </w:pPr>
            </w:p>
            <w:p>
              <w:pPr>
                <w:jc w:val="center"/>
                <w:rPr>
                  <w:rFonts w:ascii="Arial" w:hAnsi="Arial" w:cs="Arial"/>
                  <w:sz w:val="27"/>
                  <w:szCs w:val="27"/>
                  <w:lang w:eastAsia="lt-LT"/>
                </w:rPr>
              </w:pPr>
            </w:p>
            <w:p>
              <w:pPr>
                <w:rPr>
                  <w:sz w:val="32"/>
                  <w:szCs w:val="32"/>
                </w:rPr>
              </w:pPr>
            </w:p>
            <w:p>
              <w:pPr>
                <w:jc w:val="center"/>
                <w:rPr>
                  <w:rFonts w:ascii="Arial" w:hAnsi="Arial" w:cs="Arial"/>
                  <w:sz w:val="27"/>
                  <w:szCs w:val="27"/>
                  <w:lang w:eastAsia="lt-LT"/>
                </w:rPr>
              </w:pPr>
            </w:p>
            <w:p>
              <w:pPr>
                <w:rPr>
                  <w:sz w:val="32"/>
                  <w:szCs w:val="32"/>
                </w:rPr>
              </w:pPr>
            </w:p>
            <w:p>
              <w:pPr>
                <w:jc w:val="center"/>
                <w:rPr>
                  <w:rFonts w:ascii="Arial" w:hAnsi="Arial" w:cs="Arial"/>
                  <w:sz w:val="27"/>
                  <w:szCs w:val="27"/>
                  <w:lang w:eastAsia="lt-LT"/>
                </w:rPr>
              </w:pPr>
            </w:p>
            <w:p>
              <w:pPr>
                <w:rPr>
                  <w:sz w:val="32"/>
                  <w:szCs w:val="32"/>
                </w:rPr>
              </w:pPr>
            </w:p>
            <w:p>
              <w:pPr>
                <w:jc w:val="center"/>
                <w:rPr>
                  <w:rFonts w:ascii="Arial" w:hAnsi="Arial" w:cs="Arial"/>
                  <w:sz w:val="27"/>
                  <w:szCs w:val="27"/>
                  <w:lang w:eastAsia="lt-LT"/>
                </w:rPr>
              </w:pPr>
            </w:p>
            <w:p>
              <w:pPr>
                <w:rPr>
                  <w:sz w:val="32"/>
                  <w:szCs w:val="32"/>
                </w:rPr>
              </w:pPr>
            </w:p>
            <w:p>
              <w:pPr>
                <w:jc w:val="center"/>
                <w:rPr>
                  <w:rFonts w:ascii="Arial" w:hAnsi="Arial" w:cs="Arial"/>
                  <w:sz w:val="27"/>
                  <w:szCs w:val="27"/>
                  <w:lang w:eastAsia="lt-LT"/>
                </w:rPr>
              </w:pPr>
            </w:p>
            <w:p>
              <w:pPr>
                <w:rPr>
                  <w:sz w:val="32"/>
                  <w:szCs w:val="32"/>
                </w:rPr>
              </w:pPr>
            </w:p>
            <w:p>
              <w:pPr>
                <w:jc w:val="center"/>
                <w:rPr>
                  <w:rFonts w:ascii="Arial" w:hAnsi="Arial" w:cs="Arial"/>
                  <w:sz w:val="27"/>
                  <w:szCs w:val="27"/>
                  <w:lang w:eastAsia="lt-LT"/>
                </w:rPr>
              </w:pPr>
            </w:p>
            <w:p>
              <w:pPr>
                <w:rPr>
                  <w:sz w:val="32"/>
                  <w:szCs w:val="32"/>
                </w:rPr>
              </w:pPr>
            </w:p>
            <w:p>
              <w:pPr>
                <w:jc w:val="center"/>
                <w:rPr>
                  <w:rFonts w:ascii="Arial" w:hAnsi="Arial" w:cs="Arial"/>
                  <w:sz w:val="27"/>
                  <w:szCs w:val="27"/>
                  <w:lang w:eastAsia="lt-LT"/>
                </w:rPr>
              </w:pPr>
            </w:p>
          </w:sdtContent>
        </w:sdt>
      </w:sdtContent>
    </w:sdt>
    <w:sectPr>
      <w:pgSz w:w="11906" w:h="16838"/>
      <w:pgMar w:top="0"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C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E7ED56B-ED5B-4831-AA1E-F0D28C4C233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ab5f0324ec45cd8dd55414f58f0af4" PartId="5bc94fc13ef44cc4ae4f6627e8f25e3d">
    <Part Type="punktas" Nr="1" Abbr="1 p." DocPartId="17c4909306a44c2b98cb3bd6a2143bb7" PartId="f93315aa0b3f43178c1849b55c279c47"/>
    <Part Type="punktas" Nr="2" Abbr="2 p." DocPartId="bda712b02c2f473e8d2275e3c01572b2" PartId="aa288cb544174443b39f0d7857344a7e"/>
    <Part Type="punktas" Nr="3" Abbr="3 p." DocPartId="2aff1cd7b6404be68a35d10700ec6c09" PartId="04dc002a87834f4b8bb506869a6b3649"/>
    <Part Type="punktas" Nr="4" Abbr="4 p." DocPartId="d4fef31a4f3a411c99ae4fe7bc5379ef" PartId="ca171c42d2644cb58b9d7305fd52a95f"/>
    <Part Type="punktas" Nr="5" Abbr="5 p." DocPartId="03a5038863684a87bba68b9af52e3d92" PartId="039197221d494ff5ad0362953f7bd26a"/>
    <Part Type="punktas" Nr="6" Abbr="6 p." DocPartId="5c74ff7c0f8b4d61863d9d7a65d04327" PartId="9fae0ec3af4f40d4b03ebe3e63e4e0a5"/>
    <Part Type="punktas" Nr="7" Abbr="7 p." DocPartId="6a71e263a2b6422aa8415c0c87145289" PartId="dbd9137bc09049d69298c3b97328402b"/>
    <Part Type="punktas" Nr="8" Abbr="8 p." DocPartId="eb9cb3c1827543899f22672b73c5c35c" PartId="715ffaf90b6b4eb587525b94d422345c"/>
    <Part Type="signatura" DocPartId="c81cf67899094a81b4fd356be02a8981" PartId="6991284375d64dbaa503038c0e3e95e7"/>
  </Part>
</Parts>
</file>

<file path=customXml/itemProps1.xml><?xml version="1.0" encoding="utf-8"?>
<ds:datastoreItem xmlns:ds="http://schemas.openxmlformats.org/officeDocument/2006/customXml" ds:itemID="{9FE352D0-D16C-493C-BF0A-214691B43F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377</Words>
  <Characters>2813</Characters>
  <Application>Microsoft Office Word</Application>
  <DocSecurity>4</DocSecurity>
  <Lines>80</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2026-05-13T06:00:00Z</dcterms:created>
  <dc:creator>Gražina Jarmalkovič</dc:creator>
  <lastModifiedBy>adlibuser</lastModifiedBy>
  <dcterms:modified xsi:type="dcterms:W3CDTF">2026-05-13T06:00:00Z</dcterms:modified>
  <revision>2</revision>
</coreProperties>
</file>