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cf58818ae5e4d0e80053c3d3646ad45"/>
        <w:lock w:val="sdtLocked"/>
        <w:richText/>
      </w:sdtPr>
      <w:sdtContent>
        <w:p w14:paraId="3DA40C4C" w14:textId="77777777">
          <w:pPr>
            <w:tabs>
              <w:tab w:val="center" w:pos="4986"/>
              <w:tab w:val="right" w:pos="9972"/>
            </w:tabs>
          </w:pPr>
        </w:p>
        <w:p w14:paraId="487CFCE4" w14:textId="77777777">
          <w:pPr>
            <w:suppressAutoHyphens/>
            <w:spacing w:line="276" w:lineRule="auto"/>
            <w:jc w:val="center"/>
            <w:textAlignment w:val="baseline"/>
            <w:rPr>
              <w:rFonts w:ascii="Trebuchet MS" w:hAnsi="Trebuchet MS"/>
              <w:b/>
              <w:sz w:val="22"/>
              <w:szCs w:val="22"/>
              <w:lang w:eastAsia="lt-LT"/>
            </w:rPr>
          </w:pPr>
          <w:r>
            <w:rPr>
              <w:rFonts w:ascii="Trebuchet MS" w:hAnsi="Trebuchet MS"/>
              <w:b/>
              <w:sz w:val="22"/>
              <w:szCs w:val="22"/>
              <w:lang w:eastAsia="lt-LT"/>
            </w:rPr>
            <w:t>TEISĖS AKTŲ PROJEKTŲ ANTIKORUPCINIO VERTINIMO PAŽYMA</w:t>
          </w:r>
        </w:p>
        <w:p w14:paraId="487CFCE5" w14:textId="77777777">
          <w:pPr>
            <w:suppressAutoHyphens/>
            <w:spacing w:line="276" w:lineRule="auto"/>
            <w:jc w:val="center"/>
            <w:textAlignment w:val="baseline"/>
            <w:rPr>
              <w:rFonts w:ascii="Trebuchet MS" w:hAnsi="Trebuchet MS"/>
              <w:b/>
              <w:sz w:val="22"/>
              <w:szCs w:val="22"/>
              <w:lang w:eastAsia="lt-LT"/>
            </w:rPr>
          </w:pPr>
        </w:p>
        <w:p w14:paraId="487CFCE6" w14:textId="3C95B1FC">
          <w:pPr>
            <w:suppressAutoHyphens/>
            <w:spacing w:line="276" w:lineRule="auto"/>
            <w:jc w:val="center"/>
            <w:textAlignment w:val="baseline"/>
            <w:rPr>
              <w:rFonts w:ascii="Trebuchet MS" w:hAnsi="Trebuchet MS"/>
              <w:b/>
              <w:sz w:val="22"/>
              <w:szCs w:val="22"/>
              <w:lang w:eastAsia="lt-LT"/>
            </w:rPr>
          </w:pPr>
          <w:r>
            <w:rPr>
              <w:rFonts w:ascii="Trebuchet MS" w:hAnsi="Trebuchet MS"/>
              <w:sz w:val="22"/>
              <w:szCs w:val="22"/>
            </w:rPr>
            <w:t>Nr. (14.29-20 E) 470 - 26</w:t>
          </w:r>
        </w:p>
        <w:p w14:paraId="487CFCE7" w14:textId="77777777">
          <w:pPr>
            <w:suppressAutoHyphens/>
            <w:spacing w:line="276" w:lineRule="auto"/>
            <w:textAlignment w:val="baseline"/>
            <w:rPr>
              <w:rFonts w:ascii="Trebuchet MS" w:hAnsi="Trebuchet MS"/>
              <w:sz w:val="22"/>
              <w:szCs w:val="22"/>
              <w:lang w:eastAsia="lt-LT"/>
            </w:rPr>
          </w:pPr>
        </w:p>
        <w:sdt>
          <w:sdtPr>
            <w:alias w:val="preambule"/>
            <w:tag w:val="part_9ba5b9cc50cf4f5f93d26b769e8d584b"/>
            <w:lock w:val="sdtLocked"/>
            <w:richText/>
          </w:sdtPr>
          <w:sdtContent>
            <w:p w14:paraId="487CFCE8" w14:textId="76F4FACB">
              <w:pPr>
                <w:suppressAutoHyphens/>
                <w:spacing w:line="276" w:lineRule="auto"/>
                <w:jc w:val="both"/>
                <w:textAlignment w:val="baseline"/>
                <w:rPr>
                  <w:rFonts w:ascii="Trebuchet MS" w:hAnsi="Trebuchet MS"/>
                  <w:b/>
                  <w:sz w:val="22"/>
                  <w:szCs w:val="22"/>
                  <w:shd w:val="clear" w:color="auto" w:fill="FFFFFF"/>
                </w:rPr>
              </w:pPr>
              <w:r>
                <w:rPr>
                  <w:rFonts w:ascii="Trebuchet MS" w:hAnsi="Trebuchet MS"/>
                  <w:sz w:val="22"/>
                  <w:szCs w:val="22"/>
                  <w:lang w:eastAsia="lt-LT"/>
                </w:rPr>
                <w:t xml:space="preserve">Teisės akto projekto pavadinimas: </w:t>
              </w:r>
              <w:r>
                <w:rPr>
                  <w:rFonts w:ascii="Trebuchet MS" w:hAnsi="Trebuchet MS"/>
                  <w:b/>
                  <w:sz w:val="22"/>
                  <w:szCs w:val="22"/>
                </w:rPr>
                <w:t>Valstybinės mokesčių inspekcijos prie Lietuvos Respublikos finansų ministerijos viršininko įsakymo „Dėl Valstybinės mokesčių inspekcijos prie Lietuvos Respublikos finansų ministerijos viršininko 2002 m. birželio 26 d. įsakymo Nr. 178 „Dėl įregistravimo pridėtinės vertės mokesčio mokėtoju / išregistravimo iš pridėtinės vertės mokesčio mokėtojų taisyklių“ pakeitimo“ projektas</w:t>
              </w:r>
              <w:r>
                <w:rPr>
                  <w:rFonts w:ascii="Trebuchet MS" w:hAnsi="Trebuchet MS"/>
                  <w:b/>
                  <w:sz w:val="22"/>
                  <w:szCs w:val="22"/>
                  <w:shd w:val="clear" w:color="auto" w:fill="FFFFFF"/>
                </w:rPr>
                <w:t>.</w:t>
              </w:r>
            </w:p>
            <w:p w14:paraId="487CFCE9" w14:textId="77777777">
              <w:pPr>
                <w:suppressAutoHyphens/>
                <w:spacing w:line="276" w:lineRule="auto"/>
                <w:jc w:val="both"/>
                <w:textAlignment w:val="baseline"/>
                <w:rPr>
                  <w:rFonts w:ascii="Trebuchet MS" w:hAnsi="Trebuchet MS"/>
                  <w:b/>
                  <w:sz w:val="22"/>
                  <w:szCs w:val="22"/>
                  <w:lang w:eastAsia="lt-LT"/>
                </w:rPr>
              </w:pPr>
            </w:p>
          </w:sdtContent>
        </w:sdt>
        <w:sdt>
          <w:sdtPr>
            <w:alias w:val="pastraipa"/>
            <w:tag w:val="part_6ea5aac1b28d4b3e9fd94b8a5b393334"/>
            <w:lock w:val="sdtLocked"/>
            <w:richText/>
          </w:sdtPr>
          <w:sdtContent>
            <w:p w14:paraId="487CFCEA" w14:textId="117DF6C6">
              <w:pPr>
                <w:suppressAutoHyphens/>
                <w:spacing w:line="276" w:lineRule="auto"/>
                <w:jc w:val="both"/>
                <w:textAlignment w:val="baseline"/>
                <w:rPr>
                  <w:rFonts w:ascii="Trebuchet MS" w:hAnsi="Trebuchet MS"/>
                  <w:b/>
                  <w:sz w:val="22"/>
                  <w:szCs w:val="22"/>
                </w:rPr>
              </w:pPr>
              <w:r>
                <w:rPr>
                  <w:rFonts w:ascii="Trebuchet MS" w:hAnsi="Trebuchet MS"/>
                  <w:sz w:val="22"/>
                  <w:szCs w:val="22"/>
                  <w:lang w:eastAsia="lt-LT"/>
                </w:rPr>
                <w:t>Teisės akto projekto tiesioginis rengėjas:</w:t>
              </w:r>
              <w:r>
                <w:rPr>
                  <w:rFonts w:ascii="Trebuchet MS" w:hAnsi="Trebuchet MS"/>
                  <w:b/>
                  <w:sz w:val="22"/>
                  <w:szCs w:val="22"/>
                </w:rPr>
                <w:t xml:space="preserve"> Valstybinės mokesčių inspekcijos prie Lietuvos Respublikos finansų ministerijos (toliau — VMI prie FM) Teisės departamento (toliau —</w:t>
              </w:r>
              <w:r>
                <w:rPr>
                  <w:sz w:val="22"/>
                  <w:szCs w:val="22"/>
                </w:rPr>
                <w:t xml:space="preserve"> </w:t>
              </w:r>
              <w:r>
                <w:rPr>
                  <w:rFonts w:ascii="Trebuchet MS" w:hAnsi="Trebuchet MS"/>
                  <w:b/>
                  <w:sz w:val="22"/>
                  <w:szCs w:val="22"/>
                </w:rPr>
                <w:t>TD) Netiesioginių mokesčių skyriaus patarėjas Jurijus Kondratovičius.</w:t>
              </w:r>
            </w:p>
            <w:p w14:paraId="487CFCEB" w14:textId="77777777">
              <w:pPr>
                <w:suppressAutoHyphens/>
                <w:spacing w:line="276" w:lineRule="auto"/>
                <w:jc w:val="both"/>
                <w:textAlignment w:val="baseline"/>
                <w:rPr>
                  <w:rFonts w:ascii="Trebuchet MS" w:hAnsi="Trebuchet MS"/>
                  <w:sz w:val="22"/>
                  <w:szCs w:val="22"/>
                  <w:lang w:eastAsia="lt-LT"/>
                </w:rPr>
              </w:pPr>
            </w:p>
            <w:p w14:paraId="487CFCEC" w14:textId="77777777">
              <w:pPr>
                <w:suppressAutoHyphens/>
                <w:spacing w:line="276" w:lineRule="auto"/>
                <w:textAlignment w:val="baseline"/>
                <w:rPr>
                  <w:rFonts w:ascii="Trebuchet MS" w:hAnsi="Trebuchet MS"/>
                  <w:color w:val="000000"/>
                  <w:sz w:val="22"/>
                  <w:szCs w:val="22"/>
                </w:rPr>
              </w:pPr>
              <w:r>
                <w:rPr>
                  <w:rFonts w:ascii="Trebuchet MS" w:hAnsi="Trebuchet MS"/>
                  <w:color w:val="000000"/>
                  <w:sz w:val="22"/>
                  <w:szCs w:val="22"/>
                </w:rPr>
                <w:t>Teisės akto projekto antikorupcinis vertinimas atliktas (</w:t>
              </w:r>
              <w:r>
                <w:rPr>
                  <w:rFonts w:ascii="Trebuchet MS" w:hAnsi="Trebuchet MS"/>
                  <w:i/>
                  <w:color w:val="000000"/>
                  <w:sz w:val="22"/>
                  <w:szCs w:val="22"/>
                </w:rPr>
                <w:t>pažymėti reikiamą atsakymą</w:t>
              </w:r>
              <w:r>
                <w:rPr>
                  <w:rFonts w:ascii="Trebuchet MS" w:hAnsi="Trebuchet MS"/>
                  <w:color w:val="000000"/>
                  <w:sz w:val="22"/>
                  <w:szCs w:val="22"/>
                </w:rPr>
                <w:t>):</w:t>
              </w:r>
            </w:p>
            <w:p w14:paraId="487CFCED" w14:textId="158AD8CB">
              <w:pPr>
                <w:suppressAutoHyphens/>
                <w:spacing w:line="276" w:lineRule="auto"/>
                <w:ind w:left="1656" w:hanging="360"/>
                <w:textAlignment w:val="baseline"/>
                <w:rPr>
                  <w:rFonts w:ascii="Trebuchet MS" w:hAnsi="Trebuchet MS"/>
                  <w:sz w:val="22"/>
                  <w:szCs w:val="22"/>
                  <w:lang w:eastAsia="lt-LT"/>
                </w:rPr>
              </w:pPr>
              <w:r>
                <w:rPr>
                  <w:rFonts w:ascii="Wingdings" w:hAnsi="Wingdings"/>
                  <w:sz w:val="22"/>
                  <w:szCs w:val="22"/>
                  <w:lang w:eastAsia="lt-LT"/>
                </w:rPr>
                <w:t></w:t>
                <w:tab/>
              </w:r>
              <w:r>
                <w:rPr>
                  <w:rFonts w:ascii="Trebuchet MS" w:hAnsi="Trebuchet MS"/>
                  <w:sz w:val="22"/>
                  <w:szCs w:val="22"/>
                  <w:lang w:eastAsia="lt-LT"/>
                </w:rPr>
                <w:t xml:space="preserve">suderinus teisės akto projektą viešojo administravimo subjekte ir su </w:t>
              </w:r>
              <w:r>
                <w:rPr>
                  <w:rFonts w:ascii="Trebuchet MS" w:hAnsi="Trebuchet MS"/>
                  <w:sz w:val="22"/>
                  <w:szCs w:val="22"/>
                </w:rPr>
                <w:t>pavaldžiomis įstaigomis (įstaigomis prie ministerijos ir kitomis ministrui pavestose valdymo srityse veikiančiomis įstaigomis ir įmonėmis)</w:t>
              </w:r>
              <w:r>
                <w:rPr>
                  <w:rFonts w:ascii="Trebuchet MS" w:hAnsi="Trebuchet MS"/>
                  <w:sz w:val="22"/>
                  <w:szCs w:val="22"/>
                  <w:lang w:eastAsia="lt-LT"/>
                </w:rPr>
                <w:t>;</w:t>
              </w:r>
            </w:p>
            <w:p w14:paraId="487CFCEE" w14:textId="77777777">
              <w:pPr>
                <w:suppressAutoHyphens/>
                <w:spacing w:line="276" w:lineRule="auto"/>
                <w:ind w:firstLine="1296"/>
                <w:jc w:val="both"/>
                <w:textAlignment w:val="baseline"/>
                <w:rPr>
                  <w:rFonts w:ascii="Trebuchet MS" w:hAnsi="Trebuchet MS"/>
                  <w:color w:val="000000"/>
                  <w:sz w:val="22"/>
                  <w:szCs w:val="22"/>
                </w:rPr>
              </w:pPr>
              <w:r>
                <w:rPr>
                  <w:rFonts w:ascii="Trebuchet MS" w:hAnsi="Trebuchet MS"/>
                  <w:sz w:val="22"/>
                  <w:szCs w:val="22"/>
                  <w:lang w:eastAsia="lt-LT"/>
                </w:rPr>
                <w:t xml:space="preserve">□ </w:t>
              </w:r>
              <w:r>
                <w:rPr>
                  <w:rFonts w:ascii="Trebuchet MS" w:hAnsi="Trebuchet MS"/>
                  <w:color w:val="000000"/>
                  <w:sz w:val="22"/>
                  <w:szCs w:val="22"/>
                </w:rPr>
                <w:t>suderinus teisės akto projektą su suinteresuotomis institucijomis, kai jis buvo papildytas arba pakeistas.</w:t>
              </w:r>
            </w:p>
            <w:p w14:paraId="487CFCEF" w14:textId="77777777">
              <w:pPr>
                <w:suppressAutoHyphens/>
                <w:spacing w:line="276" w:lineRule="auto"/>
                <w:ind w:firstLine="1296"/>
                <w:jc w:val="both"/>
                <w:textAlignment w:val="baseline"/>
                <w:rPr>
                  <w:rFonts w:ascii="Trebuchet MS" w:hAnsi="Trebuchet MS"/>
                  <w:sz w:val="22"/>
                  <w:szCs w:val="22"/>
                  <w:lang w:eastAsia="lt-LT"/>
                </w:rPr>
              </w:pPr>
            </w:p>
            <w:p w14:paraId="487CFCF0" w14:textId="77777777">
              <w:pPr>
                <w:suppressAutoHyphens/>
                <w:spacing w:line="276" w:lineRule="auto"/>
                <w:jc w:val="both"/>
                <w:textAlignment w:val="baseline"/>
                <w:rPr>
                  <w:rFonts w:ascii="Trebuchet MS" w:hAnsi="Trebuchet MS"/>
                  <w:sz w:val="22"/>
                  <w:szCs w:val="22"/>
                  <w:lang w:eastAsia="lt-LT"/>
                </w:rPr>
              </w:pPr>
              <w:r>
                <w:rPr>
                  <w:rFonts w:ascii="Trebuchet MS" w:hAnsi="Trebuchet MS"/>
                  <w:sz w:val="22"/>
                  <w:szCs w:val="22"/>
                  <w:lang w:eastAsia="lt-LT"/>
                </w:rPr>
                <w:t>Antikorupciniu požiūriu rizikingos teisės akto projekto nuostatos</w:t>
              </w:r>
              <w:r>
                <w:rPr>
                  <w:rFonts w:ascii="Trebuchet MS" w:hAnsi="Trebuchet MS"/>
                  <w:b/>
                  <w:sz w:val="22"/>
                  <w:szCs w:val="22"/>
                  <w:lang w:eastAsia="lt-LT"/>
                </w:rPr>
                <w:t xml:space="preserve"> </w:t>
              </w:r>
              <w:r>
                <w:rPr>
                  <w:rFonts w:ascii="Trebuchet MS" w:hAnsi="Trebuchet MS"/>
                  <w:i/>
                  <w:sz w:val="22"/>
                  <w:szCs w:val="22"/>
                  <w:lang w:eastAsia="lt-LT"/>
                </w:rPr>
                <w:t>(nurodomas antikorupcinio vertinimo kriterijus (toliau – kriterijus), kurį taikant nustatytai korupcijos rizikai šalinti ar valdyti teisės akto projekte nenumatyta priemonių.</w:t>
              </w:r>
              <w:r>
                <w:rPr>
                  <w:rFonts w:ascii="Trebuchet MS" w:hAnsi="Trebuchet MS"/>
                  <w:i/>
                  <w:iCs/>
                  <w:color w:val="000000"/>
                  <w:sz w:val="22"/>
                  <w:szCs w:val="22"/>
                </w:rPr>
                <w:t xml:space="preserve"> </w:t>
              </w:r>
              <w:r>
                <w:rPr>
                  <w:rFonts w:ascii="Trebuchet MS" w:hAnsi="Trebuchet MS"/>
                  <w:i/>
                  <w:sz w:val="22"/>
                  <w:szCs w:val="22"/>
                  <w:lang w:eastAsia="lt-LT"/>
                </w:rPr>
                <w:t xml:space="preserve">Pildoma, kai, </w:t>
              </w:r>
              <w:r>
                <w:rPr>
                  <w:rFonts w:ascii="Trebuchet MS" w:hAnsi="Trebuchet MS"/>
                  <w:i/>
                  <w:sz w:val="22"/>
                  <w:szCs w:val="22"/>
                </w:rPr>
                <w:t xml:space="preserve">vertintojo nuomone, teisės akto projekto tiesioginio rengėjo siūlomų pataisų nepakanka korupcijos atsiradimo rizikai mažinti </w:t>
              </w:r>
              <w:r>
                <w:rPr>
                  <w:rFonts w:ascii="Trebuchet MS" w:hAnsi="Trebuchet MS"/>
                  <w:i/>
                  <w:sz w:val="22"/>
                  <w:szCs w:val="22"/>
                  <w:lang w:eastAsia="lt-LT"/>
                </w:rPr>
                <w:t>arba kai vertintojas nesutinka su teisės akto projekto tiesioginio rengėjo argumentais, kodėl neatsižvelgta į vertintojo pateiktas pastabas</w:t>
              </w:r>
              <w:r>
                <w:rPr>
                  <w:rFonts w:ascii="Trebuchet MS" w:hAnsi="Trebuchet MS"/>
                  <w:sz w:val="22"/>
                  <w:szCs w:val="22"/>
                  <w:lang w:eastAsia="lt-LT"/>
                </w:rPr>
                <w:t>):</w:t>
              </w:r>
            </w:p>
            <w:p w14:paraId="487CFCF1" w14:textId="77777777">
              <w:pPr>
                <w:suppressAutoHyphens/>
                <w:spacing w:line="276" w:lineRule="auto"/>
                <w:jc w:val="both"/>
                <w:textAlignment w:val="baseline"/>
                <w:rPr>
                  <w:rFonts w:ascii="Trebuchet MS" w:hAnsi="Trebuchet MS"/>
                  <w:sz w:val="22"/>
                  <w:szCs w:val="22"/>
                </w:rPr>
              </w:pPr>
              <w:r>
                <w:rPr>
                  <w:rFonts w:ascii="Trebuchet MS" w:hAnsi="Trebuchet MS"/>
                  <w:sz w:val="22"/>
                  <w:szCs w:val="22"/>
                </w:rPr>
                <w:t>_________________________________________________________________________________________________________________________</w:t>
              </w:r>
            </w:p>
            <w:p w14:paraId="487CFCF2" w14:textId="77777777">
              <w:pPr>
                <w:suppressAutoHyphens/>
                <w:spacing w:line="276" w:lineRule="auto"/>
                <w:jc w:val="both"/>
                <w:textAlignment w:val="baseline"/>
                <w:rPr>
                  <w:rFonts w:ascii="Trebuchet MS" w:hAnsi="Trebuchet MS"/>
                  <w:sz w:val="22"/>
                  <w:szCs w:val="22"/>
                </w:rPr>
              </w:pPr>
              <w:r>
                <w:rPr>
                  <w:rFonts w:ascii="Trebuchet MS" w:hAnsi="Trebuchet MS"/>
                  <w:sz w:val="22"/>
                  <w:szCs w:val="22"/>
                  <w:lang w:eastAsia="lt-LT"/>
                </w:rPr>
                <w:t>_________________________________________________________________________________________________________________________</w:t>
              </w:r>
            </w:p>
            <w:p w14:paraId="487CFCF3" w14:textId="77777777">
              <w:pPr>
                <w:suppressAutoHyphens/>
                <w:spacing w:line="276" w:lineRule="auto"/>
                <w:jc w:val="both"/>
                <w:textAlignment w:val="baseline"/>
                <w:rPr>
                  <w:rFonts w:ascii="Trebuchet MS" w:hAnsi="Trebuchet MS"/>
                  <w:sz w:val="22"/>
                  <w:szCs w:val="22"/>
                  <w:lang w:eastAsia="lt-LT"/>
                </w:rPr>
              </w:pPr>
            </w:p>
          </w:sdtContent>
        </w:sdt>
        <w:sdt>
          <w:sdtPr>
            <w:alias w:val="lentele"/>
            <w:tag w:val="part_b9414bbaf34c46c69444c333395c4922"/>
            <w:lock w:val="sdtLocked"/>
            <w:richText/>
          </w:sdtPr>
          <w:sdtContent>
            <w:tbl>
              <w:tblPr>
                <w:tblW w:w="14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708"/>
                <w:gridCol w:w="3394"/>
                <w:gridCol w:w="3959"/>
                <w:gridCol w:w="3818"/>
                <w:gridCol w:w="2697"/>
              </w:tblGrid>
              <w:tr w14:paraId="487CFCFD"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4"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Eil. Nr.</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5"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Kriterijus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6" w14:textId="77777777">
                    <w:pPr>
                      <w:suppressAutoHyphens/>
                      <w:jc w:val="center"/>
                      <w:textAlignment w:val="baseline"/>
                      <w:rPr>
                        <w:rFonts w:ascii="Trebuchet MS" w:hAnsi="Trebuchet MS"/>
                        <w:sz w:val="22"/>
                        <w:szCs w:val="22"/>
                        <w:lang w:eastAsia="lt-LT"/>
                      </w:rPr>
                    </w:pPr>
                    <w:r>
                      <w:rPr>
                        <w:rFonts w:ascii="Trebuchet MS" w:hAnsi="Trebuchet MS"/>
                        <w:bCs/>
                        <w:sz w:val="22"/>
                        <w:szCs w:val="22"/>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487CFCF7" w14:textId="77777777">
                    <w:pPr>
                      <w:suppressAutoHyphens/>
                      <w:jc w:val="center"/>
                      <w:textAlignment w:val="baseline"/>
                      <w:rPr>
                        <w:rFonts w:ascii="Trebuchet MS" w:hAnsi="Trebuchet MS"/>
                        <w:sz w:val="22"/>
                        <w:szCs w:val="22"/>
                      </w:rPr>
                    </w:pPr>
                    <w:r>
                      <w:rPr>
                        <w:rFonts w:ascii="Trebuchet MS" w:hAnsi="Trebuchet MS"/>
                        <w:sz w:val="22"/>
                        <w:szCs w:val="22"/>
                        <w:lang w:eastAsia="lt-LT"/>
                      </w:rPr>
                      <w:t>(</w:t>
                    </w:r>
                    <w:r>
                      <w:rPr>
                        <w:rFonts w:ascii="Trebuchet MS" w:hAnsi="Trebuchet MS"/>
                        <w:i/>
                        <w:sz w:val="22"/>
                        <w:szCs w:val="22"/>
                        <w:lang w:eastAsia="lt-LT"/>
                      </w:rPr>
                      <w:t>pildo teisės akto projekto antikorupcinį vertinimą atliekantis asmuo)</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87CFCF8" w14:textId="77777777">
                    <w:pPr>
                      <w:suppressAutoHyphens/>
                      <w:jc w:val="center"/>
                      <w:textAlignment w:val="baseline"/>
                      <w:rPr>
                        <w:rFonts w:ascii="Trebuchet MS" w:hAnsi="Trebuchet MS"/>
                        <w:sz w:val="22"/>
                        <w:szCs w:val="22"/>
                        <w:lang w:eastAsia="lt-LT"/>
                      </w:rPr>
                    </w:pPr>
                  </w:p>
                  <w:p w14:paraId="487CFCF9"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Teisės akto projekto pakeitimas, mažinantis korupcijos riziką, arba teisės akto projekto tiesioginio rengėjo argumentai, kodėl neatsižvelgta į pastabą</w:t>
                    </w:r>
                  </w:p>
                  <w:p w14:paraId="487CFCFA"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w:t>
                    </w:r>
                    <w:r>
                      <w:rPr>
                        <w:rFonts w:ascii="Trebuchet MS" w:hAnsi="Trebuchet MS"/>
                        <w:i/>
                        <w:sz w:val="22"/>
                        <w:szCs w:val="22"/>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Išvada dėl teisės akto projekto pakeitimų arba argumentų, kodėl neatsižvelgta į pastabą</w:t>
                    </w:r>
                  </w:p>
                  <w:p w14:paraId="487CFCFC"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w:t>
                    </w:r>
                    <w:r>
                      <w:rPr>
                        <w:rFonts w:ascii="Trebuchet MS" w:hAnsi="Trebuchet MS"/>
                        <w:i/>
                        <w:sz w:val="22"/>
                        <w:szCs w:val="22"/>
                        <w:lang w:eastAsia="lt-LT"/>
                      </w:rPr>
                      <w:t>pildo teisės akto projekto antikorupcinį vertinimą atliekantis asmuo)</w:t>
                    </w:r>
                  </w:p>
                </w:tc>
              </w:tr>
              <w:tr w14:paraId="487CFD04"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CFE"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CFF"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projektas nesudaro išskirtinių ar nevienodų sąlygų subjektams, su kuriais susijęs teisės akto įgyvendinimas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0" w14:textId="77777777">
                    <w:pPr>
                      <w:suppressAutoHyphens/>
                      <w:ind w:firstLine="284"/>
                      <w:jc w:val="both"/>
                      <w:textAlignment w:val="baseline"/>
                      <w:rPr>
                        <w:rFonts w:ascii="Trebuchet MS" w:hAnsi="Trebuchet MS"/>
                        <w:b/>
                        <w:color w:val="FF0000"/>
                        <w:sz w:val="22"/>
                        <w:szCs w:val="22"/>
                        <w:lang w:eastAsia="lt-LT"/>
                      </w:rPr>
                    </w:pPr>
                    <w:r>
                      <w:rPr>
                        <w:rFonts w:ascii="Trebuchet MS" w:hAnsi="Trebuchet MS"/>
                        <w:sz w:val="22"/>
                        <w:szCs w:val="22"/>
                      </w:rPr>
                      <w:t>Antikorupcinio vertinimo metu tokių sąlygų nenustatyta.</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1" w14:textId="77777777">
                    <w:pPr>
                      <w:suppressAutoHyphens/>
                      <w:textAlignment w:val="baseline"/>
                      <w:rPr>
                        <w:rFonts w:ascii="Trebuchet MS" w:hAnsi="Trebuchet MS"/>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2"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03"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0B"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5" w14:textId="77777777">
                    <w:pPr>
                      <w:keepNext/>
                      <w:suppressAutoHyphens/>
                      <w:jc w:val="center"/>
                      <w:textAlignment w:val="baseline"/>
                      <w:rPr>
                        <w:rFonts w:ascii="Trebuchet MS" w:hAnsi="Trebuchet MS"/>
                        <w:sz w:val="22"/>
                        <w:szCs w:val="22"/>
                        <w:lang w:eastAsia="lt-LT"/>
                      </w:rPr>
                    </w:pPr>
                    <w:r>
                      <w:rPr>
                        <w:rFonts w:ascii="Trebuchet MS" w:hAnsi="Trebuchet MS"/>
                        <w:sz w:val="22"/>
                        <w:szCs w:val="22"/>
                        <w:lang w:eastAsia="lt-LT"/>
                      </w:rPr>
                      <w:t>2.</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6" w14:textId="77777777">
                    <w:pPr>
                      <w:keepNext/>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nėra spragų ar nuostatų, leisiančių dviprasmiškai aiškinti ir taikyti teisės aktą</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66875A" w14:textId="22CD39AC">
                    <w:pPr>
                      <w:keepNext/>
                      <w:suppressAutoHyphens/>
                      <w:ind w:firstLine="284"/>
                      <w:jc w:val="both"/>
                      <w:textAlignment w:val="baseline"/>
                      <w:rPr>
                        <w:rFonts w:ascii="Trebuchet MS" w:hAnsi="Trebuchet MS"/>
                        <w:color w:val="000000"/>
                        <w:sz w:val="22"/>
                        <w:szCs w:val="22"/>
                      </w:rPr>
                    </w:pPr>
                    <w:r>
                      <w:rPr>
                        <w:rFonts w:ascii="Trebuchet MS" w:hAnsi="Trebuchet MS"/>
                        <w:color w:val="000000"/>
                        <w:sz w:val="22"/>
                        <w:szCs w:val="22"/>
                      </w:rPr>
                      <w:t>Teisės akto projekto 35 punkte reglamentuota: „35. Mokesčių administratorius, nustatęs ir įvertinęs aplinkybes, nurodytas Taisyklių 28.5 –28.13 papunkčiuose, be išankstinio įspėjimo gali priimti Sprendimą išregistruoti &lt;...&gt; mokesčių mokėtoją“.</w:t>
                    </w:r>
                  </w:p>
                  <w:p w14:paraId="6DE4F6A2" w14:textId="2460E1C8">
                    <w:pPr>
                      <w:keepNext/>
                      <w:suppressAutoHyphens/>
                      <w:ind w:firstLine="284"/>
                      <w:jc w:val="both"/>
                      <w:textAlignment w:val="baseline"/>
                      <w:rPr>
                        <w:rFonts w:ascii="Trebuchet MS" w:hAnsi="Trebuchet MS"/>
                        <w:color w:val="000000"/>
                        <w:sz w:val="22"/>
                        <w:szCs w:val="22"/>
                      </w:rPr>
                    </w:pPr>
                    <w:r>
                      <w:rPr>
                        <w:rFonts w:ascii="Trebuchet MS" w:hAnsi="Trebuchet MS"/>
                        <w:color w:val="000000"/>
                        <w:sz w:val="22"/>
                        <w:szCs w:val="22"/>
                      </w:rPr>
                      <w:t xml:space="preserve">Formuluotė „gali priimti Sprendimą“ yra dviprasmiška sudaro galimybę veikti savo nuožiūra, pavyzdžiui, vienu atveju priimamas Sprendimas išregistruoti be išankstinio įspėjimo, o kitu atveju, esant analogiškoms aplinkybėms – ne. </w:t>
                    </w:r>
                  </w:p>
                  <w:p w14:paraId="487CFD07" w14:textId="0E6BFBEA">
                    <w:pPr>
                      <w:keepNext/>
                      <w:suppressAutoHyphens/>
                      <w:ind w:firstLine="284"/>
                      <w:jc w:val="both"/>
                      <w:textAlignment w:val="baseline"/>
                      <w:rPr>
                        <w:rFonts w:ascii="Trebuchet MS" w:hAnsi="Trebuchet MS"/>
                        <w:color w:val="000000"/>
                        <w:sz w:val="22"/>
                        <w:szCs w:val="22"/>
                      </w:rPr>
                    </w:pPr>
                    <w:r>
                      <w:rPr>
                        <w:rFonts w:ascii="Trebuchet MS" w:hAnsi="Trebuchet MS"/>
                        <w:color w:val="000000"/>
                        <w:sz w:val="22"/>
                        <w:szCs w:val="22"/>
                      </w:rPr>
                      <w:t>Mūsų nuomone, nustatytos dviprasmiškos formuluotės ir teisė veikti savo nuožiūra yra korupcijos rizikos veiksniai, todėl siekdami mažinti galimas korupcijos apraiškas, siūlome patikslinti šio punkto nuostatas.</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201F3C" w14:textId="77777777">
                    <w:pPr>
                      <w:keepNext/>
                      <w:suppressAutoHyphens/>
                      <w:textAlignment w:val="baseline"/>
                      <w:rPr>
                        <w:rFonts w:ascii="Trebuchet MS" w:hAnsi="Trebuchet MS"/>
                        <w:sz w:val="22"/>
                        <w:szCs w:val="22"/>
                        <w:lang w:eastAsia="lt-LT"/>
                      </w:rPr>
                    </w:pPr>
                    <w:r>
                      <w:rPr>
                        <w:rFonts w:ascii="Trebuchet MS" w:hAnsi="Trebuchet MS"/>
                        <w:sz w:val="22"/>
                        <w:szCs w:val="22"/>
                        <w:lang w:eastAsia="lt-LT"/>
                      </w:rPr>
                      <w:t>Atsižvelgta. Atlikta korekcija:</w:t>
                    </w:r>
                  </w:p>
                  <w:p w14:paraId="045B22E2" w14:textId="77777777">
                    <w:pPr>
                      <w:ind w:firstLine="227"/>
                      <w:jc w:val="both"/>
                      <w:rPr>
                        <w:color w:val="000000"/>
                        <w:lang w:eastAsia="lt-LT"/>
                      </w:rPr>
                    </w:pPr>
                    <w:r>
                      <w:rPr>
                        <w:color w:val="000000"/>
                        <w:lang w:eastAsia="lt-LT"/>
                      </w:rPr>
                      <w:t xml:space="preserve">35. Mokesčių administratorius, nustatęs ir įvertinęs aplinkybes, nurodytas Taisyklių 28.5–28.13 papunkčiuose, be išankstinio įspėjimo priima Sprendimą išregistruoti ir Taisyklių 24 punkte nustatytu būdu apie šį Sprendimą informuoti mokesčių mokėtoją. </w:t>
                    </w:r>
                  </w:p>
                  <w:p w14:paraId="487CFD08" w14:textId="00FFB71A">
                    <w:pPr>
                      <w:keepNext/>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BA06BC" w14:textId="07900531">
                    <w:pPr>
                      <w:tabs>
                        <w:tab w:val="left" w:pos="341"/>
                      </w:tabs>
                      <w:suppressAutoHyphens/>
                      <w:textAlignment w:val="baseline"/>
                      <w:rPr>
                        <w:rFonts w:ascii="Trebuchet MS" w:hAnsi="Trebuchet MS"/>
                        <w:sz w:val="22"/>
                        <w:szCs w:val="22"/>
                        <w:lang w:eastAsia="lt-LT"/>
                      </w:rPr>
                    </w:pPr>
                    <w:r>
                      <w:rPr>
                        <w:rFonts w:ascii="Wingdings" w:hAnsi="Wingdings"/>
                        <w:sz w:val="22"/>
                        <w:szCs w:val="22"/>
                        <w:lang w:eastAsia="lt-LT"/>
                      </w:rPr>
                      <w:t></w:t>
                      <w:tab/>
                    </w:r>
                    <w:r>
                      <w:rPr>
                        <w:rFonts w:ascii="Trebuchet MS" w:hAnsi="Trebuchet MS"/>
                        <w:sz w:val="22"/>
                        <w:szCs w:val="22"/>
                        <w:lang w:eastAsia="lt-LT"/>
                      </w:rPr>
                      <w:t>tenkina</w:t>
                    </w:r>
                  </w:p>
                  <w:p w14:paraId="487CFD0A" w14:textId="26FE3B20">
                    <w:pPr>
                      <w:keepNext/>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15"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C" w14:textId="656358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3.</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D"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E" w14:textId="1916D6ED">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0F" w14:textId="77777777">
                    <w:pPr>
                      <w:suppressAutoHyphens/>
                      <w:textAlignment w:val="baseline"/>
                      <w:rPr>
                        <w:rFonts w:ascii="Trebuchet MS" w:hAnsi="Trebuchet MS"/>
                        <w:color w:val="FF0000"/>
                        <w:sz w:val="22"/>
                        <w:szCs w:val="22"/>
                        <w:lang w:eastAsia="lt-LT"/>
                      </w:rPr>
                    </w:pPr>
                  </w:p>
                  <w:p w14:paraId="487CFD10" w14:textId="77777777">
                    <w:pPr>
                      <w:suppressAutoHyphens/>
                      <w:textAlignment w:val="baseline"/>
                      <w:rPr>
                        <w:rFonts w:ascii="Trebuchet MS" w:hAnsi="Trebuchet MS"/>
                        <w:color w:val="FF0000"/>
                        <w:sz w:val="22"/>
                        <w:szCs w:val="22"/>
                        <w:lang w:eastAsia="lt-LT"/>
                      </w:rPr>
                    </w:pPr>
                  </w:p>
                  <w:p w14:paraId="487CFD11" w14:textId="77777777">
                    <w:pPr>
                      <w:suppressAutoHyphens/>
                      <w:ind w:firstLine="1296"/>
                      <w:textAlignment w:val="baseline"/>
                      <w:rPr>
                        <w:rFonts w:ascii="Trebuchet MS" w:hAnsi="Trebuchet MS"/>
                        <w:color w:val="FF0000"/>
                        <w:sz w:val="22"/>
                        <w:szCs w:val="22"/>
                        <w:lang w:eastAsia="lt-LT"/>
                      </w:rPr>
                    </w:pP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12" w14:textId="77777777">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3"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14"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1C"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6"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4.</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7"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nustatyti subjekto įgaliojimai (teisės) atitinka subjekto atliekamas funkcijas (pareigas)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18" w14:textId="045DAF32">
                    <w:pPr>
                      <w:suppressAutoHyphens/>
                      <w:ind w:firstLine="284"/>
                      <w:jc w:val="both"/>
                      <w:textAlignment w:val="baseline"/>
                      <w:rPr>
                        <w:rFonts w:ascii="Trebuchet MS" w:hAnsi="Trebuchet MS"/>
                        <w:color w:val="FF0000"/>
                        <w:sz w:val="22"/>
                        <w:szCs w:val="22"/>
                        <w:lang w:eastAsia="lt-LT"/>
                      </w:rPr>
                    </w:pPr>
                    <w:r>
                      <w:rPr>
                        <w:rFonts w:ascii="Trebuchet MS" w:hAnsi="Trebuchet MS"/>
                        <w:sz w:val="22"/>
                        <w:szCs w:val="22"/>
                        <w:lang w:eastAsia="lt-LT"/>
                      </w:rPr>
                      <w:t>Kriterijus nesusijęs su teisės akto projektu.</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19" w14:textId="77777777">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A"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1B"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24"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D"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5.</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E"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nustatytas baigtinis sprendimų priėmimo kriterijų (atvejų) sąrašas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74B406" w14:textId="369CD0BC">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Teisės akto projekto 43 punkte regalmentuota: „43.</w:t>
                    </w:r>
                    <w:r>
                      <w:rPr>
                        <w:lang w:eastAsia="lt-LT"/>
                      </w:rPr>
                      <w:t xml:space="preserve"> </w:t>
                    </w:r>
                    <w:r>
                      <w:rPr>
                        <w:rFonts w:ascii="Trebuchet MS" w:hAnsi="Trebuchet MS"/>
                        <w:sz w:val="22"/>
                        <w:szCs w:val="22"/>
                        <w:lang w:eastAsia="lt-LT"/>
                      </w:rPr>
                      <w:t xml:space="preserve">Sertifikatas išduodamas, jei nustatoma, kad pateikti duomenys teisingi. Jei duomenys neteisingi </w:t>
                    </w:r>
                    <w:r>
                      <w:rPr>
                        <w:lang w:eastAsia="lt-LT"/>
                      </w:rPr>
                      <w:t>–</w:t>
                    </w:r>
                    <w:r>
                      <w:rPr>
                        <w:rFonts w:ascii="Trebuchet MS" w:hAnsi="Trebuchet MS"/>
                        <w:sz w:val="22"/>
                        <w:szCs w:val="22"/>
                        <w:lang w:eastAsia="lt-LT"/>
                      </w:rPr>
                      <w:t xml:space="preserve"> asmeniui pasiūloma per 5 darbo dienas juos patikslinti. Asmeniui patikslinus duomenis, Sertifikatas turi būti išduodamas ne vėliau kaip kitą darbo dieną po patikslintų duomenų patikrinimo (atnaujinti duomenys turi būti patikrinti ne vėliau kaip kitą darbo dieną po termino patikslinti duomenis pabaigos).“</w:t>
                    </w:r>
                  </w:p>
                  <w:p w14:paraId="3A2AF377" w14:textId="4C8CFA18">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 xml:space="preserve">Šiame punkte reglamentuotas atvejis, kai sertifikato išdavimui nustatoma, kad duomenys neteisingi ir asmuo tuos duomenis patikslina. Tačiau nereglamentuotas atvejis, kai pateikti duomenys neteisingi ir asmuo jų nepatikslina per nurodytą terminą ar patikslina, tačiau neteisingai. Esant tokiam reglamentavimui nėra aišku, kokie veiksmai atliekami: 1) kai asmuo nepatikslina duomenų per nurodyta terminą (ar sertifikatas neišduodamas ir apie tai informuojamas asmuo, ar asmeniui pakartotinai siūloma patikslinti duomenis); 2) kai asmuo patiksina duomenis, tačiau neteisingai (ar sertifikatas neišduodamas ir apie tai informuojamas asmuo, ar asmeniui pakartotinai siūloma patikslinti duomenis). </w:t>
                    </w:r>
                    <w:r>
                      <w:rPr>
                        <w:rFonts w:ascii="Trebuchet MS" w:hAnsi="Trebuchet MS"/>
                        <w:sz w:val="22"/>
                        <w:szCs w:val="22"/>
                      </w:rPr>
                      <w:t>Atsižvelgiant į tai, kad teisinis reglamentavimas turi būti aiškus ir konkretus, vengiant dviprasmiškumų ir skirtingų interpretacijų, siūlome papildyti teisės akto projekto nuostatas ir nurodyti atvejus, kuriais sertifikatas neišduodamas.</w:t>
                    </w:r>
                  </w:p>
                  <w:p w14:paraId="2D0992AC" w14:textId="77777777">
                    <w:pPr>
                      <w:suppressAutoHyphens/>
                      <w:ind w:firstLine="284"/>
                      <w:jc w:val="both"/>
                      <w:textAlignment w:val="baseline"/>
                      <w:rPr>
                        <w:rFonts w:ascii="Trebuchet MS" w:hAnsi="Trebuchet MS"/>
                        <w:sz w:val="22"/>
                        <w:szCs w:val="22"/>
                        <w:lang w:eastAsia="lt-LT"/>
                      </w:rPr>
                    </w:pPr>
                  </w:p>
                  <w:p w14:paraId="487CFD20" w14:textId="2C62275E">
                    <w:pPr>
                      <w:suppressAutoHyphens/>
                      <w:ind w:firstLine="284"/>
                      <w:jc w:val="both"/>
                      <w:textAlignment w:val="baseline"/>
                      <w:rPr>
                        <w:rFonts w:ascii="Trebuchet MS" w:hAnsi="Trebuchet MS"/>
                        <w:color w:val="FF0000"/>
                        <w:sz w:val="22"/>
                        <w:szCs w:val="22"/>
                        <w:lang w:eastAsia="lt-LT"/>
                      </w:rPr>
                    </w:pPr>
                    <w:r>
                      <w:rPr>
                        <w:rFonts w:ascii="Trebuchet MS" w:hAnsi="Trebuchet MS"/>
                        <w:sz w:val="22"/>
                        <w:szCs w:val="22"/>
                        <w:lang w:eastAsia="lt-LT"/>
                      </w:rPr>
                      <w:t>Baigtinis sprendimų priėmimo kriterijų (atvejų) sąrašas nurodytas teisės akto projekto 23, 28, 29 punktuose.</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F35F81"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Atsižvelgta. Atlikta korekcija:</w:t>
                    </w:r>
                  </w:p>
                  <w:p w14:paraId="55A3A03E" w14:textId="77777777">
                    <w:pPr>
                      <w:tabs>
                        <w:tab w:val="left" w:pos="643"/>
                      </w:tabs>
                      <w:ind w:firstLine="227"/>
                      <w:jc w:val="both"/>
                      <w:rPr>
                        <w:lang w:eastAsia="lt-LT"/>
                      </w:rPr>
                    </w:pPr>
                    <w:r>
                      <w:rPr>
                        <w:lang w:eastAsia="lt-LT"/>
                      </w:rPr>
                      <w:t>43. Sertifikatas išduodamas, jei nustatoma, kad pateikti duomenys teisingi. Jei duomenys neteisingi – asmeniui pasiūloma per 5 darbo dienas juos patikslinti. Asmeniui patikslinus duomenis, Sertifikatas turi būti išduodamas ne vėliau kaip kitą darbo dieną po patikslintų duomenų patikrinimo (atnaujinti duomenys turi būti patikrinti ne vėliau kaip kitą darbo dieną po termino patikslinti duomenis pabaigos). Asmeniui nepatikslinus duomenų, Sertifikatas neišduodamas.</w:t>
                    </w:r>
                  </w:p>
                  <w:p w14:paraId="01475633" w14:textId="77777777">
                    <w:pPr>
                      <w:suppressAutoHyphens/>
                      <w:ind w:firstLine="227"/>
                      <w:jc w:val="both"/>
                      <w:textAlignment w:val="baseline"/>
                      <w:rPr>
                        <w:rFonts w:ascii="Trebuchet MS" w:hAnsi="Trebuchet MS"/>
                        <w:sz w:val="22"/>
                        <w:szCs w:val="22"/>
                        <w:lang w:eastAsia="lt-LT"/>
                      </w:rPr>
                    </w:pPr>
                  </w:p>
                  <w:p w14:paraId="28C296AE" w14:textId="77777777">
                    <w:pPr>
                      <w:suppressAutoHyphens/>
                      <w:ind w:firstLine="227"/>
                      <w:jc w:val="both"/>
                      <w:textAlignment w:val="baseline"/>
                      <w:rPr>
                        <w:rFonts w:ascii="Trebuchet MS" w:hAnsi="Trebuchet MS"/>
                        <w:sz w:val="22"/>
                        <w:szCs w:val="22"/>
                        <w:lang w:eastAsia="lt-LT"/>
                      </w:rPr>
                    </w:pPr>
                  </w:p>
                  <w:p w14:paraId="7565FF8D" w14:textId="77777777">
                    <w:pPr>
                      <w:suppressAutoHyphens/>
                      <w:ind w:firstLine="227"/>
                      <w:jc w:val="both"/>
                      <w:textAlignment w:val="baseline"/>
                      <w:rPr>
                        <w:rFonts w:ascii="Trebuchet MS" w:hAnsi="Trebuchet MS"/>
                        <w:sz w:val="22"/>
                        <w:szCs w:val="22"/>
                        <w:lang w:eastAsia="lt-LT"/>
                      </w:rPr>
                    </w:pPr>
                    <w:r>
                      <w:rPr>
                        <w:rFonts w:ascii="Trebuchet MS" w:hAnsi="Trebuchet MS"/>
                        <w:sz w:val="22"/>
                        <w:szCs w:val="22"/>
                        <w:lang w:eastAsia="lt-LT"/>
                      </w:rPr>
                      <w:t>Jeigu asmuo nepatikslina duomenų, sertifikatas neišduodamas.</w:t>
                    </w:r>
                  </w:p>
                  <w:p w14:paraId="487CFD21" w14:textId="2FEB62B7">
                    <w:pPr>
                      <w:suppressAutoHyphens/>
                      <w:ind w:firstLine="227"/>
                      <w:jc w:val="both"/>
                      <w:textAlignment w:val="baseline"/>
                      <w:rPr>
                        <w:rFonts w:ascii="Trebuchet MS" w:hAnsi="Trebuchet MS"/>
                        <w:sz w:val="22"/>
                        <w:szCs w:val="22"/>
                        <w:lang w:eastAsia="lt-LT"/>
                      </w:rPr>
                    </w:pPr>
                    <w:r>
                      <w:rPr>
                        <w:rFonts w:ascii="Trebuchet MS" w:hAnsi="Trebuchet MS"/>
                        <w:sz w:val="22"/>
                        <w:szCs w:val="22"/>
                        <w:lang w:eastAsia="lt-LT"/>
                      </w:rPr>
                      <w:t>Jeigu asmuo patiklsina duomenis, bet jie neteisingi, galioja punkto pradžia, kad pasiūloma per 5 darbo dienas duomenis patikslinti.</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8E149F" w14:textId="0452D49C">
                    <w:pPr>
                      <w:tabs>
                        <w:tab w:val="left" w:pos="341"/>
                      </w:tabs>
                      <w:suppressAutoHyphens/>
                      <w:textAlignment w:val="baseline"/>
                      <w:rPr>
                        <w:rFonts w:ascii="Trebuchet MS" w:hAnsi="Trebuchet MS"/>
                        <w:sz w:val="22"/>
                        <w:szCs w:val="22"/>
                        <w:lang w:eastAsia="lt-LT"/>
                      </w:rPr>
                    </w:pPr>
                    <w:r>
                      <w:rPr>
                        <w:rFonts w:ascii="Wingdings" w:hAnsi="Wingdings"/>
                        <w:sz w:val="22"/>
                        <w:szCs w:val="22"/>
                        <w:lang w:eastAsia="lt-LT"/>
                      </w:rPr>
                      <w:t></w:t>
                      <w:tab/>
                    </w:r>
                    <w:r>
                      <w:rPr>
                        <w:rFonts w:ascii="Trebuchet MS" w:hAnsi="Trebuchet MS"/>
                        <w:sz w:val="22"/>
                        <w:szCs w:val="22"/>
                        <w:lang w:eastAsia="lt-LT"/>
                      </w:rPr>
                      <w:t>tenkina</w:t>
                    </w:r>
                  </w:p>
                  <w:p w14:paraId="487CFD23"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2C"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5" w14:textId="6509CD1D">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6.</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6" w14:textId="77777777">
                    <w:pPr>
                      <w:suppressAutoHyphens/>
                      <w:textAlignment w:val="baseline"/>
                      <w:rPr>
                        <w:rFonts w:ascii="Trebuchet MS" w:hAnsi="Trebuchet MS"/>
                        <w:sz w:val="22"/>
                        <w:szCs w:val="22"/>
                        <w:highlight w:val="yellow"/>
                        <w:lang w:eastAsia="lt-LT"/>
                      </w:rPr>
                    </w:pPr>
                    <w:r>
                      <w:rPr>
                        <w:rFonts w:ascii="Trebuchet MS" w:hAnsi="Trebuchet MS"/>
                        <w:sz w:val="22"/>
                        <w:szCs w:val="22"/>
                        <w:lang w:eastAsia="lt-LT"/>
                      </w:rPr>
                      <w:t>Teisės akto projekte nustatytas baigtinis motyvuotų atvejų, kai priimant sprendimus taikomos išimtys, sąrašas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27" w14:textId="0277FA88">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Teisės akto projekto 27 punktas.</w:t>
                    </w:r>
                  </w:p>
                  <w:p w14:paraId="487CFD28" w14:textId="77777777">
                    <w:pPr>
                      <w:suppressAutoHyphens/>
                      <w:textAlignment w:val="baseline"/>
                      <w:rPr>
                        <w:rFonts w:ascii="Trebuchet MS" w:hAnsi="Trebuchet MS"/>
                        <w:color w:val="FF0000"/>
                        <w:sz w:val="22"/>
                        <w:szCs w:val="22"/>
                        <w:lang w:eastAsia="lt-LT"/>
                      </w:rPr>
                    </w:pP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29" w14:textId="77777777">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A"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2B"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34"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D"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7.</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E"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xml:space="preserve">Teisės akto projekte nustatyta sprendimų priėmimo, įforminimo ir viešinimo tvarka </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2F" w14:textId="77423A55">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Teisės akto projekto IV, V, VII skyrius.</w:t>
                    </w:r>
                  </w:p>
                  <w:p w14:paraId="487CFD30" w14:textId="77777777">
                    <w:pPr>
                      <w:suppressAutoHyphens/>
                      <w:textAlignment w:val="baseline"/>
                      <w:rPr>
                        <w:rFonts w:ascii="Trebuchet MS" w:hAnsi="Trebuchet MS"/>
                        <w:color w:val="FF0000"/>
                        <w:sz w:val="22"/>
                        <w:szCs w:val="22"/>
                        <w:lang w:eastAsia="lt-LT"/>
                      </w:rPr>
                    </w:pP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31" w14:textId="77777777">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2"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33"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3C"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5" w14:textId="77777777">
                    <w:pPr>
                      <w:suppressAutoHyphens/>
                      <w:jc w:val="center"/>
                      <w:textAlignment w:val="baseline"/>
                      <w:rPr>
                        <w:rFonts w:ascii="Trebuchet MS" w:hAnsi="Trebuchet MS"/>
                        <w:sz w:val="22"/>
                        <w:szCs w:val="22"/>
                      </w:rPr>
                    </w:pPr>
                    <w:r>
                      <w:rPr>
                        <w:rFonts w:ascii="Trebuchet MS" w:hAnsi="Trebuchet MS"/>
                        <w:sz w:val="22"/>
                        <w:szCs w:val="22"/>
                      </w:rPr>
                      <w:t>8.</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6" w14:textId="77777777">
                    <w:pPr>
                      <w:suppressAutoHyphens/>
                      <w:textAlignment w:val="baseline"/>
                      <w:rPr>
                        <w:rFonts w:ascii="Trebuchet MS" w:hAnsi="Trebuchet MS"/>
                        <w:sz w:val="22"/>
                        <w:szCs w:val="22"/>
                      </w:rPr>
                    </w:pPr>
                    <w:r>
                      <w:rPr>
                        <w:rFonts w:ascii="Trebuchet MS" w:hAnsi="Trebuchet MS"/>
                        <w:sz w:val="22"/>
                        <w:szCs w:val="22"/>
                      </w:rPr>
                      <w:t xml:space="preserve">Teisės akto projekte nustatyti sprendimų dėl mažareikšmiškumo kriterijai ir priėmimo tvarka </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38" w14:textId="106DBC19">
                    <w:pPr>
                      <w:suppressAutoHyphens/>
                      <w:ind w:firstLine="284"/>
                      <w:jc w:val="both"/>
                      <w:textAlignment w:val="baseline"/>
                      <w:rPr>
                        <w:rFonts w:ascii="Trebuchet MS" w:hAnsi="Trebuchet MS"/>
                        <w:b/>
                        <w:color w:val="FF0000"/>
                        <w:sz w:val="22"/>
                        <w:szCs w:val="22"/>
                        <w:lang w:eastAsia="lt-LT"/>
                      </w:rPr>
                    </w:pPr>
                    <w:r>
                      <w:rPr>
                        <w:rFonts w:ascii="Trebuchet MS" w:hAnsi="Trebuchet MS"/>
                        <w:sz w:val="22"/>
                        <w:szCs w:val="22"/>
                        <w:lang w:eastAsia="lt-LT"/>
                      </w:rPr>
                      <w:t>Kriterijus nesusijęs su teisės akto projektu.</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39" w14:textId="77777777">
                    <w:pPr>
                      <w:suppressAutoHyphens/>
                      <w:textAlignment w:val="baseline"/>
                      <w:rPr>
                        <w:rFonts w:ascii="Trebuchet MS" w:hAnsi="Trebuchet MS"/>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A"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3B"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4A"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D"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9.</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E"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Jeigu pagal numatomą reguliavimą sprendimus priima kolegialus subjektas, teisės akto projekte nustatyta kolegialaus sprendimus priimančio subjekto:</w:t>
                    </w:r>
                  </w:p>
                  <w:p w14:paraId="487CFD3F" w14:textId="77777777">
                    <w:pPr>
                      <w:suppressAutoHyphens/>
                      <w:ind w:left="33"/>
                      <w:textAlignment w:val="baseline"/>
                      <w:rPr>
                        <w:rFonts w:ascii="Trebuchet MS" w:hAnsi="Trebuchet MS"/>
                        <w:sz w:val="22"/>
                        <w:szCs w:val="22"/>
                      </w:rPr>
                    </w:pPr>
                    <w:r>
                      <w:rPr>
                        <w:rFonts w:ascii="Trebuchet MS" w:hAnsi="Trebuchet MS"/>
                        <w:sz w:val="22"/>
                        <w:szCs w:val="22"/>
                      </w:rPr>
                      <w:t>9.1. konkretus narių skaičius, užtikrinantis kolegialaus sprendimus priimančio subjekto veiklos objektyvumą</w:t>
                    </w:r>
                  </w:p>
                  <w:p w14:paraId="487CFD40" w14:textId="77777777">
                    <w:pPr>
                      <w:suppressAutoHyphens/>
                      <w:ind w:left="33"/>
                      <w:textAlignment w:val="baseline"/>
                      <w:rPr>
                        <w:rFonts w:ascii="Trebuchet MS" w:hAnsi="Trebuchet MS"/>
                        <w:sz w:val="22"/>
                        <w:szCs w:val="22"/>
                      </w:rPr>
                    </w:pPr>
                    <w:r>
                      <w:rPr>
                        <w:rFonts w:ascii="Trebuchet MS" w:hAnsi="Trebuchet MS"/>
                        <w:sz w:val="22"/>
                        <w:szCs w:val="22"/>
                      </w:rPr>
                      <w:t>9.2. jeigu narius skiria keli subjektai, proporcinga kiekvieno subjekto skiriamų narių dalis, užtikrinanti tinkamą atstovavimą valstybės interesams ir kolegialaus sprendimus priimančio subjekto veiklos objektyvumą ir skaidrumą</w:t>
                    </w:r>
                  </w:p>
                  <w:p w14:paraId="487CFD41" w14:textId="77777777">
                    <w:pPr>
                      <w:suppressAutoHyphens/>
                      <w:textAlignment w:val="baseline"/>
                      <w:rPr>
                        <w:rFonts w:ascii="Trebuchet MS" w:hAnsi="Trebuchet MS"/>
                        <w:sz w:val="22"/>
                        <w:szCs w:val="22"/>
                      </w:rPr>
                    </w:pPr>
                    <w:r>
                      <w:rPr>
                        <w:rFonts w:ascii="Trebuchet MS" w:hAnsi="Trebuchet MS"/>
                        <w:sz w:val="22"/>
                        <w:szCs w:val="22"/>
                        <w:lang w:eastAsia="lt-LT"/>
                      </w:rPr>
                      <w:t>9.3</w:t>
                    </w:r>
                    <w:r>
                      <w:rPr>
                        <w:rFonts w:ascii="Trebuchet MS" w:hAnsi="Trebuchet MS"/>
                        <w:spacing w:val="-4"/>
                        <w:sz w:val="22"/>
                        <w:szCs w:val="22"/>
                        <w:lang w:eastAsia="lt-LT"/>
                      </w:rPr>
                      <w:t>. narių skyrimo mechanizmas</w:t>
                    </w:r>
                  </w:p>
                  <w:p w14:paraId="487CFD42"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9.4. narių rotacija ir kadencijų skaičius ir trukmė</w:t>
                    </w:r>
                  </w:p>
                  <w:p w14:paraId="487CFD43" w14:textId="77777777">
                    <w:pPr>
                      <w:suppressAutoHyphens/>
                      <w:textAlignment w:val="baseline"/>
                      <w:rPr>
                        <w:rFonts w:ascii="Trebuchet MS" w:hAnsi="Trebuchet MS"/>
                        <w:sz w:val="22"/>
                        <w:szCs w:val="22"/>
                      </w:rPr>
                    </w:pPr>
                    <w:r>
                      <w:rPr>
                        <w:rFonts w:ascii="Trebuchet MS" w:hAnsi="Trebuchet MS"/>
                        <w:sz w:val="22"/>
                        <w:szCs w:val="22"/>
                      </w:rPr>
                      <w:t>9.5. veiklos pobūdis laiko atžvilgiu</w:t>
                    </w:r>
                  </w:p>
                  <w:p w14:paraId="487CFD44"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9.6. asmeninė narių atsakomybė</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46" w14:textId="5CD5D63C">
                    <w:pPr>
                      <w:suppressAutoHyphens/>
                      <w:ind w:firstLine="284"/>
                      <w:jc w:val="both"/>
                      <w:textAlignment w:val="baseline"/>
                      <w:rPr>
                        <w:rFonts w:ascii="Trebuchet MS" w:hAnsi="Trebuchet MS"/>
                        <w:i/>
                        <w:color w:val="FF0000"/>
                        <w:sz w:val="22"/>
                        <w:szCs w:val="22"/>
                        <w:lang w:eastAsia="lt-LT"/>
                      </w:rPr>
                    </w:pPr>
                    <w:r>
                      <w:rPr>
                        <w:rFonts w:ascii="Trebuchet MS" w:hAnsi="Trebuchet MS"/>
                        <w:sz w:val="22"/>
                        <w:szCs w:val="22"/>
                        <w:lang w:eastAsia="lt-LT"/>
                      </w:rPr>
                      <w:t>Kriterijus nesusijęs su teisės akto projektu.</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47" w14:textId="77777777">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48"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49"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52"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4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10.</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4C" w14:textId="77777777">
                    <w:pPr>
                      <w:suppressAutoHyphens/>
                      <w:textAlignment w:val="baseline"/>
                      <w:rPr>
                        <w:rFonts w:ascii="Trebuchet MS" w:hAnsi="Trebuchet MS"/>
                        <w:sz w:val="22"/>
                        <w:szCs w:val="22"/>
                      </w:rPr>
                    </w:pPr>
                    <w:r>
                      <w:rPr>
                        <w:rFonts w:ascii="Trebuchet MS" w:hAnsi="Trebuchet MS"/>
                        <w:sz w:val="22"/>
                        <w:szCs w:val="22"/>
                        <w:lang w:eastAsia="lt-LT"/>
                      </w:rPr>
                      <w:t xml:space="preserve">Numatytos procedūros yra </w:t>
                    </w:r>
                    <w:r>
                      <w:rPr>
                        <w:rFonts w:ascii="Trebuchet MS" w:hAnsi="Trebuchet MS"/>
                        <w:sz w:val="22"/>
                        <w:szCs w:val="22"/>
                        <w:shd w:val="clear" w:color="auto" w:fill="FFFFFF"/>
                        <w:lang w:eastAsia="lt-LT"/>
                      </w:rPr>
                      <w:t>būtinos,</w:t>
                    </w:r>
                    <w:r>
                      <w:rPr>
                        <w:rFonts w:ascii="Trebuchet MS" w:hAnsi="Trebuchet MS"/>
                        <w:sz w:val="22"/>
                        <w:szCs w:val="22"/>
                        <w:lang w:eastAsia="lt-LT"/>
                      </w:rPr>
                      <w:t xml:space="preserve"> nustatyta išsami jų taikymo (viešinimo) tvarka </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4E" w14:textId="3AA82632">
                    <w:pPr>
                      <w:suppressAutoHyphens/>
                      <w:ind w:firstLine="284"/>
                      <w:jc w:val="both"/>
                      <w:textAlignment w:val="baseline"/>
                      <w:rPr>
                        <w:rFonts w:ascii="Trebuchet MS" w:hAnsi="Trebuchet MS"/>
                        <w:color w:val="FF0000"/>
                        <w:sz w:val="22"/>
                        <w:szCs w:val="22"/>
                        <w:lang w:eastAsia="lt-LT"/>
                      </w:rPr>
                    </w:pPr>
                    <w:r>
                      <w:rPr>
                        <w:rFonts w:ascii="Trebuchet MS" w:hAnsi="Trebuchet MS"/>
                        <w:sz w:val="22"/>
                        <w:szCs w:val="22"/>
                        <w:lang w:eastAsia="lt-LT"/>
                      </w:rPr>
                      <w:t>Teisės akto projektas nustato juridinių ir fizinių asmenų, taip pat juridinio asmens statuso neturinčio Lietuvos Respublikoje įsteigto kolektyvinio investavimo subjekto, kurio veiklos forma yra investicinis fondas, įregistravimo pridėtinės vertės mokesčio (toliau</w:t>
                    </w:r>
                    <w:r>
                      <w:rPr>
                        <w:lang w:eastAsia="lt-LT"/>
                      </w:rPr>
                      <w:t xml:space="preserve"> –</w:t>
                    </w:r>
                    <w:r>
                      <w:rPr>
                        <w:rFonts w:ascii="Trebuchet MS" w:hAnsi="Trebuchet MS"/>
                        <w:sz w:val="22"/>
                        <w:szCs w:val="22"/>
                        <w:lang w:eastAsia="lt-LT"/>
                      </w:rPr>
                      <w:t xml:space="preserve"> PVM) mokėtojais, išregistravimo iš PVM mokėtojų ir PVM mokėtojo įregistravimą patvirtinančio sertifikato išdavimo tvarką. </w:t>
                    </w:r>
                    <w:r>
                      <w:rPr>
                        <w:rFonts w:ascii="Trebuchet MS" w:hAnsi="Trebuchet MS"/>
                        <w:sz w:val="22"/>
                        <w:szCs w:val="22"/>
                      </w:rPr>
                      <w:t>Šioms nuostatoms įgyvendinti teisės akto projekte numatytos administracinės procedūros yra būtinos, nustatyta išsami jų taikymo tvarka.</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4F" w14:textId="77777777">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0"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51"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5A"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3" w14:textId="77777777">
                    <w:pPr>
                      <w:keepNext/>
                      <w:suppressAutoHyphens/>
                      <w:jc w:val="center"/>
                      <w:textAlignment w:val="baseline"/>
                      <w:rPr>
                        <w:rFonts w:ascii="Trebuchet MS" w:hAnsi="Trebuchet MS"/>
                        <w:sz w:val="22"/>
                        <w:szCs w:val="22"/>
                        <w:lang w:eastAsia="lt-LT"/>
                      </w:rPr>
                    </w:pPr>
                    <w:r>
                      <w:rPr>
                        <w:rFonts w:ascii="Trebuchet MS" w:hAnsi="Trebuchet MS"/>
                        <w:sz w:val="22"/>
                        <w:szCs w:val="22"/>
                        <w:lang w:eastAsia="lt-LT"/>
                      </w:rPr>
                      <w:t>11.</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4" w14:textId="77777777">
                    <w:pPr>
                      <w:keepNext/>
                      <w:suppressAutoHyphens/>
                      <w:textAlignment w:val="baseline"/>
                      <w:rPr>
                        <w:rFonts w:ascii="Trebuchet MS" w:hAnsi="Trebuchet MS"/>
                        <w:sz w:val="22"/>
                        <w:szCs w:val="22"/>
                      </w:rPr>
                    </w:pPr>
                    <w:r>
                      <w:rPr>
                        <w:rFonts w:ascii="Trebuchet MS" w:hAnsi="Trebuchet MS"/>
                        <w:sz w:val="22"/>
                        <w:szCs w:val="22"/>
                        <w:lang w:eastAsia="lt-LT"/>
                      </w:rPr>
                      <w:t>Teisės akto projekte nustatytas baigtinis motyvuotų atvejų, kai nustatoma procedūra netaikoma, sąrašas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55" w14:textId="628D5353">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Teisės akto projekto 7 punktas su papunkčiais.</w:t>
                    </w:r>
                  </w:p>
                  <w:p w14:paraId="487CFD56" w14:textId="77777777">
                    <w:pPr>
                      <w:keepNext/>
                      <w:suppressAutoHyphens/>
                      <w:textAlignment w:val="baseline"/>
                      <w:rPr>
                        <w:rFonts w:ascii="Trebuchet MS" w:hAnsi="Trebuchet MS"/>
                        <w:color w:val="FF0000"/>
                        <w:sz w:val="22"/>
                        <w:szCs w:val="22"/>
                        <w:lang w:eastAsia="lt-LT"/>
                      </w:rPr>
                    </w:pP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57" w14:textId="77777777">
                    <w:pPr>
                      <w:keepNext/>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8" w14:textId="77777777">
                    <w:pPr>
                      <w:keepNext/>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59" w14:textId="77777777">
                    <w:pPr>
                      <w:keepNext/>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62"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12.</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C" w14:textId="77777777">
                    <w:pPr>
                      <w:suppressAutoHyphens/>
                      <w:textAlignment w:val="baseline"/>
                      <w:rPr>
                        <w:rFonts w:ascii="Trebuchet MS" w:hAnsi="Trebuchet MS"/>
                        <w:sz w:val="22"/>
                        <w:szCs w:val="22"/>
                      </w:rPr>
                    </w:pPr>
                    <w:r>
                      <w:rPr>
                        <w:rFonts w:ascii="Trebuchet MS" w:hAnsi="Trebuchet MS"/>
                        <w:sz w:val="22"/>
                        <w:szCs w:val="22"/>
                        <w:lang w:eastAsia="lt-LT"/>
                      </w:rPr>
                      <w:t>Teisės akto projektas nustato jo nuostatoms įgyvendinti numatytų procedūrų ir sprendimų priėmimo konkrečius terminus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5D" w14:textId="37A679EF">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Konkretūs terminai nurodyti teisės akto projekto 13, 16, 17, 19, 22, 27, 30, 31, 42, 43, 48 punktuose ir 15.2 papunktyje.</w:t>
                    </w:r>
                  </w:p>
                  <w:p w14:paraId="487CFD5E" w14:textId="77777777">
                    <w:pPr>
                      <w:suppressAutoHyphens/>
                      <w:textAlignment w:val="baseline"/>
                      <w:rPr>
                        <w:rFonts w:ascii="Trebuchet MS" w:hAnsi="Trebuchet MS"/>
                        <w:color w:val="FF0000"/>
                        <w:sz w:val="22"/>
                        <w:szCs w:val="22"/>
                        <w:lang w:eastAsia="lt-LT"/>
                      </w:rPr>
                    </w:pP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5F" w14:textId="77777777">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0"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61"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6A"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3"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13.</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4"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projektas nustato motyvuotas terminų sustabdymo ir pratęsimo galimybes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65" w14:textId="375A751B">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Teisės akto projekto 18 punktas.</w:t>
                    </w:r>
                  </w:p>
                  <w:p w14:paraId="487CFD66" w14:textId="77777777">
                    <w:pPr>
                      <w:suppressAutoHyphens/>
                      <w:textAlignment w:val="baseline"/>
                      <w:rPr>
                        <w:rFonts w:ascii="Trebuchet MS" w:hAnsi="Trebuchet MS"/>
                        <w:color w:val="FF0000"/>
                        <w:sz w:val="22"/>
                        <w:szCs w:val="22"/>
                        <w:lang w:eastAsia="lt-LT"/>
                      </w:rPr>
                    </w:pP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67" w14:textId="77777777">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8"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69"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72"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14.</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C" w14:textId="77777777">
                    <w:pPr>
                      <w:suppressAutoHyphens/>
                      <w:textAlignment w:val="baseline"/>
                      <w:rPr>
                        <w:rFonts w:ascii="Trebuchet MS" w:hAnsi="Trebuchet MS"/>
                        <w:strike/>
                        <w:sz w:val="22"/>
                        <w:szCs w:val="22"/>
                      </w:rPr>
                    </w:pPr>
                    <w:r>
                      <w:rPr>
                        <w:rFonts w:ascii="Trebuchet MS" w:hAnsi="Trebuchet MS"/>
                        <w:sz w:val="22"/>
                        <w:szCs w:val="22"/>
                        <w:lang w:eastAsia="lt-LT"/>
                      </w:rPr>
                      <w:t>Teisės akto projektas nustato kontrolės (priežiūros) procedūrą ir aiškius jos atlikimo kriterijus (atvejus, dažnį, fiksavimą, kontrolės rezultatų viešinimą ir pan.)</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6D" w14:textId="348B8219">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6E" w14:textId="77777777">
                    <w:pPr>
                      <w:suppressAutoHyphens/>
                      <w:textAlignment w:val="baseline"/>
                      <w:rPr>
                        <w:rFonts w:ascii="Trebuchet MS" w:hAnsi="Trebuchet MS"/>
                        <w:b/>
                        <w:sz w:val="22"/>
                        <w:szCs w:val="22"/>
                        <w:lang w:eastAsia="lt-LT"/>
                      </w:rPr>
                    </w:pP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6F" w14:textId="77777777">
                    <w:pPr>
                      <w:suppressAutoHyphens/>
                      <w:textAlignment w:val="baseline"/>
                      <w:rPr>
                        <w:rFonts w:ascii="Trebuchet MS" w:hAnsi="Trebuchet MS"/>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0"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71"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7A"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3"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15.</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4"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nustatytos kontrolės (priežiūros) skaidrumo ir objektyvumo užtikrinimo priemonės (p</w:t>
                    </w:r>
                    <w:r>
                      <w:rPr>
                        <w:rFonts w:ascii="Trebuchet MS" w:hAnsi="Trebuchet MS"/>
                        <w:sz w:val="22"/>
                        <w:szCs w:val="22"/>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75" w14:textId="4971E4E4">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76" w14:textId="77777777">
                    <w:pPr>
                      <w:suppressAutoHyphens/>
                      <w:textAlignment w:val="baseline"/>
                      <w:rPr>
                        <w:rFonts w:ascii="Trebuchet MS" w:hAnsi="Trebuchet MS"/>
                        <w:sz w:val="22"/>
                        <w:szCs w:val="22"/>
                        <w:lang w:eastAsia="lt-LT"/>
                      </w:rPr>
                    </w:pP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77" w14:textId="77777777">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8"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79"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82"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16.</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C" w14:textId="77777777">
                    <w:pPr>
                      <w:suppressAutoHyphens/>
                      <w:textAlignment w:val="baseline"/>
                      <w:rPr>
                        <w:rFonts w:ascii="Trebuchet MS" w:hAnsi="Trebuchet MS"/>
                        <w:sz w:val="22"/>
                        <w:szCs w:val="22"/>
                      </w:rPr>
                    </w:pPr>
                    <w:r>
                      <w:rPr>
                        <w:rFonts w:ascii="Trebuchet MS" w:hAnsi="Trebuchet MS"/>
                        <w:sz w:val="22"/>
                        <w:szCs w:val="22"/>
                        <w:lang w:eastAsia="lt-LT"/>
                      </w:rPr>
                      <w:t>Teisės akto projekte nustatyta subjektų, su kuriais susijęs teisės akto projekto nuostatų įgyvendinimas, atsakomybė</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7D" w14:textId="3F2AD018">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Teisės akto projekto 49 punktas.</w:t>
                    </w:r>
                  </w:p>
                  <w:p w14:paraId="487CFD7E" w14:textId="77777777">
                    <w:pPr>
                      <w:suppressAutoHyphens/>
                      <w:textAlignment w:val="baseline"/>
                      <w:rPr>
                        <w:rFonts w:ascii="Trebuchet MS" w:hAnsi="Trebuchet MS"/>
                        <w:color w:val="FF0000"/>
                        <w:sz w:val="22"/>
                        <w:szCs w:val="22"/>
                        <w:lang w:eastAsia="lt-LT"/>
                      </w:rPr>
                    </w:pP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7F" w14:textId="77777777">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0"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81"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8A"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3" w14:textId="77777777">
                    <w:pPr>
                      <w:keepNext/>
                      <w:suppressAutoHyphens/>
                      <w:jc w:val="center"/>
                      <w:textAlignment w:val="baseline"/>
                      <w:rPr>
                        <w:rFonts w:ascii="Trebuchet MS" w:hAnsi="Trebuchet MS"/>
                        <w:sz w:val="22"/>
                        <w:szCs w:val="22"/>
                        <w:lang w:eastAsia="lt-LT"/>
                      </w:rPr>
                    </w:pPr>
                    <w:r>
                      <w:rPr>
                        <w:rFonts w:ascii="Trebuchet MS" w:hAnsi="Trebuchet MS"/>
                        <w:sz w:val="22"/>
                        <w:szCs w:val="22"/>
                        <w:lang w:eastAsia="lt-LT"/>
                      </w:rPr>
                      <w:t>17.</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4" w14:textId="77777777">
                    <w:pPr>
                      <w:keepNext/>
                      <w:suppressAutoHyphens/>
                      <w:textAlignment w:val="baseline"/>
                      <w:rPr>
                        <w:rFonts w:ascii="Trebuchet MS" w:hAnsi="Trebuchet MS"/>
                        <w:sz w:val="22"/>
                        <w:szCs w:val="22"/>
                        <w:lang w:eastAsia="lt-LT"/>
                      </w:rPr>
                    </w:pPr>
                    <w:r>
                      <w:rPr>
                        <w:rFonts w:ascii="Trebuchet MS" w:hAnsi="Trebuchet MS"/>
                        <w:sz w:val="22"/>
                        <w:szCs w:val="22"/>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5" w14:textId="6478F1BD">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86" w14:textId="77777777">
                    <w:pPr>
                      <w:keepNext/>
                      <w:suppressAutoHyphens/>
                      <w:jc w:val="center"/>
                      <w:textAlignment w:val="baseline"/>
                      <w:rPr>
                        <w:rFonts w:ascii="Trebuchet MS" w:hAnsi="Trebuchet MS"/>
                        <w:b/>
                        <w:color w:val="FF0000"/>
                        <w:sz w:val="22"/>
                        <w:szCs w:val="22"/>
                        <w:lang w:eastAsia="lt-LT"/>
                      </w:rPr>
                    </w:pP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7" w14:textId="77777777">
                    <w:pPr>
                      <w:keepNext/>
                      <w:suppressAutoHyphens/>
                      <w:textAlignment w:val="baseline"/>
                      <w:rPr>
                        <w:rFonts w:ascii="Trebuchet MS" w:hAnsi="Trebuchet MS"/>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8" w14:textId="77777777">
                    <w:pPr>
                      <w:keepNext/>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89" w14:textId="77777777">
                    <w:pPr>
                      <w:keepNext/>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91"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18.</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C" w14:textId="77777777">
                    <w:pPr>
                      <w:suppressAutoHyphens/>
                      <w:textAlignment w:val="baseline"/>
                      <w:rPr>
                        <w:rFonts w:ascii="Trebuchet MS" w:hAnsi="Trebuchet MS"/>
                        <w:sz w:val="22"/>
                        <w:szCs w:val="22"/>
                        <w:lang w:eastAsia="lt-LT"/>
                      </w:rPr>
                    </w:pPr>
                    <w:r>
                      <w:rPr>
                        <w:rFonts w:ascii="Trebuchet MS" w:hAnsi="Trebuchet MS"/>
                        <w:sz w:val="22"/>
                        <w:szCs w:val="22"/>
                      </w:rPr>
                      <w:t xml:space="preserve">Kartu su teisės akto projektu pateikta pakankamai jį pagrindžiančių lydimųjų dokumentų ir informacijos,  siekiant antikorupciniu aspektu įvertinti teisės akto projektą</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D" w14:textId="0EDEDA2C">
                    <w:pPr>
                      <w:suppressAutoHyphens/>
                      <w:ind w:firstLine="284"/>
                      <w:jc w:val="both"/>
                      <w:textAlignment w:val="baseline"/>
                      <w:rPr>
                        <w:rFonts w:ascii="Trebuchet MS" w:hAnsi="Trebuchet MS"/>
                        <w:color w:val="FF0000"/>
                        <w:sz w:val="22"/>
                        <w:szCs w:val="22"/>
                        <w:lang w:eastAsia="lt-LT"/>
                      </w:rPr>
                    </w:pPr>
                    <w:r>
                      <w:rPr>
                        <w:rFonts w:ascii="Trebuchet MS" w:hAnsi="Trebuchet MS"/>
                        <w:sz w:val="22"/>
                        <w:szCs w:val="22"/>
                        <w:lang w:eastAsia="lt-LT"/>
                      </w:rPr>
                      <w:t>Pateikta pakankamai.</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E" w14:textId="77777777">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F"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90"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98"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92"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19.</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93" w14:textId="77777777">
                    <w:pPr>
                      <w:suppressAutoHyphens/>
                      <w:textAlignment w:val="baseline"/>
                      <w:rPr>
                        <w:rFonts w:ascii="Trebuchet MS" w:hAnsi="Trebuchet MS"/>
                        <w:sz w:val="22"/>
                        <w:szCs w:val="22"/>
                      </w:rPr>
                    </w:pPr>
                    <w:r>
                      <w:rPr>
                        <w:rFonts w:ascii="Trebuchet MS" w:hAnsi="Trebuchet MS"/>
                        <w:sz w:val="22"/>
                        <w:szCs w:val="22"/>
                        <w:lang w:eastAsia="lt-LT"/>
                      </w:rPr>
                      <w:t>Kiti svarbūs kriterijai</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94" w14:textId="2A4BF6D3">
                    <w:pPr>
                      <w:suppressAutoHyphens/>
                      <w:ind w:firstLine="284"/>
                      <w:jc w:val="both"/>
                      <w:textAlignment w:val="baseline"/>
                      <w:rPr>
                        <w:rFonts w:ascii="Trebuchet MS" w:hAnsi="Trebuchet MS"/>
                        <w:color w:val="FF0000"/>
                        <w:sz w:val="22"/>
                        <w:szCs w:val="22"/>
                        <w:lang w:eastAsia="lt-LT"/>
                      </w:rPr>
                    </w:pPr>
                    <w:r>
                      <w:rPr>
                        <w:rFonts w:ascii="Trebuchet MS" w:hAnsi="Trebuchet MS"/>
                        <w:sz w:val="22"/>
                        <w:szCs w:val="22"/>
                        <w:lang w:eastAsia="lt-LT"/>
                      </w:rPr>
                      <w:t>Netiksli teisės akto projekto numeracija</w:t>
                    </w:r>
                    <w:r>
                      <w:rPr>
                        <w:szCs w:val="24"/>
                        <w:lang w:eastAsia="lt-LT"/>
                      </w:rPr>
                      <w:t xml:space="preserve"> –</w:t>
                    </w:r>
                    <w:r>
                      <w:rPr>
                        <w:rFonts w:ascii="Trebuchet MS" w:hAnsi="Trebuchet MS"/>
                        <w:sz w:val="22"/>
                        <w:szCs w:val="22"/>
                        <w:lang w:eastAsia="lt-LT"/>
                      </w:rPr>
                      <w:t xml:space="preserve"> praleistas 23.8 papunktis (po 23.7 papunkčio iš karto yra 23.9 papunktis).</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95" w14:textId="6BAF11D3">
                    <w:pPr>
                      <w:suppressAutoHyphens/>
                      <w:textAlignment w:val="baseline"/>
                      <w:rPr>
                        <w:rFonts w:ascii="Trebuchet MS" w:hAnsi="Trebuchet MS"/>
                        <w:sz w:val="22"/>
                        <w:szCs w:val="22"/>
                        <w:lang w:eastAsia="lt-LT"/>
                      </w:rPr>
                    </w:pPr>
                    <w:r>
                      <w:rPr>
                        <w:rFonts w:ascii="Trebuchet MS" w:hAnsi="Trebuchet MS"/>
                        <w:sz w:val="22"/>
                        <w:szCs w:val="22"/>
                        <w:lang w:eastAsia="lt-LT"/>
                      </w:rPr>
                      <w:t>Atsižvelgta, atliktas pakeitimas.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96" w14:textId="0697E6D4">
                    <w:pPr>
                      <w:tabs>
                        <w:tab w:val="left" w:pos="341"/>
                      </w:tabs>
                      <w:suppressAutoHyphens/>
                      <w:textAlignment w:val="baseline"/>
                      <w:rPr>
                        <w:rFonts w:ascii="Trebuchet MS" w:hAnsi="Trebuchet MS"/>
                        <w:sz w:val="22"/>
                        <w:szCs w:val="22"/>
                        <w:lang w:eastAsia="lt-LT"/>
                      </w:rPr>
                    </w:pPr>
                    <w:r>
                      <w:rPr>
                        <w:rFonts w:ascii="Wingdings" w:hAnsi="Wingdings"/>
                        <w:sz w:val="22"/>
                        <w:szCs w:val="22"/>
                        <w:lang w:eastAsia="lt-LT"/>
                      </w:rPr>
                      <w:t></w:t>
                      <w:tab/>
                    </w:r>
                    <w:r>
                      <w:rPr>
                        <w:rFonts w:ascii="Trebuchet MS" w:hAnsi="Trebuchet MS"/>
                        <w:sz w:val="22"/>
                        <w:szCs w:val="22"/>
                        <w:lang w:eastAsia="lt-LT"/>
                      </w:rPr>
                      <w:t>tenkina</w:t>
                    </w:r>
                  </w:p>
                  <w:p w14:paraId="487CFD97"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bl>
            <w:p w14:paraId="487CFD99" w14:textId="77777777">
              <w:pPr>
                <w:tabs>
                  <w:tab w:val="left" w:pos="6237"/>
                </w:tabs>
                <w:suppressAutoHyphens/>
                <w:spacing w:line="276" w:lineRule="auto"/>
                <w:jc w:val="center"/>
                <w:textAlignment w:val="baseline"/>
                <w:rPr>
                  <w:rFonts w:ascii="Trebuchet MS" w:hAnsi="Trebuchet MS"/>
                  <w:color w:val="000000"/>
                  <w:sz w:val="22"/>
                  <w:szCs w:val="22"/>
                  <w:lang w:eastAsia="lt-LT"/>
                </w:rPr>
              </w:pPr>
            </w:p>
          </w:sdtContent>
        </w:sdt>
        <w:sdt>
          <w:sdtPr>
            <w:alias w:val="lentele"/>
            <w:tag w:val="part_6d3841a7ca8d492db8231df26078b31a"/>
            <w:lock w:val="sdtLocked"/>
            <w:richText/>
          </w:sdtPr>
          <w:sdtContent>
            <w:tbl>
              <w:tblPr>
                <w:tblW w:w="0" w:type="auto"/>
                <w:tblInd w:w="108" w:type="dxa"/>
                <w:tblLook w:val="00A0" w:firstRow="1" w:lastRow="0" w:firstColumn="1" w:lastColumn="0" w:noHBand="0" w:noVBand="0"/>
              </w:tblPr>
              <w:tblGrid>
                <w:gridCol w:w="2436"/>
                <w:gridCol w:w="4722"/>
                <w:gridCol w:w="2417"/>
                <w:gridCol w:w="4887"/>
              </w:tblGrid>
              <w:tr w14:paraId="487CFDA6" w14:textId="77777777">
                <w:trPr>
                  <w:trHeight w:val="1413"/>
                </w:trPr>
                <w:tc>
                  <w:tcPr>
                    <w:tcW w:w="2444" w:type="dxa"/>
                  </w:tcPr>
                  <w:p w14:paraId="487CFD9A" w14:textId="77777777">
                    <w:pPr>
                      <w:rPr>
                        <w:rFonts w:ascii="Trebuchet MS" w:hAnsi="Trebuchet MS"/>
                        <w:sz w:val="22"/>
                        <w:szCs w:val="22"/>
                      </w:rPr>
                    </w:pPr>
                  </w:p>
                  <w:p w14:paraId="487CFD9B" w14:textId="77777777">
                    <w:pPr>
                      <w:rPr>
                        <w:rFonts w:ascii="Trebuchet MS" w:hAnsi="Trebuchet MS"/>
                        <w:sz w:val="22"/>
                        <w:szCs w:val="22"/>
                      </w:rPr>
                    </w:pPr>
                    <w:r>
                      <w:rPr>
                        <w:rFonts w:ascii="Trebuchet MS" w:hAnsi="Trebuchet MS"/>
                        <w:sz w:val="22"/>
                        <w:szCs w:val="22"/>
                      </w:rPr>
                      <w:t>Teisės akto projekto tiesioginis rengėjas:</w:t>
                    </w:r>
                  </w:p>
                </w:tc>
                <w:tc>
                  <w:tcPr>
                    <w:tcW w:w="4741" w:type="dxa"/>
                    <w:tcBorders>
                      <w:bottom w:val="single" w:sz="4" w:space="0" w:color="auto"/>
                    </w:tcBorders>
                  </w:tcPr>
                  <w:p w14:paraId="487CFD9C" w14:textId="77777777">
                    <w:pPr>
                      <w:rPr>
                        <w:rFonts w:ascii="Trebuchet MS" w:hAnsi="Trebuchet MS"/>
                        <w:color w:val="FF0000"/>
                        <w:sz w:val="22"/>
                        <w:szCs w:val="22"/>
                      </w:rPr>
                    </w:pPr>
                  </w:p>
                  <w:p w14:paraId="487CFD9D" w14:textId="77777777">
                    <w:pPr>
                      <w:rPr>
                        <w:rFonts w:ascii="Trebuchet MS" w:hAnsi="Trebuchet MS"/>
                        <w:color w:val="FF0000"/>
                        <w:sz w:val="22"/>
                        <w:szCs w:val="22"/>
                      </w:rPr>
                    </w:pPr>
                  </w:p>
                  <w:p w14:paraId="487CFD9F" w14:textId="27C052C2">
                    <w:pPr>
                      <w:rPr>
                        <w:rFonts w:ascii="Trebuchet MS" w:hAnsi="Trebuchet MS"/>
                        <w:color w:val="FF0000"/>
                        <w:sz w:val="22"/>
                        <w:szCs w:val="22"/>
                      </w:rPr>
                    </w:pPr>
                    <w:r>
                      <w:rPr>
                        <w:rFonts w:ascii="Trebuchet MS" w:hAnsi="Trebuchet MS"/>
                        <w:sz w:val="22"/>
                        <w:szCs w:val="22"/>
                      </w:rPr>
                      <w:t>VMI prie FM TD Netiesioginių mokesčių skyriaus patarėjas Jurijus Kondratovičius</w:t>
                    </w:r>
                  </w:p>
                </w:tc>
                <w:tc>
                  <w:tcPr>
                    <w:tcW w:w="2424" w:type="dxa"/>
                  </w:tcPr>
                  <w:p w14:paraId="487CFDA0" w14:textId="77777777">
                    <w:pPr>
                      <w:rPr>
                        <w:rFonts w:ascii="Trebuchet MS" w:hAnsi="Trebuchet MS"/>
                        <w:sz w:val="22"/>
                        <w:szCs w:val="22"/>
                      </w:rPr>
                    </w:pPr>
                  </w:p>
                  <w:p w14:paraId="487CFDA1" w14:textId="77777777">
                    <w:pPr>
                      <w:rPr>
                        <w:rFonts w:ascii="Trebuchet MS" w:hAnsi="Trebuchet MS"/>
                        <w:sz w:val="22"/>
                        <w:szCs w:val="22"/>
                      </w:rPr>
                    </w:pPr>
                    <w:r>
                      <w:rPr>
                        <w:rFonts w:ascii="Trebuchet MS" w:hAnsi="Trebuchet MS"/>
                        <w:sz w:val="22"/>
                        <w:szCs w:val="22"/>
                      </w:rPr>
                      <w:t>Teisės akto projekto vertintojas:</w:t>
                    </w:r>
                  </w:p>
                </w:tc>
                <w:tc>
                  <w:tcPr>
                    <w:tcW w:w="4910" w:type="dxa"/>
                    <w:tcBorders>
                      <w:bottom w:val="single" w:sz="4" w:space="0" w:color="auto"/>
                    </w:tcBorders>
                  </w:tcPr>
                  <w:p w14:paraId="487CFDA2" w14:textId="77777777">
                    <w:pPr>
                      <w:rPr>
                        <w:rFonts w:ascii="Trebuchet MS" w:hAnsi="Trebuchet MS"/>
                        <w:sz w:val="22"/>
                        <w:szCs w:val="22"/>
                      </w:rPr>
                    </w:pPr>
                  </w:p>
                  <w:p w14:paraId="487CFDA3" w14:textId="77777777">
                    <w:pPr>
                      <w:rPr>
                        <w:rFonts w:ascii="Trebuchet MS" w:hAnsi="Trebuchet MS"/>
                        <w:sz w:val="22"/>
                        <w:szCs w:val="22"/>
                      </w:rPr>
                    </w:pPr>
                  </w:p>
                  <w:p w14:paraId="487CFDA5" w14:textId="76F7F616">
                    <w:pPr>
                      <w:rPr>
                        <w:rFonts w:ascii="Trebuchet MS" w:hAnsi="Trebuchet MS"/>
                        <w:sz w:val="22"/>
                        <w:szCs w:val="22"/>
                        <w:lang w:val="en-GB"/>
                      </w:rPr>
                    </w:pPr>
                    <w:r>
                      <w:rPr>
                        <w:rFonts w:ascii="Trebuchet MS" w:hAnsi="Trebuchet MS"/>
                        <w:sz w:val="22"/>
                        <w:szCs w:val="22"/>
                      </w:rPr>
                      <w:t>VMI prie FM Vidaus saugumo skyriaus vyriausioji specialistė Asta Sadauskė</w:t>
                    </w:r>
                  </w:p>
                </w:tc>
              </w:tr>
              <w:tr w14:paraId="487CFDAB" w14:textId="77777777">
                <w:trPr>
                  <w:trHeight w:val="23"/>
                </w:trPr>
                <w:tc>
                  <w:tcPr>
                    <w:tcW w:w="2444" w:type="dxa"/>
                  </w:tcPr>
                  <w:p w14:paraId="487CFDA7" w14:textId="77777777">
                    <w:pPr>
                      <w:rPr>
                        <w:rFonts w:ascii="Trebuchet MS" w:hAnsi="Trebuchet MS"/>
                        <w:sz w:val="22"/>
                        <w:szCs w:val="22"/>
                      </w:rPr>
                    </w:pPr>
                  </w:p>
                </w:tc>
                <w:tc>
                  <w:tcPr>
                    <w:tcW w:w="4741" w:type="dxa"/>
                    <w:tcBorders>
                      <w:bottom w:val="single" w:sz="4" w:space="0" w:color="auto"/>
                    </w:tcBorders>
                  </w:tcPr>
                  <w:p w14:paraId="487CFDA8" w14:textId="77777777">
                    <w:pPr>
                      <w:ind w:firstLine="3283"/>
                      <w:rPr>
                        <w:rFonts w:ascii="Trebuchet MS" w:hAnsi="Trebuchet MS"/>
                        <w:sz w:val="22"/>
                        <w:szCs w:val="22"/>
                      </w:rPr>
                    </w:pPr>
                  </w:p>
                </w:tc>
                <w:tc>
                  <w:tcPr>
                    <w:tcW w:w="2424" w:type="dxa"/>
                  </w:tcPr>
                  <w:p w14:paraId="487CFDA9" w14:textId="77777777">
                    <w:pPr>
                      <w:rPr>
                        <w:rFonts w:ascii="Trebuchet MS" w:hAnsi="Trebuchet MS"/>
                        <w:sz w:val="22"/>
                        <w:szCs w:val="22"/>
                      </w:rPr>
                    </w:pPr>
                  </w:p>
                </w:tc>
                <w:tc>
                  <w:tcPr>
                    <w:tcW w:w="4910" w:type="dxa"/>
                    <w:tcBorders>
                      <w:bottom w:val="single" w:sz="4" w:space="0" w:color="auto"/>
                    </w:tcBorders>
                  </w:tcPr>
                  <w:p w14:paraId="487CFDAA" w14:textId="68B577A2">
                    <w:pPr>
                      <w:ind w:left="-11" w:firstLine="3495"/>
                      <w:rPr>
                        <w:rFonts w:ascii="Trebuchet MS" w:hAnsi="Trebuchet MS"/>
                        <w:sz w:val="22"/>
                        <w:szCs w:val="22"/>
                      </w:rPr>
                    </w:pPr>
                  </w:p>
                </w:tc>
              </w:tr>
              <w:tr w14:paraId="487CFDB0" w14:textId="77777777">
                <w:trPr>
                  <w:trHeight w:val="23"/>
                </w:trPr>
                <w:tc>
                  <w:tcPr>
                    <w:tcW w:w="2444" w:type="dxa"/>
                  </w:tcPr>
                  <w:p w14:paraId="487CFDAC" w14:textId="77777777">
                    <w:pPr>
                      <w:rPr>
                        <w:rFonts w:ascii="Trebuchet MS" w:hAnsi="Trebuchet MS"/>
                        <w:sz w:val="22"/>
                        <w:szCs w:val="22"/>
                      </w:rPr>
                    </w:pPr>
                  </w:p>
                </w:tc>
                <w:tc>
                  <w:tcPr>
                    <w:tcW w:w="4741" w:type="dxa"/>
                  </w:tcPr>
                  <w:p w14:paraId="487CFDAD" w14:textId="77777777">
                    <w:pPr>
                      <w:ind w:left="-11" w:firstLine="11"/>
                      <w:rPr>
                        <w:rFonts w:ascii="Trebuchet MS" w:hAnsi="Trebuchet MS"/>
                        <w:sz w:val="22"/>
                        <w:szCs w:val="22"/>
                      </w:rPr>
                    </w:pPr>
                    <w:r>
                      <w:rPr>
                        <w:rFonts w:ascii="Trebuchet MS" w:hAnsi="Trebuchet MS"/>
                        <w:sz w:val="22"/>
                        <w:szCs w:val="22"/>
                      </w:rPr>
                      <w:t xml:space="preserve">(parašas)                                      (data)</w:t>
                    </w:r>
                  </w:p>
                </w:tc>
                <w:tc>
                  <w:tcPr>
                    <w:tcW w:w="2424" w:type="dxa"/>
                  </w:tcPr>
                  <w:p w14:paraId="487CFDAE" w14:textId="77777777">
                    <w:pPr>
                      <w:rPr>
                        <w:rFonts w:ascii="Trebuchet MS" w:hAnsi="Trebuchet MS"/>
                        <w:sz w:val="22"/>
                        <w:szCs w:val="22"/>
                      </w:rPr>
                    </w:pPr>
                  </w:p>
                </w:tc>
                <w:tc>
                  <w:tcPr>
                    <w:tcW w:w="4910" w:type="dxa"/>
                    <w:tcBorders>
                      <w:top w:val="single" w:sz="4" w:space="0" w:color="auto"/>
                    </w:tcBorders>
                  </w:tcPr>
                  <w:p w14:paraId="487CFDAF" w14:textId="77777777">
                    <w:pPr>
                      <w:rPr>
                        <w:rFonts w:ascii="Trebuchet MS" w:hAnsi="Trebuchet MS"/>
                        <w:sz w:val="22"/>
                        <w:szCs w:val="22"/>
                      </w:rPr>
                    </w:pPr>
                    <w:r>
                      <w:rPr>
                        <w:rFonts w:ascii="Trebuchet MS" w:hAnsi="Trebuchet MS"/>
                        <w:sz w:val="22"/>
                        <w:szCs w:val="22"/>
                      </w:rPr>
                      <w:t xml:space="preserve">(parašas)                                             (data)</w:t>
                    </w:r>
                  </w:p>
                </w:tc>
              </w:tr>
            </w:tbl>
            <w:p w14:paraId="487CFDB1" w14:textId="77777777">
              <w:pPr>
                <w:tabs>
                  <w:tab w:val="left" w:pos="6237"/>
                </w:tabs>
                <w:suppressAutoHyphens/>
                <w:spacing w:line="276" w:lineRule="auto"/>
                <w:jc w:val="center"/>
                <w:textAlignment w:val="baseline"/>
                <w:rPr>
                  <w:rFonts w:ascii="Trebuchet MS" w:hAnsi="Trebuchet MS"/>
                  <w:color w:val="000000"/>
                  <w:sz w:val="22"/>
                  <w:szCs w:val="22"/>
                  <w:lang w:eastAsia="lt-LT"/>
                </w:rPr>
              </w:pPr>
            </w:p>
          </w:sdtContent>
        </w:sdt>
        <w:sdt>
          <w:sdtPr>
            <w:alias w:val="signatura"/>
            <w:tag w:val="part_36bb1eef869442e885404ebb3d2d1233"/>
            <w:lock w:val="sdtLocked"/>
            <w:richText/>
          </w:sdtPr>
          <w:sdtContent>
            <w:p w14:paraId="487CFDB4" w14:textId="3389B827">
              <w:pPr>
                <w:tabs>
                  <w:tab w:val="left" w:pos="6237"/>
                </w:tabs>
                <w:suppressAutoHyphens/>
                <w:spacing w:line="276" w:lineRule="auto"/>
                <w:jc w:val="center"/>
                <w:textAlignment w:val="baseline"/>
                <w:rPr>
                  <w:rFonts w:ascii="Trebuchet MS" w:hAnsi="Trebuchet MS"/>
                  <w:sz w:val="22"/>
                  <w:szCs w:val="22"/>
                  <w:lang w:eastAsia="lt-LT"/>
                </w:rPr>
              </w:pPr>
              <w:r>
                <w:rPr>
                  <w:rFonts w:ascii="Trebuchet MS" w:hAnsi="Trebuchet MS"/>
                  <w:color w:val="000000"/>
                  <w:sz w:val="22"/>
                  <w:szCs w:val="22"/>
                  <w:lang w:eastAsia="lt-LT"/>
                </w:rPr>
                <w:t>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code="9"/>
      <w:pgMar w:top="1701" w:right="1134" w:bottom="1134"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D3B879" w14:textId="77777777">
      <w:pPr>
        <w:rPr>
          <w:lang w:eastAsia="lt-LT"/>
        </w:rPr>
      </w:pPr>
      <w:r>
        <w:rPr>
          <w:lang w:eastAsia="lt-LT"/>
        </w:rPr>
        <w:separator/>
      </w:r>
    </w:p>
  </w:endnote>
  <w:endnote w:type="continuationSeparator" w:id="0">
    <w:p w14:paraId="56FB312C"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rebuchet MS">
    <w:panose1 w:val="020B0603020202020204"/>
    <w:charset w:val="BA"/>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C" w14:textId="77777777">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D" w14:textId="77777777">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F" w14:textId="77777777">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6EE023" w14:textId="77777777">
      <w:pPr>
        <w:rPr>
          <w:lang w:eastAsia="lt-LT"/>
        </w:rPr>
      </w:pPr>
      <w:r>
        <w:rPr>
          <w:lang w:eastAsia="lt-LT"/>
        </w:rPr>
        <w:separator/>
      </w:r>
    </w:p>
  </w:footnote>
  <w:footnote w:type="continuationSeparator" w:id="0">
    <w:p w14:paraId="459CB75A" w14:textId="77777777">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9" w14:textId="77777777">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487CFDBA" w14:textId="77777777">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B" w14:textId="77777777">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E"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487CFCE4"/>
  <w15:docId w15:val="{DBF221B3-A7E6-410D-A07D-10305C857ED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0406841">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2551f7124604b768b5c62e347045377" PartId="2cf58818ae5e4d0e80053c3d3646ad45">
    <Part Type="preambule" DocPartId="1cbd54f705c549a08e3e06d560ac621e" PartId="9ba5b9cc50cf4f5f93d26b769e8d584b"/>
    <Part Type="pastraipa" DocPartId="7976b62eb1ad4c3188868cc622ea09fe" PartId="6ea5aac1b28d4b3e9fd94b8a5b393334"/>
    <Part Type="lentele" DocPartId="02097df1542749ab98eb1818359f4d1c" PartId="b9414bbaf34c46c69444c333395c4922"/>
    <Part Type="lentele" DocPartId="58ce378f38f743caaec99cd349ac85e6" PartId="6d3841a7ca8d492db8231df26078b31a"/>
    <Part Type="signatura" DocPartId="65e6e39c41f744c8a0da6bc07cfab74a" PartId="36bb1eef869442e885404ebb3d2d1233"/>
  </Part>
</Parts>
</file>

<file path=customXml/itemProps1.xml><?xml version="1.0" encoding="utf-8"?>
<ds:datastoreItem xmlns:ds="http://schemas.openxmlformats.org/officeDocument/2006/customXml" ds:itemID="{C7BB0580-35BC-4298-937B-7E3908C7DAEF}">
  <ds:schemaRefs>
    <ds:schemaRef ds:uri="http://schemas.openxmlformats.org/officeDocument/2006/bibliography"/>
  </ds:schemaRefs>
</ds:datastoreItem>
</file>

<file path=customXml/itemProps2.xml><?xml version="1.0" encoding="utf-8"?>
<ds:datastoreItem xmlns:ds="http://schemas.openxmlformats.org/officeDocument/2006/customXml" ds:itemID="{1FA06481-A5A3-476B-BD06-0906FE44C8F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1382</Words>
  <Characters>10007</Characters>
  <Application>Microsoft Office Word</Application>
  <DocSecurity>4</DocSecurity>
  <Lines>454</Lines>
  <Paragraphs>158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11231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2022-03-29T07:45:00Z</dcterms:created>
  <dc:creator>lrvk</dc:creator>
  <lastModifiedBy>adlibuser</lastModifiedBy>
  <lastPrinted>2022-01-10T06:06:00Z</lastPrinted>
  <dcterms:modified xsi:type="dcterms:W3CDTF">2022-03-29T07:45:00Z</dcterms:modified>
  <revision>2</revision>
</coreProperties>
</file>