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5CC7C164" wp14:editId="76530885">
            <wp:extent cx="5524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7AC56F" wp14:editId="02F51B8E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47F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>Prienų rajono savivaldybės tarybai</w:t>
        <w:tab/>
        <w:tab/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SPRENDIMO „DĖL PRIENŲ RAJONO SAVIVALDYBĖS NEFORMALIOJO VAIKŲ ŠVIETIMO IR JO TEIKĖJŲ VEIKLOS KOKYBĖS UŽTIKRINIMO METODIKOS PATVIRTINIMO“ PROJEKTO AIŠKINAMASIS RAŠTAS</w:t>
      </w:r>
    </w:p>
    <w:p>
      <w:pPr>
        <w:jc w:val="both"/>
        <w:rPr>
          <w:b/>
          <w:bCs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2022-06-14 </w:t>
      </w:r>
    </w:p>
    <w:p>
      <w:pPr>
        <w:jc w:val="center"/>
        <w:rPr>
          <w:szCs w:val="24"/>
        </w:rPr>
      </w:pPr>
    </w:p>
    <w:p>
      <w:pPr>
        <w:tabs>
          <w:tab w:val="left" w:pos="993"/>
        </w:tabs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Sprendimo projekto tikslas:</w:t>
      </w:r>
    </w:p>
    <w:p>
      <w:pPr>
        <w:tabs>
          <w:tab w:val="left" w:pos="993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Užtikrinti neformaliojo vaikų švietimo ir jo teikėjų veiklos kokybę. </w:t>
      </w:r>
    </w:p>
    <w:p>
      <w:pPr>
        <w:tabs>
          <w:tab w:val="left" w:pos="993"/>
        </w:tabs>
        <w:ind w:firstLine="993"/>
        <w:jc w:val="both"/>
        <w:rPr>
          <w:szCs w:val="24"/>
        </w:rPr>
      </w:pPr>
      <w:r>
        <w:rPr>
          <w:b/>
          <w:szCs w:val="24"/>
          <w:lang w:eastAsia="lt-LT"/>
        </w:rPr>
        <w:t>Uždavinys:</w:t>
      </w:r>
      <w:r>
        <w:rPr>
          <w:szCs w:val="24"/>
        </w:rPr>
        <w:t xml:space="preserve"> </w:t>
      </w:r>
    </w:p>
    <w:p>
      <w:pPr>
        <w:tabs>
          <w:tab w:val="left" w:pos="993"/>
        </w:tabs>
        <w:ind w:firstLine="993"/>
        <w:jc w:val="both"/>
        <w:rPr>
          <w:b/>
          <w:szCs w:val="24"/>
          <w:lang w:eastAsia="lt-LT"/>
        </w:rPr>
      </w:pPr>
      <w:r>
        <w:rPr>
          <w:szCs w:val="24"/>
        </w:rPr>
        <w:t xml:space="preserve">Patvirtinti </w:t>
      </w:r>
      <w:r>
        <w:rPr>
          <w:bCs/>
          <w:szCs w:val="24"/>
        </w:rPr>
        <w:t>Prienų rajono savivaldybės n</w:t>
      </w:r>
      <w:r>
        <w:rPr>
          <w:szCs w:val="24"/>
        </w:rPr>
        <w:t>eformaliojo vaikų švietimo ir jo teikėjų veiklos kokybės užtikrinimo metodiką.</w:t>
      </w:r>
    </w:p>
    <w:p>
      <w:pPr>
        <w:tabs>
          <w:tab w:val="left" w:pos="993"/>
        </w:tabs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Siūlomos teisinio reguliavimo nuostatos:</w:t>
      </w:r>
    </w:p>
    <w:p>
      <w:pPr>
        <w:tabs>
          <w:tab w:val="left" w:pos="993"/>
        </w:tabs>
        <w:ind w:firstLine="993"/>
        <w:jc w:val="both"/>
        <w:rPr>
          <w:szCs w:val="24"/>
        </w:rPr>
      </w:pPr>
      <w:r>
        <w:rPr>
          <w:szCs w:val="24"/>
        </w:rPr>
        <w:t xml:space="preserve">Lietuvos Respublikos vietos savivaldos įstatymo 6 straipsnio 8 punktas įpareigoja savivaldybę organizuoti neformalųjį vaikų švietimą. </w:t>
      </w:r>
      <w:r>
        <w:rPr>
          <w:bCs/>
          <w:szCs w:val="24"/>
        </w:rPr>
        <w:t>Lietuvos Respublikos švietimo, mokslo ir sporto ministro 2019 m. kovo 28 d. įsakymu Nr. V-342 „Dėl Neformaliojo vaikų švietimo ir jo teikėjų veiklos kokybės užtikrinimo metodikos patvirtinimo“ patvirtintos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N</w:t>
      </w:r>
      <w:r>
        <w:rPr>
          <w:szCs w:val="24"/>
        </w:rPr>
        <w:t xml:space="preserve">eformaliojo vaikų švietimo ir jo teikėjų veiklos kokybės užtikrinimo metodikos (toliau – Metodika) 3 punktas nustato, kad vadovaujantis Metodika turi būti parengta savivaldybės neformaliojo vaikų švietimo ir jo teikėjų stebėsenos, įsivertinimo ir išorės vertinimo metodika. Atsižvelgiant į tai, parengta ir teikiama tvirtinti </w:t>
      </w:r>
      <w:r>
        <w:rPr>
          <w:bCs/>
          <w:szCs w:val="24"/>
        </w:rPr>
        <w:t>Prienų rajono savivaldybės n</w:t>
      </w:r>
      <w:r>
        <w:rPr>
          <w:szCs w:val="24"/>
        </w:rPr>
        <w:t>eformaliojo vaikų švietimo ir jo teikėjų veiklos kokybės užtikrinimo metodika bei prašoma pripažinti netekusiu galios Prienų rajono savivaldybės tarybos 2015 m. kovo 26 d. sprendimą Nr. T3-47 „Dėl Prienų rajono savivaldybės neformaliojo švietimo mokyklų išorinio vertinimo tvarkos aprašo patvirtinimo“.</w:t>
      </w:r>
    </w:p>
    <w:p>
      <w:pPr>
        <w:tabs>
          <w:tab w:val="left" w:pos="993"/>
        </w:tabs>
        <w:ind w:firstLine="993"/>
        <w:jc w:val="both"/>
        <w:rPr>
          <w:b/>
          <w:szCs w:val="24"/>
          <w:lang w:eastAsia="lt-LT"/>
        </w:rPr>
      </w:pPr>
      <w:r>
        <w:rPr>
          <w:szCs w:val="24"/>
        </w:rPr>
        <w:t xml:space="preserve">Lietuvos Respublikos vietos savivaldos įstatymo 16 straipsnio 4 dalis </w:t>
      </w:r>
      <w:r>
        <w:rPr>
          <w:szCs w:val="24"/>
          <w:lang w:eastAsia="lt-LT"/>
        </w:rPr>
        <w:t>Prienų rajono s</w:t>
      </w:r>
      <w:r>
        <w:rPr>
          <w:szCs w:val="24"/>
        </w:rPr>
        <w:t>avivaldybės tarybai suteikia teisę priimti tokį sprendimą.</w:t>
      </w:r>
    </w:p>
    <w:p>
      <w:pPr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Laukiami rezultatai:</w:t>
      </w:r>
    </w:p>
    <w:p>
      <w:pPr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Vadovaujantis patvirtinta metodika bus sėkmingai organizuojama Prienų rajono savivaldybės neformaliojo vaikų švietimo ir jo teikėjų stebėsena, vertinimas bei įsivertinimas.</w:t>
      </w:r>
    </w:p>
    <w:p>
      <w:pPr>
        <w:ind w:firstLine="993"/>
        <w:jc w:val="both"/>
        <w:rPr>
          <w:szCs w:val="24"/>
          <w:lang w:eastAsia="lt-LT"/>
        </w:rPr>
      </w:pPr>
      <w:r>
        <w:rPr>
          <w:b/>
          <w:bCs/>
          <w:szCs w:val="24"/>
          <w:shd w:val="clear" w:color="auto" w:fill="FFFFFF"/>
        </w:rPr>
        <w:t>Lėšų poreikis ir šaltiniai:</w:t>
      </w:r>
    </w:p>
    <w:p>
      <w:pPr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Papildomų lėšų nereikės.</w:t>
      </w:r>
    </w:p>
    <w:p>
      <w:pPr>
        <w:tabs>
          <w:tab w:val="left" w:pos="851"/>
          <w:tab w:val="left" w:pos="993"/>
        </w:tabs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Kiti sprendimui priimti reikalingi pagrindimai, skaičiavimai ar paaiškinimai:</w:t>
      </w:r>
    </w:p>
    <w:p>
      <w:pPr>
        <w:tabs>
          <w:tab w:val="left" w:pos="851"/>
          <w:tab w:val="left" w:pos="993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993"/>
        </w:tabs>
        <w:ind w:firstLine="975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Lyginamasis variantas</w:t>
      </w:r>
      <w:r>
        <w:rPr>
          <w:szCs w:val="24"/>
          <w:lang w:eastAsia="lt-LT"/>
        </w:rPr>
        <w:t xml:space="preserve">: </w:t>
      </w:r>
    </w:p>
    <w:p>
      <w:pPr>
        <w:tabs>
          <w:tab w:val="left" w:pos="993"/>
        </w:tabs>
        <w:ind w:firstLine="9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99" w:right="567" w:bottom="709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BBB5A53-9EBD-4702-861B-B6AE4938523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81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2052</Characters>
  <Application>Microsoft Office Word</Application>
  <DocSecurity>4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2022-06-21T13:50:00Z</dcterms:created>
  <dc:creator>Vartotojas</dc:creator>
  <lastModifiedBy>adlibuser</lastModifiedBy>
  <lastPrinted>2021-03-16T06:29:00Z</lastPrinted>
  <dcterms:modified xsi:type="dcterms:W3CDTF">2022-06-21T13:50:00Z</dcterms:modified>
  <revision>2</revision>
</coreProperties>
</file>