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64e8eb27f1f41729fde493b23fca3a2"/>
        <w:lock w:val="sdtLocked"/>
        <w:richText/>
      </w:sdtPr>
      <w:sdtContent>
        <w:p>
          <w:pPr>
            <w:jc w:val="center"/>
            <w:rPr>
              <w:b/>
              <w:sz w:val="28"/>
              <w:szCs w:val="28"/>
              <w:lang w:eastAsia="lt-LT"/>
            </w:rPr>
          </w:pPr>
          <w:r>
            <w:rPr>
              <w:b/>
              <w:sz w:val="28"/>
              <w:szCs w:val="28"/>
              <w:lang w:val="en-US"/>
            </w:rPr>
            <w:drawing>
              <wp:inline distT="0" distB="0" distL="0" distR="0" wp14:anchorId="7B9E21D3" wp14:editId="7C849A94">
                <wp:extent cx="1269365" cy="450215"/>
                <wp:effectExtent l="0" t="0" r="6985" b="6985"/>
                <wp:docPr id="1329729480" name="Paveikslėlis 1329729480" descr="radviliskio_ligon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radviliskio_ligonine"/>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69365" cy="450215"/>
                        </a:xfrm>
                        <a:prstGeom prst="rect">
                          <a:avLst/>
                        </a:prstGeom>
                        <a:noFill/>
                        <a:ln>
                          <a:noFill/>
                        </a:ln>
                      </pic:spPr>
                    </pic:pic>
                  </a:graphicData>
                </a:graphic>
              </wp:inline>
            </w:drawing>
          </w:r>
        </w:p>
        <w:p>
          <w:pPr>
            <w:jc w:val="center"/>
            <w:rPr>
              <w:b/>
              <w:sz w:val="28"/>
              <w:szCs w:val="28"/>
              <w:lang w:eastAsia="lt-LT"/>
            </w:rPr>
          </w:pPr>
        </w:p>
        <w:p>
          <w:pPr>
            <w:jc w:val="center"/>
            <w:rPr>
              <w:b/>
              <w:sz w:val="28"/>
              <w:szCs w:val="28"/>
              <w:lang w:eastAsia="ru-RU"/>
            </w:rPr>
          </w:pPr>
          <w:r>
            <w:rPr>
              <w:b/>
              <w:sz w:val="28"/>
              <w:szCs w:val="28"/>
              <w:lang w:eastAsia="ru-RU"/>
            </w:rPr>
            <w:t>VIEŠOJI ĮSTAIGA RADVILIŠKIO LIGONINĖ</w:t>
          </w:r>
        </w:p>
        <w:p>
          <w:pPr>
            <w:jc w:val="center"/>
            <w:rPr>
              <w:sz w:val="16"/>
              <w:szCs w:val="16"/>
              <w:lang w:eastAsia="ru-RU"/>
            </w:rPr>
          </w:pPr>
          <w:r>
            <w:rPr>
              <w:sz w:val="16"/>
              <w:szCs w:val="16"/>
              <w:lang w:eastAsia="ru-RU"/>
            </w:rPr>
            <w:t xml:space="preserve">Gedimino g. 9, 82174 Radviliškis, tel. (0 422) 52 435, faks. (0 422) 60 210, el. p. </w:t>
          </w:r>
          <w:r>
            <w:rPr>
              <w:color w:val="0000FF"/>
              <w:sz w:val="16"/>
              <w:szCs w:val="16"/>
              <w:u w:val="single"/>
              <w:lang w:eastAsia="ru-RU"/>
            </w:rPr>
            <w:t>info@radviliskioligonine.lt</w:t>
          </w:r>
          <w:r>
            <w:rPr>
              <w:sz w:val="16"/>
              <w:szCs w:val="16"/>
              <w:lang w:eastAsia="ru-RU"/>
            </w:rPr>
            <w:t xml:space="preserve"> </w:t>
          </w:r>
        </w:p>
        <w:p>
          <w:pPr>
            <w:jc w:val="center"/>
            <w:rPr>
              <w:sz w:val="16"/>
              <w:szCs w:val="16"/>
              <w:lang w:eastAsia="ru-RU"/>
            </w:rPr>
          </w:pPr>
          <w:r>
            <w:rPr>
              <w:sz w:val="16"/>
              <w:szCs w:val="16"/>
              <w:lang w:eastAsia="ru-RU"/>
            </w:rPr>
            <w:t xml:space="preserve">Atsiskaitomoji sąskaita LT207181400003700793   AB Šiaulių bankas Radviliškio filialas,   Banko kodas 71814</w:t>
          </w:r>
        </w:p>
        <w:p>
          <w:pPr>
            <w:jc w:val="center"/>
            <w:rPr>
              <w:sz w:val="16"/>
              <w:szCs w:val="16"/>
              <w:lang w:eastAsia="ru-RU"/>
            </w:rPr>
          </w:pPr>
          <w:r>
            <w:rPr>
              <w:sz w:val="16"/>
              <w:szCs w:val="16"/>
              <w:lang w:eastAsia="ru-RU"/>
            </w:rPr>
            <w:t>Duomenys kaupiami ir saugomi Juridinių asmenų registre, kodas 171448341</w:t>
          </w:r>
        </w:p>
        <w:p>
          <w:pPr>
            <w:jc w:val="center"/>
            <w:rPr>
              <w:sz w:val="16"/>
              <w:szCs w:val="16"/>
              <w:lang w:eastAsia="ru-RU"/>
            </w:rPr>
          </w:pPr>
          <w:r>
            <w:rPr>
              <w:sz w:val="22"/>
              <w:lang w:eastAsia="ru-RU"/>
            </w:rPr>
            <w:t>_________________________________________________________________________________</w:t>
          </w:r>
        </w:p>
        <w:p>
          <w:pPr>
            <w:rPr>
              <w:szCs w:val="24"/>
              <w:lang w:val="en-US" w:eastAsia="ru-RU"/>
            </w:rPr>
          </w:pPr>
        </w:p>
        <w:sdt>
          <w:sdtPr>
            <w:alias w:val="preambule"/>
            <w:tag w:val="part_ce88ba3c8ebe40c9894a739e13c8ba34"/>
            <w:lock w:val="sdtLocked"/>
            <w:richText/>
          </w:sdtPr>
          <w:sdtContent>
            <w:p>
              <w:pPr>
                <w:ind w:left="720" w:hanging="720"/>
                <w:rPr>
                  <w:szCs w:val="24"/>
                  <w:lang w:val="en-US" w:eastAsia="ru-RU"/>
                </w:rPr>
              </w:pPr>
              <w:r>
                <w:rPr>
                  <w:szCs w:val="24"/>
                  <w:lang w:val="en-US" w:eastAsia="ru-RU"/>
                </w:rPr>
                <w:t>Radviliškio rajono savivaldybės merui</w:t>
                <w:tab/>
                <w:tab/>
                <w:t xml:space="preserve">        2025-04-02 Nr. S-      (1.13 Mr)</w:t>
              </w:r>
            </w:p>
          </w:sdtContent>
        </w:sdt>
        <w:sdt>
          <w:sdtPr>
            <w:alias w:val="pastraipa"/>
            <w:tag w:val="part_5ef3e9565ee443bbbd9c3853bbc59791"/>
            <w:lock w:val="sdtLocked"/>
            <w:richText/>
          </w:sdtPr>
          <w:sdtContent>
            <w:p>
              <w:pPr>
                <w:ind w:left="720" w:hanging="720"/>
                <w:rPr>
                  <w:szCs w:val="24"/>
                  <w:lang w:val="en-US" w:eastAsia="ru-RU"/>
                </w:rPr>
              </w:pPr>
              <w:r>
                <w:rPr>
                  <w:szCs w:val="24"/>
                  <w:lang w:val="en-US" w:eastAsia="ru-RU"/>
                </w:rPr>
                <w:t xml:space="preserve">El. p. </w:t>
              </w:r>
              <w:r>
                <w:rPr>
                  <w:color w:val="0563C1"/>
                  <w:szCs w:val="24"/>
                  <w:u w:val="single"/>
                  <w:lang w:val="en-US" w:eastAsia="ru-RU"/>
                </w:rPr>
                <w:t>informacija@radviliskis.lt</w:t>
              </w:r>
              <w:r>
                <w:rPr>
                  <w:szCs w:val="24"/>
                  <w:lang w:val="en-US" w:eastAsia="ru-RU"/>
                </w:rPr>
                <w:t xml:space="preserve">     </w:t>
              </w:r>
            </w:p>
            <w:p>
              <w:pPr>
                <w:ind w:left="720" w:hanging="720"/>
                <w:rPr>
                  <w:szCs w:val="24"/>
                  <w:lang w:val="en-US" w:eastAsia="ru-RU"/>
                </w:rPr>
              </w:pPr>
            </w:p>
            <w:p>
              <w:pPr>
                <w:ind w:left="720" w:hanging="720"/>
                <w:rPr>
                  <w:szCs w:val="24"/>
                  <w:lang w:val="en-US" w:eastAsia="ru-RU"/>
                </w:rPr>
              </w:pPr>
            </w:p>
          </w:sdtContent>
        </w:sdt>
        <w:sdt>
          <w:sdtPr>
            <w:alias w:val="skirsnis"/>
            <w:tag w:val="part_362d80352eb743568c9c13ab373bb05a"/>
            <w:lock w:val="sdtLocked"/>
            <w:richText/>
          </w:sdtPr>
          <w:sdtContent>
            <w:p>
              <w:pPr>
                <w:tabs>
                  <w:tab w:val="left" w:pos="0"/>
                </w:tabs>
                <w:rPr>
                  <w:b/>
                  <w:bCs/>
                  <w:szCs w:val="24"/>
                  <w:lang w:val="en-US" w:eastAsia="ru-RU"/>
                </w:rPr>
              </w:pPr>
              <w:sdt>
                <w:sdtPr>
                  <w:alias w:val="Pavadinimas"/>
                  <w:tag w:val="title_362d80352eb743568c9c13ab373bb05a"/>
                  <w:lock w:val="sdtLocked"/>
                  <w:richText/>
                </w:sdtPr>
                <w:sdtContent>
                  <w:r>
                    <w:rPr>
                      <w:b/>
                      <w:bCs/>
                      <w:szCs w:val="24"/>
                      <w:lang w:val="en-US" w:eastAsia="ru-RU"/>
                    </w:rPr>
                    <w:t>DĖL LEIDIMO TEIKTI TREČIO LYGIO PASLAUGAS</w:t>
                  </w:r>
                </w:sdtContent>
              </w:sdt>
            </w:p>
            <w:p>
              <w:pPr>
                <w:rPr>
                  <w:szCs w:val="24"/>
                  <w:lang w:val="en-US" w:eastAsia="ru-RU"/>
                </w:rPr>
              </w:pPr>
            </w:p>
            <w:p>
              <w:pPr>
                <w:rPr>
                  <w:szCs w:val="24"/>
                  <w:lang w:val="en-US" w:eastAsia="ru-RU"/>
                </w:rPr>
              </w:pPr>
            </w:p>
            <w:p>
              <w:pPr>
                <w:spacing w:line="276" w:lineRule="auto"/>
                <w:ind w:firstLine="720"/>
                <w:jc w:val="both"/>
                <w:rPr>
                  <w:szCs w:val="24"/>
                  <w:lang w:val="en-US" w:eastAsia="ru-RU"/>
                </w:rPr>
              </w:pPr>
              <w:r>
                <w:rPr>
                  <w:szCs w:val="24"/>
                  <w:lang w:val="en-US" w:eastAsia="ru-RU"/>
                </w:rPr>
                <w:t>Vadovaudamiesi Lietuvos Respublikos sveikatos apsaugos ministro 2010 m. gruodžio 29 d. įsakymo Nr. V-1145 „Dėl leidimų teikti iš Privalomojo sveikatos draudimo fondo biudžeto lėšų apmokamas naujo profilio stacionarines asmens sveikatos priežiūros paslaugas išdavimo tvarkos aprašo ir komisijos darbo reglamento patvirtinimo“ 4.2 punktu, bei. Lietuvos Respublikos sveikatos apsaugos ministro 2007 m. liepos 2 d įsakymu Nr. V-553 „Dėl vaikų ir suaugusių abdominalinės chirurgijos stacionarinių tretinio lygio paslaugų teikimo specialiųjų reikalavimų patvirtinimo“, prašome leidimo naujo profilio paslaugų teikimui (endoskopinis kraujuojančių stemplės varikozinių mazgų ligavimas, sklerozavimas bei laparoskopinė gastroplastika; skrandžio ir dvylikapirštės žarnos apylankos operacijos).</w:t>
              </w:r>
            </w:p>
            <w:p>
              <w:pPr>
                <w:spacing w:line="276" w:lineRule="auto"/>
                <w:jc w:val="both"/>
                <w:rPr>
                  <w:szCs w:val="24"/>
                  <w:lang w:val="en-US" w:eastAsia="ru-RU"/>
                </w:rPr>
              </w:pPr>
            </w:p>
            <w:p>
              <w:pPr>
                <w:spacing w:line="276" w:lineRule="auto"/>
                <w:jc w:val="both"/>
                <w:rPr>
                  <w:szCs w:val="24"/>
                  <w:lang w:val="en-US" w:eastAsia="ru-RU"/>
                </w:rPr>
              </w:pPr>
            </w:p>
            <w:p>
              <w:pPr>
                <w:spacing w:line="276" w:lineRule="auto"/>
                <w:jc w:val="both"/>
                <w:rPr>
                  <w:szCs w:val="24"/>
                  <w:lang w:val="en-US" w:eastAsia="ru-RU"/>
                </w:rPr>
              </w:pPr>
              <w:r>
                <w:rPr>
                  <w:szCs w:val="24"/>
                  <w:lang w:val="en-US" w:eastAsia="ru-RU"/>
                </w:rPr>
                <w:t>Direktorė</w:t>
                <w:tab/>
                <w:tab/>
                <w:tab/>
                <w:tab/>
              </w:r>
              <w:r>
                <w:rPr>
                  <w:szCs w:val="24"/>
                  <w:lang w:eastAsia="ru-RU"/>
                </w:rPr>
                <w:tab/>
                <w:t xml:space="preserve">              Aušra Čiūdarienė</w:t>
              </w:r>
            </w:p>
            <w:p>
              <w:pPr>
                <w:spacing w:line="276" w:lineRule="auto"/>
                <w:jc w:val="both"/>
                <w:rPr>
                  <w:szCs w:val="24"/>
                  <w:lang w:val="en-US" w:eastAsia="ru-RU"/>
                </w:rPr>
              </w:pPr>
            </w:p>
            <w:p>
              <w:pPr>
                <w:jc w:val="both"/>
                <w:rPr>
                  <w:szCs w:val="24"/>
                  <w:lang w:val="en-US" w:eastAsia="ru-RU"/>
                </w:rPr>
              </w:pPr>
            </w:p>
            <w:p>
              <w:pPr>
                <w:ind w:left="720" w:firstLine="1264"/>
                <w:rPr>
                  <w:szCs w:val="24"/>
                  <w:lang w:val="en-US" w:eastAsia="ru-RU"/>
                </w:rPr>
              </w:pPr>
            </w:p>
            <w:p>
              <w:pPr>
                <w:ind w:left="720" w:hanging="720"/>
                <w:rPr>
                  <w:szCs w:val="24"/>
                  <w:lang w:val="en-US" w:eastAsia="ru-RU"/>
                </w:rPr>
              </w:pPr>
            </w:p>
            <w:p>
              <w:pPr>
                <w:spacing w:line="259" w:lineRule="auto"/>
                <w:rPr>
                  <w:sz w:val="20"/>
                  <w:lang w:val="en-US" w:eastAsia="ru-RU"/>
                </w:rPr>
              </w:pPr>
            </w:p>
            <w:p>
              <w:pPr>
                <w:rPr>
                  <w:sz w:val="14"/>
                  <w:szCs w:val="14"/>
                </w:rPr>
              </w:pPr>
            </w:p>
            <w:p>
              <w:pPr>
                <w:spacing w:line="259" w:lineRule="auto"/>
                <w:rPr>
                  <w:sz w:val="20"/>
                  <w:lang w:val="en-US" w:eastAsia="ru-RU"/>
                </w:rPr>
              </w:pPr>
            </w:p>
            <w:p>
              <w:pPr>
                <w:rPr>
                  <w:sz w:val="14"/>
                  <w:szCs w:val="14"/>
                </w:rPr>
              </w:pPr>
            </w:p>
            <w:p>
              <w:pPr>
                <w:spacing w:line="259" w:lineRule="auto"/>
                <w:rPr>
                  <w:sz w:val="20"/>
                  <w:lang w:val="en-US" w:eastAsia="ru-RU"/>
                </w:rPr>
              </w:pPr>
            </w:p>
            <w:p>
              <w:pPr>
                <w:rPr>
                  <w:sz w:val="14"/>
                  <w:szCs w:val="14"/>
                </w:rPr>
              </w:pPr>
            </w:p>
            <w:p>
              <w:pPr>
                <w:spacing w:line="259" w:lineRule="auto"/>
                <w:rPr>
                  <w:sz w:val="20"/>
                  <w:lang w:val="en-US" w:eastAsia="ru-RU"/>
                </w:rPr>
              </w:pPr>
            </w:p>
            <w:p>
              <w:pPr>
                <w:rPr>
                  <w:sz w:val="14"/>
                  <w:szCs w:val="14"/>
                </w:rPr>
              </w:pPr>
            </w:p>
            <w:p>
              <w:pPr>
                <w:spacing w:line="259" w:lineRule="auto"/>
                <w:rPr>
                  <w:sz w:val="20"/>
                  <w:lang w:val="en-US" w:eastAsia="ru-RU"/>
                </w:rPr>
              </w:pPr>
            </w:p>
            <w:p>
              <w:pPr>
                <w:rPr>
                  <w:sz w:val="14"/>
                  <w:szCs w:val="14"/>
                </w:rPr>
              </w:pPr>
            </w:p>
            <w:p>
              <w:pPr>
                <w:spacing w:line="259" w:lineRule="auto"/>
                <w:rPr>
                  <w:sz w:val="20"/>
                  <w:lang w:val="en-US" w:eastAsia="ru-RU"/>
                </w:rPr>
              </w:pPr>
            </w:p>
            <w:p>
              <w:pPr>
                <w:rPr>
                  <w:sz w:val="14"/>
                  <w:szCs w:val="14"/>
                </w:rPr>
              </w:pPr>
            </w:p>
            <w:p>
              <w:pPr>
                <w:spacing w:line="259" w:lineRule="auto"/>
                <w:rPr>
                  <w:sz w:val="20"/>
                  <w:lang w:val="en-US" w:eastAsia="ru-RU"/>
                </w:rPr>
              </w:pPr>
            </w:p>
            <w:p>
              <w:pPr>
                <w:rPr>
                  <w:sz w:val="14"/>
                  <w:szCs w:val="14"/>
                </w:rPr>
              </w:pPr>
            </w:p>
            <w:p>
              <w:pPr>
                <w:spacing w:line="259" w:lineRule="auto"/>
                <w:rPr>
                  <w:sz w:val="20"/>
                  <w:lang w:val="en-US" w:eastAsia="ru-RU"/>
                </w:rPr>
              </w:pPr>
            </w:p>
            <w:p>
              <w:pPr>
                <w:rPr>
                  <w:sz w:val="14"/>
                  <w:szCs w:val="14"/>
                </w:rPr>
              </w:pPr>
            </w:p>
            <w:p>
              <w:pPr>
                <w:spacing w:line="259" w:lineRule="auto"/>
                <w:rPr>
                  <w:sz w:val="20"/>
                  <w:lang w:val="en-US" w:eastAsia="ru-RU"/>
                </w:rPr>
              </w:pPr>
            </w:p>
            <w:p>
              <w:pPr>
                <w:rPr>
                  <w:sz w:val="14"/>
                  <w:szCs w:val="14"/>
                </w:rPr>
              </w:pPr>
            </w:p>
          </w:sdtContent>
        </w:sdt>
        <w:sdt>
          <w:sdtPr>
            <w:alias w:val="skirsnis"/>
            <w:tag w:val="part_dc2e57ee643a4060a5f8bd2db60e1779"/>
            <w:lock w:val="sdtLocked"/>
            <w:richText/>
          </w:sdtPr>
          <w:sdtContent>
            <w:p>
              <w:pPr>
                <w:rPr>
                  <w:b/>
                  <w:szCs w:val="24"/>
                  <w:lang w:val="en-US" w:eastAsia="ru-RU"/>
                </w:rPr>
              </w:pPr>
              <w:sdt>
                <w:sdtPr>
                  <w:alias w:val="Pavadinimas"/>
                  <w:tag w:val="title_dc2e57ee643a4060a5f8bd2db60e1779"/>
                  <w:lock w:val="sdtLocked"/>
                  <w:richText/>
                </w:sdtPr>
                <w:sdtContent>
                  <w:r>
                    <w:rPr>
                      <w:b/>
                      <w:szCs w:val="24"/>
                      <w:lang w:val="en-US" w:eastAsia="ru-RU"/>
                    </w:rPr>
                    <w:t>ORIGINALAS SIUNČIAMAS NEBUS</w:t>
                  </w:r>
                </w:sdtContent>
              </w:sdt>
            </w:p>
            <w:p>
              <w:pPr>
                <w:rPr>
                  <w:b/>
                  <w:szCs w:val="24"/>
                  <w:lang w:val="en-US" w:eastAsia="ru-RU"/>
                </w:rPr>
              </w:pPr>
            </w:p>
          </w:sdtContent>
        </w:sdt>
        <w:sdt>
          <w:sdtPr>
            <w:alias w:val="signatura"/>
            <w:tag w:val="part_d8ae44e7c5394179bd0c1a06948ebd60"/>
            <w:lock w:val="sdtLocked"/>
            <w:richText/>
          </w:sdtPr>
          <w:sdtContent>
            <w:p>
              <w:pPr>
                <w:spacing w:line="360" w:lineRule="auto"/>
                <w:jc w:val="both"/>
                <w:rPr>
                  <w:sz w:val="20"/>
                  <w:lang w:val="en-US" w:eastAsia="ru-RU"/>
                </w:rPr>
              </w:pPr>
              <w:r>
                <w:rPr>
                  <w:szCs w:val="24"/>
                  <w:lang w:val="en-US" w:eastAsia="ru-RU"/>
                </w:rPr>
                <w:t xml:space="preserve">Laima Rimkutė, </w:t>
              </w:r>
              <w:r>
                <w:rPr>
                  <w:color w:val="000000"/>
                  <w:szCs w:val="24"/>
                  <w:lang w:val="en-US" w:eastAsia="ru-RU"/>
                </w:rPr>
                <w:t>(0 422) 52 435</w:t>
              </w:r>
              <w:r>
                <w:rPr>
                  <w:szCs w:val="24"/>
                  <w:lang w:val="en-US" w:eastAsia="ru-RU"/>
                </w:rPr>
                <w:t xml:space="preserve">, el. p. </w:t>
              </w:r>
              <w:r>
                <w:rPr>
                  <w:color w:val="0563C1"/>
                  <w:szCs w:val="24"/>
                  <w:u w:val="single"/>
                  <w:lang w:val="en-US" w:eastAsia="ru-RU"/>
                </w:rPr>
                <w:t>info@radviliskioligonine.lt</w:t>
              </w:r>
            </w:p>
          </w:sdtContent>
        </w:sdt>
      </w:sdtContent>
    </w:sdt>
    <w:sectPr>
      <w:pgSz w:w="11906" w:h="16838"/>
      <w:pgMar w:top="1440" w:right="1440" w:bottom="1440" w:left="1440"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FF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113C36-9A59-4542-A9D2-7223E600113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image" Target="media/image1.jpeg"/>
  <Relationship Id="rId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797fa709f446d3a2add3eed553c254" PartId="164e8eb27f1f41729fde493b23fca3a2">
    <Part Type="preambule" DocPartId="799ba7220c654ba9b56dd6e1f232488d" PartId="ce88ba3c8ebe40c9894a739e13c8ba34"/>
    <Part Type="pastraipa" DocPartId="845af6f0c2a94614a07539b3d9916f55" PartId="5ef3e9565ee443bbbd9c3853bbc59791"/>
    <Part Type="skirsnis" Title="DĖL LEIDIMO TEIKTI TREČIO LYGIO PASLAUGAS" DocPartId="fb95e132db494e9f97b6934384f26fdb" PartId="362d80352eb743568c9c13ab373bb05a"/>
    <Part Type="skirsnis" Title="ORIGINALAS SIUNČIAMAS NEBUS" DocPartId="d777cfe6ff3f4ba29a974daaea9ef3dc" PartId="dc2e57ee643a4060a5f8bd2db60e1779"/>
    <Part Type="signatura" DocPartId="8a556363c8b34e2aafd2f1f50d67e6a4" PartId="d8ae44e7c5394179bd0c1a06948ebd60"/>
  </Part>
</Parts>
</file>

<file path=customXml/itemProps1.xml><?xml version="1.0" encoding="utf-8"?>
<ds:datastoreItem xmlns:ds="http://schemas.openxmlformats.org/officeDocument/2006/customXml" ds:itemID="{625FA2C1-6C97-4312-806C-3BE9C7CE43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193</Words>
  <Characters>1487</Characters>
  <Application>Microsoft Office Word</Application>
  <DocSecurity>4</DocSecurity>
  <Lines>51</Lines>
  <Paragraphs>15</Paragraphs>
  <ScaleCrop>false</ScaleCrop>
  <Company/>
  <LinksUpToDate>false</LinksUpToDate>
  <CharactersWithSpaces>1665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2025-04-16T05:30:00Z</dcterms:created>
  <dc:creator>Vartotojas</dc:creator>
  <lastModifiedBy>adlibuser</lastModifiedBy>
  <dcterms:modified xsi:type="dcterms:W3CDTF">2025-04-16T05:30:00Z</dcterms:modified>
  <revision>2</revision>
</coreProperties>
</file>