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07aaecf36d434baab74e1d18efc53fdf"/>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keepNext/>
                  <w:widowControl w:val="0"/>
                  <w:suppressAutoHyphens/>
                  <w:jc w:val="center"/>
                  <w:rPr>
                    <w:rFonts w:eastAsia="Andale Sans UI" w:cs="Tahoma"/>
                    <w:b/>
                    <w:bCs/>
                    <w:caps/>
                    <w:sz w:val="28"/>
                    <w:szCs w:val="28"/>
                    <w:lang w:bidi="en-US"/>
                  </w:rPr>
                </w:pPr>
                <w:r>
                  <w:rPr>
                    <w:rFonts w:eastAsia="Andale Sans UI" w:cs="Tahoma"/>
                    <w:b/>
                    <w:bCs/>
                    <w:caps/>
                    <w:sz w:val="28"/>
                    <w:szCs w:val="32"/>
                    <w:lang w:val="en-US"/>
                  </w:rPr>
                  <w:drawing>
                    <wp:inline distT="0" distB="0" distL="0" distR="0" wp14:anchorId="3EBB8890" wp14:editId="3B72CC69">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Cs w:val="24"/>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22 252,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szCs w:val="24"/>
                    <w:lang w:bidi="en-US"/>
                  </w:rPr>
                  <w:t>2023-</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r>
                  <w:rPr>
                    <w:rFonts w:eastAsia="Andale Sans UI" w:cs="Tahoma"/>
                    <w:szCs w:val="24"/>
                    <w:lang w:bidi="en-US"/>
                  </w:rPr>
                  <w:t>(10)-D8(E)-</w:t>
                </w: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bCs/>
                    <w:szCs w:val="24"/>
                    <w:lang w:bidi="en-US"/>
                  </w:rPr>
                </w:pPr>
                <w:r>
                  <w:rPr>
                    <w:rFonts w:eastAsia="Andale Sans UI" w:cs="Tahoma"/>
                    <w:b/>
                    <w:bCs/>
                    <w:caps/>
                    <w:szCs w:val="24"/>
                    <w:lang w:bidi="en-US"/>
                  </w:rPr>
                  <w:t xml:space="preserve">DĖL </w:t>
                </w:r>
                <w:r>
                  <w:rPr>
                    <w:rFonts w:eastAsia="Andale Sans UI" w:cs="Tahoma"/>
                    <w:b/>
                    <w:szCs w:val="24"/>
                    <w:lang w:eastAsia="lt-LT" w:bidi="en-US"/>
                  </w:rPr>
                  <w:t xml:space="preserve">APLINKOS MINISTRO ĮSAKYMO PROJEKTO </w:t>
                </w:r>
              </w:p>
            </w:tc>
          </w:tr>
        </w:tbl>
        <w:p>
          <w:pPr>
            <w:spacing w:line="276" w:lineRule="auto"/>
            <w:jc w:val="both"/>
            <w:rPr>
              <w:rFonts w:eastAsia="Andale Sans UI" w:cs="Tahoma"/>
              <w:szCs w:val="24"/>
              <w:lang w:bidi="en-US"/>
            </w:rPr>
          </w:pPr>
        </w:p>
      </w:sdtContent>
    </w:sdt>
    <w:sdt>
      <w:sdtPr>
        <w:alias w:val="pastraipa"/>
        <w:tag w:val="part_b730975a7f9c425bb6b40def74ed6eef"/>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Aplinkos ministerija teikia išvadoms gauti Lietuvos Respublikos aplinkos ministro įsakymo „Dėl Lietuvos Respublikos aplinkos ministro 2012 m. gruodžio 28 d. įsakymo Nr. D1-1120 „Dėl Vandens naudojimo ir nuotekų tvarkymo apskaitos tvarkos aprašo patvirtinimo“ pakeitimo“ projektą (toliau – Įsakymo projektas).</w:t>
          </w:r>
        </w:p>
      </w:sdtContent>
    </w:sdt>
    <w:sdt>
      <w:sdtPr>
        <w:alias w:val="pastraipa"/>
        <w:tag w:val="part_aa4e91cce54b41fc849deb0276cef37d"/>
        <w:lock w:val="sdtLocked"/>
        <w:richText/>
      </w:sdtPr>
      <w:sdtContent>
        <w:p>
          <w:pPr>
            <w:tabs>
              <w:tab w:val="left" w:pos="8789"/>
            </w:tabs>
            <w:ind w:firstLine="567"/>
            <w:jc w:val="both"/>
            <w:rPr>
              <w:rFonts w:eastAsia="Andale Sans UI" w:cs="Tahoma"/>
              <w:szCs w:val="24"/>
              <w:lang w:bidi="en-US"/>
            </w:rPr>
          </w:pPr>
          <w:r>
            <w:rPr>
              <w:rFonts w:eastAsia="Andale Sans UI"/>
              <w:szCs w:val="24"/>
              <w:lang w:bidi="en-US"/>
            </w:rPr>
            <w:t xml:space="preserve">Įsakymo projekto nuostatos keičiamos atsižvelgus į </w:t>
          </w:r>
          <w:r>
            <w:rPr>
              <w:color w:val="000000"/>
            </w:rPr>
            <w:t xml:space="preserve">2022 m. birželio 30 d. </w:t>
          </w:r>
          <w:r>
            <w:rPr>
              <w:rFonts w:eastAsia="Andale Sans UI"/>
              <w:szCs w:val="24"/>
              <w:lang w:bidi="en-US"/>
            </w:rPr>
            <w:t xml:space="preserve">Lietuvos Respublikos Seimo priimto Lietuvos Respublikos vandens įstatymo Nr. VIII-474 3, </w:t>
          </w:r>
          <w:r>
            <w:rPr>
              <w:color w:val="000000"/>
            </w:rPr>
            <w:t xml:space="preserve">8, 9, 14, 15, 18, 20, 21, 25 straipsnių ir priedo pakeitimo įstatymą Nr. XIV-1280 </w:t>
          </w:r>
          <w:r>
            <w:rPr>
              <w:rFonts w:eastAsia="Andale Sans UI"/>
              <w:szCs w:val="24"/>
              <w:lang w:bidi="en-US"/>
            </w:rPr>
            <w:t>(toliau – Įstatymas).</w:t>
          </w:r>
        </w:p>
      </w:sdtContent>
    </w:sdt>
    <w:sdt>
      <w:sdtPr>
        <w:alias w:val="pastraipa"/>
        <w:tag w:val="part_36bcb79ef2794411b174aef6c79d320e"/>
        <w:lock w:val="sdtLocked"/>
        <w:richText/>
      </w:sdtPr>
      <w:sdtContent>
        <w:p>
          <w:pPr>
            <w:shd w:val="clear" w:color="auto" w:fill="FFFFFF"/>
            <w:ind w:firstLine="567"/>
            <w:jc w:val="both"/>
            <w:textAlignment w:val="center"/>
            <w:rPr>
              <w:rFonts w:eastAsia="Andale Sans UI" w:cs="Tahoma"/>
              <w:szCs w:val="24"/>
              <w:lang w:bidi="en-US"/>
            </w:rPr>
          </w:pPr>
          <w:r>
            <w:rPr>
              <w:rFonts w:eastAsia="Andale Sans UI" w:cs="Tahoma"/>
              <w:szCs w:val="24"/>
              <w:lang w:bidi="en-US"/>
            </w:rPr>
            <w:t>Įsakymo projekto tikslas – pagal Įstatymo 25 straipsnio nuostatas patikslinti vandens išgavimo ir naudojimo apskaitos reikalavimus ūkio subjektams.</w:t>
          </w:r>
        </w:p>
      </w:sdtContent>
    </w:sdt>
    <w:sdt>
      <w:sdtPr>
        <w:alias w:val="pastraipa"/>
        <w:tag w:val="part_f9d6b31350064659bc65ecf30f53c5fe"/>
        <w:lock w:val="sdtLocked"/>
        <w:richText/>
      </w:sdtPr>
      <w:sdtContent>
        <w:p>
          <w:pPr>
            <w:widowControl w:val="0"/>
            <w:shd w:val="clear" w:color="000000" w:fill="auto"/>
            <w:ind w:firstLine="567"/>
            <w:jc w:val="both"/>
            <w:rPr>
              <w:color w:val="000000"/>
            </w:rPr>
          </w:pPr>
          <w:r>
            <w:rPr>
              <w:rFonts w:eastAsia="Andale Sans UI" w:cs="Tahoma"/>
              <w:szCs w:val="24"/>
              <w:lang w:bidi="en-US"/>
            </w:rPr>
            <w:t xml:space="preserve">Įsakymo projektu nustatomi reikalavimai ūkio subjektams, </w:t>
          </w:r>
          <w:r>
            <w:rPr>
              <w:color w:val="000000"/>
              <w:szCs w:val="24"/>
              <w:lang w:eastAsia="lt-LT"/>
            </w:rPr>
            <w:t>naudojantiems paviršinius vandens telkinius vandeniui išgauti ar paimti, įskaitant energetikos, pramonės, žemės ūkio, suskystintų gamtinių dujų importo terminalo, žuvininkystės reikmėms, taip pat praleidžiantiems paviršinį vandenį per hidrotechninius statinius ir naudojantiems jį hidroenergijai išgauti hidroelektrinėse, sunaudojantiems ar planuojantiems sunaudoti 10 m</w:t>
          </w:r>
          <w:r>
            <w:rPr>
              <w:color w:val="000000"/>
              <w:szCs w:val="24"/>
              <w:vertAlign w:val="superscript"/>
              <w:lang w:eastAsia="lt-LT"/>
            </w:rPr>
            <w:t xml:space="preserve">3 </w:t>
          </w:r>
          <w:r>
            <w:rPr>
              <w:color w:val="000000"/>
              <w:szCs w:val="24"/>
              <w:lang w:eastAsia="lt-LT"/>
            </w:rPr>
            <w:t>ir daugiau</w:t>
          </w:r>
          <w:r>
            <w:rPr>
              <w:color w:val="000000"/>
              <w:szCs w:val="24"/>
              <w:vertAlign w:val="superscript"/>
              <w:lang w:eastAsia="lt-LT"/>
            </w:rPr>
            <w:t xml:space="preserve"> </w:t>
          </w:r>
          <w:r>
            <w:rPr>
              <w:color w:val="000000"/>
              <w:szCs w:val="24"/>
              <w:lang w:eastAsia="lt-LT"/>
            </w:rPr>
            <w:t xml:space="preserve">vandens per parą iš vieno paviršinio vandens telkinio, vandens naudojimo apskaitai tvarkyti. </w:t>
          </w:r>
          <w:r>
            <w:rPr>
              <w:color w:val="000000"/>
            </w:rPr>
            <w:t>Naudojamo vandens kiekio apskaitą, priklausomai nuo to, kokiomis vandens priemonėmis (stacionariomis ar mobiliomis) išgaunamas vanduo iš paviršinių vandens telkinių arba kokią veiklą vykdant vanduo naudojamas, numatoma tvarkyti pagal vandens kiekio matavimo prietaisų duomenis, vandens kiekį apskaičiuoti pagal vandens išgavimo priemonių techninius arba fizinius rodiklius, skaičiuoti pagal Įsakymo projekto priede pateiktą formulę, vertinti tvenkinio fizinius parametrus.</w:t>
          </w:r>
        </w:p>
      </w:sdtContent>
    </w:sdt>
    <w:sdt>
      <w:sdtPr>
        <w:alias w:val="pastraipa"/>
        <w:tag w:val="part_f2200097a6da4e8e8efa53ca8b2c13d0"/>
        <w:lock w:val="sdtLocked"/>
        <w:richText/>
      </w:sdtPr>
      <w:sdtContent>
        <w:p>
          <w:pPr>
            <w:shd w:val="clear" w:color="auto" w:fill="FFFFFF"/>
            <w:ind w:firstLine="567"/>
            <w:jc w:val="both"/>
            <w:textAlignment w:val="center"/>
            <w:rPr>
              <w:rFonts w:eastAsia="Andale Sans UI" w:cs="Tahoma"/>
              <w:szCs w:val="24"/>
              <w:lang w:bidi="en-US"/>
            </w:rPr>
          </w:pPr>
          <w:r>
            <w:rPr>
              <w:rFonts w:eastAsia="Andale Sans UI" w:cs="Tahoma"/>
              <w:szCs w:val="24"/>
              <w:lang w:bidi="en-US"/>
            </w:rPr>
            <w:t>Pažymėtina, kad Įstatymo 25 straipsnio nuostatos įsigalios nuo 2024 m. sausio 1 d., todėl numatoma, kad ir Įsakymo projektas įsigalios nuo 2024 m.</w:t>
          </w:r>
        </w:p>
      </w:sdtContent>
    </w:sdt>
    <w:sdt>
      <w:sdtPr>
        <w:alias w:val="pastraipa"/>
        <w:tag w:val="part_ef42999c132f41c09492b91898f5bc34"/>
        <w:lock w:val="sdtLocked"/>
        <w:richText/>
      </w:sdtPr>
      <w:sdtContent>
        <w:p>
          <w:pPr>
            <w:shd w:val="clear" w:color="auto" w:fill="FFFFFF"/>
            <w:ind w:firstLine="567"/>
            <w:jc w:val="both"/>
            <w:textAlignment w:val="center"/>
            <w:rPr>
              <w:color w:val="000000"/>
            </w:rPr>
          </w:pPr>
          <w:r>
            <w:rPr>
              <w:rFonts w:eastAsia="Andale Sans UI" w:cs="Tahoma"/>
              <w:szCs w:val="24"/>
              <w:lang w:bidi="en-US"/>
            </w:rPr>
            <w:t xml:space="preserve">Atkreipiame dėmesį, kad pagal šiuo metu galiojantį reglamentavimą pareiga teikti Aplinkos apsaugos agentūrai metines ataskaitas apie išgautą ir (arba) panaudotą paviršinį vandenį nustatyta ūkio subjektams, kurie </w:t>
          </w:r>
          <w:r>
            <w:rPr>
              <w:color w:val="000000"/>
            </w:rPr>
            <w:t xml:space="preserve">Aplinkos apsaugos įstatymo nustatyta tvarka privalo turėti taršos integruotos prevencijos ir kontrolės leidimą arba taršos leidimą. Kadangi </w:t>
          </w:r>
          <w:r>
            <w:rPr>
              <w:bCs/>
              <w:color w:val="000000"/>
              <w:szCs w:val="24"/>
              <w:lang w:eastAsia="en-GB"/>
            </w:rPr>
            <w:t xml:space="preserve">nuo 2026 m. sausio 1 d. planuojama numatyti, kad paviršiniam vandeniui paimti (išgauti) nebūtų reikalingas taršos leidimas su specialiąja dalimi, pakaktų registracijos, Įsakymo projekte nustatyta išlyga </w:t>
          </w:r>
          <w:r>
            <w:t xml:space="preserve">ūkio subjektams, </w:t>
          </w:r>
          <w:r>
            <w:rPr>
              <w:color w:val="000000"/>
            </w:rPr>
            <w:t>kurie privalo būti įregistruoti paviršinį vandenį naudojančių asmenų registracijos sąraše Įstatymo 9 straipsnio 6 ir 7 dalyse nustatyta tvarka ir kurie išgauna mažiau kaip 100 m</w:t>
          </w:r>
          <w:r>
            <w:rPr>
              <w:color w:val="000000"/>
              <w:vertAlign w:val="superscript"/>
            </w:rPr>
            <w:t>3</w:t>
          </w:r>
          <w:r>
            <w:rPr>
              <w:color w:val="000000"/>
            </w:rPr>
            <w:t xml:space="preserve"> per parą vandens iš vieno paviršinio vandens telkinio, neteikti Vandens naudojimo apskaitos metinės ataskaitos, kas iš esmės nekeičia šiuo metu galiojančios tvarkos. </w:t>
          </w:r>
        </w:p>
        <w:p>
          <w:pPr>
            <w:shd w:val="clear" w:color="auto" w:fill="FFFFFF"/>
            <w:ind w:firstLine="567"/>
            <w:jc w:val="both"/>
            <w:textAlignment w:val="center"/>
            <w:rPr>
              <w:bCs/>
              <w:color w:val="000000"/>
              <w:szCs w:val="24"/>
              <w:lang w:eastAsia="en-GB"/>
            </w:rPr>
          </w:pPr>
        </w:p>
      </w:sdtContent>
    </w:sdt>
    <w:sdt>
      <w:sdtPr>
        <w:alias w:val="pastraipa"/>
        <w:tag w:val="part_c39bef6375d3439fb38edf165d095a4a"/>
        <w:lock w:val="sdtLocked"/>
        <w:richText/>
      </w:sdtPr>
      <w:sdtContent>
        <w:p>
          <w:pPr>
            <w:shd w:val="clear" w:color="auto" w:fill="FFFFFF"/>
            <w:ind w:firstLine="567"/>
            <w:jc w:val="both"/>
            <w:textAlignment w:val="center"/>
            <w:rPr>
              <w:rFonts w:eastAsia="Andale Sans UI" w:cs="Tahoma"/>
              <w:szCs w:val="24"/>
              <w:lang w:bidi="en-US"/>
            </w:rPr>
          </w:pPr>
          <w:r>
            <w:rPr>
              <w:color w:val="000000"/>
              <w:shd w:val="clear" w:color="auto" w:fill="FFFFFF"/>
            </w:rPr>
            <w:t>Įsakymo projektas neprieštarauja Aštuonioliktosios Lietuvos Respublikos Vyriausybės programai, kuriai pritarta Lietuvos Respublikos Seimo 2020 m. gruodžio 11 d. nutarimu Nr. XIV-72 „Dėl Aštuonioliktosios Lietuvos Respublikos Vyriausybės programos“.</w:t>
          </w:r>
        </w:p>
      </w:sdtContent>
    </w:sdt>
    <w:sdt>
      <w:sdtPr>
        <w:alias w:val="pastraipa"/>
        <w:tag w:val="part_d5b6da135c244fbb9773e68cc1514dff"/>
        <w:lock w:val="sdtLocked"/>
        <w:richText/>
      </w:sdtPr>
      <w:sdtContent>
        <w:p>
          <w:pPr>
            <w:shd w:val="clear" w:color="auto" w:fill="FFFFFF"/>
            <w:ind w:firstLine="567"/>
            <w:jc w:val="both"/>
            <w:textAlignment w:val="center"/>
            <w:rPr>
              <w:rFonts w:eastAsia="Andale Sans UI" w:cs="Tahoma"/>
              <w:szCs w:val="24"/>
              <w:lang w:bidi="en-US"/>
            </w:rPr>
          </w:pPr>
          <w:r>
            <w:rPr>
              <w:rFonts w:eastAsia="Andale Sans UI" w:cs="Tahoma"/>
              <w:szCs w:val="24"/>
              <w:lang w:bidi="en-US"/>
            </w:rPr>
            <w:t>Įsakymo projektu neperkeliamos ir neįgyvendinamos Europos Sąjungos teisės aktų nuostatos.</w:t>
          </w:r>
        </w:p>
      </w:sdtContent>
    </w:sdt>
    <w:sdt>
      <w:sdtPr>
        <w:alias w:val="pastraipa"/>
        <w:tag w:val="part_a81da20d5cea4a8883044b515746a2ae"/>
        <w:lock w:val="sdtLocked"/>
        <w:richText/>
      </w:sdtPr>
      <w:sdtContent>
        <w:p>
          <w:pPr>
            <w:shd w:val="clear" w:color="auto" w:fill="FFFFFF"/>
            <w:ind w:firstLine="567"/>
            <w:jc w:val="both"/>
            <w:textAlignment w:val="center"/>
            <w:rPr>
              <w:rFonts w:eastAsia="Andale Sans UI" w:cs="Tahoma"/>
              <w:szCs w:val="24"/>
              <w:lang w:bidi="en-US"/>
            </w:rPr>
          </w:pPr>
          <w:r>
            <w:rPr>
              <w:rFonts w:eastAsia="Andale Sans UI" w:cs="Tahoma"/>
              <w:szCs w:val="24"/>
              <w:lang w:bidi="en-US"/>
            </w:rPr>
            <w:t>Įsakymo projektas nenotifikuotinas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w:t>
          </w:r>
        </w:p>
      </w:sdtContent>
    </w:sdt>
    <w:sdt>
      <w:sdtPr>
        <w:alias w:val="pastraipa"/>
        <w:tag w:val="part_6c955f615f8f422ebc291503add9cbc4"/>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 xml:space="preserve">Numatomo teisinio reguliavimo poveikio vertinimas neatliekamas (Įsakymo projekte naujas teisinis reguliavimas nenumatomas). </w:t>
          </w:r>
        </w:p>
      </w:sdtContent>
    </w:sdt>
    <w:sdt>
      <w:sdtPr>
        <w:alias w:val="pastraipa"/>
        <w:tag w:val="part_af1ed8a1232e4ebb9c133eae7a2b21e4"/>
        <w:lock w:val="sdtLocked"/>
        <w:richText/>
      </w:sdtPr>
      <w:sdtContent>
        <w:p>
          <w:pPr>
            <w:shd w:val="clear" w:color="auto" w:fill="FFFFFF"/>
            <w:ind w:firstLine="567"/>
            <w:jc w:val="both"/>
            <w:textAlignment w:val="center"/>
            <w:rPr>
              <w:rFonts w:eastAsia="Andale Sans UI" w:cs="Tahoma"/>
              <w:szCs w:val="24"/>
              <w:lang w:bidi="en-US"/>
            </w:rPr>
          </w:pPr>
          <w:r>
            <w:rPr>
              <w:rFonts w:eastAsia="Andale Sans UI" w:cs="Tahoma"/>
              <w:szCs w:val="24"/>
              <w:lang w:bidi="en-US"/>
            </w:rPr>
            <w:t>Įsakymo projektui įtraukti į teisės sistemą kitų teisės aktų priimti nereikės</w:t>
          </w:r>
          <w:r>
            <w:rPr>
              <w:rFonts w:eastAsia="Andale Sans UI" w:cs="Tahoma"/>
              <w:i/>
              <w:iCs/>
              <w:szCs w:val="24"/>
              <w:lang w:bidi="en-US"/>
            </w:rPr>
            <w:t>.</w:t>
          </w:r>
        </w:p>
      </w:sdtContent>
    </w:sdt>
    <w:sdt>
      <w:sdtPr>
        <w:alias w:val="pastraipa"/>
        <w:tag w:val="part_bf4f789d5428427fbebf52f7ce6e005e"/>
        <w:lock w:val="sdtLocked"/>
        <w:richText/>
      </w:sdtPr>
      <w:sdtContent>
        <w:p>
          <w:pPr>
            <w:shd w:val="clear" w:color="auto" w:fill="FFFFFF"/>
            <w:ind w:firstLine="567"/>
            <w:jc w:val="both"/>
            <w:textAlignment w:val="center"/>
            <w:rPr>
              <w:rFonts w:eastAsia="Andale Sans UI" w:cs="Tahoma"/>
              <w:bCs/>
              <w:szCs w:val="24"/>
              <w:lang w:eastAsia="lt-LT" w:bidi="en-US"/>
            </w:rPr>
          </w:pPr>
          <w:r>
            <w:rPr>
              <w:rFonts w:ascii="Times" w:hAnsi="Times"/>
            </w:rPr>
            <w:t xml:space="preserve">Įsakymo projekte naujų sąvokų, vertintinų Lietuvos Respublikos terminų banko įstatymo </w:t>
          </w:r>
          <w:r>
            <w:rPr>
              <w:color w:val="000000"/>
            </w:rPr>
            <w:t>ir jo įgyvendinamųjų teisės aktų nustatyta tvarka</w:t>
          </w:r>
          <w:r>
            <w:rPr>
              <w:rFonts w:ascii="Times" w:hAnsi="Times"/>
            </w:rPr>
            <w:t>, nėra</w:t>
          </w:r>
          <w:r>
            <w:rPr>
              <w:rFonts w:ascii="Times" w:eastAsia="Andale Sans UI" w:hAnsi="Times" w:cs="Tahoma"/>
              <w:szCs w:val="24"/>
              <w:lang w:bidi="en-US"/>
            </w:rPr>
            <w:t>.</w:t>
          </w:r>
        </w:p>
      </w:sdtContent>
    </w:sdt>
    <w:sdt>
      <w:sdtPr>
        <w:alias w:val="pastraipa"/>
        <w:tag w:val="part_625dd33bbc3c4f30a41ed6392b520b26"/>
        <w:lock w:val="sdtLocked"/>
        <w:richText/>
      </w:sdtPr>
      <w:sdtContent>
        <w:p>
          <w:pPr>
            <w:shd w:val="clear" w:color="auto" w:fill="FFFFFF"/>
            <w:ind w:firstLine="567"/>
            <w:jc w:val="both"/>
            <w:textAlignment w:val="center"/>
            <w:rPr>
              <w:rFonts w:eastAsia="Andale Sans UI" w:cs="Tahoma"/>
              <w:bCs/>
              <w:szCs w:val="24"/>
              <w:lang w:eastAsia="lt-LT" w:bidi="en-US"/>
            </w:rPr>
          </w:pPr>
          <w:r>
            <w:rPr>
              <w:rFonts w:eastAsia="Andale Sans UI" w:cs="Tahoma"/>
              <w:bCs/>
              <w:szCs w:val="24"/>
              <w:shd w:val="clear" w:color="auto" w:fill="FFFFFF"/>
              <w:lang w:bidi="en-US"/>
            </w:rPr>
            <w:t>Konsultacijų su visuomene nebuvo ir jos neplanuojamos.</w:t>
          </w:r>
        </w:p>
      </w:sdtContent>
    </w:sdt>
    <w:sdt>
      <w:sdtPr>
        <w:alias w:val="pastraipa"/>
        <w:tag w:val="part_edddaf5370f74ab0886a670233c4e9c2"/>
        <w:lock w:val="sdtLocked"/>
        <w:richText/>
      </w:sdtPr>
      <w:sdtContent>
        <w:p>
          <w:pPr>
            <w:ind w:firstLine="567"/>
            <w:jc w:val="both"/>
            <w:rPr>
              <w:rFonts w:eastAsia="Andale Sans UI" w:cs="Tahoma"/>
              <w:szCs w:val="24"/>
              <w:lang w:bidi="en-US"/>
            </w:rPr>
          </w:pPr>
          <w:r>
            <w:rPr>
              <w:rFonts w:eastAsia="Andale Sans UI" w:cs="Tahoma"/>
              <w:szCs w:val="24"/>
              <w:lang w:bidi="en-US"/>
            </w:rPr>
            <w:t xml:space="preserve">Įsakymo projekte nereglamentuojamas asmens duomenų naudojimas. </w:t>
          </w:r>
        </w:p>
      </w:sdtContent>
    </w:sdt>
    <w:sdt>
      <w:sdtPr>
        <w:alias w:val="pastraipa"/>
        <w:tag w:val="part_5b3b1191d61c4b278bf84893b9395eb1"/>
        <w:lock w:val="sdtLocked"/>
        <w:richText/>
      </w:sdtPr>
      <w:sdtContent>
        <w:p>
          <w:pPr>
            <w:ind w:firstLine="567"/>
            <w:jc w:val="both"/>
            <w:rPr>
              <w:rFonts w:eastAsia="Andale Sans UI" w:cs="Tahoma"/>
              <w:szCs w:val="24"/>
              <w:lang w:bidi="en-US"/>
            </w:rPr>
          </w:pPr>
          <w:r>
            <w:rPr>
              <w:rFonts w:eastAsia="Andale Sans UI" w:cs="Tahoma"/>
              <w:szCs w:val="24"/>
              <w:lang w:bidi="en-US"/>
            </w:rPr>
            <w:t xml:space="preserve">Įsakymo projektas skelbiamas Lietuvos Respublikos Seimo kanceliarijos teisės aktų informacinėje sistemoje (TAIS). </w:t>
          </w:r>
        </w:p>
      </w:sdtContent>
    </w:sdt>
    <w:sdt>
      <w:sdtPr>
        <w:alias w:val="pastraipa"/>
        <w:tag w:val="part_cc75e1951b9343cfb5cdc1d303fc853d"/>
        <w:lock w:val="sdtLocked"/>
        <w:richText/>
      </w:sdtPr>
      <w:sdtContent>
        <w:p>
          <w:pPr>
            <w:ind w:firstLine="567"/>
            <w:jc w:val="both"/>
            <w:rPr>
              <w:rFonts w:eastAsia="Andale Sans UI" w:cs="Tahoma"/>
              <w:szCs w:val="24"/>
              <w:lang w:bidi="en-US"/>
            </w:rPr>
          </w:pPr>
          <w:r>
            <w:rPr>
              <w:rFonts w:eastAsia="Andale Sans UI" w:cs="Tahoma"/>
              <w:szCs w:val="24"/>
              <w:lang w:bidi="en-US"/>
            </w:rPr>
            <w:t xml:space="preserve">Išvadą dėl Įsakymo projekto prašome pateikti per 10 darbo dienų nuo jo paskelbimo TAIS. </w:t>
          </w:r>
          <w:r>
            <w:rPr>
              <w:rFonts w:eastAsia="Andale Sans UI"/>
              <w:szCs w:val="24"/>
              <w:lang w:bidi="en-US"/>
            </w:rPr>
            <w:t xml:space="preserve">Per nurodytą terminą negavę pastabų ir pasiūlymų, laikysime, kad Įsakymo projektui pritariate. </w:t>
          </w:r>
        </w:p>
      </w:sdtContent>
    </w:sdt>
    <w:sdt>
      <w:sdtPr>
        <w:alias w:val="pastraipa"/>
        <w:tag w:val="part_0586108d7a344919866feac627e2771e"/>
        <w:lock w:val="sdtLocked"/>
        <w:richText/>
      </w:sdtPr>
      <w:sdtContent>
        <w:p>
          <w:pPr>
            <w:ind w:firstLine="567"/>
            <w:jc w:val="both"/>
            <w:rPr>
              <w:rFonts w:eastAsia="Andale Sans UI" w:cs="Tahoma"/>
              <w:szCs w:val="24"/>
              <w:lang w:bidi="en-US"/>
            </w:rPr>
          </w:pPr>
          <w:r>
            <w:rPr>
              <w:rFonts w:eastAsia="Andale Sans UI" w:cs="Tahoma"/>
              <w:szCs w:val="24"/>
              <w:lang w:bidi="en-US"/>
            </w:rPr>
            <w:t xml:space="preserve">Įsakymo projektą parengė Aplinkos ministerijos Taršos prevencijos politikos grupė (grupės vadovas  Vitalijus Auglys, tel. 8 686 46 087, el. p. vitalijus.auglys@am.lt, vyresnysis patarėjas  Tomas Želvys, tel. 8 696 74 940, el. p. tomas.zelvys@am.lt, patarėja Tatjana Zabulienė, tel. 8 695 34 215, el. p. tatjana.zabuliene@am.lt).</w:t>
          </w:r>
        </w:p>
      </w:sdtContent>
    </w:sdt>
    <w:sdt>
      <w:sdtPr>
        <w:alias w:val="pastraipa"/>
        <w:tag w:val="part_3c9318c9ea94431c8b9fb44139d56467"/>
        <w:lock w:val="sdtLocked"/>
        <w:richText/>
      </w:sdtPr>
      <w:sdtContent>
        <w:p>
          <w:pPr>
            <w:ind w:firstLine="567"/>
            <w:jc w:val="both"/>
            <w:rPr>
              <w:rFonts w:eastAsia="Andale Sans UI" w:cs="Tahoma"/>
              <w:szCs w:val="24"/>
              <w:lang w:bidi="en-US"/>
            </w:rPr>
          </w:pPr>
          <w:r>
            <w:rPr>
              <w:rFonts w:eastAsia="Andale Sans UI" w:cs="Tahoma"/>
              <w:szCs w:val="24"/>
              <w:lang w:bidi="en-US"/>
            </w:rPr>
            <w:t>PRIDEDAMA:</w:t>
          </w:r>
        </w:p>
        <w:sdt>
          <w:sdtPr>
            <w:alias w:val="1 p."/>
            <w:tag w:val="part_3787761cade84b11ae6420c0db2199c1"/>
            <w:lock w:val="sdtLocked"/>
            <w:richText/>
          </w:sdtPr>
          <w:sdtContent>
            <w:p>
              <w:pPr>
                <w:ind w:firstLine="567"/>
                <w:jc w:val="both"/>
                <w:rPr>
                  <w:szCs w:val="24"/>
                  <w:lang w:eastAsia="lt-LT" w:bidi="en-US"/>
                </w:rPr>
              </w:pPr>
              <w:sdt>
                <w:sdtPr>
                  <w:alias w:val="Numeris"/>
                  <w:tag w:val="nr_3787761cade84b11ae6420c0db2199c1"/>
                  <w:lock w:val="sdtLocked"/>
                  <w:richText/>
                </w:sdtPr>
                <w:sdtContent>
                  <w:r>
                    <w:rPr>
                      <w:szCs w:val="24"/>
                      <w:lang w:eastAsia="lt-LT" w:bidi="en-US"/>
                    </w:rPr>
                    <w:t>1</w:t>
                  </w:r>
                </w:sdtContent>
              </w:sdt>
              <w:r>
                <w:rPr>
                  <w:szCs w:val="24"/>
                  <w:lang w:eastAsia="lt-LT" w:bidi="en-US"/>
                </w:rPr>
                <w:t>. Įsakymo projektas, 3 lapai.</w:t>
              </w:r>
            </w:p>
          </w:sdtContent>
        </w:sdt>
        <w:sdt>
          <w:sdtPr>
            <w:alias w:val="2 p."/>
            <w:tag w:val="part_8b209e2eaccb49719750b9607b1924e3"/>
            <w:lock w:val="sdtLocked"/>
            <w:richText/>
          </w:sdtPr>
          <w:sdtContent>
            <w:p>
              <w:pPr>
                <w:ind w:firstLine="567"/>
                <w:jc w:val="both"/>
                <w:rPr>
                  <w:szCs w:val="24"/>
                  <w:lang w:val="fi-FI" w:eastAsia="lt-LT" w:bidi="en-US"/>
                </w:rPr>
              </w:pPr>
              <w:sdt>
                <w:sdtPr>
                  <w:alias w:val="Numeris"/>
                  <w:tag w:val="nr_8b209e2eaccb49719750b9607b1924e3"/>
                  <w:lock w:val="sdtLocked"/>
                  <w:richText/>
                </w:sdtPr>
                <w:sdtContent>
                  <w:r>
                    <w:rPr>
                      <w:szCs w:val="24"/>
                      <w:lang w:val="fi-FI" w:eastAsia="lt-LT" w:bidi="en-US"/>
                    </w:rPr>
                    <w:t>2</w:t>
                  </w:r>
                </w:sdtContent>
              </w:sdt>
              <w:r>
                <w:rPr>
                  <w:szCs w:val="24"/>
                  <w:lang w:val="fi-FI" w:eastAsia="lt-LT" w:bidi="en-US"/>
                </w:rPr>
                <w:t xml:space="preserve">. </w:t>
              </w:r>
              <w:r>
                <w:rPr>
                  <w:szCs w:val="24"/>
                  <w:lang w:eastAsia="lt-LT" w:bidi="en-US"/>
                </w:rPr>
                <w:t>Įsakymo projekto lyginamasis variantas, 3</w:t>
              </w:r>
              <w:r>
                <w:rPr>
                  <w:szCs w:val="24"/>
                  <w:lang w:val="fi-FI" w:eastAsia="lt-LT" w:bidi="en-US"/>
                </w:rPr>
                <w:t xml:space="preserve"> lapai.</w:t>
              </w:r>
            </w:p>
          </w:sdtContent>
        </w:sdt>
        <w:sdt>
          <w:sdtPr>
            <w:alias w:val="3 p."/>
            <w:tag w:val="part_eb15bc0833374eee8f4581ce1d04e6f7"/>
            <w:lock w:val="sdtLocked"/>
            <w:richText/>
          </w:sdtPr>
          <w:sdtContent>
            <w:p>
              <w:pPr>
                <w:ind w:firstLine="567"/>
                <w:jc w:val="both"/>
                <w:rPr>
                  <w:rFonts w:eastAsia="Andale Sans UI" w:cs="Tahoma"/>
                  <w:szCs w:val="24"/>
                  <w:lang w:val="fi-FI" w:bidi="en-US"/>
                </w:rPr>
              </w:pPr>
              <w:sdt>
                <w:sdtPr>
                  <w:alias w:val="Numeris"/>
                  <w:tag w:val="nr_eb15bc0833374eee8f4581ce1d04e6f7"/>
                  <w:lock w:val="sdtLocked"/>
                  <w:richText/>
                </w:sdtPr>
                <w:sdtContent>
                  <w:r>
                    <w:rPr>
                      <w:szCs w:val="24"/>
                      <w:lang w:val="fi-FI" w:eastAsia="lt-LT" w:bidi="en-US"/>
                    </w:rPr>
                    <w:t>3</w:t>
                  </w:r>
                </w:sdtContent>
              </w:sdt>
              <w:r>
                <w:rPr>
                  <w:szCs w:val="24"/>
                  <w:lang w:val="fi-FI" w:eastAsia="lt-LT" w:bidi="en-US"/>
                </w:rPr>
                <w:t xml:space="preserve">. </w:t>
              </w:r>
              <w:r>
                <w:rPr>
                  <w:color w:val="000000"/>
                  <w:bdr w:val="none" w:sz="0" w:space="0" w:color="auto" w:frame="1"/>
                </w:rPr>
                <w:t>Antikorupcinio vertinimo pažyma, 8 lapai.</w:t>
              </w: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keepLines/>
                      <w:suppressLineNumbers/>
                      <w:spacing w:line="276" w:lineRule="auto"/>
                      <w:jc w:val="both"/>
                      <w:rPr>
                        <w:rFonts w:eastAsia="Andale Sans UI" w:cs="Tahoma"/>
                        <w:szCs w:val="24"/>
                        <w:lang w:bidi="en-US"/>
                      </w:rPr>
                    </w:pPr>
                    <w:r>
                      <w:rPr>
                        <w:rFonts w:eastAsia="Andale Sans UI"/>
                        <w:szCs w:val="24"/>
                        <w:lang w:bidi="en-US"/>
                      </w:rPr>
                      <w:t xml:space="preserve">T. Zabulienė, </w:t>
                    </w:r>
                    <w:r>
                      <w:rPr>
                        <w:rFonts w:eastAsia="Andale Sans UI" w:cs="Tahoma"/>
                        <w:szCs w:val="24"/>
                        <w:lang w:bidi="en-US"/>
                      </w:rPr>
                      <w:t xml:space="preserve">8 695 34215 , el. p. </w:t>
                    </w:r>
                    <w:r>
                      <w:rPr>
                        <w:rFonts w:eastAsia="Andale Sans UI" w:cs="Tahoma"/>
                        <w:color w:val="0000FF"/>
                        <w:szCs w:val="24"/>
                        <w:u w:val="single"/>
                        <w:lang w:bidi="en-US"/>
                      </w:rPr>
                      <w:t>tatjana.zabuliene@am.lt</w:t>
                    </w:r>
                  </w:p>
                  <w:p>
                    <w:pPr>
                      <w:keepLines/>
                      <w:suppressLineNumbers/>
                      <w:spacing w:line="276" w:lineRule="auto"/>
                      <w:jc w:val="both"/>
                      <w:rPr>
                        <w:rFonts w:eastAsia="Andale Sans UI"/>
                        <w:szCs w:val="24"/>
                        <w:u w:val="single"/>
                        <w:lang w:val="en-US" w:bidi="en-US"/>
                      </w:rPr>
                    </w:pPr>
                    <w:r>
                      <w:rPr>
                        <w:rFonts w:eastAsia="Andale Sans UI"/>
                        <w:szCs w:val="24"/>
                        <w:u w:val="single"/>
                        <w:lang w:bidi="en-US"/>
                      </w:rPr>
                      <w:t>T.Želvys, 8 696 74940, el. p. tomas.zelvys</w:t>
                    </w:r>
                    <w:r>
                      <w:rPr>
                        <w:rFonts w:eastAsia="Andale Sans UI"/>
                        <w:szCs w:val="24"/>
                        <w:u w:val="single"/>
                        <w:lang w:val="en-US" w:bidi="en-US"/>
                      </w:rPr>
                      <w:t>@am.lt</w:t>
                    </w:r>
                  </w:p>
                  <w:p>
                    <w:pPr>
                      <w:keepLines/>
                      <w:suppressLineNumbers/>
                      <w:spacing w:line="276" w:lineRule="auto"/>
                      <w:jc w:val="both"/>
                      <w:rPr>
                        <w:rFonts w:eastAsia="Andale Sans UI"/>
                        <w:szCs w:val="24"/>
                        <w:u w:val="single"/>
                        <w:lang w:bidi="en-US"/>
                      </w:rPr>
                    </w:pPr>
                  </w:p>
                  <w:p>
                    <w:pPr>
                      <w:keepLines/>
                      <w:suppressLineNumbers/>
                      <w:spacing w:line="276" w:lineRule="auto"/>
                      <w:jc w:val="both"/>
                      <w:rPr>
                        <w:rFonts w:eastAsia="Andale Sans UI"/>
                        <w:szCs w:val="24"/>
                        <w:u w:val="single"/>
                        <w:lang w:bidi="en-US"/>
                      </w:rPr>
                    </w:pPr>
                  </w:p>
                </w:tc>
              </w:tr>
            </w:tbl>
            <w:p>
              <w:pPr>
                <w:jc w:val="center"/>
                <w:rPr>
                  <w:rFonts w:eastAsia="Andale Sans UI" w:cs="Tahoma"/>
                  <w:color w:val="000000"/>
                  <w:szCs w:val="24"/>
                  <w:lang w:bidi="en-US"/>
                </w:rPr>
              </w:pPr>
            </w:p>
            <w:p>
              <w:pPr>
                <w:jc w:val="center"/>
                <w:rPr>
                  <w:rFonts w:eastAsia="Andale Sans UI" w:cs="Tahoma"/>
                  <w:color w:val="000000"/>
                  <w:szCs w:val="24"/>
                  <w:lang w:bidi="en-US"/>
                </w:rPr>
              </w:pPr>
            </w:p>
            <w:p>
              <w:pPr>
                <w:jc w:val="center"/>
                <w:rPr>
                  <w:rFonts w:eastAsia="Andale Sans UI" w:cs="Tahoma"/>
                  <w:color w:val="000000"/>
                  <w:szCs w:val="24"/>
                  <w:lang w:bidi="en-US"/>
                </w:rPr>
              </w:pPr>
            </w:p>
            <w:p>
              <w:pPr>
                <w:jc w:val="center"/>
                <w:rPr>
                  <w:rFonts w:eastAsia="Andale Sans UI" w:cs="Tahoma"/>
                  <w:color w:val="000000"/>
                  <w:szCs w:val="24"/>
                  <w:lang w:bidi="en-US"/>
                </w:rPr>
              </w:pPr>
              <w:r>
                <w:rPr>
                  <w:rFonts w:eastAsia="Andale Sans UI" w:cs="Tahoma"/>
                  <w:color w:val="000000"/>
                  <w:szCs w:val="24"/>
                  <w:lang w:bidi="en-US"/>
                </w:rPr>
                <w:t>ADRESATŲ SĄRAŠAS</w:t>
              </w:r>
            </w:p>
            <w:p>
              <w:pPr>
                <w:jc w:val="center"/>
                <w:rPr>
                  <w:rFonts w:eastAsia="Andale Sans UI" w:cs="Tahoma"/>
                  <w:color w:val="000000"/>
                  <w:szCs w:val="24"/>
                  <w:lang w:bidi="en-US"/>
                </w:rPr>
              </w:pPr>
            </w:p>
          </w:sdtContent>
        </w:sdt>
        <w:sdt>
          <w:sdtPr>
            <w:alias w:val="signatura"/>
            <w:tag w:val="part_7b33f6e1761749349036dbf7c2339814"/>
            <w:lock w:val="sdtLocked"/>
            <w:richText/>
          </w:sdtPr>
          <w:sdtContent>
            <w:p>
              <w:pPr>
                <w:widowControl w:val="0"/>
                <w:suppressLineNumbers/>
                <w:jc w:val="both"/>
                <w:rPr>
                  <w:rFonts w:eastAsia="Andale Sans UI" w:cs="Tahoma"/>
                  <w:color w:val="000000"/>
                  <w:szCs w:val="24"/>
                  <w:lang w:bidi="en-US"/>
                </w:rPr>
              </w:pPr>
              <w:r>
                <w:rPr>
                  <w:rFonts w:eastAsia="Andale Sans UI" w:cs="Tahoma"/>
                  <w:color w:val="000000"/>
                  <w:szCs w:val="24"/>
                  <w:lang w:bidi="en-US"/>
                </w:rPr>
                <w:t>Specialiųjų tyrimų tarnyba</w:t>
              </w:r>
            </w:p>
            <w:p>
              <w:pPr>
                <w:widowControl w:val="0"/>
                <w:suppressLineNumbers/>
                <w:jc w:val="both"/>
                <w:rPr>
                  <w:rFonts w:eastAsia="Andale Sans UI" w:cs="Tahoma"/>
                  <w:color w:val="000000"/>
                  <w:szCs w:val="24"/>
                  <w:lang w:bidi="en-US"/>
                </w:rPr>
              </w:pPr>
              <w:r>
                <w:rPr>
                  <w:rFonts w:eastAsia="Andale Sans UI" w:cs="Tahoma"/>
                  <w:color w:val="000000"/>
                  <w:szCs w:val="24"/>
                  <w:lang w:bidi="en-US"/>
                </w:rPr>
                <w:t>Lietuvos Respublikos ekonomikos ir inovacijų ministerija</w:t>
              </w:r>
            </w:p>
            <w:p>
              <w:pPr>
                <w:widowControl w:val="0"/>
                <w:suppressLineNumbers/>
                <w:jc w:val="both"/>
                <w:rPr>
                  <w:rFonts w:eastAsia="Andale Sans UI" w:cs="Tahoma"/>
                  <w:color w:val="000000"/>
                  <w:szCs w:val="24"/>
                  <w:lang w:bidi="en-US"/>
                </w:rPr>
              </w:pPr>
              <w:r>
                <w:rPr>
                  <w:rFonts w:eastAsia="Andale Sans UI" w:cs="Tahoma"/>
                  <w:color w:val="000000"/>
                  <w:szCs w:val="24"/>
                  <w:lang w:bidi="en-US"/>
                </w:rPr>
                <w:t>Lietuvos Respublikos žemės ūkio ministerija</w:t>
              </w:r>
            </w:p>
            <w:p>
              <w:pPr>
                <w:widowControl w:val="0"/>
                <w:suppressLineNumbers/>
                <w:jc w:val="both"/>
                <w:rPr>
                  <w:rFonts w:eastAsia="Andale Sans UI" w:cs="Tahoma"/>
                  <w:color w:val="000000"/>
                  <w:szCs w:val="24"/>
                  <w:lang w:bidi="en-US"/>
                </w:rPr>
              </w:pPr>
              <w:r>
                <w:rPr>
                  <w:rFonts w:eastAsia="Andale Sans UI" w:cs="Tahoma"/>
                  <w:color w:val="000000"/>
                  <w:szCs w:val="24"/>
                  <w:lang w:bidi="en-US"/>
                </w:rPr>
                <w:t>Aplinkos apsaugos agentūra</w:t>
              </w:r>
            </w:p>
            <w:p>
              <w:pPr>
                <w:widowControl w:val="0"/>
                <w:suppressLineNumbers/>
                <w:jc w:val="both"/>
                <w:rPr>
                  <w:rFonts w:eastAsia="Andale Sans UI" w:cs="Tahoma"/>
                  <w:color w:val="000000"/>
                  <w:szCs w:val="24"/>
                  <w:lang w:bidi="en-US"/>
                </w:rPr>
              </w:pPr>
              <w:r>
                <w:rPr>
                  <w:rFonts w:eastAsia="Andale Sans UI" w:cs="Tahoma"/>
                  <w:color w:val="000000"/>
                  <w:szCs w:val="24"/>
                  <w:lang w:bidi="en-US"/>
                </w:rPr>
                <w:t>Lietuvos daržovių augintojų asociacija</w:t>
              </w:r>
            </w:p>
            <w:p>
              <w:pPr>
                <w:widowControl w:val="0"/>
                <w:suppressLineNumbers/>
                <w:jc w:val="both"/>
                <w:rPr>
                  <w:rFonts w:eastAsia="Andale Sans UI" w:cs="Tahoma"/>
                  <w:color w:val="000000"/>
                  <w:szCs w:val="24"/>
                  <w:lang w:bidi="en-US"/>
                </w:rPr>
              </w:pPr>
              <w:r>
                <w:rPr>
                  <w:rFonts w:eastAsia="Andale Sans UI" w:cs="Tahoma"/>
                  <w:color w:val="000000"/>
                  <w:szCs w:val="24"/>
                  <w:lang w:bidi="en-US"/>
                </w:rPr>
                <w:t>Lietuvos savivaldybių asociacija</w:t>
              </w:r>
            </w:p>
            <w:p>
              <w:pPr>
                <w:widowControl w:val="0"/>
                <w:suppressLineNumbers/>
                <w:jc w:val="both"/>
                <w:rPr>
                  <w:rFonts w:eastAsia="Andale Sans UI" w:cs="Tahoma"/>
                  <w:color w:val="000000"/>
                  <w:szCs w:val="24"/>
                  <w:lang w:bidi="en-US"/>
                </w:rPr>
              </w:pPr>
              <w:r>
                <w:rPr>
                  <w:rFonts w:eastAsia="Andale Sans UI" w:cs="Tahoma"/>
                  <w:color w:val="000000"/>
                  <w:szCs w:val="24"/>
                  <w:lang w:bidi="en-US"/>
                </w:rPr>
                <w:t>Lietuvos sodininkų bendrijų asociacija</w:t>
              </w:r>
            </w:p>
            <w:p>
              <w:pPr>
                <w:widowControl w:val="0"/>
                <w:suppressLineNumbers/>
                <w:jc w:val="both"/>
                <w:rPr>
                  <w:rFonts w:eastAsia="Andale Sans UI" w:cs="Tahoma"/>
                  <w:color w:val="000000"/>
                  <w:szCs w:val="24"/>
                  <w:lang w:bidi="en-US"/>
                </w:rPr>
              </w:pPr>
              <w:r>
                <w:rPr>
                  <w:rFonts w:eastAsia="Andale Sans UI" w:cs="Tahoma"/>
                  <w:color w:val="000000"/>
                  <w:szCs w:val="24"/>
                  <w:lang w:bidi="en-US"/>
                </w:rPr>
                <w:t>Lietuvos hidroenergetikų asociacija</w:t>
              </w:r>
            </w:p>
            <w:p>
              <w:pPr>
                <w:widowControl w:val="0"/>
                <w:suppressLineNumbers/>
                <w:jc w:val="both"/>
                <w:rPr>
                  <w:rFonts w:eastAsia="Andale Sans UI" w:cs="Tahoma"/>
                  <w:color w:val="000000"/>
                  <w:szCs w:val="24"/>
                  <w:lang w:bidi="en-US"/>
                </w:rPr>
              </w:pPr>
              <w:r>
                <w:rPr>
                  <w:rFonts w:eastAsia="Andale Sans UI" w:cs="Tahoma"/>
                  <w:color w:val="000000"/>
                  <w:szCs w:val="24"/>
                  <w:lang w:bidi="en-US"/>
                </w:rPr>
                <w:t>Aplinkos apsaugos departamentas prie Aplinkos ministerijos</w:t>
              </w:r>
            </w:p>
            <w:p>
              <w:pPr>
                <w:jc w:val="both"/>
                <w:rPr>
                  <w:rFonts w:eastAsia="Andale Sans UI" w:cs="Tahoma"/>
                  <w:szCs w:val="24"/>
                  <w:lang w:bidi="en-US"/>
                </w:rPr>
              </w:pPr>
            </w:p>
          </w:sdtContent>
        </w:sdt>
      </w:sdtContent>
    </w:sdt>
    <w:sectPr>
      <w:headerReference w:type="even" r:id="rId12"/>
      <w:headerReference w:type="default" r:id="rId13"/>
      <w:footerReference w:type="even" r:id="rId14"/>
      <w:footerReference w:type="default" r:id="rId15"/>
      <w:headerReference w:type="first" r:id="rId16"/>
      <w:footerReference w:type="first" r:id="rId17"/>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libri"/>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Times">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Andale Sans U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6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7650043">
      <w:bodyDiv w:val="1"/>
      <w:marLeft w:val="0"/>
      <w:marRight w:val="0"/>
      <w:marTop w:val="0"/>
      <w:marBottom w:val="0"/>
      <w:divBdr>
        <w:top w:val="none" w:sz="0" w:space="0" w:color="auto"/>
        <w:left w:val="none" w:sz="0" w:space="0" w:color="auto"/>
        <w:bottom w:val="none" w:sz="0" w:space="0" w:color="auto"/>
        <w:right w:val="none" w:sz="0" w:space="0" w:color="auto"/>
      </w:divBdr>
    </w:div>
    <w:div w:id="1260867198">
      <w:bodyDiv w:val="1"/>
      <w:marLeft w:val="0"/>
      <w:marRight w:val="0"/>
      <w:marTop w:val="0"/>
      <w:marBottom w:val="0"/>
      <w:divBdr>
        <w:top w:val="none" w:sz="0" w:space="0" w:color="auto"/>
        <w:left w:val="none" w:sz="0" w:space="0" w:color="auto"/>
        <w:bottom w:val="none" w:sz="0" w:space="0" w:color="auto"/>
        <w:right w:val="none" w:sz="0" w:space="0" w:color="auto"/>
      </w:divBdr>
    </w:div>
    <w:div w:id="1420980435">
      <w:bodyDiv w:val="1"/>
      <w:marLeft w:val="0"/>
      <w:marRight w:val="0"/>
      <w:marTop w:val="0"/>
      <w:marBottom w:val="0"/>
      <w:divBdr>
        <w:top w:val="none" w:sz="0" w:space="0" w:color="auto"/>
        <w:left w:val="none" w:sz="0" w:space="0" w:color="auto"/>
        <w:bottom w:val="none" w:sz="0" w:space="0" w:color="auto"/>
        <w:right w:val="none" w:sz="0" w:space="0" w:color="auto"/>
      </w:divBdr>
    </w:div>
    <w:div w:id="16605008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Jurgita Užkurnienė</DisplayName>
        <AccountId>118</AccountId>
        <AccountType/>
      </UserInfo>
      <UserInfo>
        <DisplayName>SharingLinks.9659b0f0-1dd2-4f7e-b95c-91ff87b8efd6.OrganizationEdit.2634bcd9-bbb0-425f-8a50-d11ce396fd2d</DisplayName>
        <AccountId>345</AccountId>
        <AccountType/>
      </UserInfo>
      <UserInfo>
        <DisplayName>Loreta Zaburaitė Barkauskienė</DisplayName>
        <AccountId>3922</AccountId>
        <AccountType/>
      </UserInfo>
      <UserInfo>
        <DisplayName>Tatjana Zabulienė</DisplayName>
        <AccountId>223</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38a9aec96148419ca9ee8c317294a870" PartId="07aaecf36d434baab74e1d18efc53fdf"/>
  <Part Type="pastraipa" DocPartId="14139c4bb6c94e9c930a13d49f2ed962" PartId="b730975a7f9c425bb6b40def74ed6eef"/>
  <Part Type="pastraipa" DocPartId="23dc2811d3374eb98278ffbcf46f1073" PartId="aa4e91cce54b41fc849deb0276cef37d"/>
  <Part Type="pastraipa" DocPartId="ce63727b6a524b1b92f0f391ec7c3354" PartId="36bcb79ef2794411b174aef6c79d320e"/>
  <Part Type="pastraipa" DocPartId="ce648b1322d24db7bfc646ee9b52c36a" PartId="f9d6b31350064659bc65ecf30f53c5fe"/>
  <Part Type="pastraipa" DocPartId="e14e61ff0320442e85c6fcf8eefee834" PartId="f2200097a6da4e8e8efa53ca8b2c13d0"/>
  <Part Type="pastraipa" DocPartId="b0b74b1d1221453ca0ac5b10ecba36df" PartId="ef42999c132f41c09492b91898f5bc34"/>
  <Part Type="pastraipa" DocPartId="31e82deb5d764a1e8c5d5bda3e53406c" PartId="c39bef6375d3439fb38edf165d095a4a"/>
  <Part Type="pastraipa" DocPartId="18ef38ea056644bdb1495e58453a41f7" PartId="d5b6da135c244fbb9773e68cc1514dff"/>
  <Part Type="pastraipa" DocPartId="9b342266ea4c43b0ba50d4f1cca0edf2" PartId="a81da20d5cea4a8883044b515746a2ae"/>
  <Part Type="pastraipa" DocPartId="54523ca1c6d141198043b249f09b058c" PartId="6c955f615f8f422ebc291503add9cbc4"/>
  <Part Type="pastraipa" DocPartId="8b6943b10ed24923a353fe95f4102467" PartId="af1ed8a1232e4ebb9c133eae7a2b21e4"/>
  <Part Type="pastraipa" DocPartId="9cbb7cb0720248348e0e2d87c53e83ba" PartId="bf4f789d5428427fbebf52f7ce6e005e"/>
  <Part Type="pastraipa" DocPartId="527f07e7315244959f7f42d4076097ed" PartId="625dd33bbc3c4f30a41ed6392b520b26"/>
  <Part Type="pastraipa" DocPartId="bd9bb56f77304712a26b3587df82cd23" PartId="edddaf5370f74ab0886a670233c4e9c2"/>
  <Part Type="pastraipa" DocPartId="f810d3892b464ad49a953fca6475d882" PartId="5b3b1191d61c4b278bf84893b9395eb1"/>
  <Part Type="pastraipa" DocPartId="043935b8633a46299b419942cb9a8137" PartId="cc75e1951b9343cfb5cdc1d303fc853d"/>
  <Part Type="pastraipa" DocPartId="058b3ce3f4764eb8bc9e867b94140d8d" PartId="0586108d7a344919866feac627e2771e"/>
  <Part Type="pastraipa" DocPartId="97b6b03f2ff148a294fa3c0cf98f87df" PartId="3c9318c9ea94431c8b9fb44139d56467">
    <Part Type="punktas" Nr="1" Abbr="1 p." DocPartId="a42dd7f72e7a48cba2fa61db7527f45c" PartId="3787761cade84b11ae6420c0db2199c1"/>
    <Part Type="punktas" Nr="2" Abbr="2 p." DocPartId="517ceb4177d640ffa81ac3abaf15eeb8" PartId="8b209e2eaccb49719750b9607b1924e3"/>
    <Part Type="punktas" Nr="3" Abbr="3 p." DocPartId="40617ded5baf4ca2af15d150b5fe668d" PartId="eb15bc0833374eee8f4581ce1d04e6f7"/>
    <Part Type="signatura" DocPartId="41d864252576417ebe59f0a2bcf573a3" PartId="7b33f6e1761749349036dbf7c2339814"/>
  </Part>
</Parts>
</file>

<file path=customXml/itemProps1.xml><?xml version="1.0" encoding="utf-8"?>
<ds:datastoreItem xmlns:ds="http://schemas.openxmlformats.org/officeDocument/2006/customXml" ds:itemID="{B1227FDC-3709-4AF3-9232-798C4886E7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6CC651-46B9-4D86-A661-D2C361907B6D}">
  <ds:schemaRefs>
    <ds:schemaRef ds:uri="http://schemas.microsoft.com/office/2006/metadata/properties"/>
    <ds:schemaRef ds:uri="http://schemas.microsoft.com/office/infopath/2007/PartnerControls"/>
    <ds:schemaRef ds:uri="19cf09c5-daa1-4028-a0ff-74a0be4ec5cc"/>
    <ds:schemaRef ds:uri="http://schemas.microsoft.com/sharepoint/v3"/>
  </ds:schemaRefs>
</ds:datastoreItem>
</file>

<file path=customXml/itemProps3.xml><?xml version="1.0" encoding="utf-8"?>
<ds:datastoreItem xmlns:ds="http://schemas.openxmlformats.org/officeDocument/2006/customXml" ds:itemID="{E35EB61B-BD39-4177-8CFB-B6C4C4D5B4CB}">
  <ds:schemaRefs>
    <ds:schemaRef ds:uri="http://schemas.microsoft.com/sharepoint/v3/contenttype/forms"/>
  </ds:schemaRefs>
</ds:datastoreItem>
</file>

<file path=customXml/itemProps4.xml><?xml version="1.0" encoding="utf-8"?>
<ds:datastoreItem xmlns:ds="http://schemas.openxmlformats.org/officeDocument/2006/customXml" ds:itemID="{40AB2D1C-D268-43BC-B515-36D0A4FF215F}">
  <ds:schemaRefs>
    <ds:schemaRef ds:uri="http://schemas.openxmlformats.org/officeDocument/2006/bibliography"/>
  </ds:schemaRefs>
</ds:datastoreItem>
</file>

<file path=customXml/itemProps5.xml><?xml version="1.0" encoding="utf-8"?>
<ds:datastoreItem xmlns:ds="http://schemas.openxmlformats.org/officeDocument/2006/customXml" ds:itemID="{78E9FEF8-81D5-4A9B-89DE-ADFC899B691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693</Words>
  <Characters>4928</Characters>
  <Application>Microsoft Office Word</Application>
  <DocSecurity>4</DocSecurity>
  <Lines>126</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5570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2023-07-04T07:26:00Z</dcterms:created>
  <dcterms:modified xsi:type="dcterms:W3CDTF">2023-07-04T07:26:00Z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