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lentele"/>
        <w:tag w:val="part_60284c2f2d934ce69ae3b4acc24ee996"/>
        <w:lock w:val="sdtLocked"/>
        <w:richText/>
      </w:sdtPr>
      <w:sdtContent>
        <w:tbl>
          <w:tblPr>
            <w:tblW w:w="9638" w:type="dxa"/>
            <w:tblInd w:w="55" w:type="dxa"/>
            <w:tblLayout w:type="fixed"/>
            <w:tblCellMar>
              <w:top w:w="55" w:type="dxa"/>
              <w:left w:w="55" w:type="dxa"/>
              <w:bottom w:w="55" w:type="dxa"/>
              <w:right w:w="55" w:type="dxa"/>
            </w:tblCellMar>
            <w:tblLook w:val="0000" w:firstRow="0" w:lastRow="0" w:firstColumn="0" w:lastColumn="0" w:noHBand="0" w:noVBand="0"/>
          </w:tblPr>
          <w:tblGrid>
            <w:gridCol w:w="4817"/>
            <w:gridCol w:w="282"/>
            <w:gridCol w:w="1841"/>
            <w:gridCol w:w="565"/>
            <w:gridCol w:w="2133"/>
          </w:tblGrid>
          <w:tr>
            <w:tc>
              <w:tcPr>
                <w:tcW w:w="9638" w:type="dxa"/>
                <w:gridSpan w:val="5"/>
                <w:tcBorders>
                  <w:bottom w:val="single" w:sz="4" w:space="0" w:color="000000" w:themeColor="text1"/>
                </w:tcBorders>
              </w:tcPr>
              <w:p>
                <w:pPr>
                  <w:suppressLineNumbers/>
                  <w:tabs>
                    <w:tab w:val="center" w:pos="4800"/>
                    <w:tab w:val="right" w:pos="9601"/>
                  </w:tabs>
                  <w:jc w:val="both"/>
                  <w:rPr>
                    <w:rFonts w:eastAsia="Andale Sans UI" w:cs="Tahoma"/>
                    <w:szCs w:val="24"/>
                    <w:lang w:bidi="en-US"/>
                  </w:rPr>
                </w:pPr>
              </w:p>
              <w:p>
                <w:pPr>
                  <w:suppressLineNumbers/>
                  <w:jc w:val="center"/>
                  <w:rPr>
                    <w:rFonts w:eastAsia="Andale Sans UI" w:cs="Tahoma"/>
                    <w:b/>
                    <w:bCs/>
                    <w:spacing w:val="20"/>
                    <w:szCs w:val="24"/>
                    <w:lang w:bidi="en-US"/>
                  </w:rPr>
                </w:pPr>
                <w:r>
                  <w:rPr>
                    <w:rFonts w:eastAsia="Andale Sans UI" w:cs="Tahoma"/>
                    <w:b/>
                    <w:color w:val="2B579A"/>
                    <w:spacing w:val="20"/>
                    <w:sz w:val="26"/>
                    <w:szCs w:val="26"/>
                    <w:shd w:val="clear" w:color="auto" w:fill="E6E6E6"/>
                    <w:lang w:val="en-US"/>
                  </w:rPr>
                  <w:drawing>
                    <wp:inline distT="0" distB="0" distL="0" distR="0" wp14:anchorId="47B4FF70" wp14:editId="05B85950">
                      <wp:extent cx="523875" cy="619125"/>
                      <wp:effectExtent l="0" t="0" r="0" b="0"/>
                      <wp:docPr id="1"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23875" cy="619125"/>
                              </a:xfrm>
                              <a:prstGeom prst="rect">
                                <a:avLst/>
                              </a:prstGeom>
                              <a:solidFill>
                                <a:srgbClr val="FFFFFF">
                                  <a:alpha val="0"/>
                                </a:srgbClr>
                              </a:solidFill>
                              <a:ln>
                                <a:noFill/>
                              </a:ln>
                            </pic:spPr>
                          </pic:pic>
                        </a:graphicData>
                      </a:graphic>
                    </wp:inline>
                  </w:drawing>
                </w:r>
              </w:p>
              <w:p>
                <w:pPr>
                  <w:rPr>
                    <w:sz w:val="10"/>
                    <w:szCs w:val="10"/>
                  </w:rPr>
                </w:pPr>
              </w:p>
              <w:p>
                <w:pPr>
                  <w:suppressLineNumbers/>
                  <w:jc w:val="center"/>
                  <w:rPr>
                    <w:rFonts w:eastAsia="Andale Sans UI" w:cs="Tahoma"/>
                    <w:b/>
                    <w:bCs/>
                    <w:spacing w:val="20"/>
                    <w:szCs w:val="24"/>
                    <w:lang w:bidi="en-US"/>
                  </w:rPr>
                </w:pPr>
                <w:r>
                  <w:rPr>
                    <w:rFonts w:eastAsia="Andale Sans UI" w:cs="Tahoma"/>
                    <w:b/>
                    <w:bCs/>
                    <w:spacing w:val="20"/>
                    <w:szCs w:val="24"/>
                    <w:lang w:bidi="en-US"/>
                  </w:rPr>
                  <w:t>LIETUVOS RESPUBLIKOS APLINKOS MINISTERIJA</w:t>
                </w:r>
              </w:p>
              <w:p>
                <w:pPr>
                  <w:rPr>
                    <w:sz w:val="10"/>
                    <w:szCs w:val="10"/>
                  </w:rPr>
                </w:pPr>
              </w:p>
              <w:p>
                <w:pPr>
                  <w:suppressLineNumbers/>
                  <w:jc w:val="center"/>
                  <w:rPr>
                    <w:rFonts w:eastAsia="Andale Sans UI"/>
                    <w:spacing w:val="12"/>
                    <w:sz w:val="16"/>
                    <w:szCs w:val="16"/>
                    <w:lang w:bidi="en-US"/>
                  </w:rPr>
                </w:pPr>
                <w:r>
                  <w:rPr>
                    <w:rFonts w:eastAsia="Andale Sans UI"/>
                    <w:spacing w:val="12"/>
                    <w:sz w:val="16"/>
                    <w:szCs w:val="16"/>
                    <w:lang w:bidi="en-US"/>
                  </w:rPr>
                  <w:t>Biudžetinė įstaiga, A. Jakšto g. 4, LT-01105 Vilnius,</w:t>
                </w:r>
              </w:p>
              <w:p>
                <w:pPr>
                  <w:suppressLineNumbers/>
                  <w:jc w:val="center"/>
                  <w:rPr>
                    <w:rFonts w:eastAsia="Andale Sans UI"/>
                    <w:spacing w:val="12"/>
                    <w:sz w:val="16"/>
                    <w:szCs w:val="16"/>
                    <w:lang w:bidi="en-US"/>
                  </w:rPr>
                </w:pPr>
                <w:r>
                  <w:rPr>
                    <w:rFonts w:eastAsia="Andale Sans UI"/>
                    <w:spacing w:val="12"/>
                    <w:sz w:val="16"/>
                    <w:szCs w:val="16"/>
                    <w:lang w:bidi="en-US"/>
                  </w:rPr>
                  <w:t>tel. +370 626 22 252, el. p. info@am.lt, https://am.lrv.lt.</w:t>
                </w:r>
              </w:p>
              <w:p>
                <w:pPr>
                  <w:suppressLineNumbers/>
                  <w:jc w:val="center"/>
                  <w:rPr>
                    <w:rFonts w:ascii="Arial" w:eastAsia="Andale Sans UI" w:hAnsi="Arial" w:cs="Tahoma"/>
                    <w:b/>
                    <w:bCs/>
                    <w:spacing w:val="12"/>
                    <w:sz w:val="14"/>
                    <w:szCs w:val="14"/>
                    <w:lang w:bidi="en-US"/>
                  </w:rPr>
                </w:pPr>
                <w:r>
                  <w:rPr>
                    <w:rFonts w:eastAsia="Andale Sans UI"/>
                    <w:spacing w:val="12"/>
                    <w:sz w:val="16"/>
                    <w:szCs w:val="16"/>
                    <w:lang w:bidi="en-US"/>
                  </w:rPr>
                  <w:t>Duomenys kaupiami ir saugomi Juridinių asmenų registre, kodas 188602370</w:t>
                </w:r>
              </w:p>
            </w:tc>
          </w:tr>
          <w:tr>
            <w:tc>
              <w:tcPr>
                <w:tcW w:w="9638" w:type="dxa"/>
                <w:gridSpan w:val="5"/>
                <w:tcMar>
                  <w:top w:w="0" w:type="dxa"/>
                  <w:left w:w="0" w:type="dxa"/>
                  <w:bottom w:w="0" w:type="dxa"/>
                  <w:right w:w="0" w:type="dxa"/>
                </w:tcMar>
              </w:tcPr>
              <w:p>
                <w:pPr>
                  <w:suppressLineNumbers/>
                  <w:jc w:val="both"/>
                  <w:rPr>
                    <w:rFonts w:eastAsia="Andale Sans UI" w:cs="Tahoma"/>
                    <w:szCs w:val="24"/>
                    <w:lang w:bidi="en-US"/>
                  </w:rPr>
                </w:pPr>
              </w:p>
            </w:tc>
          </w:tr>
          <w:tr>
            <w:trPr>
              <w:cantSplit/>
              <w:trHeight w:val="340"/>
            </w:trPr>
            <w:tc>
              <w:tcPr>
                <w:tcW w:w="4817" w:type="dxa"/>
                <w:vMerge w:val="restart"/>
                <w:tcMar>
                  <w:top w:w="0" w:type="dxa"/>
                  <w:left w:w="0" w:type="dxa"/>
                  <w:bottom w:w="0" w:type="dxa"/>
                  <w:right w:w="0" w:type="dxa"/>
                </w:tcMar>
              </w:tcPr>
              <w:p>
                <w:pPr>
                  <w:suppressLineNumbers/>
                  <w:jc w:val="both"/>
                  <w:rPr>
                    <w:rFonts w:eastAsia="Andale Sans UI" w:cs="Tahoma"/>
                    <w:szCs w:val="24"/>
                    <w:lang w:bidi="en-US"/>
                  </w:rPr>
                </w:pPr>
                <w:r>
                  <w:rPr>
                    <w:rFonts w:eastAsia="Andale Sans UI" w:cs="Tahoma"/>
                    <w:szCs w:val="24"/>
                    <w:lang w:bidi="en-US"/>
                  </w:rPr>
                  <w:t>Pagal adresatų sąrašą</w:t>
                </w:r>
              </w:p>
              <w:p>
                <w:pPr>
                  <w:suppressLineNumbers/>
                  <w:jc w:val="both"/>
                  <w:rPr>
                    <w:rFonts w:eastAsia="Andale Sans UI" w:cs="Tahoma"/>
                    <w:szCs w:val="24"/>
                    <w:lang w:bidi="en-US"/>
                  </w:rPr>
                </w:pPr>
              </w:p>
              <w:p>
                <w:pPr>
                  <w:suppressLineNumbers/>
                  <w:jc w:val="both"/>
                  <w:rPr>
                    <w:rFonts w:eastAsia="Andale Sans UI" w:cs="Tahoma"/>
                    <w:spacing w:val="10"/>
                    <w:szCs w:val="24"/>
                    <w:lang w:bidi="en-US"/>
                  </w:rPr>
                </w:pPr>
              </w:p>
            </w:tc>
            <w:tc>
              <w:tcPr>
                <w:tcW w:w="282" w:type="dxa"/>
                <w:tcMar>
                  <w:top w:w="0" w:type="dxa"/>
                  <w:left w:w="0" w:type="dxa"/>
                  <w:bottom w:w="0" w:type="dxa"/>
                  <w:right w:w="0" w:type="dxa"/>
                </w:tcMar>
              </w:tcPr>
              <w:p>
                <w:pPr>
                  <w:ind w:right="67"/>
                  <w:jc w:val="right"/>
                  <w:rPr>
                    <w:rFonts w:eastAsia="Andale Sans UI" w:cs="Tahoma"/>
                    <w:spacing w:val="10"/>
                    <w:szCs w:val="24"/>
                    <w:lang w:bidi="en-US"/>
                  </w:rPr>
                </w:pPr>
              </w:p>
            </w:tc>
            <w:tc>
              <w:tcPr>
                <w:tcW w:w="1841" w:type="dxa"/>
                <w:tcMar>
                  <w:top w:w="0" w:type="dxa"/>
                  <w:left w:w="0" w:type="dxa"/>
                  <w:bottom w:w="0" w:type="dxa"/>
                  <w:right w:w="0" w:type="dxa"/>
                </w:tcMar>
              </w:tcPr>
              <w:p>
                <w:pPr>
                  <w:suppressLineNumbers/>
                  <w:ind w:right="67"/>
                  <w:jc w:val="both"/>
                  <w:rPr>
                    <w:rFonts w:eastAsia="Andale Sans UI" w:cs="Tahoma"/>
                    <w:szCs w:val="24"/>
                    <w:lang w:bidi="en-US"/>
                  </w:rPr>
                </w:pPr>
                <w:r>
                  <w:rPr>
                    <w:rFonts w:eastAsia="Andale Sans UI" w:cs="Tahoma"/>
                    <w:szCs w:val="24"/>
                    <w:lang w:bidi="en-US"/>
                  </w:rPr>
                  <w:t>2024 -</w:t>
                </w:r>
              </w:p>
            </w:tc>
            <w:tc>
              <w:tcPr>
                <w:tcW w:w="565" w:type="dxa"/>
              </w:tcPr>
              <w:p>
                <w:pPr>
                  <w:ind w:right="67"/>
                  <w:jc w:val="right"/>
                  <w:rPr>
                    <w:rFonts w:eastAsia="Andale Sans UI" w:cs="Tahoma"/>
                    <w:spacing w:val="10"/>
                    <w:szCs w:val="24"/>
                    <w:lang w:bidi="en-US"/>
                  </w:rPr>
                </w:pPr>
                <w:r>
                  <w:rPr>
                    <w:rFonts w:eastAsia="Andale Sans UI" w:cs="Tahoma"/>
                    <w:spacing w:val="10"/>
                    <w:szCs w:val="24"/>
                    <w:lang w:bidi="en-US"/>
                  </w:rPr>
                  <w:t>Nr.</w:t>
                </w:r>
              </w:p>
            </w:tc>
            <w:tc>
              <w:tcPr>
                <w:tcW w:w="2133" w:type="dxa"/>
              </w:tcPr>
              <w:p>
                <w:pPr>
                  <w:suppressLineNumbers/>
                  <w:ind w:right="67"/>
                  <w:jc w:val="both"/>
                  <w:rPr>
                    <w:rFonts w:eastAsia="Andale Sans UI" w:cs="Tahoma"/>
                    <w:szCs w:val="24"/>
                    <w:lang w:bidi="en-US"/>
                  </w:rPr>
                </w:pPr>
              </w:p>
            </w:tc>
          </w:tr>
          <w:tr>
            <w:trPr>
              <w:cantSplit/>
              <w:trHeight w:val="340"/>
            </w:trPr>
            <w:tc>
              <w:tcPr>
                <w:tcW w:w="4817" w:type="dxa"/>
                <w:vMerge/>
                <w:tcMar>
                  <w:top w:w="0" w:type="dxa"/>
                  <w:left w:w="0" w:type="dxa"/>
                  <w:bottom w:w="0" w:type="dxa"/>
                  <w:right w:w="0" w:type="dxa"/>
                </w:tcMar>
              </w:tcPr>
              <w:p/>
            </w:tc>
            <w:tc>
              <w:tcPr>
                <w:tcW w:w="282" w:type="dxa"/>
                <w:tcMar>
                  <w:top w:w="0" w:type="dxa"/>
                  <w:left w:w="0" w:type="dxa"/>
                  <w:bottom w:w="0" w:type="dxa"/>
                  <w:right w:w="0" w:type="dxa"/>
                </w:tcMar>
              </w:tcPr>
              <w:p>
                <w:pPr>
                  <w:tabs>
                    <w:tab w:val="left" w:pos="2869"/>
                  </w:tabs>
                  <w:ind w:right="67"/>
                  <w:jc w:val="right"/>
                  <w:rPr>
                    <w:rFonts w:eastAsia="Andale Sans UI" w:cs="Tahoma"/>
                    <w:spacing w:val="10"/>
                    <w:szCs w:val="24"/>
                    <w:lang w:bidi="en-US"/>
                  </w:rPr>
                </w:pPr>
              </w:p>
            </w:tc>
            <w:tc>
              <w:tcPr>
                <w:tcW w:w="1841" w:type="dxa"/>
                <w:tcMar>
                  <w:top w:w="0" w:type="dxa"/>
                  <w:left w:w="0" w:type="dxa"/>
                  <w:bottom w:w="0" w:type="dxa"/>
                  <w:right w:w="0" w:type="dxa"/>
                </w:tcMar>
              </w:tcPr>
              <w:p>
                <w:pPr>
                  <w:suppressLineNumbers/>
                  <w:ind w:right="67"/>
                  <w:jc w:val="both"/>
                  <w:rPr>
                    <w:rFonts w:eastAsia="Andale Sans UI" w:cs="Tahoma"/>
                    <w:szCs w:val="24"/>
                    <w:lang w:bidi="en-US"/>
                  </w:rPr>
                </w:pPr>
              </w:p>
            </w:tc>
            <w:tc>
              <w:tcPr>
                <w:tcW w:w="565" w:type="dxa"/>
              </w:tcPr>
              <w:p>
                <w:pPr>
                  <w:tabs>
                    <w:tab w:val="left" w:pos="2869"/>
                  </w:tabs>
                  <w:ind w:right="67"/>
                  <w:jc w:val="right"/>
                  <w:rPr>
                    <w:rFonts w:eastAsia="Andale Sans UI" w:cs="Tahoma"/>
                    <w:spacing w:val="10"/>
                    <w:szCs w:val="24"/>
                    <w:lang w:bidi="en-US"/>
                  </w:rPr>
                </w:pPr>
              </w:p>
            </w:tc>
            <w:tc>
              <w:tcPr>
                <w:tcW w:w="2133" w:type="dxa"/>
              </w:tcPr>
              <w:p>
                <w:pPr>
                  <w:suppressLineNumbers/>
                  <w:ind w:right="67"/>
                  <w:jc w:val="both"/>
                  <w:rPr>
                    <w:rFonts w:eastAsia="Andale Sans UI" w:cs="Tahoma"/>
                    <w:szCs w:val="24"/>
                    <w:lang w:bidi="en-US"/>
                  </w:rPr>
                </w:pPr>
              </w:p>
            </w:tc>
          </w:tr>
          <w:tr>
            <w:trPr>
              <w:cantSplit/>
            </w:trPr>
            <w:tc>
              <w:tcPr>
                <w:tcW w:w="4817" w:type="dxa"/>
                <w:vMerge/>
                <w:tcMar>
                  <w:top w:w="0" w:type="dxa"/>
                  <w:left w:w="0" w:type="dxa"/>
                  <w:bottom w:w="0" w:type="dxa"/>
                  <w:right w:w="0" w:type="dxa"/>
                </w:tcMar>
              </w:tcPr>
              <w:p/>
            </w:tc>
            <w:tc>
              <w:tcPr>
                <w:tcW w:w="4821" w:type="dxa"/>
                <w:gridSpan w:val="4"/>
                <w:tcMar>
                  <w:top w:w="0" w:type="dxa"/>
                  <w:left w:w="0" w:type="dxa"/>
                  <w:bottom w:w="0" w:type="dxa"/>
                  <w:right w:w="0" w:type="dxa"/>
                </w:tcMar>
              </w:tcPr>
              <w:p>
                <w:pPr>
                  <w:tabs>
                    <w:tab w:val="left" w:pos="2869"/>
                  </w:tabs>
                  <w:ind w:right="67"/>
                  <w:jc w:val="both"/>
                  <w:rPr>
                    <w:rFonts w:eastAsia="Andale Sans UI" w:cs="Tahoma"/>
                    <w:spacing w:val="10"/>
                    <w:szCs w:val="24"/>
                    <w:lang w:bidi="en-US"/>
                  </w:rPr>
                </w:pPr>
              </w:p>
            </w:tc>
          </w:tr>
          <w:tr>
            <w:trPr>
              <w:trHeight w:val="340"/>
            </w:trPr>
            <w:tc>
              <w:tcPr>
                <w:tcW w:w="9638" w:type="dxa"/>
                <w:gridSpan w:val="5"/>
                <w:tcMar>
                  <w:top w:w="0" w:type="dxa"/>
                  <w:left w:w="0" w:type="dxa"/>
                  <w:bottom w:w="0" w:type="dxa"/>
                  <w:right w:w="0" w:type="dxa"/>
                </w:tcMar>
              </w:tcPr>
              <w:p>
                <w:pPr>
                  <w:suppressLineNumbers/>
                  <w:spacing w:line="276" w:lineRule="auto"/>
                  <w:jc w:val="both"/>
                  <w:rPr>
                    <w:rFonts w:eastAsia="Andale Sans UI" w:cs="Tahoma"/>
                    <w:b/>
                    <w:bCs/>
                    <w:szCs w:val="24"/>
                    <w:lang w:eastAsia="lt-LT" w:bidi="en-US"/>
                  </w:rPr>
                </w:pPr>
                <w:r>
                  <w:rPr>
                    <w:rFonts w:eastAsia="Andale Sans UI" w:cs="Tahoma"/>
                    <w:b/>
                    <w:bCs/>
                    <w:caps/>
                    <w:szCs w:val="24"/>
                    <w:lang w:bidi="en-US"/>
                  </w:rPr>
                  <w:t xml:space="preserve">DĖL </w:t>
                </w:r>
                <w:r>
                  <w:rPr>
                    <w:rFonts w:eastAsia="Andale Sans UI" w:cs="Tahoma"/>
                    <w:b/>
                    <w:bCs/>
                    <w:szCs w:val="24"/>
                    <w:lang w:eastAsia="lt-LT" w:bidi="en-US"/>
                  </w:rPr>
                  <w:t>ĮSTATYMO PAKEITIMO PROJEKTO</w:t>
                </w:r>
              </w:p>
              <w:p>
                <w:pPr>
                  <w:suppressLineNumbers/>
                  <w:spacing w:line="276" w:lineRule="auto"/>
                  <w:jc w:val="both"/>
                  <w:rPr>
                    <w:rFonts w:eastAsia="Andale Sans UI" w:cs="Tahoma"/>
                    <w:b/>
                    <w:bCs/>
                    <w:szCs w:val="24"/>
                    <w:lang w:bidi="en-US"/>
                  </w:rPr>
                </w:pPr>
              </w:p>
            </w:tc>
          </w:tr>
        </w:tbl>
        <w:p/>
      </w:sdtContent>
    </w:sdt>
    <w:sdt>
      <w:sdtPr>
        <w:alias w:val="pastraipa"/>
        <w:tag w:val="part_c8af97129ac84528ae7a7768d7462cf6"/>
        <w:lock w:val="sdtLocked"/>
        <w:richText/>
      </w:sdtPr>
      <w:sdtContent>
        <w:p>
          <w:pPr>
            <w:shd w:val="clear" w:color="auto" w:fill="FFFFFF"/>
            <w:ind w:firstLine="567"/>
            <w:jc w:val="both"/>
            <w:textAlignment w:val="center"/>
            <w:rPr>
              <w:color w:val="000000"/>
              <w:szCs w:val="24"/>
              <w:lang w:bidi="en-US"/>
            </w:rPr>
          </w:pPr>
          <w:r>
            <w:rPr>
              <w:color w:val="000000"/>
              <w:szCs w:val="24"/>
              <w:lang w:bidi="en-US"/>
            </w:rPr>
            <w:t xml:space="preserve">Aplinkos ministerija teikia derinti </w:t>
          </w:r>
          <w:r>
            <w:rPr>
              <w:szCs w:val="24"/>
              <w:lang w:bidi="en-US"/>
            </w:rPr>
            <w:t xml:space="preserve">Lietuvos Respublikos atliekų tvarkymo įstatymo Nr. VIII-787 </w:t>
          </w:r>
          <w:r>
            <w:rPr>
              <w:color w:val="000000"/>
              <w:szCs w:val="24"/>
              <w:lang w:eastAsia="lt-LT" w:bidi="en-US"/>
            </w:rPr>
            <w:t xml:space="preserve">2, </w:t>
          </w:r>
          <w:r>
            <w:rPr>
              <w:szCs w:val="24"/>
              <w:lang w:eastAsia="lt-LT" w:bidi="en-US"/>
            </w:rPr>
            <w:t xml:space="preserve">4 </w:t>
          </w:r>
          <w:r>
            <w:rPr>
              <w:color w:val="000000"/>
              <w:szCs w:val="24"/>
              <w:lang w:eastAsia="lt-LT" w:bidi="en-US"/>
            </w:rPr>
            <w:t>straipsnių pakeitimo</w:t>
          </w:r>
          <w:r>
            <w:rPr>
              <w:rFonts w:eastAsia="Andale Sans UI" w:cs="Tahoma"/>
              <w:szCs w:val="24"/>
              <w:lang w:bidi="en-US"/>
            </w:rPr>
            <w:t>, Įstatymo papildymo 4</w:t>
          </w:r>
          <w:r>
            <w:rPr>
              <w:rFonts w:eastAsia="Andale Sans UI" w:cs="Tahoma"/>
              <w:szCs w:val="24"/>
              <w:vertAlign w:val="superscript"/>
              <w:lang w:bidi="en-US"/>
            </w:rPr>
            <w:t>3</w:t>
          </w:r>
          <w:r>
            <w:rPr>
              <w:rFonts w:eastAsia="Andale Sans UI" w:cs="Tahoma"/>
              <w:b/>
              <w:bCs/>
              <w:szCs w:val="24"/>
              <w:lang w:bidi="en-US"/>
            </w:rPr>
            <w:t xml:space="preserve"> </w:t>
          </w:r>
          <w:r>
            <w:rPr>
              <w:rFonts w:eastAsia="Andale Sans UI" w:cs="Tahoma"/>
              <w:szCs w:val="24"/>
              <w:lang w:bidi="en-US"/>
            </w:rPr>
            <w:t>straipsniu</w:t>
          </w:r>
          <w:r>
            <w:rPr>
              <w:b/>
              <w:bCs/>
              <w:color w:val="000000"/>
              <w:szCs w:val="24"/>
              <w:lang w:eastAsia="lt-LT" w:bidi="en-US"/>
            </w:rPr>
            <w:t xml:space="preserve"> </w:t>
          </w:r>
          <w:r>
            <w:rPr>
              <w:color w:val="000000"/>
              <w:szCs w:val="24"/>
              <w:lang w:eastAsia="en-GB" w:bidi="en-US"/>
            </w:rPr>
            <w:t xml:space="preserve">ir 5 priedo pakeitimo </w:t>
          </w:r>
          <w:r>
            <w:rPr>
              <w:szCs w:val="24"/>
              <w:lang w:bidi="en-US"/>
            </w:rPr>
            <w:t xml:space="preserve">įstatymo </w:t>
          </w:r>
          <w:r>
            <w:rPr>
              <w:color w:val="000000"/>
              <w:szCs w:val="24"/>
              <w:lang w:bidi="en-US"/>
            </w:rPr>
            <w:t>projektą (toliau – Projektas).</w:t>
          </w:r>
        </w:p>
        <w:sdt>
          <w:sdtPr>
            <w:alias w:val="1 p."/>
            <w:tag w:val="part_9642e8dbf642450685ad392bd1413b26"/>
            <w:lock w:val="sdtLocked"/>
            <w:richText/>
          </w:sdtPr>
          <w:sdtContent>
            <w:p>
              <w:pPr>
                <w:ind w:firstLine="709"/>
                <w:jc w:val="both"/>
                <w:rPr>
                  <w:rFonts w:eastAsia="Andale Sans UI"/>
                  <w:b/>
                  <w:bCs/>
                  <w:szCs w:val="24"/>
                  <w:lang w:bidi="en-US"/>
                </w:rPr>
              </w:pPr>
              <w:sdt>
                <w:sdtPr>
                  <w:alias w:val="Numeris"/>
                  <w:tag w:val="nr_9642e8dbf642450685ad392bd1413b26"/>
                  <w:lock w:val="sdtLocked"/>
                  <w:richText/>
                </w:sdtPr>
                <w:sdtContent>
                  <w:r>
                    <w:rPr>
                      <w:rFonts w:eastAsia="Andale Sans UI"/>
                      <w:b/>
                      <w:bCs/>
                      <w:szCs w:val="24"/>
                      <w:lang w:bidi="en-US"/>
                    </w:rPr>
                    <w:t>1</w:t>
                  </w:r>
                </w:sdtContent>
              </w:sdt>
              <w:r>
                <w:rPr>
                  <w:rFonts w:eastAsia="Andale Sans UI"/>
                  <w:b/>
                  <w:bCs/>
                  <w:szCs w:val="24"/>
                  <w:lang w:bidi="en-US"/>
                </w:rPr>
                <w:t>. Projektu sprendžiama problema ir Projektą rengti paskatinusios priežastys</w:t>
              </w:r>
            </w:p>
            <w:p>
              <w:pPr>
                <w:shd w:val="clear" w:color="auto" w:fill="FFFFFF"/>
                <w:ind w:firstLine="709"/>
                <w:jc w:val="both"/>
                <w:rPr>
                  <w:color w:val="000000"/>
                  <w:szCs w:val="24"/>
                  <w:lang w:eastAsia="en-GB" w:bidi="en-US"/>
                </w:rPr>
              </w:pPr>
              <w:r>
                <w:rPr>
                  <w:color w:val="000000"/>
                  <w:szCs w:val="24"/>
                  <w:lang w:eastAsia="en-GB" w:bidi="en-US"/>
                </w:rPr>
                <w:t>Projektas parengtas atsižvelgiant į:</w:t>
              </w:r>
            </w:p>
            <w:p>
              <w:pPr>
                <w:shd w:val="clear" w:color="auto" w:fill="FFFFFF"/>
                <w:ind w:firstLine="709"/>
                <w:jc w:val="both"/>
                <w:rPr>
                  <w:rFonts w:eastAsia="Andale Sans UI"/>
                  <w:color w:val="000000"/>
                  <w:szCs w:val="24"/>
                  <w:lang w:bidi="en-US"/>
                </w:rPr>
              </w:pPr>
              <w:r>
                <w:rPr>
                  <w:rFonts w:eastAsia="Andale Sans UI"/>
                  <w:color w:val="000000"/>
                  <w:szCs w:val="24"/>
                  <w:lang w:bidi="en-US"/>
                </w:rPr>
                <w:t>– Lietuvos vyriausiojo administracinio teismo suformuotą praktiką</w:t>
              </w:r>
              <w:r>
                <w:rPr>
                  <w:rFonts w:eastAsia="Andale Sans UI"/>
                  <w:color w:val="000000"/>
                  <w:szCs w:val="24"/>
                  <w:vertAlign w:val="superscript"/>
                  <w:lang w:bidi="en-US"/>
                </w:rPr>
                <w:footnoteReference w:id="2"/>
              </w:r>
              <w:r>
                <w:rPr>
                  <w:rFonts w:eastAsia="Andale Sans UI"/>
                  <w:color w:val="000000"/>
                  <w:szCs w:val="24"/>
                  <w:lang w:bidi="en-US"/>
                </w:rPr>
                <w:t xml:space="preserve">, kad viešojo administravimo subjektų kompetencija turi būti nustatyta įstatymu, veikla vykdoma tik neperžengiant jiems priskirtos kompetencijos, o atitinkamam teisėkūros subjektui viršijus jam teisės aktais suteiktą kompetenciją ir priėmus norminį administracinį aktą, kurio jis nėra įgaliotas priimti, būtų pažeistas ir Konstitucijos preambulėje įtvirtintas teisinės valstybės principas. 2006 m. birželio 14 d. Europos Parlamento ir Tarybos reglamente </w:t>
              </w:r>
              <w:fldSimple w:instr="HYPERLINK http://eur-lex.europa.eu/legal-content/LIT/TXT/?uri=CELEX:32006R1013&amp;locale=lt \t _blank">
                <w:r>
                  <w:rPr>
                    <w:rFonts w:eastAsia="Andale Sans UI"/>
                    <w:color w:val="0000FF" w:themeColor="hyperlink"/>
                    <w:szCs w:val="24"/>
                    <w:lang w:bidi="en-US"/>
                    <w:u w:val="single"/>
                  </w:rPr>
                  <w:t>(EB) Nr. 1013/2006</w:t>
                </w:r>
              </w:fldSimple>
              <w:r>
                <w:rPr>
                  <w:rFonts w:eastAsia="Andale Sans UI"/>
                  <w:color w:val="000000"/>
                  <w:szCs w:val="24"/>
                  <w:lang w:bidi="en-US"/>
                </w:rPr>
                <w:t xml:space="preserve"> dėl atliekų vežimo (toliau – Reglamentas </w:t>
              </w:r>
              <w:fldSimple w:instr="HYPERLINK http://eur-lex.europa.eu/legal-content/LIT/TXT/?uri=CELEX:32006R1013&amp;locale=lt \t _blank">
                <w:r>
                  <w:rPr>
                    <w:rFonts w:eastAsia="Andale Sans UI"/>
                    <w:color w:val="0000FF" w:themeColor="hyperlink"/>
                    <w:szCs w:val="24"/>
                    <w:lang w:bidi="en-US"/>
                    <w:u w:val="single"/>
                  </w:rPr>
                  <w:t>Nr. 1013/2006</w:t>
                </w:r>
              </w:fldSimple>
              <w:r>
                <w:rPr>
                  <w:rFonts w:eastAsia="Andale Sans UI"/>
                  <w:color w:val="000000"/>
                  <w:szCs w:val="24"/>
                  <w:lang w:bidi="en-US"/>
                </w:rPr>
                <w:t>) numatytos siunčiančiosios kompetentingos institucijos, paskirties kompetentingos institucijos, tranzito kompetentingos institucijos ir korespondento funkcijos pavestos Aplinkos apsaugos departamentui prie Lietuvos Respublikos aplinkos ministerijos aplinkos ministro įsakymu</w:t>
              </w:r>
              <w:r>
                <w:rPr>
                  <w:rFonts w:eastAsia="Andale Sans UI"/>
                  <w:color w:val="000000"/>
                  <w:szCs w:val="24"/>
                  <w:vertAlign w:val="superscript"/>
                  <w:lang w:bidi="en-US"/>
                </w:rPr>
                <w:footnoteReference w:id="3"/>
              </w:r>
              <w:r>
                <w:rPr>
                  <w:rFonts w:eastAsia="Andale Sans UI"/>
                  <w:color w:val="000000"/>
                  <w:szCs w:val="24"/>
                  <w:lang w:bidi="en-US"/>
                </w:rPr>
                <w:t>;</w:t>
              </w:r>
            </w:p>
            <w:p>
              <w:pPr>
                <w:shd w:val="clear" w:color="auto" w:fill="FFFFFF"/>
                <w:ind w:firstLine="709"/>
                <w:jc w:val="both"/>
                <w:rPr>
                  <w:rFonts w:eastAsia="Andale Sans UI"/>
                  <w:color w:val="000000"/>
                  <w:szCs w:val="24"/>
                  <w:lang w:bidi="en-US"/>
                </w:rPr>
              </w:pPr>
              <w:r>
                <w:rPr>
                  <w:rFonts w:eastAsia="Andale Sans UI"/>
                  <w:color w:val="000000"/>
                  <w:szCs w:val="24"/>
                  <w:lang w:bidi="en-US"/>
                </w:rPr>
                <w:t xml:space="preserve">–  2024 m. balandžio 11 d. Europos Parlamento ir Tarybos reglamento </w:t>
              </w:r>
              <w:fldSimple w:instr="HYPERLINK http://eur-lex.europa.eu/legal-content/LIT/TXT/?uri=CELEX:33157R2024&amp;locale=lt \t _blank">
                <w:r>
                  <w:rPr>
                    <w:rFonts w:eastAsia="Andale Sans UI"/>
                    <w:color w:val="0000FF" w:themeColor="hyperlink"/>
                    <w:szCs w:val="24"/>
                    <w:lang w:bidi="en-US"/>
                    <w:u w:val="single"/>
                  </w:rPr>
                  <w:t>(ES) Nr. 2024/1157</w:t>
                </w:r>
              </w:fldSimple>
              <w:r>
                <w:rPr>
                  <w:rFonts w:eastAsia="Andale Sans UI"/>
                  <w:color w:val="000000"/>
                  <w:szCs w:val="24"/>
                  <w:lang w:bidi="en-US"/>
                </w:rPr>
                <w:t xml:space="preserve"> dėl atliekų vežimo, kuriuo iš dalies keičiami Reglamentai </w:t>
              </w:r>
              <w:fldSimple w:instr="HYPERLINK http://eur-lex.europa.eu/legal-content/LIT/TXT/?uri=CELEX:32013R1257&amp;locale=lt \t _blank">
                <w:r>
                  <w:rPr>
                    <w:rFonts w:eastAsia="Andale Sans UI"/>
                    <w:color w:val="0000FF" w:themeColor="hyperlink"/>
                    <w:szCs w:val="24"/>
                    <w:lang w:bidi="en-US"/>
                    <w:u w:val="single"/>
                  </w:rPr>
                  <w:t>(ES) Nr. 1257/2013</w:t>
                </w:r>
              </w:fldSimple>
              <w:r>
                <w:rPr>
                  <w:rFonts w:eastAsia="Andale Sans UI"/>
                  <w:color w:val="000000"/>
                  <w:szCs w:val="24"/>
                  <w:lang w:bidi="en-US"/>
                </w:rPr>
                <w:t xml:space="preserve"> ir </w:t>
              </w:r>
              <w:fldSimple w:instr="HYPERLINK http://eur-lex.europa.eu/legal-content/LIT/TXT/?uri=CELEX:32020R1056&amp;locale=lt \t _blank">
                <w:r>
                  <w:rPr>
                    <w:rFonts w:eastAsia="Andale Sans UI"/>
                    <w:color w:val="0000FF" w:themeColor="hyperlink"/>
                    <w:szCs w:val="24"/>
                    <w:lang w:bidi="en-US"/>
                    <w:u w:val="single"/>
                  </w:rPr>
                  <w:t>(ES) 2020/1056</w:t>
                </w:r>
              </w:fldSimple>
              <w:r>
                <w:rPr>
                  <w:rFonts w:eastAsia="Andale Sans UI"/>
                  <w:color w:val="000000"/>
                  <w:szCs w:val="24"/>
                  <w:lang w:bidi="en-US"/>
                </w:rPr>
                <w:t xml:space="preserve"> ir panaikinamas Reglamentas </w:t>
              </w:r>
              <w:fldSimple w:instr="HYPERLINK http://eur-lex.europa.eu/legal-content/LIT/TXT/?uri=CELEX:32006R1013&amp;locale=lt \t _blank">
                <w:r>
                  <w:rPr>
                    <w:rFonts w:eastAsia="Andale Sans UI"/>
                    <w:color w:val="0000FF" w:themeColor="hyperlink"/>
                    <w:szCs w:val="24"/>
                    <w:lang w:bidi="en-US"/>
                    <w:u w:val="single"/>
                  </w:rPr>
                  <w:t>(EB) Nr. 1013/2006</w:t>
                </w:r>
              </w:fldSimple>
              <w:r>
                <w:rPr>
                  <w:rFonts w:eastAsia="Andale Sans UI"/>
                  <w:color w:val="000000"/>
                  <w:szCs w:val="24"/>
                  <w:lang w:bidi="en-US"/>
                </w:rPr>
                <w:t xml:space="preserve">, (toliau – Reglamentas </w:t>
              </w:r>
              <w:fldSimple w:instr="HYPERLINK http://eur-lex.europa.eu/legal-content/LIT/TXT/?uri=CELEX:33157R2024&amp;locale=lt \t _blank">
                <w:r>
                  <w:rPr>
                    <w:rFonts w:eastAsia="Andale Sans UI"/>
                    <w:color w:val="0000FF" w:themeColor="hyperlink"/>
                    <w:szCs w:val="24"/>
                    <w:lang w:bidi="en-US"/>
                    <w:u w:val="single"/>
                  </w:rPr>
                  <w:t>Nr. 2024/1157</w:t>
                </w:r>
              </w:fldSimple>
              <w:r>
                <w:rPr>
                  <w:rFonts w:eastAsia="Andale Sans UI"/>
                  <w:color w:val="000000"/>
                  <w:szCs w:val="24"/>
                  <w:lang w:bidi="en-US"/>
                </w:rPr>
                <w:t xml:space="preserve">) 65 straipsnį „Valstybių narių bendradarbiavimas dėl vykdymo užtikrinimo“, 75 straipsnį „Kompetentingų institucijų paskyrimas“, 76 straipsnį „Susirašinėtojų paskyrimas“, kurie įsigalioja 2026 m. gegužės 21 d. ir įpareigoja Lietuvos Respubliką paskirti kompetentingą  instituciją, atsakingą už šio reglamento nuostatų įgyvendinimą, instituciją, atsakingą už informacijos teikimą ar pranešimą asmenims ar įmonėms, teikiančioms su šio reglamento įgyvendinimu susijusias užklausas, instituciją, atsakingą už bendradarbiavimą su kitų Europos Sąjungos valstybių narių paskirtomis institucijomis neteisėto atliekų vežimo prevencijos nustatymo klausimais, dalinantis patirtimi ir žiniomis, atliekant fizinius tarptautinių atliekų vežimų patikrinimus; </w:t>
              </w:r>
            </w:p>
            <w:p>
              <w:pPr>
                <w:shd w:val="clear" w:color="auto" w:fill="FFFFFF"/>
                <w:ind w:firstLine="709"/>
                <w:jc w:val="both"/>
                <w:rPr>
                  <w:rFonts w:eastAsia="Andale Sans UI"/>
                  <w:spacing w:val="2"/>
                  <w:szCs w:val="24"/>
                  <w:shd w:val="clear" w:color="auto" w:fill="FFFFFF"/>
                  <w:lang w:bidi="en-US"/>
                </w:rPr>
              </w:pPr>
              <w:r>
                <w:rPr>
                  <w:color w:val="000000"/>
                  <w:szCs w:val="24"/>
                  <w:lang w:eastAsia="en-GB" w:bidi="en-US"/>
                </w:rPr>
                <w:t xml:space="preserve">– </w:t>
              </w:r>
              <w:r>
                <w:rPr>
                  <w:rFonts w:eastAsia="Andale Sans UI"/>
                  <w:szCs w:val="24"/>
                  <w:lang w:bidi="en-US"/>
                </w:rPr>
                <w:t>Konstitucinio Teismo 2006 m. gegužės 31 d. nutarimą</w:t>
              </w:r>
              <w:r>
                <w:rPr>
                  <w:rFonts w:eastAsia="Andale Sans UI"/>
                  <w:szCs w:val="24"/>
                  <w:vertAlign w:val="superscript"/>
                  <w:lang w:bidi="en-US"/>
                </w:rPr>
                <w:footnoteReference w:id="4"/>
              </w:r>
              <w:r>
                <w:rPr>
                  <w:rFonts w:eastAsia="Andale Sans UI"/>
                  <w:szCs w:val="24"/>
                  <w:lang w:bidi="en-US"/>
                </w:rPr>
                <w:t xml:space="preserve">, kuriame konstatuota, kad tam tikri ūkinės veiklos santykiai gali būti reguliuojami tik įstatymais, kiti – Vyriausybės nutarimais, dar kiti – žemesnės galios poįstatyminiais teisės aktais, tačiau nustatyti esmines ūkinės veiklos sąlygas, draudimus ir ribojimus, darančius esminį poveikį ūkinei veiklai, taip pat įvairias sankcijas už atitinkamus teisės pažeidimus pagal Konstituciją galima tik įstatymu. Taigi tik įstatymu galima nustatyti ir esminį poveikį ūkinei veiklai galinčias daryti ekonominio poveikio priemones, kurios turi būti taikomos, kai nustatyti įpareigojimai nevykdomi arba vykdomi netinkamai. Todėl </w:t>
              </w:r>
              <w:r>
                <w:rPr>
                  <w:rFonts w:eastAsia="Andale Sans UI"/>
                  <w:color w:val="000000"/>
                  <w:szCs w:val="24"/>
                  <w:lang w:bidi="en-US"/>
                </w:rPr>
                <w:t xml:space="preserve">Reglamento </w:t>
              </w:r>
              <w:fldSimple w:instr="HYPERLINK http://eur-lex.europa.eu/legal-content/LIT/TXT/?uri=CELEX:32006R1013&amp;locale=lt \t _blank">
                <w:r>
                  <w:rPr>
                    <w:rFonts w:eastAsia="Andale Sans UI"/>
                    <w:color w:val="0000FF" w:themeColor="hyperlink"/>
                    <w:szCs w:val="24"/>
                    <w:lang w:bidi="en-US"/>
                    <w:u w:val="single"/>
                  </w:rPr>
                  <w:t>Nr. 1013/2006</w:t>
                </w:r>
              </w:fldSimple>
              <w:r>
                <w:rPr>
                  <w:rFonts w:eastAsia="Andale Sans UI"/>
                  <w:color w:val="000000"/>
                  <w:szCs w:val="24"/>
                  <w:lang w:bidi="en-US"/>
                </w:rPr>
                <w:t xml:space="preserve"> 14 </w:t>
              </w:r>
              <w:r>
                <w:rPr>
                  <w:rFonts w:eastAsia="Andale Sans UI"/>
                  <w:szCs w:val="24"/>
                  <w:lang w:bidi="en-US"/>
                </w:rPr>
                <w:t>straipsnyje „Išankstiniai leidimai naudojimo įrenginiams“ ir</w:t>
              </w:r>
              <w:r>
                <w:rPr>
                  <w:rFonts w:eastAsia="Andale Sans UI"/>
                  <w:color w:val="000000"/>
                  <w:szCs w:val="24"/>
                  <w:lang w:bidi="en-US"/>
                </w:rPr>
                <w:t xml:space="preserve"> Reglamento </w:t>
              </w:r>
              <w:fldSimple w:instr="HYPERLINK http://eur-lex.europa.eu/legal-content/LIT/TXT/?uri=CELEX:33157R2024&amp;locale=lt \t _blank">
                <w:r>
                  <w:rPr>
                    <w:rFonts w:eastAsia="Andale Sans UI"/>
                    <w:color w:val="0000FF" w:themeColor="hyperlink"/>
                    <w:szCs w:val="24"/>
                    <w:lang w:bidi="en-US"/>
                    <w:u w:val="single"/>
                  </w:rPr>
                  <w:t>Nr. 2024/1157</w:t>
                </w:r>
              </w:fldSimple>
              <w:r>
                <w:rPr>
                  <w:rFonts w:eastAsia="Andale Sans UI"/>
                  <w:color w:val="000000"/>
                  <w:szCs w:val="24"/>
                  <w:lang w:bidi="en-US"/>
                </w:rPr>
                <w:t xml:space="preserve"> 14 straipsnyje</w:t>
              </w:r>
              <w:r>
                <w:rPr>
                  <w:rFonts w:eastAsia="Andale Sans UI"/>
                  <w:szCs w:val="24"/>
                  <w:lang w:bidi="en-US"/>
                </w:rPr>
                <w:t xml:space="preserve"> „Naudojimo įrenginiai, dėl kurių gautas išankstinis sutikimas“ numatyto išankstinio sutikimo atliekų naudojimo įrenginiui, naudojančiam įvežtas (importuotas) į Lietuvos Respubliką atliekas, išdavimo, keitimo ir galiojimo panaikinimo esminės sąlygos turi būti numatytos įstatyme. </w:t>
              </w:r>
              <w:r>
                <w:rPr>
                  <w:rFonts w:eastAsia="Andale Sans UI"/>
                  <w:color w:val="000000"/>
                  <w:szCs w:val="24"/>
                  <w:lang w:bidi="en-US"/>
                </w:rPr>
                <w:t xml:space="preserve">Reglamento </w:t>
              </w:r>
              <w:fldSimple w:instr="HYPERLINK http://eur-lex.europa.eu/legal-content/LIT/TXT/?uri=CELEX:32006R1013&amp;locale=lt \t _blank">
                <w:r>
                  <w:rPr>
                    <w:rFonts w:eastAsia="Andale Sans UI"/>
                    <w:color w:val="0000FF" w:themeColor="hyperlink"/>
                    <w:szCs w:val="24"/>
                    <w:lang w:bidi="en-US"/>
                    <w:u w:val="single"/>
                  </w:rPr>
                  <w:t>Nr. 1013/2006</w:t>
                </w:r>
              </w:fldSimple>
              <w:r>
                <w:rPr>
                  <w:rFonts w:eastAsia="Andale Sans UI"/>
                  <w:color w:val="000000"/>
                  <w:szCs w:val="24"/>
                  <w:lang w:bidi="en-US"/>
                </w:rPr>
                <w:t xml:space="preserve"> 14 straipsnyje ir Reglamento </w:t>
              </w:r>
              <w:fldSimple w:instr="HYPERLINK http://eur-lex.europa.eu/legal-content/LIT/TXT/?uri=CELEX:33157R2024&amp;locale=lt \t _blank">
                <w:r>
                  <w:rPr>
                    <w:rFonts w:eastAsia="Andale Sans UI"/>
                    <w:color w:val="0000FF" w:themeColor="hyperlink"/>
                    <w:szCs w:val="24"/>
                    <w:lang w:bidi="en-US"/>
                    <w:u w:val="single"/>
                  </w:rPr>
                  <w:t>Nr. 2024/1157</w:t>
                </w:r>
              </w:fldSimple>
              <w:r>
                <w:rPr>
                  <w:rFonts w:eastAsia="Andale Sans UI"/>
                  <w:color w:val="000000"/>
                  <w:szCs w:val="24"/>
                  <w:lang w:bidi="en-US"/>
                </w:rPr>
                <w:t xml:space="preserve"> 14 straipsnyje numatyto </w:t>
              </w:r>
              <w:r>
                <w:rPr>
                  <w:rFonts w:eastAsia="Andale Sans UI"/>
                  <w:szCs w:val="24"/>
                  <w:lang w:bidi="en-US"/>
                </w:rPr>
                <w:t xml:space="preserve">išankstinio sutikimo dešimčiai metų atliekų naudojimo įrenginiui, naudojančiam įvežtas (importuotas) į Lietuvos Respubliką atliekas, išdavimas reikalingas atsižvelgiant į: 1) </w:t>
              </w:r>
              <w:r>
                <w:rPr>
                  <w:color w:val="000000"/>
                  <w:szCs w:val="24"/>
                  <w:lang w:eastAsia="en-GB" w:bidi="en-US"/>
                </w:rPr>
                <w:t>Aplinkos ministerijos Centralizuoto vidaus audito skyriaus 2023 m. liepos 25 d. atlikto vidaus audito „</w:t>
              </w:r>
              <w:r>
                <w:rPr>
                  <w:rFonts w:eastAsia="Andale Sans UI"/>
                  <w:szCs w:val="24"/>
                  <w:lang w:bidi="en-US"/>
                </w:rPr>
                <w:t xml:space="preserve">Licencijų (leidimų) išdavimas ir su juo susijusių veiksmų procesas“ </w:t>
              </w:r>
              <w:r>
                <w:rPr>
                  <w:color w:val="000000"/>
                  <w:szCs w:val="24"/>
                  <w:lang w:eastAsia="en-GB" w:bidi="en-US"/>
                </w:rPr>
                <w:t>ataskaitoje pateiktą pastebėjimą, kad „</w:t>
              </w:r>
              <w:r>
                <w:rPr>
                  <w:rFonts w:eastAsia="Andale Sans UI"/>
                  <w:spacing w:val="2"/>
                  <w:szCs w:val="24"/>
                  <w:shd w:val="clear" w:color="auto" w:fill="FFFFFF"/>
                  <w:lang w:bidi="en-US"/>
                </w:rPr>
                <w:t xml:space="preserve">remiantis geresnio reglamentavimo principais, </w:t>
              </w:r>
              <w:r>
                <w:rPr>
                  <w:rFonts w:eastAsia="Andale Sans UI"/>
                  <w:color w:val="242424"/>
                  <w:szCs w:val="24"/>
                  <w:lang w:bidi="en-US"/>
                </w:rPr>
                <w:t xml:space="preserve">būtina įvertinti TAV leidimų išdavimo importui perspektyvas pagal Reglamento 14 str., esant poreikiui papildyti </w:t>
              </w:r>
              <w:r>
                <w:rPr>
                  <w:rFonts w:eastAsia="Andale Sans UI"/>
                  <w:color w:val="000000"/>
                  <w:szCs w:val="24"/>
                  <w:lang w:bidi="en-US"/>
                </w:rPr>
                <w:t xml:space="preserve">taikytinomis nacionalinėmis procedūromis išduodant tokius leidimus dėl tarpvalstybinio atliekų vežimo“; 2) </w:t>
              </w:r>
              <w:r>
                <w:rPr>
                  <w:rFonts w:eastAsia="Andale Sans UI"/>
                  <w:szCs w:val="24"/>
                  <w:lang w:bidi="en-US"/>
                </w:rPr>
                <w:t>Ekonomikos ir inovacijų ministerijos paskelbtus administracinės naštos mažinimo principus</w:t>
              </w:r>
              <w:r>
                <w:rPr>
                  <w:rFonts w:eastAsia="Andale Sans UI"/>
                  <w:szCs w:val="24"/>
                  <w:vertAlign w:val="superscript"/>
                  <w:lang w:bidi="en-US"/>
                </w:rPr>
                <w:footnoteReference w:id="5"/>
              </w:r>
              <w:r>
                <w:rPr>
                  <w:rFonts w:eastAsia="Andale Sans UI"/>
                  <w:szCs w:val="24"/>
                  <w:lang w:bidi="en-US"/>
                </w:rPr>
                <w:t xml:space="preserve">, kuriais valstybės institucijos, </w:t>
              </w:r>
              <w:r>
                <w:rPr>
                  <w:rFonts w:eastAsia="Andale Sans UI"/>
                  <w:spacing w:val="2"/>
                  <w:szCs w:val="24"/>
                  <w:shd w:val="clear" w:color="auto" w:fill="FFFFFF"/>
                  <w:lang w:bidi="en-US"/>
                </w:rPr>
                <w:t>remiantis geresnio reglamentavimo principais, skatinamos vertinti visų informacinių įpareigojimų, taip pat leidimų, licencijų, sertifikatų, pažymėjimų, kvalifikacinių ir kitų reikalavimų tikslingumą, pagrįstumą ir proporcingumą, paprastinti išdavimo procedūras; 3)</w:t>
              </w:r>
              <w:r>
                <w:rPr>
                  <w:rFonts w:eastAsia="Andale Sans UI"/>
                  <w:color w:val="000000"/>
                  <w:szCs w:val="24"/>
                  <w:lang w:bidi="en-US"/>
                </w:rPr>
                <w:t xml:space="preserve"> siekį sumažinti administracinę naštą Aplinkos apsaugos departamentui išduodant metinius</w:t>
              </w:r>
              <w:r>
                <w:rPr>
                  <w:rFonts w:eastAsia="Andale Sans UI"/>
                  <w:color w:val="000000"/>
                  <w:szCs w:val="24"/>
                  <w:vertAlign w:val="superscript"/>
                  <w:lang w:bidi="en-US"/>
                </w:rPr>
                <w:footnoteReference w:id="6"/>
              </w:r>
              <w:r>
                <w:rPr>
                  <w:rFonts w:eastAsia="Andale Sans UI"/>
                  <w:color w:val="000000"/>
                  <w:szCs w:val="24"/>
                  <w:lang w:bidi="en-US"/>
                </w:rPr>
                <w:t xml:space="preserve"> atliekų įvežimo (importo) į Lietuvos Respubliką leidimus; 4)</w:t>
              </w:r>
              <w:r>
                <w:rPr>
                  <w:rFonts w:eastAsia="Andale Sans UI"/>
                  <w:spacing w:val="2"/>
                  <w:szCs w:val="24"/>
                  <w:shd w:val="clear" w:color="auto" w:fill="FFFFFF"/>
                  <w:lang w:bidi="en-US"/>
                </w:rPr>
                <w:t xml:space="preserve"> ūkio subjektų prašymus pagerinti atliekų tvarkymo paslaugas teikiančių įmonių verslo sąlygas, supaprastinant atliekų </w:t>
              </w:r>
              <w:r>
                <w:rPr>
                  <w:rFonts w:eastAsia="Andale Sans UI"/>
                  <w:szCs w:val="24"/>
                  <w:lang w:bidi="en-US"/>
                </w:rPr>
                <w:t>įvežimo (</w:t>
              </w:r>
              <w:r>
                <w:rPr>
                  <w:rFonts w:eastAsia="Andale Sans UI"/>
                  <w:spacing w:val="2"/>
                  <w:szCs w:val="24"/>
                  <w:shd w:val="clear" w:color="auto" w:fill="FFFFFF"/>
                  <w:lang w:bidi="en-US"/>
                </w:rPr>
                <w:t>import</w:t>
              </w:r>
              <w:r>
                <w:rPr>
                  <w:rFonts w:eastAsia="Andale Sans UI"/>
                  <w:szCs w:val="24"/>
                  <w:lang w:bidi="en-US"/>
                </w:rPr>
                <w:t>o)</w:t>
              </w:r>
              <w:r>
                <w:rPr>
                  <w:rFonts w:eastAsia="Andale Sans UI"/>
                  <w:spacing w:val="2"/>
                  <w:szCs w:val="24"/>
                  <w:shd w:val="clear" w:color="auto" w:fill="FFFFFF"/>
                  <w:lang w:bidi="en-US"/>
                </w:rPr>
                <w:t xml:space="preserve"> </w:t>
              </w:r>
              <w:r>
                <w:rPr>
                  <w:rFonts w:eastAsia="Andale Sans UI"/>
                  <w:szCs w:val="24"/>
                  <w:lang w:bidi="en-US"/>
                </w:rPr>
                <w:t xml:space="preserve">leidimų </w:t>
              </w:r>
              <w:r>
                <w:rPr>
                  <w:rFonts w:eastAsia="Andale Sans UI"/>
                  <w:spacing w:val="2"/>
                  <w:szCs w:val="24"/>
                  <w:shd w:val="clear" w:color="auto" w:fill="FFFFFF"/>
                  <w:lang w:bidi="en-US"/>
                </w:rPr>
                <w:t xml:space="preserve">išdavimą, nes atliekų išsiuntimo (eksporto) šalies leidimas išduodamas, kai gaunamas paskirties (importuojančios) šalies leidimas, t. y. visa metinio leidimo išdavimo procedūra užtrunka apie 4 mėnesius; 7) užsienio šalių praktiką (remiantis </w:t>
              </w:r>
              <w:r>
                <w:rPr>
                  <w:rFonts w:eastAsia="Andale Sans UI"/>
                  <w:szCs w:val="24"/>
                  <w:lang w:bidi="en-US"/>
                </w:rPr>
                <w:t>Europos bendradarbiavimo ir plėtros organizacijos duomenų bazėje</w:t>
              </w:r>
              <w:r>
                <w:rPr>
                  <w:rFonts w:eastAsia="Andale Sans UI"/>
                  <w:szCs w:val="24"/>
                  <w:vertAlign w:val="superscript"/>
                  <w:lang w:bidi="en-US"/>
                </w:rPr>
                <w:footnoteReference w:id="7"/>
              </w:r>
              <w:r>
                <w:rPr>
                  <w:rFonts w:eastAsia="Andale Sans UI"/>
                  <w:szCs w:val="24"/>
                  <w:lang w:bidi="en-US"/>
                </w:rPr>
                <w:t xml:space="preserve"> pateiktais duomenimis, 16 (9 ES valstybės narės) iš 43 valstybių taiko išankstinių sutikimų išdavimo tvarką. Išankstinis sutikimas galioja nuo 2 iki 15 metų, </w:t>
              </w:r>
              <w:r>
                <w:rPr>
                  <w:rFonts w:eastAsia="Andale Sans UI"/>
                  <w:spacing w:val="2"/>
                  <w:szCs w:val="24"/>
                  <w:shd w:val="clear" w:color="auto" w:fill="FFFFFF"/>
                  <w:lang w:bidi="en-US"/>
                </w:rPr>
                <w:t xml:space="preserve">pavyzdžiui, Kipre išankstinis leidimas galioja 2 metus, Airijoje – 3 metus, Šveicarijoje ir Bulgarijoje – 5 metus, Ispanijoje –  9 metus, Belgijoje, Danijoje, Prancūzijoje, Olandijoje, Švedijoje –</w:t>
              </w:r>
              <w:r>
                <w:rPr>
                  <w:rFonts w:eastAsia="Andale Sans UI"/>
                  <w:szCs w:val="24"/>
                  <w:lang w:bidi="en-US"/>
                </w:rPr>
                <w:t xml:space="preserve"> </w:t>
              </w:r>
              <w:r>
                <w:rPr>
                  <w:rFonts w:eastAsia="Andale Sans UI"/>
                  <w:spacing w:val="2"/>
                  <w:szCs w:val="24"/>
                  <w:shd w:val="clear" w:color="auto" w:fill="FFFFFF"/>
                  <w:lang w:bidi="en-US"/>
                </w:rPr>
                <w:t>10 metų, Vokietijoje – 15 metų.</w:t>
              </w:r>
            </w:p>
          </w:sdtContent>
        </w:sdt>
        <w:sdt>
          <w:sdtPr>
            <w:alias w:val="2 p."/>
            <w:tag w:val="part_3da2a18147da4d91b603412cc6547458"/>
            <w:lock w:val="sdtLocked"/>
            <w:richText/>
          </w:sdtPr>
          <w:sdtContent>
            <w:p>
              <w:pPr>
                <w:ind w:firstLine="709"/>
                <w:jc w:val="both"/>
                <w:rPr>
                  <w:color w:val="000000"/>
                  <w:szCs w:val="24"/>
                  <w:lang w:bidi="en-US"/>
                </w:rPr>
              </w:pPr>
              <w:sdt>
                <w:sdtPr>
                  <w:alias w:val="Numeris"/>
                  <w:tag w:val="nr_3da2a18147da4d91b603412cc6547458"/>
                  <w:lock w:val="sdtLocked"/>
                  <w:richText/>
                </w:sdtPr>
                <w:sdtContent>
                  <w:r>
                    <w:rPr>
                      <w:b/>
                      <w:bCs/>
                      <w:color w:val="000000"/>
                      <w:szCs w:val="24"/>
                      <w:lang w:bidi="en-US"/>
                    </w:rPr>
                    <w:t>2</w:t>
                  </w:r>
                </w:sdtContent>
              </w:sdt>
              <w:r>
                <w:rPr>
                  <w:b/>
                  <w:bCs/>
                  <w:color w:val="000000"/>
                  <w:szCs w:val="24"/>
                  <w:lang w:bidi="en-US"/>
                </w:rPr>
                <w:t>.</w:t>
              </w:r>
              <w:r>
                <w:rPr>
                  <w:color w:val="000000"/>
                  <w:szCs w:val="24"/>
                  <w:lang w:bidi="en-US"/>
                </w:rPr>
                <w:t xml:space="preserve"> </w:t>
              </w:r>
              <w:r>
                <w:rPr>
                  <w:b/>
                  <w:bCs/>
                  <w:color w:val="000000"/>
                  <w:szCs w:val="24"/>
                  <w:lang w:bidi="en-US"/>
                </w:rPr>
                <w:t xml:space="preserve">Projektu siūlomo teisinio reguliavimo esmė – problemos sprendimas </w:t>
              </w:r>
            </w:p>
            <w:p>
              <w:pPr>
                <w:ind w:firstLine="709"/>
                <w:jc w:val="both"/>
                <w:rPr>
                  <w:rFonts w:eastAsia="Andale Sans UI"/>
                  <w:szCs w:val="24"/>
                  <w:lang w:bidi="en-US"/>
                </w:rPr>
              </w:pPr>
              <w:r>
                <w:rPr>
                  <w:b/>
                  <w:bCs/>
                  <w:color w:val="000000"/>
                  <w:szCs w:val="24"/>
                  <w:lang w:bidi="en-US"/>
                </w:rPr>
                <w:t>Projektu siūlomo teisinio reguliavimo esmė</w:t>
              </w:r>
              <w:r>
                <w:rPr>
                  <w:rFonts w:eastAsia="Andale Sans UI"/>
                  <w:spacing w:val="2"/>
                  <w:szCs w:val="24"/>
                  <w:shd w:val="clear" w:color="auto" w:fill="FFFFFF"/>
                  <w:lang w:bidi="en-US"/>
                </w:rPr>
                <w:t xml:space="preserve"> </w:t>
              </w:r>
              <w:r>
                <w:rPr>
                  <w:color w:val="000000"/>
                  <w:szCs w:val="24"/>
                  <w:lang w:bidi="en-US"/>
                </w:rPr>
                <w:t>–</w:t>
              </w:r>
              <w:r>
                <w:rPr>
                  <w:b/>
                  <w:bCs/>
                  <w:color w:val="000000"/>
                  <w:szCs w:val="24"/>
                  <w:lang w:bidi="en-US"/>
                </w:rPr>
                <w:t xml:space="preserve"> </w:t>
              </w:r>
              <w:r>
                <w:rPr>
                  <w:rFonts w:eastAsia="Andale Sans UI"/>
                  <w:spacing w:val="2"/>
                  <w:szCs w:val="24"/>
                  <w:shd w:val="clear" w:color="auto" w:fill="FFFFFF"/>
                  <w:lang w:bidi="en-US"/>
                </w:rPr>
                <w:t>sudaryti</w:t>
              </w:r>
              <w:r>
                <w:rPr>
                  <w:rFonts w:eastAsia="Andale Sans UI"/>
                  <w:szCs w:val="24"/>
                  <w:lang w:bidi="en-US"/>
                </w:rPr>
                <w:t xml:space="preserve"> teisines prielaidas atitinkamam Lietuvos viešojo administravimo subjektui (Aplinkos apsaugos departamentui) atlikti </w:t>
              </w:r>
              <w:r>
                <w:rPr>
                  <w:rFonts w:eastAsia="Andale Sans UI"/>
                  <w:color w:val="000000"/>
                  <w:szCs w:val="24"/>
                  <w:lang w:bidi="en-US"/>
                </w:rPr>
                <w:t xml:space="preserve">Reglamente </w:t>
              </w:r>
              <w:fldSimple w:instr="HYPERLINK http://eur-lex.europa.eu/legal-content/LIT/TXT/?uri=CELEX:32006R1013&amp;locale=lt \t _blank">
                <w:r>
                  <w:rPr>
                    <w:rFonts w:eastAsia="Andale Sans UI"/>
                    <w:color w:val="0000FF" w:themeColor="hyperlink"/>
                    <w:szCs w:val="24"/>
                    <w:lang w:bidi="en-US"/>
                    <w:u w:val="single"/>
                  </w:rPr>
                  <w:t>Nr. 1013/2006</w:t>
                </w:r>
              </w:fldSimple>
              <w:r>
                <w:rPr>
                  <w:rFonts w:eastAsia="Andale Sans UI"/>
                  <w:szCs w:val="24"/>
                  <w:lang w:bidi="en-US"/>
                </w:rPr>
                <w:t xml:space="preserve"> ir </w:t>
              </w:r>
              <w:r>
                <w:rPr>
                  <w:rFonts w:eastAsia="Andale Sans UI"/>
                  <w:color w:val="000000"/>
                  <w:szCs w:val="24"/>
                  <w:lang w:bidi="en-US"/>
                </w:rPr>
                <w:t xml:space="preserve">Reglamente </w:t>
              </w:r>
              <w:fldSimple w:instr="HYPERLINK http://eur-lex.europa.eu/legal-content/LIT/TXT/?uri=CELEX:33157R2024&amp;locale=lt \t _blank">
                <w:r>
                  <w:rPr>
                    <w:rFonts w:eastAsia="Andale Sans UI"/>
                    <w:color w:val="0000FF" w:themeColor="hyperlink"/>
                    <w:szCs w:val="24"/>
                    <w:lang w:bidi="en-US"/>
                    <w:u w:val="single"/>
                  </w:rPr>
                  <w:t>Nr. 2024/1157</w:t>
                </w:r>
              </w:fldSimple>
              <w:r>
                <w:rPr>
                  <w:rFonts w:eastAsia="Andale Sans UI"/>
                  <w:szCs w:val="24"/>
                  <w:lang w:bidi="en-US"/>
                </w:rPr>
                <w:t xml:space="preserve"> numatytas kompetentingos institucijos, korespondento ir bendradarbiavimo funkcijas, sumažinti </w:t>
              </w:r>
              <w:r>
                <w:rPr>
                  <w:rFonts w:eastAsia="Andale Sans UI"/>
                  <w:spacing w:val="2"/>
                  <w:szCs w:val="24"/>
                  <w:shd w:val="clear" w:color="auto" w:fill="FFFFFF"/>
                  <w:lang w:bidi="en-US"/>
                </w:rPr>
                <w:t>administracinę naštą Lietuvos Respublikos kompetentingai institucijai (Aplinkos apsaugos departamentui),</w:t>
              </w:r>
              <w:r>
                <w:rPr>
                  <w:rFonts w:eastAsia="Andale Sans UI"/>
                  <w:szCs w:val="24"/>
                  <w:lang w:bidi="en-US"/>
                </w:rPr>
                <w:t xml:space="preserve"> susijusią su atliekų įvežimu (importu) į Lietuvą, pagerinti atliekų tvarkytojų verslo sąlygas įvežant (importuojant) į Lietuvą atliekas.</w:t>
              </w:r>
            </w:p>
            <w:p>
              <w:pPr>
                <w:ind w:firstLine="709"/>
                <w:jc w:val="both"/>
                <w:rPr>
                  <w:rFonts w:eastAsia="Andale Sans UI"/>
                  <w:szCs w:val="24"/>
                  <w:lang w:bidi="en-US"/>
                </w:rPr>
              </w:pPr>
              <w:r>
                <w:rPr>
                  <w:color w:val="000000"/>
                  <w:szCs w:val="24"/>
                  <w:lang w:bidi="en-US"/>
                </w:rPr>
                <w:t xml:space="preserve">Projektu siūloma: </w:t>
              </w:r>
            </w:p>
          </w:sdtContent>
        </w:sdt>
        <w:sdt>
          <w:sdtPr>
            <w:alias w:val="1 p."/>
            <w:tag w:val="part_5741b20b19ae47c09d1e6f943719d06c"/>
            <w:lock w:val="sdtLocked"/>
            <w:richText/>
          </w:sdtPr>
          <w:sdtContent>
            <w:p>
              <w:pPr>
                <w:shd w:val="clear" w:color="auto" w:fill="FFFFFF"/>
                <w:ind w:firstLine="709"/>
                <w:jc w:val="both"/>
                <w:rPr>
                  <w:rFonts w:eastAsia="Andale Sans UI"/>
                  <w:szCs w:val="24"/>
                  <w:lang w:bidi="en-US"/>
                </w:rPr>
              </w:pPr>
              <w:sdt>
                <w:sdtPr>
                  <w:alias w:val="Numeris"/>
                  <w:tag w:val="nr_5741b20b19ae47c09d1e6f943719d06c"/>
                  <w:lock w:val="sdtLocked"/>
                  <w:richText/>
                </w:sdtPr>
                <w:sdtContent>
                  <w:r>
                    <w:rPr>
                      <w:rFonts w:eastAsia="Andale Sans UI"/>
                      <w:szCs w:val="24"/>
                      <w:lang w:bidi="en-US"/>
                    </w:rPr>
                    <w:t>1</w:t>
                  </w:r>
                </w:sdtContent>
              </w:sdt>
              <w:r>
                <w:rPr>
                  <w:rFonts w:eastAsia="Andale Sans UI"/>
                  <w:szCs w:val="24"/>
                  <w:lang w:bidi="en-US"/>
                </w:rPr>
                <w:t xml:space="preserve">. suteikti teisę aplinkos ministrui paskirti instituciją, atsakingą už </w:t>
              </w:r>
              <w:r>
                <w:rPr>
                  <w:rFonts w:eastAsia="Andale Sans UI"/>
                  <w:color w:val="000000"/>
                  <w:szCs w:val="24"/>
                  <w:lang w:bidi="en-US"/>
                </w:rPr>
                <w:t xml:space="preserve">Reglamente </w:t>
              </w:r>
              <w:fldSimple w:instr="HYPERLINK http://eur-lex.europa.eu/legal-content/LIT/TXT/?uri=CELEX:32006R1013&amp;locale=lt \t _blank">
                <w:r>
                  <w:rPr>
                    <w:rFonts w:eastAsia="Andale Sans UI"/>
                    <w:color w:val="0000FF" w:themeColor="hyperlink"/>
                    <w:szCs w:val="24"/>
                    <w:lang w:bidi="en-US"/>
                    <w:u w:val="single"/>
                  </w:rPr>
                  <w:t>Nr. 1013/2006</w:t>
                </w:r>
              </w:fldSimple>
              <w:r>
                <w:rPr>
                  <w:rFonts w:eastAsia="Andale Sans UI"/>
                  <w:color w:val="000000"/>
                  <w:szCs w:val="24"/>
                  <w:lang w:bidi="en-US"/>
                </w:rPr>
                <w:t xml:space="preserve"> ir Reglamente </w:t>
              </w:r>
              <w:fldSimple w:instr="HYPERLINK http://eur-lex.europa.eu/legal-content/LIT/TXT/?uri=CELEX:33157R2024&amp;locale=lt \t _blank">
                <w:r>
                  <w:rPr>
                    <w:rFonts w:eastAsia="Andale Sans UI"/>
                    <w:color w:val="0000FF" w:themeColor="hyperlink"/>
                    <w:szCs w:val="24"/>
                    <w:lang w:bidi="en-US"/>
                    <w:u w:val="single"/>
                  </w:rPr>
                  <w:t>Nr. 2024/1157</w:t>
                </w:r>
              </w:fldSimple>
              <w:r>
                <w:rPr>
                  <w:rFonts w:eastAsia="Andale Sans UI"/>
                  <w:szCs w:val="24"/>
                  <w:lang w:bidi="en-US"/>
                </w:rPr>
                <w:t xml:space="preserve"> numatytų kompetentingos institucijos, korespondento ir bendradarbiavimo funkcijų atlikimą; </w:t>
              </w:r>
            </w:p>
          </w:sdtContent>
        </w:sdt>
        <w:sdt>
          <w:sdtPr>
            <w:alias w:val="2 p."/>
            <w:tag w:val="part_4e0b8d3dff7d44a481c4309f189c89f3"/>
            <w:lock w:val="sdtLocked"/>
            <w:richText/>
          </w:sdtPr>
          <w:sdtContent>
            <w:p>
              <w:pPr>
                <w:shd w:val="clear" w:color="auto" w:fill="FFFFFF"/>
                <w:ind w:firstLine="709"/>
                <w:jc w:val="both"/>
                <w:rPr>
                  <w:rFonts w:eastAsia="Andale Sans UI"/>
                  <w:szCs w:val="24"/>
                  <w:lang w:bidi="en-US"/>
                </w:rPr>
              </w:pPr>
              <w:sdt>
                <w:sdtPr>
                  <w:alias w:val="Numeris"/>
                  <w:tag w:val="nr_4e0b8d3dff7d44a481c4309f189c89f3"/>
                  <w:lock w:val="sdtLocked"/>
                  <w:richText/>
                </w:sdtPr>
                <w:sdtContent>
                  <w:r>
                    <w:rPr>
                      <w:rFonts w:eastAsia="Andale Sans UI"/>
                      <w:szCs w:val="24"/>
                      <w:lang w:bidi="en-US"/>
                    </w:rPr>
                    <w:t>2</w:t>
                  </w:r>
                </w:sdtContent>
              </w:sdt>
              <w:r>
                <w:rPr>
                  <w:rFonts w:eastAsia="Andale Sans UI"/>
                  <w:szCs w:val="24"/>
                  <w:lang w:bidi="en-US"/>
                </w:rPr>
                <w:t>. suteikti teisę aplinkos ministrui nustatyti tarpvalstybinio atliekų vežimo tvarką ir išankstinių sutikimų dėl atitinkamų atliekų naudojimo įrenginių, į kuriuos įvežamos (importuojamos) atliekos iš Europos Sąjungos, Europos ekonominės erdvės ir Ekonominio bendradarbiavimo ir plėtros organizacijos valstybių, išdavimo, keitimo ir galiojimo panaikinimo atliekų tvarkytojams tvarką;</w:t>
              </w:r>
            </w:p>
          </w:sdtContent>
        </w:sdt>
        <w:sdt>
          <w:sdtPr>
            <w:alias w:val="3 p."/>
            <w:tag w:val="part_15dfbbc5a17c497b9ed4ab94182bb5d4"/>
            <w:lock w:val="sdtLocked"/>
            <w:richText/>
          </w:sdtPr>
          <w:sdtContent>
            <w:p>
              <w:pPr>
                <w:shd w:val="clear" w:color="auto" w:fill="FFFFFF"/>
                <w:ind w:firstLine="709"/>
                <w:jc w:val="both"/>
                <w:rPr>
                  <w:rFonts w:eastAsia="Andale Sans UI"/>
                  <w:szCs w:val="24"/>
                  <w:lang w:bidi="en-US"/>
                </w:rPr>
              </w:pPr>
              <w:sdt>
                <w:sdtPr>
                  <w:alias w:val="Numeris"/>
                  <w:tag w:val="nr_15dfbbc5a17c497b9ed4ab94182bb5d4"/>
                  <w:lock w:val="sdtLocked"/>
                  <w:richText/>
                </w:sdtPr>
                <w:sdtContent>
                  <w:r>
                    <w:rPr>
                      <w:rFonts w:eastAsia="Andale Sans UI"/>
                      <w:szCs w:val="24"/>
                      <w:lang w:bidi="en-US"/>
                    </w:rPr>
                    <w:t>3</w:t>
                  </w:r>
                </w:sdtContent>
              </w:sdt>
              <w:r>
                <w:rPr>
                  <w:rFonts w:eastAsia="Andale Sans UI"/>
                  <w:szCs w:val="24"/>
                  <w:lang w:bidi="en-US"/>
                </w:rPr>
                <w:t>. nustatyti i</w:t>
              </w:r>
              <w:r>
                <w:rPr>
                  <w:color w:val="000000"/>
                  <w:szCs w:val="24"/>
                  <w:lang w:bidi="en-US"/>
                </w:rPr>
                <w:t>šankstinio sutikimo dėl atliekų naudojimo įrenginio</w:t>
              </w:r>
              <w:r>
                <w:rPr>
                  <w:rFonts w:eastAsia="Andale Sans UI"/>
                  <w:szCs w:val="24"/>
                  <w:lang w:bidi="en-US"/>
                </w:rPr>
                <w:t xml:space="preserve"> (toliau – išankstinis sutikimas) išdavimo, keitimo ir galiojimo panaikinimo atliekų tvarkytojams  sąlygas. </w:t>
              </w:r>
              <w:r>
                <w:rPr>
                  <w:rFonts w:eastAsia="Andale Sans UI"/>
                  <w:b/>
                  <w:bCs/>
                  <w:szCs w:val="24"/>
                  <w:lang w:bidi="en-US"/>
                </w:rPr>
                <w:t xml:space="preserve"> </w:t>
              </w:r>
            </w:p>
          </w:sdtContent>
        </w:sdt>
        <w:sdt>
          <w:sdtPr>
            <w:alias w:val="3 p."/>
            <w:tag w:val="part_575df1e1738141ccb82fe4f1b8510089"/>
            <w:lock w:val="sdtLocked"/>
            <w:richText/>
          </w:sdtPr>
          <w:sdtContent>
            <w:p>
              <w:pPr>
                <w:ind w:firstLine="709"/>
                <w:jc w:val="both"/>
                <w:rPr>
                  <w:rFonts w:eastAsia="Andale Sans UI"/>
                  <w:b/>
                  <w:bCs/>
                  <w:szCs w:val="24"/>
                  <w:lang w:bidi="en-US"/>
                </w:rPr>
              </w:pPr>
              <w:sdt>
                <w:sdtPr>
                  <w:alias w:val="Numeris"/>
                  <w:tag w:val="nr_575df1e1738141ccb82fe4f1b8510089"/>
                  <w:lock w:val="sdtLocked"/>
                  <w:richText/>
                </w:sdtPr>
                <w:sdtContent>
                  <w:r>
                    <w:rPr>
                      <w:rFonts w:eastAsia="Andale Sans UI"/>
                      <w:b/>
                      <w:bCs/>
                      <w:szCs w:val="24"/>
                      <w:lang w:bidi="en-US"/>
                    </w:rPr>
                    <w:t>3</w:t>
                  </w:r>
                </w:sdtContent>
              </w:sdt>
              <w:r>
                <w:rPr>
                  <w:rFonts w:eastAsia="Andale Sans UI"/>
                  <w:b/>
                  <w:bCs/>
                  <w:szCs w:val="24"/>
                  <w:lang w:bidi="en-US"/>
                </w:rPr>
                <w:t>. Pasiūlymų įgyvendinimo mechanizmas, kaštai ir nauda</w:t>
              </w:r>
            </w:p>
            <w:p>
              <w:pPr>
                <w:ind w:firstLine="709"/>
                <w:jc w:val="both"/>
                <w:rPr>
                  <w:color w:val="000000"/>
                  <w:szCs w:val="24"/>
                  <w:lang w:eastAsia="lt-LT"/>
                </w:rPr>
              </w:pPr>
              <w:r>
                <w:rPr>
                  <w:color w:val="000000"/>
                  <w:szCs w:val="24"/>
                  <w:lang w:eastAsia="lt-LT"/>
                </w:rPr>
                <w:t xml:space="preserve">Šiuo metu </w:t>
              </w:r>
              <w:r>
                <w:rPr>
                  <w:rFonts w:eastAsia="Andale Sans UI"/>
                  <w:szCs w:val="24"/>
                  <w:lang w:bidi="en-US"/>
                </w:rPr>
                <w:t>kompetentingos institucijos, korespondento ir bendradarbiavimo funkcijas atlieka ir metinius</w:t>
              </w:r>
              <w:r>
                <w:rPr>
                  <w:rFonts w:eastAsia="Andale Sans UI"/>
                  <w:color w:val="000000"/>
                  <w:szCs w:val="24"/>
                  <w:lang w:bidi="en-US"/>
                </w:rPr>
                <w:t xml:space="preserve"> atliekų įvežimo į Lietuvos Respubliką leidimus išduoda Aplinkos apsaugos departamentas pagal </w:t>
              </w:r>
              <w:r>
                <w:rPr>
                  <w:color w:val="000000"/>
                  <w:szCs w:val="24"/>
                  <w:lang w:eastAsia="en-GB" w:bidi="en-US"/>
                </w:rPr>
                <w:t xml:space="preserve">Atliekų tarpvalstybinių vežimų tvarkos aprašą, patvirtintą aplinkos ministro 2004 m. balandžio 27 d. įsakymu Nr. D1-207 „Dėl Atliekų tarpvalstybinių vežimų tvarkos aprašo patvirtinimo“, todėl </w:t>
              </w:r>
              <w:r>
                <w:rPr>
                  <w:color w:val="000000"/>
                  <w:szCs w:val="24"/>
                  <w:lang w:eastAsia="lt-LT"/>
                </w:rPr>
                <w:t>atskiras Projektu siūlomų nuostatų įgyvendinimo mechanizmas nereikalingas</w:t>
              </w:r>
              <w:r>
                <w:rPr>
                  <w:color w:val="000000"/>
                  <w:szCs w:val="24"/>
                  <w:lang w:eastAsia="en-GB" w:bidi="en-US"/>
                </w:rPr>
                <w:t xml:space="preserve">, </w:t>
              </w:r>
              <w:r>
                <w:rPr>
                  <w:color w:val="000000"/>
                  <w:szCs w:val="24"/>
                  <w:lang w:eastAsia="lt-LT"/>
                </w:rPr>
                <w:t xml:space="preserve">nebus patiriama su tuo susijusių išlaidų. </w:t>
              </w:r>
            </w:p>
            <w:p>
              <w:pPr>
                <w:ind w:firstLine="709"/>
                <w:jc w:val="both"/>
                <w:rPr>
                  <w:color w:val="000000"/>
                  <w:szCs w:val="24"/>
                  <w:lang w:eastAsia="lt-LT"/>
                </w:rPr>
              </w:pPr>
              <w:r>
                <w:rPr>
                  <w:color w:val="000000"/>
                  <w:szCs w:val="24"/>
                  <w:lang w:eastAsia="lt-LT"/>
                </w:rPr>
                <w:t>Gavus išankstinį sutikimą, atliekų tvarkytojai galės nepertraukiamai priiminėti įvežamas (importuojamas) atliekas trejus metus, nes tarpvalstybinio atliekų vežimo leidimas atliekų eksportuotojui galės būti pratęsiamas iki trejų metų arba išduodamas iškart trejiems metams. Tai sumažins administracinę naštą išduodant tarpvalstybinio atliekų vežimo leidimus tiek atliekų tvarkytojui, tiek kompetentingai institucijai, nes tokį leidimą reikės gauti kas trejus metus, o ne kiekvienais metais kaip į įrenginį, dėl kurio negautas išankstinis sutikimas.</w:t>
              </w:r>
            </w:p>
          </w:sdtContent>
        </w:sdt>
        <w:sdt>
          <w:sdtPr>
            <w:alias w:val="4 p."/>
            <w:tag w:val="part_19f0ff2061d342a28b3108b019fd6eb5"/>
            <w:lock w:val="sdtLocked"/>
            <w:richText/>
          </w:sdtPr>
          <w:sdtContent>
            <w:p>
              <w:pPr>
                <w:ind w:firstLine="709"/>
                <w:jc w:val="both"/>
                <w:rPr>
                  <w:b/>
                  <w:bCs/>
                  <w:color w:val="000000"/>
                  <w:szCs w:val="24"/>
                  <w:lang w:bidi="en-US"/>
                </w:rPr>
              </w:pPr>
              <w:sdt>
                <w:sdtPr>
                  <w:alias w:val="Numeris"/>
                  <w:tag w:val="nr_19f0ff2061d342a28b3108b019fd6eb5"/>
                  <w:lock w:val="sdtLocked"/>
                  <w:richText/>
                </w:sdtPr>
                <w:sdtContent>
                  <w:r>
                    <w:rPr>
                      <w:b/>
                      <w:bCs/>
                      <w:color w:val="000000"/>
                      <w:szCs w:val="24"/>
                      <w:lang w:bidi="en-US"/>
                    </w:rPr>
                    <w:t>4</w:t>
                  </w:r>
                </w:sdtContent>
              </w:sdt>
              <w:r>
                <w:rPr>
                  <w:b/>
                  <w:bCs/>
                  <w:color w:val="000000"/>
                  <w:szCs w:val="24"/>
                  <w:lang w:bidi="en-US"/>
                </w:rPr>
                <w:t>. Rodikliai, kurie bus stebimi</w:t>
              </w:r>
            </w:p>
            <w:p>
              <w:pPr>
                <w:ind w:firstLine="709"/>
                <w:jc w:val="both"/>
                <w:rPr>
                  <w:color w:val="000000"/>
                  <w:szCs w:val="24"/>
                  <w:lang w:bidi="en-US"/>
                </w:rPr>
              </w:pPr>
              <w:r>
                <w:rPr>
                  <w:color w:val="000000"/>
                  <w:szCs w:val="24"/>
                  <w:lang w:bidi="en-US"/>
                </w:rPr>
                <w:t>Rodikliai nenumatomi.</w:t>
              </w:r>
            </w:p>
          </w:sdtContent>
        </w:sdt>
        <w:sdt>
          <w:sdtPr>
            <w:alias w:val="5 p."/>
            <w:tag w:val="part_85c0282e7eb04220996653840cf7e196"/>
            <w:lock w:val="sdtLocked"/>
            <w:richText/>
          </w:sdtPr>
          <w:sdtContent>
            <w:p>
              <w:pPr>
                <w:ind w:firstLine="709"/>
                <w:jc w:val="both"/>
                <w:rPr>
                  <w:color w:val="000000"/>
                  <w:szCs w:val="24"/>
                  <w:lang w:eastAsia="lt-LT"/>
                </w:rPr>
              </w:pPr>
              <w:sdt>
                <w:sdtPr>
                  <w:alias w:val="Numeris"/>
                  <w:tag w:val="nr_85c0282e7eb04220996653840cf7e196"/>
                  <w:lock w:val="sdtLocked"/>
                  <w:richText/>
                </w:sdtPr>
                <w:sdtContent>
                  <w:r>
                    <w:rPr>
                      <w:b/>
                      <w:bCs/>
                      <w:szCs w:val="24"/>
                      <w:lang w:eastAsia="lt-LT" w:bidi="en-US"/>
                    </w:rPr>
                    <w:t>5</w:t>
                  </w:r>
                </w:sdtContent>
              </w:sdt>
              <w:r>
                <w:rPr>
                  <w:b/>
                  <w:bCs/>
                  <w:szCs w:val="24"/>
                  <w:lang w:eastAsia="lt-LT" w:bidi="en-US"/>
                </w:rPr>
                <w:t>. Lietuvos Respublikos Vyriausybės programos</w:t>
              </w:r>
              <w:r>
                <w:rPr>
                  <w:b/>
                  <w:bCs/>
                  <w:szCs w:val="24"/>
                  <w:vertAlign w:val="superscript"/>
                  <w:lang w:eastAsia="lt-LT" w:bidi="en-US"/>
                </w:rPr>
                <w:footnoteReference w:id="8"/>
              </w:r>
              <w:r>
                <w:rPr>
                  <w:b/>
                  <w:bCs/>
                  <w:szCs w:val="24"/>
                  <w:lang w:eastAsia="lt-LT" w:bidi="en-US"/>
                </w:rPr>
                <w:t xml:space="preserve"> nuostatų įgyvendinimas </w:t>
              </w:r>
            </w:p>
            <w:p>
              <w:pPr>
                <w:ind w:firstLine="709"/>
                <w:jc w:val="both"/>
                <w:rPr>
                  <w:rFonts w:eastAsia="Andale Sans UI"/>
                  <w:szCs w:val="24"/>
                  <w:lang w:bidi="en-US"/>
                </w:rPr>
              </w:pPr>
              <w:r>
                <w:rPr>
                  <w:rFonts w:ascii="MS Gothic" w:eastAsia="MS Gothic" w:hAnsi="MS Gothic"/>
                  <w:szCs w:val="24"/>
                  <w:lang w:bidi="en-US"/>
                </w:rPr>
                <w:t>☐</w:t>
              </w:r>
              <w:r>
                <w:rPr>
                  <w:rFonts w:eastAsia="Andale Sans UI"/>
                  <w:szCs w:val="24"/>
                  <w:lang w:bidi="en-US"/>
                </w:rPr>
                <w:t xml:space="preserve"> Projektu įgyvendinamos šios Lietuvos Respublikos Vyriausybės programos nuostatos.</w:t>
              </w:r>
            </w:p>
            <w:p>
              <w:pPr>
                <w:ind w:firstLine="709"/>
                <w:jc w:val="both"/>
                <w:rPr>
                  <w:rFonts w:eastAsia="Andale Sans UI"/>
                  <w:szCs w:val="24"/>
                  <w:lang w:bidi="en-US"/>
                </w:rPr>
              </w:pPr>
              <w:r>
                <w:rPr>
                  <w:rFonts w:ascii="MS Gothic" w:eastAsia="MS Gothic" w:hAnsi="MS Gothic"/>
                  <w:szCs w:val="24"/>
                  <w:lang w:bidi="en-US"/>
                </w:rPr>
                <w:t>☒</w:t>
              </w:r>
              <w:r>
                <w:rPr>
                  <w:rFonts w:eastAsia="Andale Sans UI"/>
                  <w:szCs w:val="24"/>
                  <w:lang w:bidi="en-US"/>
                </w:rPr>
                <w:t xml:space="preserve"> Projektas neprieštarauja Devynioliktosios Lietuvos Respublikos Vyriausybės programai.</w:t>
              </w:r>
            </w:p>
          </w:sdtContent>
        </w:sdt>
        <w:sdt>
          <w:sdtPr>
            <w:alias w:val="6 p."/>
            <w:tag w:val="part_90d47c1a884a4b4ebc893f05667c606e"/>
            <w:lock w:val="sdtLocked"/>
            <w:richText/>
          </w:sdtPr>
          <w:sdtContent>
            <w:p>
              <w:pPr>
                <w:ind w:firstLine="709"/>
                <w:jc w:val="both"/>
                <w:rPr>
                  <w:b/>
                  <w:bCs/>
                  <w:szCs w:val="24"/>
                  <w:lang w:eastAsia="lt-LT" w:bidi="en-US"/>
                </w:rPr>
              </w:pPr>
              <w:sdt>
                <w:sdtPr>
                  <w:alias w:val="Numeris"/>
                  <w:tag w:val="nr_90d47c1a884a4b4ebc893f05667c606e"/>
                  <w:lock w:val="sdtLocked"/>
                  <w:richText/>
                </w:sdtPr>
                <w:sdtContent>
                  <w:r>
                    <w:rPr>
                      <w:b/>
                      <w:bCs/>
                      <w:szCs w:val="24"/>
                      <w:lang w:eastAsia="lt-LT" w:bidi="en-US"/>
                    </w:rPr>
                    <w:t>6</w:t>
                  </w:r>
                </w:sdtContent>
              </w:sdt>
              <w:r>
                <w:rPr>
                  <w:b/>
                  <w:bCs/>
                  <w:szCs w:val="24"/>
                  <w:lang w:eastAsia="lt-LT" w:bidi="en-US"/>
                </w:rPr>
                <w:t xml:space="preserve">. Europos Sąjungos teisės aktų perkėlimas ir (ar) įgyvendinimas </w:t>
              </w:r>
            </w:p>
            <w:p>
              <w:pPr>
                <w:ind w:firstLine="567"/>
                <w:jc w:val="both"/>
                <w:rPr>
                  <w:b/>
                  <w:bCs/>
                  <w:szCs w:val="24"/>
                  <w:lang w:eastAsia="lt-LT" w:bidi="en-US"/>
                </w:rPr>
              </w:pPr>
              <w:r>
                <w:rPr>
                  <w:rFonts w:ascii="MS Gothic" w:eastAsia="MS Gothic" w:hAnsi="MS Gothic"/>
                  <w:szCs w:val="24"/>
                  <w:lang w:bidi="en-US"/>
                </w:rPr>
                <w:t>☐</w:t>
              </w:r>
              <w:r>
                <w:rPr>
                  <w:rFonts w:eastAsia="Andale Sans UI"/>
                  <w:szCs w:val="24"/>
                  <w:lang w:bidi="en-US"/>
                </w:rPr>
                <w:t xml:space="preserve"> Projektu neperkeliamos ir neįgyvendinamos Europos Sąjungos teisės aktų nuostatos.</w:t>
              </w:r>
            </w:p>
            <w:p>
              <w:pPr>
                <w:ind w:firstLine="567"/>
                <w:jc w:val="both"/>
                <w:rPr>
                  <w:color w:val="000000"/>
                  <w:szCs w:val="24"/>
                  <w:lang w:eastAsia="en-GB" w:bidi="en-US"/>
                </w:rPr>
              </w:pPr>
              <w:r>
                <w:rPr>
                  <w:rFonts w:ascii="MS Gothic" w:eastAsia="MS Gothic" w:hAnsi="MS Gothic" w:cs="Segoe UI Symbol"/>
                  <w:szCs w:val="24"/>
                  <w:lang w:bidi="en-US"/>
                </w:rPr>
                <w:t>☒</w:t>
              </w:r>
              <w:r>
                <w:rPr>
                  <w:rFonts w:eastAsia="Andale Sans UI"/>
                  <w:szCs w:val="24"/>
                  <w:lang w:bidi="en-US"/>
                </w:rPr>
                <w:t xml:space="preserve"> Projektu įgyvendinamos šios Europos Sąjungos teisės aktų nuostatos: 2006 m. birželio 14 d. Europos Parlamento ir Tarybos Reglamento </w:t>
              </w:r>
              <w:fldSimple w:instr="HYPERLINK http://eur-lex.europa.eu/legal-content/LIT/TXT/?uri=CELEX:32006R1013&amp;locale=lt \t _blank">
                <w:r>
                  <w:rPr>
                    <w:rFonts w:eastAsia="Andale Sans UI"/>
                    <w:szCs w:val="24"/>
                    <w:lang w:bidi="en-US"/>
                    <w:u w:val="single"/>
                    <w:color w:val="0000FF" w:themeColor="hyperlink"/>
                  </w:rPr>
                  <w:t>(EB) Nr. 1013/2006</w:t>
                </w:r>
              </w:fldSimple>
              <w:r>
                <w:rPr>
                  <w:rFonts w:eastAsia="Andale Sans UI"/>
                  <w:szCs w:val="24"/>
                  <w:lang w:bidi="en-US"/>
                </w:rPr>
                <w:t xml:space="preserve"> dėl atliekų vežimo 14, 53 ir 54 straipsniai, 2024 m. balandžio 11 d. Europos Parlamento ir Tarybos reglamento </w:t>
              </w:r>
              <w:fldSimple w:instr="HYPERLINK http://eur-lex.europa.eu/legal-content/LIT/TXT/?uri=CELEX:33157R2024&amp;locale=lt \t _blank">
                <w:r>
                  <w:rPr>
                    <w:rFonts w:eastAsia="Andale Sans UI"/>
                    <w:szCs w:val="24"/>
                    <w:lang w:bidi="en-US"/>
                    <w:u w:val="single"/>
                    <w:color w:val="0000FF" w:themeColor="hyperlink"/>
                  </w:rPr>
                  <w:t>(ES) Nr. 2024/1157</w:t>
                </w:r>
              </w:fldSimple>
              <w:r>
                <w:rPr>
                  <w:rFonts w:eastAsia="Andale Sans UI"/>
                  <w:szCs w:val="24"/>
                  <w:lang w:bidi="en-US"/>
                </w:rPr>
                <w:t xml:space="preserve"> dėl atliekų vežimo, kuriuo iš dalies keičiami reglamentai </w:t>
              </w:r>
              <w:fldSimple w:instr="HYPERLINK http://eur-lex.europa.eu/legal-content/LIT/TXT/?uri=CELEX:32013R1257&amp;locale=lt \t _blank">
                <w:r>
                  <w:rPr>
                    <w:rFonts w:eastAsia="Andale Sans UI"/>
                    <w:szCs w:val="24"/>
                    <w:lang w:bidi="en-US"/>
                    <w:u w:val="single"/>
                    <w:color w:val="0000FF" w:themeColor="hyperlink"/>
                  </w:rPr>
                  <w:t>(ES) Nr. 1257/2013</w:t>
                </w:r>
              </w:fldSimple>
              <w:r>
                <w:rPr>
                  <w:rFonts w:eastAsia="Andale Sans UI"/>
                  <w:szCs w:val="24"/>
                  <w:lang w:bidi="en-US"/>
                </w:rPr>
                <w:t xml:space="preserve"> ir </w:t>
              </w:r>
              <w:fldSimple w:instr="HYPERLINK http://eur-lex.europa.eu/legal-content/LIT/TXT/?uri=CELEX:32020R1056&amp;locale=lt \t _blank">
                <w:r>
                  <w:rPr>
                    <w:rFonts w:eastAsia="Andale Sans UI"/>
                    <w:szCs w:val="24"/>
                    <w:lang w:bidi="en-US"/>
                    <w:u w:val="single"/>
                    <w:color w:val="0000FF" w:themeColor="hyperlink"/>
                  </w:rPr>
                  <w:t>(ES) 2020/1056</w:t>
                </w:r>
              </w:fldSimple>
              <w:r>
                <w:rPr>
                  <w:rFonts w:eastAsia="Andale Sans UI"/>
                  <w:szCs w:val="24"/>
                  <w:lang w:bidi="en-US"/>
                </w:rPr>
                <w:t xml:space="preserve"> ir panaikinamas Reglamentas </w:t>
              </w:r>
              <w:fldSimple w:instr="HYPERLINK http://eur-lex.europa.eu/legal-content/LIT/TXT/?uri=CELEX:32006R1013&amp;locale=lt \t _blank">
                <w:r>
                  <w:rPr>
                    <w:rFonts w:eastAsia="Andale Sans UI"/>
                    <w:szCs w:val="24"/>
                    <w:lang w:bidi="en-US"/>
                    <w:u w:val="single"/>
                    <w:color w:val="0000FF" w:themeColor="hyperlink"/>
                  </w:rPr>
                  <w:t>(EB) Nr. 1013/2006</w:t>
                </w:r>
              </w:fldSimple>
              <w:r>
                <w:rPr>
                  <w:rFonts w:eastAsia="Andale Sans UI"/>
                  <w:szCs w:val="24"/>
                  <w:lang w:bidi="en-US"/>
                </w:rPr>
                <w:t xml:space="preserve">, 14, 65, 75 ir 76 straipsniai. </w:t>
              </w:r>
              <w:r>
                <w:rPr>
                  <w:rFonts w:eastAsia="Andale Sans UI"/>
                  <w:szCs w:val="24"/>
                  <w:lang w:eastAsia="lt-LT" w:bidi="en-US"/>
                </w:rPr>
                <w:t>Projektas įtrauktas į perkeliamo ir (ar) įgyvendinamo Europos Sąjungos teisės akto perkėlimo ir įgyvendinimo planą Lietuvos narystės Europos Sąjungoje informacinėje sistemoje (LINESIS), į kurią įkeltos atitikties lentelės</w:t>
              </w:r>
              <w:r>
                <w:rPr>
                  <w:rFonts w:eastAsia="Andale Sans UI"/>
                  <w:szCs w:val="24"/>
                  <w:vertAlign w:val="superscript"/>
                  <w:lang w:eastAsia="lt-LT" w:bidi="en-US"/>
                </w:rPr>
                <w:footnoteReference w:id="9"/>
              </w:r>
              <w:r>
                <w:rPr>
                  <w:rFonts w:eastAsia="Andale Sans UI"/>
                  <w:i/>
                  <w:iCs/>
                  <w:szCs w:val="24"/>
                  <w:lang w:eastAsia="lt-LT" w:bidi="en-US"/>
                </w:rPr>
                <w:t xml:space="preserve">. </w:t>
              </w:r>
              <w:r>
                <w:rPr>
                  <w:rFonts w:eastAsia="Andale Sans UI"/>
                  <w:szCs w:val="24"/>
                  <w:lang w:bidi="en-US"/>
                </w:rPr>
                <w:t xml:space="preserve">Siekiant užtikrinti visišką </w:t>
              </w:r>
              <w:r>
                <w:rPr>
                  <w:color w:val="000000"/>
                  <w:szCs w:val="24"/>
                  <w:lang w:eastAsia="lt-LT" w:bidi="en-US"/>
                </w:rPr>
                <w:t xml:space="preserve">susijusių Europos Sąjungos teisės aktų įgyvendinimą, reikės keisti </w:t>
              </w:r>
              <w:r>
                <w:rPr>
                  <w:color w:val="000000"/>
                  <w:szCs w:val="24"/>
                  <w:lang w:eastAsia="en-GB" w:bidi="en-US"/>
                </w:rPr>
                <w:t>Atliekų tarpvalstybinių vežimų tvarkos aprašą, patvirtintą aplinkos ministro 2004 m. balandžio 27 d. įsakymu Nr. D1-207 „Dėl Atliekų tarpvalstybinių vežimų tvarkos aprašo patvirtinimo“.</w:t>
              </w:r>
            </w:p>
          </w:sdtContent>
        </w:sdt>
        <w:sdt>
          <w:sdtPr>
            <w:alias w:val="7 p."/>
            <w:tag w:val="part_970dd4a4a6414d04b64ba5e86247e565"/>
            <w:lock w:val="sdtLocked"/>
            <w:richText/>
          </w:sdtPr>
          <w:sdtContent>
            <w:p>
              <w:pPr>
                <w:ind w:firstLine="709"/>
                <w:jc w:val="both"/>
                <w:rPr>
                  <w:szCs w:val="24"/>
                  <w:lang w:eastAsia="lt-LT" w:bidi="en-US"/>
                </w:rPr>
              </w:pPr>
              <w:sdt>
                <w:sdtPr>
                  <w:alias w:val="Numeris"/>
                  <w:tag w:val="nr_970dd4a4a6414d04b64ba5e86247e565"/>
                  <w:lock w:val="sdtLocked"/>
                  <w:richText/>
                </w:sdtPr>
                <w:sdtContent>
                  <w:r>
                    <w:rPr>
                      <w:rFonts w:eastAsia="Andale Sans UI"/>
                      <w:b/>
                      <w:bCs/>
                      <w:szCs w:val="24"/>
                      <w:lang w:bidi="en-US"/>
                    </w:rPr>
                    <w:t>7</w:t>
                  </w:r>
                </w:sdtContent>
              </w:sdt>
              <w:r>
                <w:rPr>
                  <w:rFonts w:eastAsia="Andale Sans UI"/>
                  <w:b/>
                  <w:bCs/>
                  <w:szCs w:val="24"/>
                  <w:lang w:bidi="en-US"/>
                </w:rPr>
                <w:t>. Notifikavimas</w:t>
              </w:r>
              <w:r>
                <w:rPr>
                  <w:rFonts w:eastAsia="Andale Sans UI"/>
                  <w:b/>
                  <w:bCs/>
                  <w:szCs w:val="24"/>
                  <w:vertAlign w:val="superscript"/>
                  <w:lang w:bidi="en-US"/>
                </w:rPr>
                <w:footnoteReference w:id="10"/>
              </w:r>
              <w:r>
                <w:rPr>
                  <w:rFonts w:eastAsia="Andale Sans UI"/>
                  <w:b/>
                  <w:bCs/>
                  <w:szCs w:val="24"/>
                  <w:lang w:bidi="en-US"/>
                </w:rPr>
                <w:t xml:space="preserve"> Europos Komisijai </w:t>
              </w:r>
              <w:r>
                <w:rPr>
                  <w:szCs w:val="24"/>
                  <w:lang w:eastAsia="lt-LT" w:bidi="en-US"/>
                </w:rPr>
                <w:t>(pažymimas tinkamas variantas)</w:t>
              </w:r>
            </w:p>
            <w:p>
              <w:pPr>
                <w:ind w:firstLine="709"/>
                <w:jc w:val="both"/>
                <w:rPr>
                  <w:rFonts w:eastAsia="Andale Sans UI"/>
                  <w:szCs w:val="24"/>
                  <w:lang w:bidi="en-US"/>
                </w:rPr>
              </w:pPr>
              <w:r>
                <w:rPr>
                  <w:rFonts w:ascii="MS Gothic" w:eastAsia="MS Gothic" w:hAnsi="MS Gothic" w:cs="Segoe UI Symbol"/>
                  <w:szCs w:val="24"/>
                  <w:lang w:bidi="en-US"/>
                </w:rPr>
                <w:t>☒</w:t>
              </w:r>
              <w:r>
                <w:rPr>
                  <w:rFonts w:eastAsia="Andale Sans UI"/>
                  <w:szCs w:val="24"/>
                  <w:lang w:bidi="en-US"/>
                </w:rPr>
                <w:t xml:space="preserve"> Projektas nenotifikuotinas Europos Komisijai.</w:t>
              </w:r>
            </w:p>
            <w:p>
              <w:pPr>
                <w:ind w:firstLine="709"/>
                <w:jc w:val="both"/>
                <w:rPr>
                  <w:rFonts w:eastAsia="Andale Sans UI"/>
                  <w:szCs w:val="24"/>
                  <w:lang w:bidi="en-US"/>
                </w:rPr>
              </w:pPr>
              <w:r>
                <w:rPr>
                  <w:rFonts w:ascii="Segoe UI Symbol" w:eastAsia="MS Gothic" w:hAnsi="Segoe UI Symbol" w:cs="Segoe UI Symbol"/>
                  <w:szCs w:val="24"/>
                  <w:lang w:bidi="en-US"/>
                </w:rPr>
                <w:t>☐</w:t>
              </w:r>
              <w:r>
                <w:rPr>
                  <w:rFonts w:eastAsia="Andale Sans UI"/>
                  <w:szCs w:val="24"/>
                  <w:lang w:bidi="en-US"/>
                </w:rPr>
                <w:t xml:space="preserve"> Projektas notifikuotinas Europos Komisijai.</w:t>
              </w:r>
            </w:p>
          </w:sdtContent>
        </w:sdt>
        <w:sdt>
          <w:sdtPr>
            <w:alias w:val="8 p."/>
            <w:tag w:val="part_f5071d7a4a8e448fb2d5dc017a892a0a"/>
            <w:lock w:val="sdtLocked"/>
            <w:richText/>
          </w:sdtPr>
          <w:sdtContent>
            <w:p>
              <w:pPr>
                <w:ind w:firstLine="709"/>
                <w:jc w:val="both"/>
                <w:rPr>
                  <w:rFonts w:eastAsia="Andale Sans UI" w:cs="Tahoma"/>
                  <w:color w:val="000000"/>
                  <w:szCs w:val="24"/>
                  <w:lang w:bidi="en-US"/>
                </w:rPr>
              </w:pPr>
              <w:sdt>
                <w:sdtPr>
                  <w:alias w:val="Numeris"/>
                  <w:tag w:val="nr_f5071d7a4a8e448fb2d5dc017a892a0a"/>
                  <w:lock w:val="sdtLocked"/>
                  <w:richText/>
                </w:sdtPr>
                <w:sdtContent>
                  <w:r>
                    <w:rPr>
                      <w:rFonts w:eastAsia="Andale Sans UI"/>
                      <w:b/>
                      <w:bCs/>
                      <w:szCs w:val="24"/>
                      <w:lang w:bidi="en-US"/>
                    </w:rPr>
                    <w:t>8</w:t>
                  </w:r>
                </w:sdtContent>
              </w:sdt>
              <w:r>
                <w:rPr>
                  <w:rFonts w:eastAsia="Andale Sans UI"/>
                  <w:b/>
                  <w:bCs/>
                  <w:szCs w:val="24"/>
                  <w:lang w:bidi="en-US"/>
                </w:rPr>
                <w:t>.</w:t>
              </w:r>
              <w:r>
                <w:rPr>
                  <w:rFonts w:eastAsia="Andale Sans UI"/>
                  <w:szCs w:val="24"/>
                  <w:lang w:bidi="en-US"/>
                </w:rPr>
                <w:t xml:space="preserve"> </w:t>
              </w:r>
              <w:r>
                <w:rPr>
                  <w:b/>
                  <w:bCs/>
                  <w:color w:val="000000"/>
                  <w:szCs w:val="24"/>
                  <w:lang w:eastAsia="lt-LT" w:bidi="en-US"/>
                </w:rPr>
                <w:t>Pranešimo Europos Komisijai teikimas</w:t>
              </w:r>
              <w:r>
                <w:rPr>
                  <w:b/>
                  <w:bCs/>
                  <w:color w:val="000000"/>
                  <w:szCs w:val="24"/>
                  <w:vertAlign w:val="superscript"/>
                  <w:lang w:eastAsia="lt-LT" w:bidi="en-US"/>
                </w:rPr>
                <w:footnoteReference w:id="11"/>
              </w:r>
              <w:r>
                <w:rPr>
                  <w:color w:val="000000"/>
                  <w:szCs w:val="24"/>
                  <w:lang w:eastAsia="lt-LT" w:bidi="en-US"/>
                </w:rPr>
                <w:t xml:space="preserve"> </w:t>
              </w:r>
            </w:p>
            <w:p>
              <w:pPr>
                <w:ind w:firstLine="709"/>
                <w:jc w:val="both"/>
                <w:rPr>
                  <w:color w:val="000000"/>
                  <w:szCs w:val="24"/>
                  <w:lang w:eastAsia="lt-LT" w:bidi="en-US"/>
                </w:rPr>
              </w:pPr>
              <w:r>
                <w:rPr>
                  <w:rFonts w:ascii="MS Gothic" w:eastAsia="MS Gothic" w:hAnsi="MS Gothic"/>
                  <w:szCs w:val="24"/>
                  <w:lang w:bidi="en-US"/>
                </w:rPr>
                <w:t>☐</w:t>
              </w:r>
              <w:r>
                <w:rPr>
                  <w:rFonts w:eastAsia="Andale Sans UI"/>
                  <w:szCs w:val="24"/>
                  <w:lang w:bidi="en-US"/>
                </w:rPr>
                <w:t xml:space="preserve"> P</w:t>
              </w:r>
              <w:r>
                <w:rPr>
                  <w:color w:val="000000"/>
                  <w:szCs w:val="24"/>
                  <w:lang w:eastAsia="lt-LT" w:bidi="en-US"/>
                </w:rPr>
                <w:t>ranešimas Europos Komisijai teiktinas.</w:t>
              </w:r>
            </w:p>
            <w:p>
              <w:pPr>
                <w:ind w:firstLine="709"/>
                <w:jc w:val="both"/>
                <w:rPr>
                  <w:color w:val="000000"/>
                  <w:szCs w:val="24"/>
                  <w:lang w:eastAsia="lt-LT" w:bidi="en-US"/>
                </w:rPr>
              </w:pPr>
              <w:r>
                <w:rPr>
                  <w:rFonts w:ascii="MS Gothic" w:eastAsia="MS Gothic" w:hAnsi="MS Gothic"/>
                  <w:szCs w:val="24"/>
                  <w:lang w:bidi="en-US"/>
                </w:rPr>
                <w:t>☒</w:t>
              </w:r>
              <w:r>
                <w:rPr>
                  <w:rFonts w:eastAsia="Andale Sans UI"/>
                  <w:szCs w:val="24"/>
                  <w:lang w:bidi="en-US"/>
                </w:rPr>
                <w:t xml:space="preserve"> P</w:t>
              </w:r>
              <w:r>
                <w:rPr>
                  <w:color w:val="000000"/>
                  <w:szCs w:val="24"/>
                  <w:lang w:eastAsia="lt-LT" w:bidi="en-US"/>
                </w:rPr>
                <w:t>ranešimas Europos Komisijai neteiktinas.</w:t>
              </w:r>
            </w:p>
          </w:sdtContent>
        </w:sdt>
        <w:sdt>
          <w:sdtPr>
            <w:alias w:val="9 p."/>
            <w:tag w:val="part_64bed03173da4662b84eabc8cb80a7e0"/>
            <w:lock w:val="sdtLocked"/>
            <w:richText/>
          </w:sdtPr>
          <w:sdtContent>
            <w:p>
              <w:pPr>
                <w:ind w:firstLine="709"/>
                <w:jc w:val="both"/>
                <w:rPr>
                  <w:rFonts w:eastAsia="Andale Sans UI" w:cs="Tahoma"/>
                  <w:szCs w:val="24"/>
                  <w:lang w:bidi="en-US"/>
                </w:rPr>
              </w:pPr>
              <w:sdt>
                <w:sdtPr>
                  <w:alias w:val="Numeris"/>
                  <w:tag w:val="nr_64bed03173da4662b84eabc8cb80a7e0"/>
                  <w:lock w:val="sdtLocked"/>
                  <w:richText/>
                </w:sdtPr>
                <w:sdtContent>
                  <w:r>
                    <w:rPr>
                      <w:rFonts w:eastAsia="Andale Sans UI" w:cs="Tahoma"/>
                      <w:b/>
                      <w:bCs/>
                      <w:szCs w:val="24"/>
                      <w:lang w:bidi="en-US"/>
                    </w:rPr>
                    <w:t>9</w:t>
                  </w:r>
                </w:sdtContent>
              </w:sdt>
              <w:r>
                <w:rPr>
                  <w:rFonts w:eastAsia="Andale Sans UI" w:cs="Tahoma"/>
                  <w:b/>
                  <w:bCs/>
                  <w:szCs w:val="24"/>
                  <w:lang w:bidi="en-US"/>
                </w:rPr>
                <w:t>. Numatomo teisinio reguliavimo poveikio vertinimas</w:t>
              </w:r>
              <w:r>
                <w:rPr>
                  <w:rFonts w:eastAsia="Andale Sans UI" w:cs="Tahoma"/>
                  <w:b/>
                  <w:bCs/>
                  <w:szCs w:val="24"/>
                  <w:vertAlign w:val="superscript"/>
                  <w:lang w:bidi="en-US"/>
                </w:rPr>
                <w:footnoteReference w:id="12"/>
              </w:r>
              <w:r>
                <w:rPr>
                  <w:rFonts w:eastAsia="Andale Sans UI" w:cs="Tahoma"/>
                  <w:szCs w:val="24"/>
                  <w:lang w:bidi="en-US"/>
                </w:rPr>
                <w:t xml:space="preserve"> </w:t>
              </w:r>
            </w:p>
            <w:p>
              <w:pPr>
                <w:ind w:firstLine="709"/>
                <w:jc w:val="both"/>
                <w:rPr>
                  <w:rFonts w:eastAsia="Andale Sans UI" w:cs="Tahoma"/>
                  <w:szCs w:val="24"/>
                  <w:lang w:bidi="en-US"/>
                </w:rPr>
              </w:pPr>
              <w:r>
                <w:rPr>
                  <w:rFonts w:ascii="Segoe UI Symbol" w:eastAsia="Andale Sans UI" w:hAnsi="Segoe UI Symbol" w:cs="Segoe UI Symbol"/>
                  <w:szCs w:val="24"/>
                  <w:lang w:bidi="en-US"/>
                </w:rPr>
                <w:t>☐</w:t>
              </w:r>
              <w:r>
                <w:rPr>
                  <w:rFonts w:eastAsia="Andale Sans UI" w:cs="Tahoma"/>
                  <w:szCs w:val="24"/>
                  <w:lang w:bidi="en-US"/>
                </w:rPr>
                <w:t xml:space="preserve"> Atliktas Projekto numatomo teisinio reguliavimo poveikio vertinimas (pateikiamos nutarimo projekto poveikio vertinimo rezultatų išvados – apibendrinta informacija, kurioje nurodomas numatomo teisinio reguliavimo tikslas, galimas teigiamas ir (ar) neigiamas Projekto poveikis kiekvienu vertinimo aspektu, kur įmanoma, pagrįstas atliktais skaičiavimais; jeigu atliekamas Projekto poveikio aplinkai ir klimato kaitai vertinimas</w:t>
              </w:r>
              <w:r>
                <w:rPr>
                  <w:rFonts w:eastAsia="Andale Sans UI" w:cs="Tahoma"/>
                  <w:szCs w:val="24"/>
                  <w:vertAlign w:val="superscript"/>
                  <w:lang w:bidi="en-US"/>
                </w:rPr>
                <w:footnoteReference w:id="13"/>
              </w:r>
              <w:r>
                <w:rPr>
                  <w:rFonts w:eastAsia="Andale Sans UI" w:cs="Tahoma"/>
                  <w:szCs w:val="24"/>
                  <w:lang w:bidi="en-US"/>
                </w:rPr>
                <w:t>, kokybiškai ir (ar) kiekybiškai įvertinamas ir aprašomas galimas poveikis aplinkai ir klimato kaitai</w:t>
              </w:r>
              <w:r>
                <w:rPr>
                  <w:rFonts w:eastAsia="Andale Sans UI" w:cs="Tahoma"/>
                  <w:szCs w:val="24"/>
                  <w:vertAlign w:val="superscript"/>
                  <w:lang w:bidi="en-US"/>
                </w:rPr>
                <w:footnoteReference w:id="14"/>
              </w:r>
              <w:r>
                <w:rPr>
                  <w:rFonts w:eastAsia="Andale Sans UI" w:cs="Tahoma"/>
                  <w:szCs w:val="24"/>
                  <w:lang w:bidi="en-US"/>
                </w:rPr>
                <w:t>; dėl poveikio aplinkai ir klimato kaitai vertinimo konsultuoja Aplinkos apsaugos agentūra</w:t>
              </w:r>
              <w:r>
                <w:rPr>
                  <w:rFonts w:eastAsia="Andale Sans UI" w:cs="Tahoma"/>
                  <w:szCs w:val="24"/>
                  <w:vertAlign w:val="superscript"/>
                  <w:lang w:bidi="en-US"/>
                </w:rPr>
                <w:footnoteReference w:id="15"/>
              </w:r>
              <w:r>
                <w:rPr>
                  <w:rFonts w:eastAsia="Andale Sans UI" w:cs="Tahoma"/>
                  <w:szCs w:val="24"/>
                  <w:lang w:bidi="en-US"/>
                </w:rPr>
                <w:t>).</w:t>
              </w:r>
            </w:p>
            <w:p>
              <w:pPr>
                <w:ind w:firstLine="709"/>
                <w:jc w:val="both"/>
                <w:rPr>
                  <w:rFonts w:eastAsia="Andale Sans UI" w:cs="Tahoma"/>
                  <w:szCs w:val="24"/>
                  <w:lang w:bidi="en-US"/>
                </w:rPr>
              </w:pPr>
              <w:r>
                <w:rPr>
                  <w:rFonts w:ascii="Segoe UI Symbol" w:eastAsia="Andale Sans UI" w:hAnsi="Segoe UI Symbol" w:cs="Segoe UI Symbol"/>
                  <w:szCs w:val="24"/>
                  <w:lang w:bidi="en-US"/>
                </w:rPr>
                <w:t>☐</w:t>
              </w:r>
              <w:r>
                <w:rPr>
                  <w:rFonts w:eastAsia="Andale Sans UI" w:cs="Tahoma"/>
                  <w:szCs w:val="24"/>
                  <w:lang w:bidi="en-US"/>
                </w:rPr>
                <w:t xml:space="preserve"> Projekto numatomo teisinio reguliavimo poveikio vertinimas neatliekamas.</w:t>
              </w:r>
            </w:p>
            <w:p>
              <w:pPr>
                <w:ind w:firstLine="709"/>
                <w:jc w:val="both"/>
                <w:rPr>
                  <w:rFonts w:eastAsia="Andale Sans UI" w:cs="Tahoma"/>
                  <w:szCs w:val="24"/>
                  <w:lang w:bidi="en-US"/>
                </w:rPr>
              </w:pPr>
              <w:r>
                <w:rPr>
                  <w:rFonts w:ascii="MS Gothic" w:eastAsia="MS Gothic" w:hAnsi="MS Gothic"/>
                  <w:szCs w:val="24"/>
                  <w:lang w:bidi="en-US"/>
                </w:rPr>
                <w:t>☒</w:t>
              </w:r>
              <w:r>
                <w:rPr>
                  <w:rFonts w:eastAsia="Andale Sans UI" w:cs="Tahoma"/>
                  <w:szCs w:val="24"/>
                  <w:lang w:bidi="en-US"/>
                </w:rPr>
                <w:t xml:space="preserve"> Ši informacija nurodoma aiškinamajame rašte (Lietuvos Respublikos Seimui teiktinų įstatymų ar kitų Lietuvos Respublikos Seimo teisės aktų projektų poveikio vertinimo rezultatai pateikiami aiškinamajame rašte vadovaujantis Lietuvos Respublikos Seimo statuto 135 straipsnyje nustatytais reikalavimais).</w:t>
              </w:r>
            </w:p>
          </w:sdtContent>
        </w:sdt>
        <w:sdt>
          <w:sdtPr>
            <w:alias w:val="10 p."/>
            <w:tag w:val="part_07617156fce84902bd8e212f3726242d"/>
            <w:lock w:val="sdtLocked"/>
            <w:richText/>
          </w:sdtPr>
          <w:sdtContent>
            <w:p>
              <w:pPr>
                <w:ind w:firstLine="709"/>
                <w:jc w:val="both"/>
                <w:rPr>
                  <w:rFonts w:eastAsia="Andale Sans UI"/>
                  <w:b/>
                  <w:bCs/>
                  <w:szCs w:val="24"/>
                  <w:lang w:bidi="en-US"/>
                </w:rPr>
              </w:pPr>
              <w:sdt>
                <w:sdtPr>
                  <w:alias w:val="Numeris"/>
                  <w:tag w:val="nr_07617156fce84902bd8e212f3726242d"/>
                  <w:lock w:val="sdtLocked"/>
                  <w:richText/>
                </w:sdtPr>
                <w:sdtContent>
                  <w:r>
                    <w:rPr>
                      <w:rFonts w:eastAsia="Andale Sans UI"/>
                      <w:b/>
                      <w:bCs/>
                      <w:szCs w:val="24"/>
                      <w:lang w:bidi="en-US"/>
                    </w:rPr>
                    <w:t>10</w:t>
                  </w:r>
                </w:sdtContent>
              </w:sdt>
              <w:r>
                <w:rPr>
                  <w:rFonts w:eastAsia="Andale Sans UI"/>
                  <w:b/>
                  <w:bCs/>
                  <w:szCs w:val="24"/>
                  <w:lang w:bidi="en-US"/>
                </w:rPr>
                <w:t xml:space="preserve">. Teisės aktai, kuriuos reikės priimti, pakeisti arba pripažinti netekusiais galios </w:t>
              </w:r>
            </w:p>
            <w:p>
              <w:pPr>
                <w:ind w:firstLine="709"/>
                <w:jc w:val="both"/>
                <w:rPr>
                  <w:rFonts w:eastAsia="Andale Sans UI"/>
                  <w:szCs w:val="24"/>
                  <w:lang w:bidi="en-US"/>
                </w:rPr>
              </w:pPr>
              <w:r>
                <w:rPr>
                  <w:rFonts w:ascii="MS Gothic" w:eastAsia="MS Gothic" w:hAnsi="MS Gothic"/>
                  <w:szCs w:val="24"/>
                  <w:lang w:bidi="en-US"/>
                </w:rPr>
                <w:t>☐</w:t>
              </w:r>
              <w:r>
                <w:rPr>
                  <w:rFonts w:eastAsia="Andale Sans UI"/>
                  <w:szCs w:val="24"/>
                  <w:lang w:bidi="en-US"/>
                </w:rPr>
                <w:t xml:space="preserve"> Projektui įtraukti į teisės sistemą kitų teisės aktų priimti nereikės.</w:t>
              </w:r>
            </w:p>
            <w:p>
              <w:pPr>
                <w:ind w:firstLine="709"/>
                <w:jc w:val="both"/>
                <w:rPr>
                  <w:rFonts w:eastAsia="Andale Sans UI"/>
                  <w:szCs w:val="24"/>
                  <w:lang w:bidi="en-US"/>
                </w:rPr>
              </w:pPr>
              <w:r>
                <w:rPr>
                  <w:rFonts w:ascii="MS Gothic" w:eastAsia="MS Gothic" w:hAnsi="MS Gothic"/>
                  <w:szCs w:val="24"/>
                  <w:lang w:bidi="en-US"/>
                </w:rPr>
                <w:t>☒</w:t>
              </w:r>
              <w:r>
                <w:rPr>
                  <w:rFonts w:eastAsia="Andale Sans UI"/>
                  <w:szCs w:val="24"/>
                  <w:lang w:bidi="en-US"/>
                </w:rPr>
                <w:t xml:space="preserve"> Projektui įtraukti į teisės sistemą reikės pa</w:t>
              </w:r>
              <w:r>
                <w:rPr>
                  <w:color w:val="000000"/>
                  <w:szCs w:val="24"/>
                  <w:lang w:eastAsia="lt-LT" w:bidi="en-US"/>
                </w:rPr>
                <w:t xml:space="preserve">keisti </w:t>
              </w:r>
              <w:r>
                <w:rPr>
                  <w:color w:val="000000"/>
                  <w:szCs w:val="24"/>
                  <w:lang w:eastAsia="en-GB" w:bidi="en-US"/>
                </w:rPr>
                <w:t>Atliekų tarpvalstybinių vežimų tvarkos aprašą, patvirtintą aplinkos ministro 2004 m. balandžio 27 d. įsakymu Nr. D1-207 „Dėl Atliekų tarpvalstybinių vežimų tvarkos aprašo patvirtinimo“.</w:t>
              </w:r>
            </w:p>
          </w:sdtContent>
        </w:sdt>
        <w:sdt>
          <w:sdtPr>
            <w:alias w:val="11 p."/>
            <w:tag w:val="part_12a54ed698f24ec2822e69ae3859eaa1"/>
            <w:lock w:val="sdtLocked"/>
            <w:richText/>
          </w:sdtPr>
          <w:sdtContent>
            <w:p>
              <w:pPr>
                <w:ind w:firstLine="709"/>
                <w:jc w:val="both"/>
                <w:rPr>
                  <w:rFonts w:eastAsia="Andale Sans UI"/>
                  <w:b/>
                  <w:bCs/>
                  <w:szCs w:val="24"/>
                  <w:lang w:bidi="en-US"/>
                </w:rPr>
              </w:pPr>
              <w:sdt>
                <w:sdtPr>
                  <w:alias w:val="Numeris"/>
                  <w:tag w:val="nr_12a54ed698f24ec2822e69ae3859eaa1"/>
                  <w:lock w:val="sdtLocked"/>
                  <w:richText/>
                </w:sdtPr>
                <w:sdtContent>
                  <w:r>
                    <w:rPr>
                      <w:rFonts w:eastAsia="Andale Sans UI"/>
                      <w:b/>
                      <w:bCs/>
                      <w:szCs w:val="24"/>
                      <w:lang w:bidi="en-US"/>
                    </w:rPr>
                    <w:t>11</w:t>
                  </w:r>
                </w:sdtContent>
              </w:sdt>
              <w:r>
                <w:rPr>
                  <w:rFonts w:eastAsia="Andale Sans UI"/>
                  <w:b/>
                  <w:bCs/>
                  <w:szCs w:val="24"/>
                  <w:lang w:bidi="en-US"/>
                </w:rPr>
                <w:t xml:space="preserve">. Informacija apie sąvokų įvertinimą Lietuvos Respublikos terminų banko įstatymo ir jo įgyvendinamųjų teisės aktų nustatyta tvarka </w:t>
              </w:r>
              <w:r>
                <w:rPr>
                  <w:color w:val="000000"/>
                  <w:szCs w:val="24"/>
                  <w:lang w:eastAsia="lt-LT" w:bidi="en-US"/>
                </w:rPr>
                <w:t>(</w:t>
              </w:r>
              <w:r>
                <w:rPr>
                  <w:szCs w:val="24"/>
                  <w:lang w:eastAsia="lt-LT" w:bidi="en-US"/>
                </w:rPr>
                <w:t>pažymimas tinkamas variantas)</w:t>
              </w:r>
            </w:p>
            <w:p>
              <w:pPr>
                <w:ind w:firstLine="709"/>
                <w:jc w:val="both"/>
                <w:rPr>
                  <w:rFonts w:eastAsia="Andale Sans UI"/>
                  <w:szCs w:val="24"/>
                  <w:lang w:bidi="en-US"/>
                </w:rPr>
              </w:pPr>
              <w:r>
                <w:rPr>
                  <w:rFonts w:ascii="Segoe UI Symbol" w:eastAsia="MS Gothic" w:hAnsi="Segoe UI Symbol" w:cs="Segoe UI Symbol"/>
                  <w:szCs w:val="24"/>
                  <w:lang w:bidi="en-US"/>
                </w:rPr>
                <w:t>☐</w:t>
              </w:r>
              <w:r>
                <w:rPr>
                  <w:rFonts w:eastAsia="Andale Sans UI"/>
                  <w:szCs w:val="24"/>
                  <w:lang w:bidi="en-US"/>
                </w:rPr>
                <w:t xml:space="preserve"> Projekte naujų sąvokų nėra.</w:t>
              </w:r>
            </w:p>
            <w:p>
              <w:pPr>
                <w:ind w:firstLine="709"/>
                <w:jc w:val="both"/>
                <w:rPr>
                  <w:rFonts w:eastAsia="Andale Sans UI"/>
                  <w:color w:val="000000"/>
                  <w:szCs w:val="24"/>
                  <w:lang w:bidi="en-US"/>
                </w:rPr>
              </w:pPr>
              <w:r>
                <w:rPr>
                  <w:rFonts w:ascii="MS Gothic" w:eastAsia="MS Gothic" w:hAnsi="MS Gothic" w:cs="Segoe UI Symbol"/>
                  <w:szCs w:val="24"/>
                  <w:lang w:bidi="en-US"/>
                </w:rPr>
                <w:t>☒</w:t>
              </w:r>
              <w:r>
                <w:rPr>
                  <w:rFonts w:eastAsia="Andale Sans UI"/>
                  <w:szCs w:val="24"/>
                  <w:lang w:bidi="en-US"/>
                </w:rPr>
                <w:t xml:space="preserve"> P</w:t>
              </w:r>
              <w:r>
                <w:rPr>
                  <w:rFonts w:eastAsia="Andale Sans UI"/>
                  <w:color w:val="000000"/>
                  <w:szCs w:val="24"/>
                  <w:lang w:bidi="en-US"/>
                </w:rPr>
                <w:t>rojekte vartojamos sąvokos aprobuotos Lietuvos Respublikos terminų banko įstatymo ir jo įgyvendinamųjų teisės aktų nustatyta tvarka.</w:t>
              </w:r>
            </w:p>
          </w:sdtContent>
        </w:sdt>
        <w:sdt>
          <w:sdtPr>
            <w:alias w:val="12 p."/>
            <w:tag w:val="part_a258424fe8eb44e2bd237c328474652f"/>
            <w:lock w:val="sdtLocked"/>
            <w:richText/>
          </w:sdtPr>
          <w:sdtContent>
            <w:p>
              <w:pPr>
                <w:ind w:firstLine="709"/>
                <w:jc w:val="both"/>
                <w:rPr>
                  <w:rFonts w:eastAsia="Andale Sans UI"/>
                  <w:b/>
                  <w:bCs/>
                  <w:szCs w:val="24"/>
                  <w:lang w:bidi="en-US"/>
                </w:rPr>
              </w:pPr>
              <w:sdt>
                <w:sdtPr>
                  <w:alias w:val="Numeris"/>
                  <w:tag w:val="nr_a258424fe8eb44e2bd237c328474652f"/>
                  <w:lock w:val="sdtLocked"/>
                  <w:richText/>
                </w:sdtPr>
                <w:sdtContent>
                  <w:r>
                    <w:rPr>
                      <w:rFonts w:eastAsia="Andale Sans UI"/>
                      <w:b/>
                      <w:bCs/>
                      <w:szCs w:val="24"/>
                      <w:lang w:bidi="en-US"/>
                    </w:rPr>
                    <w:t>12</w:t>
                  </w:r>
                </w:sdtContent>
              </w:sdt>
              <w:r>
                <w:rPr>
                  <w:rFonts w:eastAsia="Andale Sans UI"/>
                  <w:b/>
                  <w:bCs/>
                  <w:szCs w:val="24"/>
                  <w:lang w:bidi="en-US"/>
                </w:rPr>
                <w:t>. Kita reikalinga informacija</w:t>
              </w:r>
            </w:p>
            <w:p>
              <w:pPr>
                <w:ind w:firstLine="709"/>
                <w:jc w:val="both"/>
                <w:rPr>
                  <w:rFonts w:eastAsia="Andale Sans UI"/>
                  <w:szCs w:val="24"/>
                  <w:lang w:bidi="en-US"/>
                </w:rPr>
              </w:pPr>
              <w:r>
                <w:rPr>
                  <w:rFonts w:eastAsia="Andale Sans UI"/>
                  <w:szCs w:val="24"/>
                  <w:lang w:bidi="en-US"/>
                </w:rPr>
                <w:t>Projektas per TAIS teiktas derinti (TAIS Nr. 24-14814) Lietuvos Respublikos ekonomikos ir inovacijų ministerijai, Lietuvos Respublikos teisingumo ministerijai, Aplinkos apsaugos departamentui prie Lietuvos Respublikos aplinkos ministerijos, elektronikos atliekų perdirbimo įmonei UAB „EMP Recycling“ ir nebenaudojamos žvejybos ir žuvų auginimo įrangos surinkėjai UAB „Nofir“.</w:t>
              </w:r>
            </w:p>
            <w:p>
              <w:pPr>
                <w:ind w:firstLine="709"/>
                <w:jc w:val="both"/>
                <w:rPr>
                  <w:rFonts w:eastAsia="Andale Sans UI"/>
                  <w:szCs w:val="24"/>
                  <w:lang w:bidi="en-US"/>
                </w:rPr>
              </w:pPr>
              <w:r>
                <w:rPr>
                  <w:rFonts w:eastAsia="Andale Sans UI"/>
                  <w:szCs w:val="24"/>
                  <w:lang w:bidi="en-US"/>
                </w:rPr>
                <w:t>Ekonomikos ir inovacijų ministerija, Teisingumo ministerija, Aplinkos apsaugos departamentas prie Lietuvos Respublikos aplinkos ministerijos, UAB „EMP Recycling“, UAB „Nofir“ pateikė pastabų ir pasiūlymų.</w:t>
              </w:r>
            </w:p>
            <w:p>
              <w:pPr>
                <w:ind w:firstLine="709"/>
                <w:jc w:val="both"/>
                <w:rPr>
                  <w:rFonts w:eastAsia="Andale Sans UI"/>
                  <w:szCs w:val="24"/>
                  <w:lang w:bidi="en-US"/>
                </w:rPr>
              </w:pPr>
              <w:r>
                <w:rPr>
                  <w:rFonts w:eastAsia="Andale Sans UI"/>
                  <w:szCs w:val="24"/>
                  <w:lang w:bidi="en-US"/>
                </w:rPr>
                <w:t xml:space="preserve">Su Aplinkos apsaugos departamentu prie Lietuvos Respublikos aplinkos ministerijos, UAB „EMP Recycling“, UAB „Nofir“ organizuotas pasitarimas nuotoliniu būdu pastaboms ir pasiūlymams aptarti. Po pasitarimo Projektas patikslintas atsižvelgus į visų suinteresuotų institucijų pastabas ir pasiūlymus. </w:t>
              </w:r>
            </w:p>
            <w:p>
              <w:pPr>
                <w:ind w:firstLine="709"/>
                <w:jc w:val="both"/>
                <w:rPr>
                  <w:rFonts w:eastAsia="Andale Sans UI"/>
                  <w:szCs w:val="24"/>
                  <w:lang w:bidi="en-US"/>
                </w:rPr>
              </w:pPr>
              <w:r>
                <w:rPr>
                  <w:rFonts w:eastAsia="Andale Sans UI"/>
                  <w:szCs w:val="24"/>
                  <w:lang w:bidi="en-US"/>
                </w:rPr>
                <w:t xml:space="preserve">Su Ekonomikos ir inovacijų ministerija, Teisingumo ministerija, Aplinkos apsaugos departamentu prie Lietuvos Respublikos aplinkos ministerijos, UAB „EMP Recycling“, UAB „Nofir“ pastabos suderintos darbo tvarka. </w:t>
              </w:r>
            </w:p>
            <w:p>
              <w:pPr>
                <w:ind w:firstLine="630"/>
                <w:jc w:val="both"/>
                <w:rPr>
                  <w:color w:val="000000"/>
                  <w:szCs w:val="24"/>
                  <w:lang w:bidi="en-US"/>
                </w:rPr>
              </w:pPr>
              <w:r>
                <w:rPr>
                  <w:rFonts w:eastAsia="Andale Sans UI"/>
                  <w:szCs w:val="24"/>
                  <w:lang w:bidi="en-US"/>
                </w:rPr>
                <w:t>Ūkio subjektų administracinė našta nėra skaičiuojama taikant išimtį, numatytą Ū</w:t>
              </w:r>
              <w:r>
                <w:rPr>
                  <w:color w:val="000000"/>
                  <w:szCs w:val="24"/>
                  <w:lang w:val="lt" w:bidi="en-US"/>
                </w:rPr>
                <w:t xml:space="preserve">kio subjektų administracinės naštos ir prisitaikymo prie reguliavimo išlaidų vertinimo metodikos, patvirtintos Lietuvos Respublikos Vyriausybės 2022 m. balandžio 6 d. nutarimu Nr. 333 </w:t>
              </w:r>
              <w:r>
                <w:rPr>
                  <w:rFonts w:eastAsia="Andale Sans UI"/>
                  <w:szCs w:val="24"/>
                  <w:lang w:bidi="en-US"/>
                </w:rPr>
                <w:t>„D</w:t>
              </w:r>
              <w:r>
                <w:rPr>
                  <w:color w:val="000000"/>
                  <w:szCs w:val="24"/>
                  <w:lang w:val="lt" w:bidi="en-US"/>
                </w:rPr>
                <w:t xml:space="preserve">ėl Ūkio subjektų administracinės naštos ir prisitaikymo prie reguliavimo išlaidų vertinimo metodikos patvirtinimo“, 5 punkte: </w:t>
              </w:r>
              <w:r>
                <w:rPr>
                  <w:rFonts w:eastAsia="Andale Sans UI"/>
                  <w:szCs w:val="24"/>
                  <w:lang w:bidi="en-US"/>
                </w:rPr>
                <w:t>„&lt;...&gt;</w:t>
              </w:r>
              <w:r>
                <w:rPr>
                  <w:color w:val="000000"/>
                  <w:szCs w:val="24"/>
                  <w:lang w:bidi="en-US"/>
                </w:rPr>
                <w:t xml:space="preserve"> Jei, atlikus preliminarų vertinimą, pagal Metodikos 6.1 papunktyje nustatytą išlaidų kategoriją nustatoma, kad įvykdyti informacinį įpareigojimą ūkio subjektui trunka mažiau nei 2 valandas per metus ir jis taikomas mažiau nei 20 ūkio subjektų, informacinių įpareigojimų sukeliama administracinė našta laikoma nereikšminga ir tolesnis vertinimas ir apskaičiavimas pagal Metodikos 6.4 ir 6.5 papunkčiuose nustatytas išlaidų kategorijas neatliekamas“. Taigi išankstinių sutikimų galimybe pasinaudos iki 5 ūkio subjektų. Dokumentai teikiami per Aplinkosauginių leidimų informacinę sistemą</w:t>
              </w:r>
              <w:r>
                <w:rPr>
                  <w:szCs w:val="24"/>
                  <w:lang w:bidi="en-US"/>
                </w:rPr>
                <w:t xml:space="preserve"> (toliau – ALIS) </w:t>
              </w:r>
              <w:r>
                <w:rPr>
                  <w:color w:val="000000"/>
                  <w:szCs w:val="24"/>
                  <w:lang w:bidi="en-US"/>
                </w:rPr>
                <w:t>arba kitomis ryšio priemonėmis, daroma prielaida, kad vienam dokumentui įkelti reikia iki 5 min. Išankstiniam sutikimui gauti ūkio subjektai kartu su prašymu turės pateikti 5 tipų dokumentus. Vadinasi, visam dokumentų paketui sukelti į ALIS reikės iki 30 min. (6x5=30).</w:t>
              </w:r>
            </w:p>
            <w:p>
              <w:pPr>
                <w:shd w:val="clear" w:color="auto" w:fill="FFFFFF"/>
                <w:ind w:firstLine="709"/>
                <w:jc w:val="both"/>
                <w:textAlignment w:val="center"/>
                <w:rPr>
                  <w:rFonts w:eastAsia="Andale Sans UI" w:cs="Tahoma"/>
                  <w:szCs w:val="24"/>
                  <w:lang w:bidi="en-US"/>
                </w:rPr>
              </w:pPr>
              <w:r>
                <w:rPr>
                  <w:rFonts w:eastAsia="Andale Sans UI"/>
                  <w:szCs w:val="24"/>
                  <w:lang w:bidi="en-US"/>
                </w:rPr>
                <w:t>P</w:t>
              </w:r>
              <w:r>
                <w:rPr>
                  <w:rFonts w:eastAsia="Andale Sans UI"/>
                  <w:color w:val="000000"/>
                  <w:szCs w:val="24"/>
                  <w:lang w:bidi="en-US"/>
                </w:rPr>
                <w:t>rojekte nereglamentuojamas asmens duomenų naudojimas.</w:t>
              </w:r>
            </w:p>
            <w:p>
              <w:pPr>
                <w:spacing w:line="276" w:lineRule="auto"/>
                <w:ind w:firstLine="709"/>
                <w:jc w:val="both"/>
                <w:rPr>
                  <w:szCs w:val="24"/>
                  <w:lang w:eastAsia="lt-LT"/>
                </w:rPr>
              </w:pPr>
              <w:r>
                <w:rPr>
                  <w:szCs w:val="24"/>
                  <w:lang w:eastAsia="lt-LT"/>
                </w:rPr>
                <w:t xml:space="preserve">Projekto 1, 4 ir 6 straipsniai įsigalioja </w:t>
              </w:r>
              <w:r>
                <w:rPr>
                  <w:rFonts w:eastAsia="Andale Sans UI" w:cs="Tahoma"/>
                  <w:color w:val="000000"/>
                  <w:szCs w:val="24"/>
                  <w:shd w:val="clear" w:color="auto" w:fill="FFFFFF"/>
                </w:rPr>
                <w:t>2025 m. birželio 30 d.</w:t>
              </w:r>
            </w:p>
            <w:p>
              <w:pPr>
                <w:shd w:val="clear" w:color="auto" w:fill="FFFFFF"/>
                <w:ind w:firstLine="709"/>
                <w:jc w:val="both"/>
                <w:textAlignment w:val="center"/>
                <w:rPr>
                  <w:rFonts w:eastAsia="Andale Sans UI" w:cs="Tahoma"/>
                  <w:color w:val="000000"/>
                  <w:szCs w:val="24"/>
                  <w:shd w:val="clear" w:color="auto" w:fill="FFFFFF"/>
                  <w:lang w:bidi="en-US"/>
                </w:rPr>
              </w:pPr>
              <w:r>
                <w:rPr>
                  <w:szCs w:val="24"/>
                  <w:lang w:eastAsia="lt-LT" w:bidi="en-US"/>
                </w:rPr>
                <w:t xml:space="preserve">Projekto 2, 5, 7 ir 8 straipsniai įsigalioja </w:t>
              </w:r>
              <w:r>
                <w:rPr>
                  <w:rFonts w:eastAsia="Andale Sans UI" w:cs="Tahoma"/>
                  <w:color w:val="000000"/>
                  <w:szCs w:val="24"/>
                  <w:shd w:val="clear" w:color="auto" w:fill="FFFFFF"/>
                  <w:lang w:bidi="en-US"/>
                </w:rPr>
                <w:t xml:space="preserve">2026 m. gegužės 21 d., nes jais įgyvendinamas </w:t>
              </w:r>
              <w:r>
                <w:rPr>
                  <w:rFonts w:eastAsia="Andale Sans UI"/>
                  <w:szCs w:val="24"/>
                  <w:lang w:bidi="en-US"/>
                </w:rPr>
                <w:t xml:space="preserve">Reglamentas </w:t>
              </w:r>
              <w:fldSimple w:instr="HYPERLINK http://eur-lex.europa.eu/legal-content/LIT/TXT/?uri=CELEX:33157R2024&amp;locale=lt \t _blank">
                <w:r>
                  <w:rPr>
                    <w:rFonts w:eastAsia="Andale Sans UI"/>
                    <w:szCs w:val="24"/>
                    <w:lang w:bidi="en-US"/>
                    <w:u w:val="single"/>
                    <w:color w:val="0000FF" w:themeColor="hyperlink"/>
                  </w:rPr>
                  <w:t>(ES) Nr. 2024/1157</w:t>
                </w:r>
              </w:fldSimple>
              <w:r>
                <w:rPr>
                  <w:rFonts w:eastAsia="Andale Sans UI"/>
                  <w:szCs w:val="24"/>
                  <w:lang w:bidi="en-US"/>
                </w:rPr>
                <w:t xml:space="preserve"> dėl atliekų vežimo, įsigaliosiantis </w:t>
              </w:r>
              <w:r>
                <w:rPr>
                  <w:rFonts w:eastAsia="Andale Sans UI" w:cs="Tahoma"/>
                  <w:color w:val="000000"/>
                  <w:szCs w:val="24"/>
                  <w:shd w:val="clear" w:color="auto" w:fill="FFFFFF"/>
                  <w:lang w:bidi="en-US"/>
                </w:rPr>
                <w:t>2026 m. gegužės 21 d.</w:t>
              </w:r>
            </w:p>
            <w:p>
              <w:pPr>
                <w:spacing w:line="276" w:lineRule="auto"/>
                <w:ind w:firstLine="709"/>
                <w:jc w:val="both"/>
                <w:rPr>
                  <w:szCs w:val="24"/>
                </w:rPr>
              </w:pPr>
              <w:r>
                <w:rPr>
                  <w:szCs w:val="24"/>
                </w:rPr>
                <w:t xml:space="preserve">Aplinkos ministras iki </w:t>
              </w:r>
              <w:r>
                <w:rPr>
                  <w:rFonts w:eastAsia="Andale Sans UI" w:cs="Tahoma"/>
                  <w:color w:val="000000"/>
                  <w:szCs w:val="24"/>
                  <w:shd w:val="clear" w:color="auto" w:fill="FFFFFF"/>
                </w:rPr>
                <w:t xml:space="preserve">2025 m. birželio 27 d. </w:t>
              </w:r>
              <w:r>
                <w:rPr>
                  <w:szCs w:val="24"/>
                </w:rPr>
                <w:t>priima šio įstatymo 1, 4 ir 6 straipsnių įgyvendinamuosius teisės aktus.</w:t>
              </w:r>
            </w:p>
            <w:p>
              <w:pPr>
                <w:shd w:val="clear" w:color="auto" w:fill="FFFFFF"/>
                <w:ind w:firstLine="709"/>
                <w:jc w:val="both"/>
                <w:textAlignment w:val="center"/>
                <w:rPr>
                  <w:rFonts w:eastAsia="Andale Sans UI" w:cs="Tahoma"/>
                  <w:color w:val="000000"/>
                  <w:szCs w:val="24"/>
                  <w:shd w:val="clear" w:color="auto" w:fill="FFFFFF"/>
                  <w:lang w:bidi="en-US"/>
                </w:rPr>
              </w:pPr>
              <w:r>
                <w:rPr>
                  <w:szCs w:val="24"/>
                  <w:lang w:bidi="en-US"/>
                </w:rPr>
                <w:t xml:space="preserve">Aplinkos ministras iki </w:t>
              </w:r>
              <w:r>
                <w:rPr>
                  <w:rFonts w:eastAsia="Andale Sans UI" w:cs="Tahoma"/>
                  <w:color w:val="000000"/>
                  <w:szCs w:val="24"/>
                  <w:shd w:val="clear" w:color="auto" w:fill="FFFFFF"/>
                  <w:lang w:bidi="en-US"/>
                </w:rPr>
                <w:t>2026 m. gegužės 20 d.</w:t>
              </w:r>
              <w:r>
                <w:rPr>
                  <w:szCs w:val="24"/>
                  <w:lang w:eastAsia="lt-LT" w:bidi="en-US"/>
                </w:rPr>
                <w:t xml:space="preserve"> </w:t>
              </w:r>
              <w:r>
                <w:rPr>
                  <w:szCs w:val="24"/>
                  <w:lang w:bidi="en-US"/>
                </w:rPr>
                <w:t xml:space="preserve">priima šio įstatymo </w:t>
              </w:r>
              <w:r>
                <w:rPr>
                  <w:szCs w:val="24"/>
                  <w:lang w:eastAsia="lt-LT" w:bidi="en-US"/>
                </w:rPr>
                <w:t>2, 5 ir 7</w:t>
              </w:r>
              <w:r>
                <w:rPr>
                  <w:szCs w:val="24"/>
                  <w:lang w:bidi="en-US"/>
                </w:rPr>
                <w:t xml:space="preserve"> straipsnių įgyvendinamuosius teisės aktus, </w:t>
              </w:r>
              <w:r>
                <w:rPr>
                  <w:rFonts w:eastAsia="Andale Sans UI" w:cs="Tahoma"/>
                  <w:color w:val="000000"/>
                  <w:szCs w:val="24"/>
                  <w:shd w:val="clear" w:color="auto" w:fill="FFFFFF"/>
                  <w:lang w:bidi="en-US"/>
                </w:rPr>
                <w:t xml:space="preserve">nes jais įgyvendinamas </w:t>
              </w:r>
              <w:r>
                <w:rPr>
                  <w:rFonts w:eastAsia="Andale Sans UI"/>
                  <w:szCs w:val="24"/>
                  <w:lang w:bidi="en-US"/>
                </w:rPr>
                <w:t xml:space="preserve">Reglamentas </w:t>
              </w:r>
              <w:fldSimple w:instr="HYPERLINK http://eur-lex.europa.eu/legal-content/LIT/TXT/?uri=CELEX:33157R2024&amp;locale=lt \t _blank">
                <w:r>
                  <w:rPr>
                    <w:rFonts w:eastAsia="Andale Sans UI"/>
                    <w:szCs w:val="24"/>
                    <w:lang w:bidi="en-US"/>
                    <w:u w:val="single"/>
                    <w:color w:val="0000FF" w:themeColor="hyperlink"/>
                  </w:rPr>
                  <w:t>(ES) Nr. 2024/1157</w:t>
                </w:r>
              </w:fldSimple>
              <w:r>
                <w:rPr>
                  <w:rFonts w:eastAsia="Andale Sans UI"/>
                  <w:szCs w:val="24"/>
                  <w:lang w:bidi="en-US"/>
                </w:rPr>
                <w:t xml:space="preserve"> dėl atliekų vežimo, įsigaliosiantis </w:t>
              </w:r>
              <w:r>
                <w:rPr>
                  <w:rFonts w:eastAsia="Andale Sans UI" w:cs="Tahoma"/>
                  <w:color w:val="000000"/>
                  <w:szCs w:val="24"/>
                  <w:shd w:val="clear" w:color="auto" w:fill="FFFFFF"/>
                  <w:lang w:bidi="en-US"/>
                </w:rPr>
                <w:t>2026 m. gegužės 21 d.</w:t>
              </w:r>
            </w:p>
          </w:sdtContent>
        </w:sdt>
        <w:sdt>
          <w:sdtPr>
            <w:alias w:val="13 p."/>
            <w:tag w:val="part_7dfb26c954f04c36bb9cb31669edf9e9"/>
            <w:lock w:val="sdtLocked"/>
            <w:richText/>
          </w:sdtPr>
          <w:sdtContent>
            <w:p>
              <w:pPr>
                <w:ind w:firstLine="709"/>
                <w:jc w:val="both"/>
                <w:rPr>
                  <w:rFonts w:eastAsia="Andale Sans UI"/>
                  <w:b/>
                  <w:bCs/>
                  <w:i/>
                  <w:iCs/>
                  <w:color w:val="000000"/>
                  <w:szCs w:val="24"/>
                  <w:lang w:bidi="en-US"/>
                </w:rPr>
              </w:pPr>
              <w:sdt>
                <w:sdtPr>
                  <w:alias w:val="Numeris"/>
                  <w:tag w:val="nr_7dfb26c954f04c36bb9cb31669edf9e9"/>
                  <w:lock w:val="sdtLocked"/>
                  <w:richText/>
                </w:sdtPr>
                <w:sdtContent>
                  <w:r>
                    <w:rPr>
                      <w:rFonts w:eastAsia="Andale Sans UI"/>
                      <w:b/>
                      <w:bCs/>
                      <w:szCs w:val="24"/>
                      <w:lang w:bidi="en-US"/>
                    </w:rPr>
                    <w:t>13</w:t>
                  </w:r>
                </w:sdtContent>
              </w:sdt>
              <w:r>
                <w:rPr>
                  <w:rFonts w:eastAsia="Andale Sans UI"/>
                  <w:b/>
                  <w:bCs/>
                  <w:szCs w:val="24"/>
                  <w:lang w:bidi="en-US"/>
                </w:rPr>
                <w:t>. Konsultavimasis su visuomene</w:t>
              </w:r>
              <w:r>
                <w:rPr>
                  <w:rFonts w:eastAsia="Andale Sans UI"/>
                  <w:b/>
                  <w:bCs/>
                  <w:szCs w:val="24"/>
                  <w:vertAlign w:val="superscript"/>
                  <w:lang w:bidi="en-US"/>
                </w:rPr>
                <w:footnoteReference w:id="16"/>
              </w:r>
              <w:r>
                <w:rPr>
                  <w:rFonts w:eastAsia="Andale Sans UI"/>
                  <w:b/>
                  <w:bCs/>
                  <w:szCs w:val="24"/>
                  <w:lang w:bidi="en-US"/>
                </w:rPr>
                <w:t xml:space="preserve"> </w:t>
              </w:r>
              <w:r>
                <w:rPr>
                  <w:rFonts w:eastAsia="Andale Sans UI"/>
                  <w:b/>
                  <w:bCs/>
                  <w:color w:val="000000"/>
                  <w:szCs w:val="24"/>
                  <w:lang w:bidi="en-US"/>
                </w:rPr>
                <w:t>interneto svetainėje epilietis.lrv.lt</w:t>
              </w:r>
              <w:r>
                <w:rPr>
                  <w:rFonts w:eastAsia="Andale Sans UI"/>
                  <w:color w:val="000000"/>
                  <w:szCs w:val="24"/>
                  <w:lang w:bidi="en-US"/>
                </w:rPr>
                <w:t xml:space="preserve"> </w:t>
              </w:r>
            </w:p>
            <w:p>
              <w:pPr>
                <w:ind w:firstLine="709"/>
                <w:jc w:val="both"/>
                <w:rPr>
                  <w:i/>
                  <w:iCs/>
                  <w:color w:val="000000"/>
                  <w:szCs w:val="24"/>
                  <w:lang w:eastAsia="lt-LT" w:bidi="en-US"/>
                </w:rPr>
              </w:pPr>
              <w:r>
                <w:rPr>
                  <w:rFonts w:ascii="Segoe UI Symbol" w:eastAsia="MS Gothic" w:hAnsi="Segoe UI Symbol" w:cs="Segoe UI Symbol"/>
                  <w:szCs w:val="24"/>
                  <w:lang w:bidi="en-US"/>
                </w:rPr>
                <w:t>☐</w:t>
              </w:r>
              <w:r>
                <w:rPr>
                  <w:rFonts w:eastAsia="Andale Sans UI"/>
                  <w:szCs w:val="24"/>
                  <w:lang w:bidi="en-US"/>
                </w:rPr>
                <w:t xml:space="preserve"> P</w:t>
              </w:r>
              <w:r>
                <w:rPr>
                  <w:rFonts w:eastAsia="Andale Sans UI"/>
                  <w:color w:val="000000"/>
                  <w:szCs w:val="24"/>
                  <w:lang w:bidi="en-US"/>
                </w:rPr>
                <w:t>rojektas viešosioms konsultacijoms skelbtas interneto svetainėje epilietis.lrv.lt, kur pastabas ir pasiūlymus nuo 202.. m. ... ... d. iki 202.. m. ... ... d. galėjo teikti visi suinteresuoti asmenys.</w:t>
              </w:r>
            </w:p>
            <w:p>
              <w:pPr>
                <w:ind w:firstLine="709"/>
                <w:jc w:val="both"/>
                <w:rPr>
                  <w:color w:val="000000"/>
                  <w:szCs w:val="24"/>
                  <w:lang w:eastAsia="lt-LT" w:bidi="en-US"/>
                </w:rPr>
              </w:pPr>
              <w:r>
                <w:rPr>
                  <w:rFonts w:ascii="MS Gothic" w:eastAsia="MS Gothic" w:hAnsi="MS Gothic" w:cs="Segoe UI Symbol"/>
                  <w:szCs w:val="24"/>
                  <w:lang w:bidi="en-US"/>
                </w:rPr>
                <w:t>☒</w:t>
              </w:r>
              <w:r>
                <w:rPr>
                  <w:rFonts w:eastAsia="Andale Sans UI"/>
                  <w:szCs w:val="24"/>
                  <w:lang w:bidi="en-US"/>
                </w:rPr>
                <w:t xml:space="preserve"> P</w:t>
              </w:r>
              <w:r>
                <w:rPr>
                  <w:rFonts w:eastAsia="Andale Sans UI"/>
                  <w:color w:val="000000"/>
                  <w:szCs w:val="24"/>
                  <w:lang w:bidi="en-US"/>
                </w:rPr>
                <w:t xml:space="preserve">rojekto skelbti viešosioms konsultacijoms interneto svetainėje epilietis.lrv.lt </w:t>
              </w:r>
              <w:r>
                <w:rPr>
                  <w:color w:val="000000"/>
                  <w:szCs w:val="24"/>
                  <w:lang w:eastAsia="lt-LT" w:bidi="en-US"/>
                </w:rPr>
                <w:t>neplanuojama.</w:t>
              </w:r>
            </w:p>
          </w:sdtContent>
        </w:sdt>
        <w:sdt>
          <w:sdtPr>
            <w:alias w:val="14 p."/>
            <w:tag w:val="part_1b49bd8669ab4669b367c8425c9f6951"/>
            <w:lock w:val="sdtLocked"/>
            <w:richText/>
          </w:sdtPr>
          <w:sdtContent>
            <w:p>
              <w:pPr>
                <w:ind w:firstLine="709"/>
                <w:jc w:val="both"/>
                <w:rPr>
                  <w:rFonts w:eastAsia="Andale Sans UI"/>
                  <w:b/>
                  <w:bCs/>
                  <w:szCs w:val="24"/>
                  <w:lang w:bidi="en-US"/>
                </w:rPr>
              </w:pPr>
              <w:sdt>
                <w:sdtPr>
                  <w:alias w:val="Numeris"/>
                  <w:tag w:val="nr_1b49bd8669ab4669b367c8425c9f6951"/>
                  <w:lock w:val="sdtLocked"/>
                  <w:richText/>
                </w:sdtPr>
                <w:sdtContent>
                  <w:r>
                    <w:rPr>
                      <w:rFonts w:eastAsia="Andale Sans UI"/>
                      <w:b/>
                      <w:bCs/>
                      <w:szCs w:val="24"/>
                      <w:lang w:bidi="en-US"/>
                    </w:rPr>
                    <w:t>14</w:t>
                  </w:r>
                </w:sdtContent>
              </w:sdt>
              <w:r>
                <w:rPr>
                  <w:rFonts w:eastAsia="Andale Sans UI"/>
                  <w:b/>
                  <w:bCs/>
                  <w:szCs w:val="24"/>
                  <w:lang w:bidi="en-US"/>
                </w:rPr>
                <w:t>. Derinimas su suinteresuotomis institucijomis ir suinteresuotais asmenimis</w:t>
              </w:r>
            </w:p>
            <w:p>
              <w:pPr>
                <w:ind w:firstLine="709"/>
                <w:jc w:val="both"/>
                <w:rPr>
                  <w:rFonts w:eastAsia="Andale Sans UI"/>
                  <w:szCs w:val="24"/>
                  <w:lang w:bidi="en-US"/>
                </w:rPr>
              </w:pPr>
              <w:r>
                <w:rPr>
                  <w:rFonts w:eastAsia="Andale Sans UI"/>
                  <w:szCs w:val="24"/>
                  <w:lang w:bidi="en-US"/>
                </w:rPr>
                <w:t>Projektas skelbiamas Lietuvos Respublikos Seimo kanceliarijos teisės aktų informacinėje sistemoje (TAIS).</w:t>
              </w:r>
            </w:p>
            <w:p>
              <w:pPr>
                <w:ind w:firstLine="709"/>
                <w:jc w:val="both"/>
                <w:rPr>
                  <w:rFonts w:eastAsia="Andale Sans UI"/>
                  <w:szCs w:val="24"/>
                  <w:lang w:bidi="en-US"/>
                </w:rPr>
              </w:pPr>
              <w:r>
                <w:rPr>
                  <w:rFonts w:eastAsia="Andale Sans UI"/>
                  <w:szCs w:val="24"/>
                  <w:lang w:bidi="en-US"/>
                </w:rPr>
                <w:t xml:space="preserve">Derinimo terminas </w:t>
              </w:r>
              <w:r>
                <w:rPr>
                  <w:color w:val="000000"/>
                  <w:szCs w:val="24"/>
                  <w:lang w:eastAsia="lt-LT" w:bidi="en-US"/>
                </w:rPr>
                <w:t>(</w:t>
              </w:r>
              <w:r>
                <w:rPr>
                  <w:szCs w:val="24"/>
                  <w:lang w:eastAsia="lt-LT" w:bidi="en-US"/>
                </w:rPr>
                <w:t>pažymimas tinkamas variantas)</w:t>
              </w:r>
              <w:r>
                <w:rPr>
                  <w:rFonts w:eastAsia="Andale Sans UI"/>
                  <w:szCs w:val="24"/>
                  <w:lang w:bidi="en-US"/>
                </w:rPr>
                <w:t>:</w:t>
              </w:r>
            </w:p>
            <w:p>
              <w:pPr>
                <w:ind w:firstLine="709"/>
                <w:jc w:val="both"/>
                <w:rPr>
                  <w:rFonts w:eastAsia="Andale Sans UI"/>
                  <w:szCs w:val="24"/>
                  <w:lang w:bidi="en-US"/>
                </w:rPr>
              </w:pPr>
              <w:r>
                <w:rPr>
                  <w:rFonts w:ascii="MS Gothic" w:eastAsia="MS Gothic" w:hAnsi="MS Gothic" w:cs="Segoe UI Symbol"/>
                  <w:szCs w:val="24"/>
                  <w:lang w:bidi="en-US"/>
                </w:rPr>
                <w:t>☒</w:t>
              </w:r>
              <w:r>
                <w:rPr>
                  <w:rFonts w:eastAsia="Andale Sans UI"/>
                  <w:szCs w:val="24"/>
                  <w:lang w:bidi="en-US"/>
                </w:rPr>
                <w:t xml:space="preserve"> 10darbo dienų.</w:t>
              </w:r>
            </w:p>
            <w:p>
              <w:pPr>
                <w:ind w:firstLine="709"/>
                <w:jc w:val="both"/>
                <w:rPr>
                  <w:rFonts w:eastAsia="Andale Sans UI"/>
                  <w:i/>
                  <w:iCs/>
                  <w:szCs w:val="24"/>
                  <w:lang w:bidi="en-US"/>
                </w:rPr>
              </w:pPr>
              <w:r>
                <w:rPr>
                  <w:rFonts w:ascii="Segoe UI Symbol" w:eastAsia="MS Gothic" w:hAnsi="Segoe UI Symbol" w:cs="Segoe UI Symbol"/>
                  <w:szCs w:val="24"/>
                  <w:lang w:bidi="en-US"/>
                </w:rPr>
                <w:t>☐</w:t>
              </w:r>
              <w:r>
                <w:rPr>
                  <w:rFonts w:eastAsia="Andale Sans UI"/>
                  <w:szCs w:val="24"/>
                  <w:lang w:bidi="en-US"/>
                </w:rPr>
                <w:t xml:space="preserve"> 5 darbo dienos</w:t>
              </w:r>
              <w:r>
                <w:rPr>
                  <w:rFonts w:eastAsia="Andale Sans UI"/>
                  <w:i/>
                  <w:iCs/>
                  <w:szCs w:val="24"/>
                  <w:lang w:bidi="en-US"/>
                </w:rPr>
                <w:t>.</w:t>
              </w:r>
            </w:p>
          </w:sdtContent>
        </w:sdt>
        <w:sdt>
          <w:sdtPr>
            <w:alias w:val="15 p."/>
            <w:tag w:val="part_a74c24e737fa4d45a8ea700449dbf0ab"/>
            <w:lock w:val="sdtLocked"/>
            <w:richText/>
          </w:sdtPr>
          <w:sdtContent>
            <w:p>
              <w:pPr>
                <w:ind w:firstLine="709"/>
                <w:jc w:val="both"/>
                <w:rPr>
                  <w:rFonts w:eastAsia="Andale Sans UI"/>
                  <w:b/>
                  <w:bCs/>
                  <w:szCs w:val="24"/>
                  <w:lang w:bidi="en-US"/>
                </w:rPr>
              </w:pPr>
              <w:sdt>
                <w:sdtPr>
                  <w:alias w:val="Numeris"/>
                  <w:tag w:val="nr_a74c24e737fa4d45a8ea700449dbf0ab"/>
                  <w:lock w:val="sdtLocked"/>
                  <w:richText/>
                </w:sdtPr>
                <w:sdtContent>
                  <w:r>
                    <w:rPr>
                      <w:rFonts w:eastAsia="Andale Sans UI"/>
                      <w:b/>
                      <w:bCs/>
                      <w:szCs w:val="24"/>
                      <w:lang w:bidi="en-US"/>
                    </w:rPr>
                    <w:t>15</w:t>
                  </w:r>
                </w:sdtContent>
              </w:sdt>
              <w:r>
                <w:rPr>
                  <w:rFonts w:eastAsia="Andale Sans UI"/>
                  <w:b/>
                  <w:bCs/>
                  <w:szCs w:val="24"/>
                  <w:lang w:bidi="en-US"/>
                </w:rPr>
                <w:t>. Projekto rengėjai</w:t>
              </w:r>
            </w:p>
            <w:p>
              <w:pPr>
                <w:ind w:firstLine="709"/>
                <w:jc w:val="both"/>
                <w:rPr>
                  <w:szCs w:val="24"/>
                  <w:lang w:eastAsia="lt-LT"/>
                </w:rPr>
              </w:pPr>
              <w:r>
                <w:rPr>
                  <w:szCs w:val="24"/>
                  <w:lang w:eastAsia="lt-LT"/>
                </w:rPr>
                <w:t xml:space="preserve">Projektą parengė Aplinkos ministerijos Atliekų politikos grupės (vadovė – Vilma Slavinskienė, tel. +370 698 75 027, el. p. </w:t>
              </w:r>
              <w:r>
                <w:rPr>
                  <w:szCs w:val="24"/>
                  <w:lang w:eastAsia="lt-LT"/>
                </w:rPr>
                <w:t>vilma.slavinskiene@am.lt</w:t>
              </w:r>
              <w:r>
                <w:rPr>
                  <w:szCs w:val="24"/>
                  <w:lang w:eastAsia="lt-LT"/>
                </w:rPr>
                <w:t>) vyriausiasis patarėjas Mindaugas Kauzonas (tel. +370 695 26 717, el. p. mindaugas.kauzonas@am.lt) ir vyriausioji specialistė Jurga Girdziušienė (tel. +370 695 49 899, el. p. jurga.girdziusiene@am.lt).</w:t>
              </w:r>
            </w:p>
            <w:p>
              <w:pPr>
                <w:ind w:firstLine="709"/>
                <w:jc w:val="both"/>
                <w:rPr>
                  <w:rFonts w:eastAsia="Andale Sans UI"/>
                  <w:szCs w:val="24"/>
                  <w:lang w:bidi="en-US"/>
                </w:rPr>
              </w:pPr>
              <w:r>
                <w:rPr>
                  <w:rFonts w:eastAsia="Andale Sans UI"/>
                  <w:szCs w:val="24"/>
                  <w:lang w:bidi="en-US"/>
                </w:rPr>
                <w:t>PRIDEDAMA:</w:t>
              </w:r>
            </w:p>
          </w:sdtContent>
        </w:sdt>
        <w:sdt>
          <w:sdtPr>
            <w:alias w:val="1 p."/>
            <w:tag w:val="part_3612689d3d5f4d2085df7200a802d0cb"/>
            <w:lock w:val="sdtLocked"/>
            <w:richText/>
          </w:sdtPr>
          <w:sdtContent>
            <w:p>
              <w:pPr>
                <w:ind w:firstLine="709"/>
                <w:jc w:val="both"/>
                <w:rPr>
                  <w:color w:val="000000"/>
                  <w:szCs w:val="24"/>
                  <w:lang w:eastAsia="lt-LT" w:bidi="en-US"/>
                </w:rPr>
              </w:pPr>
              <w:sdt>
                <w:sdtPr>
                  <w:alias w:val="Numeris"/>
                  <w:tag w:val="nr_3612689d3d5f4d2085df7200a802d0cb"/>
                  <w:lock w:val="sdtLocked"/>
                  <w:richText/>
                </w:sdtPr>
                <w:sdtContent>
                  <w:r>
                    <w:rPr>
                      <w:color w:val="000000"/>
                      <w:szCs w:val="24"/>
                      <w:lang w:eastAsia="lt-LT" w:bidi="en-US"/>
                    </w:rPr>
                    <w:t>1</w:t>
                  </w:r>
                </w:sdtContent>
              </w:sdt>
              <w:r>
                <w:rPr>
                  <w:color w:val="000000"/>
                  <w:szCs w:val="24"/>
                  <w:lang w:eastAsia="lt-LT" w:bidi="en-US"/>
                </w:rPr>
                <w:t xml:space="preserve">. </w:t>
              </w:r>
              <w:r>
                <w:rPr>
                  <w:rFonts w:eastAsia="Andale Sans UI"/>
                  <w:szCs w:val="24"/>
                  <w:lang w:bidi="en-US"/>
                </w:rPr>
                <w:t>P</w:t>
              </w:r>
              <w:r>
                <w:rPr>
                  <w:color w:val="000000"/>
                  <w:szCs w:val="24"/>
                  <w:lang w:eastAsia="lt-LT" w:bidi="en-US"/>
                </w:rPr>
                <w:t>rojektas, 5 lapai.</w:t>
              </w:r>
            </w:p>
          </w:sdtContent>
        </w:sdt>
        <w:sdt>
          <w:sdtPr>
            <w:alias w:val="2 p."/>
            <w:tag w:val="part_ebc7070b7cb24ba5b8b81d09bf783785"/>
            <w:lock w:val="sdtLocked"/>
            <w:richText/>
          </w:sdtPr>
          <w:sdtContent>
            <w:p>
              <w:pPr>
                <w:ind w:firstLine="709"/>
                <w:jc w:val="both"/>
                <w:rPr>
                  <w:rFonts w:eastAsia="Andale Sans UI"/>
                  <w:szCs w:val="24"/>
                  <w:lang w:bidi="en-US"/>
                </w:rPr>
              </w:pPr>
              <w:sdt>
                <w:sdtPr>
                  <w:alias w:val="Numeris"/>
                  <w:tag w:val="nr_ebc7070b7cb24ba5b8b81d09bf783785"/>
                  <w:lock w:val="sdtLocked"/>
                  <w:richText/>
                </w:sdtPr>
                <w:sdtContent>
                  <w:r>
                    <w:rPr>
                      <w:rFonts w:eastAsia="Andale Sans UI"/>
                      <w:szCs w:val="24"/>
                      <w:lang w:bidi="en-US"/>
                    </w:rPr>
                    <w:t>2</w:t>
                  </w:r>
                </w:sdtContent>
              </w:sdt>
              <w:r>
                <w:rPr>
                  <w:rFonts w:eastAsia="Andale Sans UI"/>
                  <w:szCs w:val="24"/>
                  <w:lang w:bidi="en-US"/>
                </w:rPr>
                <w:t>. Projekto lyginamasis variantas, 5 lapai.</w:t>
              </w:r>
            </w:p>
          </w:sdtContent>
        </w:sdt>
        <w:sdt>
          <w:sdtPr>
            <w:alias w:val="3 p."/>
            <w:tag w:val="part_847a147a44a842c3b400247cd50c0275"/>
            <w:lock w:val="sdtLocked"/>
            <w:richText/>
          </w:sdtPr>
          <w:sdtContent>
            <w:p>
              <w:pPr>
                <w:ind w:firstLine="709"/>
                <w:jc w:val="both"/>
                <w:rPr>
                  <w:rFonts w:eastAsia="Andale Sans UI"/>
                  <w:szCs w:val="24"/>
                  <w:lang w:bidi="en-US"/>
                </w:rPr>
              </w:pPr>
              <w:sdt>
                <w:sdtPr>
                  <w:alias w:val="Numeris"/>
                  <w:tag w:val="nr_847a147a44a842c3b400247cd50c0275"/>
                  <w:lock w:val="sdtLocked"/>
                  <w:richText/>
                </w:sdtPr>
                <w:sdtContent>
                  <w:r>
                    <w:rPr>
                      <w:rFonts w:eastAsia="Andale Sans UI"/>
                      <w:szCs w:val="24"/>
                      <w:lang w:bidi="en-US"/>
                    </w:rPr>
                    <w:t>3</w:t>
                  </w:r>
                </w:sdtContent>
              </w:sdt>
              <w:r>
                <w:rPr>
                  <w:rFonts w:eastAsia="Andale Sans UI"/>
                  <w:szCs w:val="24"/>
                  <w:lang w:bidi="en-US"/>
                </w:rPr>
                <w:t>. Aiškinamasis raštas, 7 lapai.</w:t>
              </w:r>
            </w:p>
          </w:sdtContent>
        </w:sdt>
        <w:sdt>
          <w:sdtPr>
            <w:alias w:val="4 p."/>
            <w:tag w:val="part_7798f8228ec14b919ed347378adc06ce"/>
            <w:lock w:val="sdtLocked"/>
            <w:richText/>
          </w:sdtPr>
          <w:sdtContent>
            <w:p>
              <w:pPr>
                <w:ind w:firstLine="709"/>
                <w:jc w:val="both"/>
                <w:rPr>
                  <w:rFonts w:eastAsia="Andale Sans UI"/>
                  <w:szCs w:val="24"/>
                  <w:lang w:bidi="en-US"/>
                </w:rPr>
              </w:pPr>
              <w:sdt>
                <w:sdtPr>
                  <w:alias w:val="Numeris"/>
                  <w:tag w:val="nr_7798f8228ec14b919ed347378adc06ce"/>
                  <w:lock w:val="sdtLocked"/>
                  <w:richText/>
                </w:sdtPr>
                <w:sdtContent>
                  <w:r>
                    <w:rPr>
                      <w:rFonts w:eastAsia="Andale Sans UI"/>
                      <w:szCs w:val="24"/>
                      <w:lang w:val="en-US" w:bidi="en-US"/>
                    </w:rPr>
                    <w:t>4</w:t>
                  </w:r>
                </w:sdtContent>
              </w:sdt>
              <w:r>
                <w:rPr>
                  <w:rFonts w:eastAsia="Andale Sans UI"/>
                  <w:szCs w:val="24"/>
                  <w:lang w:bidi="en-US"/>
                </w:rPr>
                <w:t>. Antikorupcinio vertinimo pažyma, 5 lapai.</w:t>
              </w:r>
            </w:p>
          </w:sdtContent>
        </w:sdt>
        <w:sdt>
          <w:sdtPr>
            <w:alias w:val="5 p."/>
            <w:tag w:val="part_2519b7f7ce91495789e914623876b1a1"/>
            <w:lock w:val="sdtLocked"/>
            <w:richText/>
          </w:sdtPr>
          <w:sdtContent>
            <w:p>
              <w:pPr>
                <w:ind w:firstLine="709"/>
                <w:jc w:val="both"/>
                <w:rPr>
                  <w:rFonts w:eastAsia="Andale Sans UI"/>
                  <w:szCs w:val="24"/>
                  <w:lang w:bidi="en-US"/>
                </w:rPr>
              </w:pPr>
              <w:sdt>
                <w:sdtPr>
                  <w:alias w:val="Numeris"/>
                  <w:tag w:val="nr_2519b7f7ce91495789e914623876b1a1"/>
                  <w:lock w:val="sdtLocked"/>
                  <w:richText/>
                </w:sdtPr>
                <w:sdtContent>
                  <w:r>
                    <w:rPr>
                      <w:rFonts w:eastAsia="Andale Sans UI"/>
                      <w:szCs w:val="24"/>
                      <w:lang w:bidi="en-US"/>
                    </w:rPr>
                    <w:t>5</w:t>
                  </w:r>
                </w:sdtContent>
              </w:sdt>
              <w:r>
                <w:rPr>
                  <w:rFonts w:eastAsia="Andale Sans UI"/>
                  <w:szCs w:val="24"/>
                  <w:lang w:bidi="en-US"/>
                </w:rPr>
                <w:t xml:space="preserve">. Reglamento </w:t>
              </w:r>
              <w:fldSimple w:instr="HYPERLINK http://eur-lex.europa.eu/legal-content/LIT/TXT/?uri=CELEX:32006R1013&amp;locale=lt \t _blank">
                <w:r>
                  <w:rPr>
                    <w:rFonts w:eastAsia="Andale Sans UI"/>
                    <w:szCs w:val="24"/>
                    <w:lang w:bidi="en-US"/>
                    <w:u w:val="single"/>
                    <w:color w:val="0000FF" w:themeColor="hyperlink"/>
                  </w:rPr>
                  <w:t>(EB) Nr. 1013/2006</w:t>
                </w:r>
              </w:fldSimple>
              <w:r>
                <w:rPr>
                  <w:rFonts w:eastAsia="Andale Sans UI"/>
                  <w:szCs w:val="24"/>
                  <w:lang w:bidi="en-US"/>
                </w:rPr>
                <w:t xml:space="preserve"> atitikties lentelė, 3 lapai.</w:t>
              </w:r>
            </w:p>
          </w:sdtContent>
        </w:sdt>
        <w:sdt>
          <w:sdtPr>
            <w:alias w:val="6 p."/>
            <w:tag w:val="part_13c8f2c85be74ce0bf2fff9d12a25a08"/>
            <w:lock w:val="sdtLocked"/>
            <w:richText/>
          </w:sdtPr>
          <w:sdtContent>
            <w:p>
              <w:pPr>
                <w:suppressLineNumbers/>
                <w:spacing w:line="276" w:lineRule="auto"/>
                <w:ind w:firstLine="709"/>
                <w:jc w:val="both"/>
                <w:rPr>
                  <w:rFonts w:eastAsia="Andale Sans UI"/>
                  <w:szCs w:val="24"/>
                  <w:lang w:bidi="en-US"/>
                </w:rPr>
              </w:pPr>
              <w:sdt>
                <w:sdtPr>
                  <w:alias w:val="Numeris"/>
                  <w:tag w:val="nr_13c8f2c85be74ce0bf2fff9d12a25a08"/>
                  <w:lock w:val="sdtLocked"/>
                  <w:richText/>
                </w:sdtPr>
                <w:sdtContent>
                  <w:r>
                    <w:rPr>
                      <w:rFonts w:eastAsia="Andale Sans UI"/>
                      <w:szCs w:val="24"/>
                      <w:lang w:bidi="en-US"/>
                    </w:rPr>
                    <w:t>6</w:t>
                  </w:r>
                </w:sdtContent>
              </w:sdt>
              <w:r>
                <w:rPr>
                  <w:rFonts w:eastAsia="Andale Sans UI"/>
                  <w:szCs w:val="24"/>
                  <w:lang w:bidi="en-US"/>
                </w:rPr>
                <w:t xml:space="preserve">. Reglamento </w:t>
              </w:r>
              <w:fldSimple w:instr="HYPERLINK http://eur-lex.europa.eu/legal-content/LIT/TXT/?uri=CELEX:33157R2024&amp;locale=lt \t _blank">
                <w:r>
                  <w:rPr>
                    <w:rFonts w:eastAsia="Andale Sans UI"/>
                    <w:szCs w:val="24"/>
                    <w:lang w:bidi="en-US"/>
                    <w:u w:val="single"/>
                    <w:color w:val="0000FF" w:themeColor="hyperlink"/>
                  </w:rPr>
                  <w:t>(ES) Nr. 2024/1157</w:t>
                </w:r>
              </w:fldSimple>
              <w:r>
                <w:rPr>
                  <w:rFonts w:eastAsia="Andale Sans UI"/>
                  <w:szCs w:val="24"/>
                  <w:lang w:bidi="en-US"/>
                </w:rPr>
                <w:t xml:space="preserve"> atitikties lentelė, 6 lapai.</w:t>
              </w:r>
            </w:p>
            <w:p>
              <w:pPr>
                <w:keepNext/>
                <w:suppressLineNumbers/>
                <w:spacing w:line="276" w:lineRule="auto"/>
                <w:rPr>
                  <w:rFonts w:eastAsia="Andale Sans UI"/>
                  <w:szCs w:val="24"/>
                  <w:lang w:bidi="en-US"/>
                </w:rPr>
              </w:pPr>
            </w:p>
            <w:p>
              <w:pPr>
                <w:keepNext/>
                <w:suppressLineNumbers/>
                <w:spacing w:line="276" w:lineRule="auto"/>
                <w:rPr>
                  <w:rFonts w:eastAsia="Andale Sans UI"/>
                  <w:szCs w:val="24"/>
                  <w:lang w:bidi="en-US"/>
                </w:rPr>
              </w:pPr>
            </w:p>
            <w:p>
              <w:pPr>
                <w:keepNext/>
                <w:suppressLineNumbers/>
                <w:spacing w:line="276" w:lineRule="auto"/>
                <w:rPr>
                  <w:rFonts w:eastAsia="Andale Sans UI"/>
                  <w:szCs w:val="24"/>
                  <w:lang w:bidi="en-US"/>
                </w:rPr>
              </w:pPr>
              <w:r>
                <w:rPr>
                  <w:rFonts w:eastAsia="Andale Sans UI"/>
                  <w:szCs w:val="24"/>
                  <w:lang w:bidi="en-US"/>
                </w:rPr>
                <w:t xml:space="preserve">Aplinkos ministerijos kanclerė                                                                                   Sigita Vasiljevaitė                                                                      </w:t>
              </w:r>
            </w:p>
            <w:p>
              <w:pPr>
                <w:suppressLineNumbers/>
                <w:spacing w:line="276" w:lineRule="auto"/>
                <w:jc w:val="both"/>
                <w:rPr>
                  <w:rFonts w:eastAsia="Andale Sans UI"/>
                  <w:szCs w:val="24"/>
                  <w:lang w:bidi="en-US"/>
                </w:rPr>
              </w:pPr>
            </w:p>
            <w:p>
              <w:pPr>
                <w:suppressLineNumbers/>
                <w:spacing w:line="276" w:lineRule="auto"/>
                <w:jc w:val="both"/>
                <w:rPr>
                  <w:rFonts w:eastAsia="Andale Sans UI"/>
                  <w:szCs w:val="24"/>
                  <w:lang w:bidi="en-US"/>
                </w:rPr>
              </w:pPr>
            </w:p>
            <w:p>
              <w:pPr>
                <w:suppressLineNumbers/>
                <w:spacing w:line="276" w:lineRule="auto"/>
                <w:jc w:val="both"/>
                <w:rPr>
                  <w:rFonts w:eastAsia="Andale Sans UI"/>
                  <w:szCs w:val="24"/>
                  <w:lang w:bidi="en-US"/>
                </w:rPr>
              </w:pPr>
            </w:p>
            <w:p>
              <w:pPr>
                <w:suppressLineNumbers/>
                <w:spacing w:line="276" w:lineRule="auto"/>
                <w:jc w:val="both"/>
                <w:rPr>
                  <w:rFonts w:eastAsia="Andale Sans UI"/>
                  <w:szCs w:val="24"/>
                  <w:lang w:bidi="en-US"/>
                </w:rPr>
              </w:pPr>
            </w:p>
            <w:p>
              <w:pPr>
                <w:jc w:val="both"/>
                <w:rPr>
                  <w:szCs w:val="24"/>
                  <w:lang w:bidi="en-US"/>
                </w:rPr>
              </w:pPr>
            </w:p>
            <w:p>
              <w:pPr>
                <w:jc w:val="both"/>
                <w:rPr>
                  <w:szCs w:val="24"/>
                  <w:lang w:bidi="en-US"/>
                </w:rPr>
              </w:pPr>
            </w:p>
            <w:p>
              <w:pPr>
                <w:jc w:val="both"/>
                <w:rPr>
                  <w:szCs w:val="24"/>
                  <w:lang w:bidi="en-US"/>
                </w:rPr>
              </w:pPr>
            </w:p>
            <w:p>
              <w:pPr>
                <w:jc w:val="both"/>
                <w:rPr>
                  <w:szCs w:val="24"/>
                  <w:lang w:bidi="en-US"/>
                </w:rPr>
              </w:pPr>
              <w:r>
                <w:rPr>
                  <w:szCs w:val="24"/>
                  <w:lang w:bidi="en-US"/>
                </w:rPr>
                <w:t xml:space="preserve">Mindaugas Kauzonas, tel. +370 695 26 717, el. p. </w:t>
              </w:r>
              <w:r>
                <w:rPr>
                  <w:szCs w:val="24"/>
                  <w:lang w:bidi="en-US"/>
                </w:rPr>
                <w:t>mindaugas.kauzonas@am.lt</w:t>
              </w:r>
            </w:p>
            <w:p>
              <w:pPr>
                <w:jc w:val="both"/>
                <w:rPr>
                  <w:szCs w:val="24"/>
                  <w:lang w:bidi="en-US"/>
                </w:rPr>
                <w:sectPr>
                  <w:headerReference w:type="even" r:id="rId13"/>
                  <w:headerReference w:type="default" r:id="rId14"/>
                  <w:footerReference w:type="even" r:id="rId15"/>
                  <w:footerReference w:type="default" r:id="rId16"/>
                  <w:headerReference w:type="first" r:id="rId17"/>
                  <w:footerReference w:type="first" r:id="rId18"/>
                  <w:footnotePr>
                    <w:pos w:val="beneathText"/>
                    <w:numRestart w:val="eachPage"/>
                  </w:footnotePr>
                  <w:endnotePr>
                    <w:numFmt w:val="decimal"/>
                  </w:endnotePr>
                  <w:pgSz w:w="11905" w:h="16837"/>
                  <w:pgMar w:top="1021" w:right="567" w:bottom="1021" w:left="1588" w:header="567" w:footer="232" w:gutter="0"/>
                  <w:cols w:space="1296"/>
                  <w:titlePg/>
                  <w:docGrid w:linePitch="326"/>
                </w:sectPr>
              </w:pPr>
              <w:r>
                <w:rPr>
                  <w:szCs w:val="24"/>
                  <w:lang w:bidi="en-US"/>
                </w:rPr>
                <w:t xml:space="preserve">Jurga Girdziušienė, </w:t>
              </w:r>
              <w:r>
                <w:rPr>
                  <w:rFonts w:eastAsia="Andale Sans UI" w:cs="Tahoma"/>
                  <w:szCs w:val="24"/>
                  <w:lang w:bidi="en-US"/>
                </w:rPr>
                <w:t xml:space="preserve">tel. </w:t>
              </w:r>
              <w:r>
                <w:rPr>
                  <w:rFonts w:eastAsia="Andale Sans UI" w:cs="Tahoma"/>
                  <w:szCs w:val="24"/>
                </w:rPr>
                <w:t>+370 695 49</w:t>
              </w:r>
              <w:r>
                <w:rPr>
                  <w:rFonts w:eastAsia="Andale Sans UI" w:cs="Tahoma"/>
                  <w:szCs w:val="24"/>
                  <w:lang w:bidi="en-US"/>
                </w:rPr>
                <w:t xml:space="preserve"> </w:t>
              </w:r>
              <w:r>
                <w:rPr>
                  <w:rFonts w:eastAsia="Andale Sans UI" w:cs="Tahoma"/>
                  <w:szCs w:val="24"/>
                </w:rPr>
                <w:t>899</w:t>
              </w:r>
              <w:r>
                <w:rPr>
                  <w:rFonts w:eastAsia="Andale Sans UI" w:cs="Tahoma"/>
                  <w:szCs w:val="24"/>
                  <w:lang w:bidi="en-US"/>
                </w:rPr>
                <w:t>, el. p. jurga.girdziusiene@am.lt</w:t>
              </w:r>
            </w:p>
            <w:p>
              <w:pPr>
                <w:suppressLineNumbers/>
                <w:tabs>
                  <w:tab w:val="center" w:pos="4800"/>
                  <w:tab w:val="right" w:pos="9601"/>
                </w:tabs>
                <w:jc w:val="both"/>
                <w:rPr>
                  <w:rFonts w:eastAsia="Andale Sans UI" w:cs="Tahoma"/>
                  <w:szCs w:val="24"/>
                  <w:lang w:bidi="en-US"/>
                </w:rPr>
              </w:pPr>
            </w:p>
            <w:p>
              <w:pPr>
                <w:jc w:val="center"/>
                <w:rPr>
                  <w:rFonts w:eastAsia="Andale Sans UI" w:cs="Tahoma"/>
                  <w:szCs w:val="24"/>
                  <w:lang w:bidi="en-US"/>
                </w:rPr>
              </w:pPr>
              <w:r>
                <w:rPr>
                  <w:rFonts w:eastAsia="Andale Sans UI" w:cs="Tahoma"/>
                  <w:szCs w:val="24"/>
                  <w:lang w:bidi="en-US"/>
                </w:rPr>
                <w:t>ADRESATŲ SĄRAŠAS</w:t>
              </w:r>
            </w:p>
            <w:p>
              <w:pPr>
                <w:ind w:firstLine="567"/>
                <w:jc w:val="center"/>
                <w:rPr>
                  <w:rFonts w:eastAsia="Andale Sans UI" w:cs="Tahoma"/>
                  <w:szCs w:val="24"/>
                  <w:lang w:bidi="en-US"/>
                </w:rPr>
              </w:pPr>
            </w:p>
            <w:p>
              <w:pPr>
                <w:rPr>
                  <w:rFonts w:eastAsia="Andale Sans UI" w:cs="Tahoma"/>
                  <w:szCs w:val="24"/>
                  <w:lang w:bidi="en-US"/>
                </w:rPr>
              </w:pPr>
              <w:r>
                <w:rPr>
                  <w:rFonts w:eastAsia="Andale Sans UI" w:cs="Tahoma"/>
                  <w:szCs w:val="24"/>
                  <w:lang w:bidi="en-US"/>
                </w:rPr>
                <w:t>Antrinių žaliavų ir atliekų surinkėjų, perdirbėjų asociacijai</w:t>
              </w:r>
            </w:p>
            <w:p>
              <w:pPr>
                <w:rPr>
                  <w:rFonts w:eastAsia="Andale Sans UI" w:cs="Tahoma"/>
                  <w:szCs w:val="24"/>
                  <w:lang w:bidi="en-US"/>
                </w:rPr>
              </w:pPr>
              <w:r>
                <w:rPr>
                  <w:rFonts w:eastAsia="Andale Sans UI" w:cs="Tahoma"/>
                  <w:szCs w:val="24"/>
                  <w:lang w:bidi="en-US"/>
                </w:rPr>
                <w:t>Aplinkos apsaugos departamentui prie Aplinkos ministerijos</w:t>
              </w:r>
            </w:p>
            <w:p>
              <w:pPr>
                <w:rPr>
                  <w:rFonts w:eastAsia="Andale Sans UI" w:cs="Tahoma"/>
                  <w:szCs w:val="24"/>
                  <w:lang w:bidi="en-US"/>
                </w:rPr>
              </w:pPr>
              <w:r>
                <w:rPr>
                  <w:rFonts w:eastAsia="Andale Sans UI" w:cs="Tahoma"/>
                  <w:szCs w:val="24"/>
                  <w:lang w:bidi="en-US"/>
                </w:rPr>
                <w:t>Atliekų tvarkytojų ir turėtojų asociacijai</w:t>
              </w:r>
            </w:p>
            <w:p>
              <w:pPr>
                <w:rPr>
                  <w:rFonts w:eastAsia="Andale Sans UI" w:cs="Tahoma"/>
                  <w:szCs w:val="24"/>
                  <w:lang w:bidi="en-US"/>
                </w:rPr>
              </w:pPr>
              <w:r>
                <w:rPr>
                  <w:rFonts w:eastAsia="Andale Sans UI" w:cs="Tahoma"/>
                  <w:szCs w:val="24"/>
                  <w:lang w:bidi="en-US"/>
                </w:rPr>
                <w:t>Ekonomikos ir inovacijų ministerijai</w:t>
              </w:r>
            </w:p>
            <w:p>
              <w:pPr>
                <w:rPr>
                  <w:rFonts w:eastAsia="Andale Sans UI" w:cs="Tahoma"/>
                  <w:szCs w:val="24"/>
                  <w:lang w:bidi="en-US"/>
                </w:rPr>
              </w:pPr>
              <w:r>
                <w:rPr>
                  <w:rFonts w:eastAsia="Andale Sans UI" w:cs="Tahoma"/>
                  <w:szCs w:val="24"/>
                  <w:lang w:bidi="en-US"/>
                </w:rPr>
                <w:t>Elektronikos platintojų asociacijai „EEPA“</w:t>
              </w:r>
            </w:p>
            <w:p>
              <w:pPr>
                <w:jc w:val="both"/>
                <w:rPr>
                  <w:rFonts w:eastAsia="Andale Sans UI" w:cs="Tahoma"/>
                  <w:szCs w:val="24"/>
                  <w:lang w:bidi="en-US"/>
                </w:rPr>
              </w:pPr>
              <w:r>
                <w:rPr>
                  <w:rFonts w:eastAsia="Andale Sans UI" w:cs="Tahoma"/>
                  <w:szCs w:val="24"/>
                  <w:lang w:bidi="en-US"/>
                </w:rPr>
                <w:t>Eksploatuoti netinkamų transporto priemonių tvarkytojų asociacijai</w:t>
              </w:r>
            </w:p>
          </w:sdtContent>
        </w:sdt>
        <w:sdt>
          <w:sdtPr>
            <w:alias w:val="signatura"/>
            <w:tag w:val="part_158b6c9932604df0b90db94131ba482b"/>
            <w:lock w:val="sdtLocked"/>
            <w:richText/>
          </w:sdtPr>
          <w:sdtContent>
            <w:p>
              <w:pPr>
                <w:rPr>
                  <w:rFonts w:eastAsia="Andale Sans UI" w:cs="Tahoma"/>
                  <w:szCs w:val="24"/>
                  <w:lang w:bidi="en-US"/>
                </w:rPr>
              </w:pPr>
              <w:r>
                <w:rPr>
                  <w:rFonts w:eastAsia="Andale Sans UI" w:cs="Tahoma"/>
                  <w:szCs w:val="24"/>
                  <w:lang w:bidi="en-US"/>
                </w:rPr>
                <w:t>Lietuvos komunalininkų ir atliekų tvarkytojų asociacijai</w:t>
              </w:r>
            </w:p>
            <w:p>
              <w:pPr>
                <w:rPr>
                  <w:rFonts w:eastAsia="Andale Sans UI" w:cs="Tahoma"/>
                  <w:szCs w:val="24"/>
                  <w:lang w:bidi="en-US"/>
                </w:rPr>
              </w:pPr>
              <w:r>
                <w:rPr>
                  <w:rFonts w:eastAsia="Andale Sans UI" w:cs="Tahoma"/>
                  <w:szCs w:val="24"/>
                  <w:lang w:bidi="en-US"/>
                </w:rPr>
                <w:t>Lietuvos verslo konfederacijai</w:t>
              </w:r>
            </w:p>
            <w:p>
              <w:pPr>
                <w:rPr>
                  <w:rFonts w:eastAsia="Andale Sans UI" w:cs="Tahoma"/>
                  <w:szCs w:val="24"/>
                  <w:lang w:val="lt" w:bidi="en-US"/>
                </w:rPr>
              </w:pPr>
              <w:r>
                <w:rPr>
                  <w:rFonts w:eastAsia="Andale Sans UI" w:cs="Tahoma"/>
                  <w:szCs w:val="24"/>
                  <w:lang w:val="lt" w:bidi="en-US"/>
                </w:rPr>
                <w:t>Pakuotės atliekų perdirbėjų asociacijai</w:t>
              </w:r>
            </w:p>
            <w:p>
              <w:pPr>
                <w:rPr>
                  <w:rFonts w:eastAsia="Andale Sans UI" w:cs="Tahoma"/>
                  <w:szCs w:val="24"/>
                  <w:lang w:bidi="en-US"/>
                </w:rPr>
              </w:pPr>
              <w:r>
                <w:rPr>
                  <w:rFonts w:eastAsia="Andale Sans UI" w:cs="Tahoma"/>
                  <w:szCs w:val="24"/>
                  <w:lang w:bidi="en-US"/>
                </w:rPr>
                <w:t>Pavojingųjų atliekų tvarkytojų asociacijai</w:t>
              </w:r>
            </w:p>
            <w:p>
              <w:pPr>
                <w:rPr>
                  <w:rFonts w:ascii="Segoe UI" w:eastAsia="Andale Sans UI" w:hAnsi="Segoe UI" w:cs="Segoe UI"/>
                  <w:sz w:val="18"/>
                  <w:szCs w:val="18"/>
                  <w:lang w:bidi="en-US"/>
                </w:rPr>
              </w:pPr>
              <w:r>
                <w:rPr>
                  <w:rFonts w:eastAsia="Andale Sans UI" w:cs="Tahoma"/>
                  <w:szCs w:val="24"/>
                  <w:lang w:bidi="en-US"/>
                </w:rPr>
                <w:t>Teisingumo ministerijai</w:t>
              </w:r>
            </w:p>
            <w:p>
              <w:pPr>
                <w:textAlignment w:val="baseline"/>
                <w:rPr>
                  <w:szCs w:val="24"/>
                  <w:lang w:eastAsia="lt-LT"/>
                </w:rPr>
              </w:pPr>
              <w:r>
                <w:rPr>
                  <w:szCs w:val="24"/>
                  <w:lang w:eastAsia="lt-LT"/>
                </w:rPr>
                <w:t>Lietuvos Respublikos specialiųjų tyrimų tarnybai</w:t>
              </w:r>
            </w:p>
            <w:p>
              <w:pPr>
                <w:ind w:firstLine="567"/>
                <w:jc w:val="both"/>
                <w:rPr>
                  <w:rFonts w:eastAsia="Andale Sans UI" w:cs="Tahoma"/>
                  <w:szCs w:val="24"/>
                  <w:lang w:bidi="en-US"/>
                </w:rPr>
              </w:pPr>
            </w:p>
          </w:sdtContent>
        </w:sdt>
      </w:sdtContent>
    </w:sdt>
    <w:sectPr>
      <w:footnotePr>
        <w:pos w:val="beneathText"/>
        <w:numRestart w:val="eachPage"/>
      </w:footnotePr>
      <w:endnotePr>
        <w:numFmt w:val="decimal"/>
      </w:endnotePr>
      <w:pgSz w:w="11905" w:h="16837"/>
      <w:pgMar w:top="1021" w:right="567" w:bottom="1021" w:left="1588" w:header="567" w:footer="232" w:gutter="0"/>
      <w:cols w:space="1296"/>
      <w:titlePg/>
      <w:docGrid w:linePitch="326"/>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jc w:val="both"/>
        <w:rPr>
          <w:rFonts w:eastAsia="Andale Sans UI" w:cs="Tahoma"/>
          <w:szCs w:val="24"/>
          <w:lang w:bidi="en-US"/>
        </w:rPr>
      </w:pPr>
      <w:r>
        <w:rPr>
          <w:rFonts w:eastAsia="Andale Sans UI" w:cs="Tahoma"/>
          <w:szCs w:val="24"/>
          <w:lang w:bidi="en-US"/>
        </w:rPr>
        <w:separator/>
      </w:r>
    </w:p>
  </w:endnote>
  <w:endnote w:type="continuationSeparator" w:id="0">
    <w:p>
      <w:pPr>
        <w:jc w:val="both"/>
        <w:rPr>
          <w:rFonts w:eastAsia="Andale Sans UI" w:cs="Tahoma"/>
          <w:szCs w:val="24"/>
          <w:lang w:bidi="en-US"/>
        </w:rPr>
      </w:pPr>
      <w:r>
        <w:rPr>
          <w:rFonts w:eastAsia="Andale Sans UI" w:cs="Tahoma"/>
          <w:szCs w:val="24"/>
          <w:lang w:bidi="en-US"/>
        </w:rPr>
        <w:continuationSeparator/>
      </w:r>
    </w:p>
  </w:endnote>
  <w:endnote w:type="continuationNotice" w:id="1">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Andale Sans UI">
    <w:altName w:val="Times New Roman"/>
    <w:charset w:val="BA"/>
    <w:family w:val="swiss"/>
    <w:pitch w:val="variable"/>
  </w:font>
  <w:font w:name="Tahoma">
    <w:panose1 w:val="020B0604030504040204"/>
    <w:charset w:val="BA"/>
    <w:family w:val="swiss"/>
    <w:pitch w:val="variable"/>
    <w:sig w:usb0="E1002EFF" w:usb1="C000605B" w:usb2="00000029" w:usb3="00000000" w:csb0="000101FF" w:csb1="00000000"/>
  </w:font>
  <w:font w:name="Arial">
    <w:panose1 w:val="020B0604020202020204"/>
    <w:charset w:val="BA"/>
    <w:family w:val="swiss"/>
    <w:pitch w:val="variable"/>
    <w:sig w:usb0="E0002AFF" w:usb1="C0007843" w:usb2="00000009" w:usb3="00000000" w:csb0="000001FF" w:csb1="00000000"/>
  </w:font>
  <w:font w:name="MS Gothic">
    <w:altName w:val="ＭＳ ゴシック"/>
    <w:panose1 w:val="020B0609070205080204"/>
    <w:charset w:val="80"/>
    <w:family w:val="modern"/>
    <w:pitch w:val="fixed"/>
    <w:sig w:usb0="E00002FF" w:usb1="6AC7FDFB" w:usb2="00000012" w:usb3="00000000" w:csb0="0002009F" w:csb1="00000000"/>
  </w:font>
  <w:font w:name="Segoe UI Symbol">
    <w:panose1 w:val="020B0502040204020203"/>
    <w:charset w:val="00"/>
    <w:family w:val="swiss"/>
    <w:pitch w:val="variable"/>
    <w:sig w:usb0="8000006F" w:usb1="1200FBEF" w:usb2="0064C000" w:usb3="00000000" w:csb0="00000001" w:csb1="00000000"/>
  </w:font>
  <w:font w:name="Segoe UI">
    <w:panose1 w:val="020B0502040204020203"/>
    <w:charset w:val="BA"/>
    <w:family w:val="swiss"/>
    <w:pitch w:val="variable"/>
    <w:sig w:usb0="E10022FF" w:usb1="C000E47F" w:usb2="00000029" w:usb3="00000000" w:csb0="000001DF" w:csb1="00000000"/>
  </w:font>
  <w:font w:name="Cambria">
    <w:panose1 w:val="02040503050406030204"/>
    <w:charset w:val="BA"/>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suppressLineNumbers/>
      <w:tabs>
        <w:tab w:val="center" w:pos="4800"/>
        <w:tab w:val="right" w:pos="9601"/>
      </w:tabs>
      <w:jc w:val="both"/>
      <w:rPr>
        <w:rFonts w:eastAsia="Andale Sans UI" w:cs="Tahoma"/>
        <w:szCs w:val="24"/>
        <w:lang w:bidi="en-US"/>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suppressLineNumbers/>
      <w:tabs>
        <w:tab w:val="center" w:pos="4800"/>
        <w:tab w:val="right" w:pos="9601"/>
      </w:tabs>
      <w:jc w:val="right"/>
      <w:rPr>
        <w:rFonts w:ascii="Arial" w:eastAsia="Andale Sans UI" w:hAnsi="Arial" w:cs="Tahoma"/>
        <w:sz w:val="10"/>
        <w:szCs w:val="24"/>
        <w:lang w:val="en-US" w:bidi="en-US"/>
      </w:rPr>
    </w:pPr>
  </w:p>
  <w:p>
    <w:pPr>
      <w:suppressLineNumbers/>
      <w:tabs>
        <w:tab w:val="center" w:pos="4800"/>
        <w:tab w:val="right" w:pos="9601"/>
      </w:tabs>
      <w:jc w:val="right"/>
      <w:rPr>
        <w:rFonts w:ascii="Arial" w:eastAsia="Andale Sans UI" w:hAnsi="Arial" w:cs="Tahoma"/>
        <w:sz w:val="10"/>
        <w:szCs w:val="24"/>
        <w:lang w:val="en-US" w:bidi="en-US"/>
      </w:rPr>
    </w:pPr>
  </w:p>
  <w:p>
    <w:pPr>
      <w:suppressLineNumbers/>
      <w:tabs>
        <w:tab w:val="center" w:pos="4800"/>
        <w:tab w:val="right" w:pos="9601"/>
      </w:tabs>
      <w:jc w:val="right"/>
      <w:rPr>
        <w:rFonts w:ascii="Arial" w:eastAsia="Andale Sans UI" w:hAnsi="Arial" w:cs="Tahoma"/>
        <w:sz w:val="10"/>
        <w:szCs w:val="24"/>
        <w:lang w:val="en-US" w:bidi="en-US"/>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suppressLineNumbers/>
      <w:tabs>
        <w:tab w:val="center" w:pos="4800"/>
        <w:tab w:val="right" w:pos="9601"/>
      </w:tabs>
      <w:jc w:val="right"/>
      <w:rPr>
        <w:rFonts w:eastAsia="Andale Sans UI" w:cs="Tahoma"/>
        <w:szCs w:val="24"/>
        <w:lang w:bidi="en-US"/>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jc w:val="both"/>
        <w:rPr>
          <w:rFonts w:eastAsia="Andale Sans UI" w:cs="Tahoma"/>
          <w:szCs w:val="24"/>
          <w:lang w:bidi="en-US"/>
        </w:rPr>
      </w:pPr>
      <w:r>
        <w:rPr>
          <w:rFonts w:eastAsia="Andale Sans UI" w:cs="Tahoma"/>
          <w:szCs w:val="24"/>
          <w:lang w:bidi="en-US"/>
        </w:rPr>
        <w:separator/>
      </w:r>
    </w:p>
  </w:footnote>
  <w:footnote w:type="continuationSeparator" w:id="0">
    <w:p>
      <w:pPr>
        <w:jc w:val="both"/>
        <w:rPr>
          <w:rFonts w:eastAsia="Andale Sans UI" w:cs="Tahoma"/>
          <w:szCs w:val="24"/>
          <w:lang w:bidi="en-US"/>
        </w:rPr>
      </w:pPr>
      <w:r>
        <w:rPr>
          <w:rFonts w:eastAsia="Andale Sans UI" w:cs="Tahoma"/>
          <w:szCs w:val="24"/>
          <w:lang w:bidi="en-US"/>
        </w:rPr>
        <w:continuationSeparator/>
      </w:r>
    </w:p>
  </w:footnote>
  <w:footnote w:type="continuationNotice" w:id="1">
    <w:p/>
  </w:footnote>
  <w:footnote w:id="2">
    <w:p>
      <w:pPr>
        <w:jc w:val="both"/>
        <w:rPr>
          <w:rFonts w:eastAsia="Andale Sans UI" w:cs="Tahoma"/>
          <w:sz w:val="18"/>
          <w:szCs w:val="18"/>
        </w:rPr>
      </w:pPr>
      <w:r>
        <w:rPr>
          <w:rFonts w:eastAsia="Andale Sans UI" w:cs="Tahoma"/>
          <w:sz w:val="18"/>
          <w:szCs w:val="18"/>
          <w:vertAlign w:val="superscript"/>
        </w:rPr>
        <w:footnoteRef/>
      </w:r>
      <w:r>
        <w:rPr>
          <w:rFonts w:eastAsia="Andale Sans UI" w:cs="Tahoma"/>
          <w:sz w:val="18"/>
          <w:szCs w:val="18"/>
        </w:rPr>
        <w:t xml:space="preserve"> </w:t>
      </w:r>
      <w:r>
        <w:rPr>
          <w:rFonts w:eastAsia="Andale Sans UI" w:cs="Tahoma"/>
          <w:color w:val="000000"/>
          <w:sz w:val="18"/>
          <w:szCs w:val="18"/>
        </w:rPr>
        <w:t>Lietuvos vyriausiojo administracinio teismo 2006 m. liepos 28 d. sprendimas byloje Nr. I</w:t>
      </w:r>
      <w:r>
        <w:rPr>
          <w:rFonts w:eastAsia="Andale Sans UI" w:cs="Tahoma"/>
          <w:color w:val="000000"/>
          <w:sz w:val="18"/>
          <w:szCs w:val="18"/>
          <w:vertAlign w:val="superscript"/>
        </w:rPr>
        <w:t>1</w:t>
      </w:r>
      <w:r>
        <w:rPr>
          <w:rFonts w:eastAsia="Andale Sans UI" w:cs="Tahoma"/>
          <w:color w:val="000000"/>
          <w:sz w:val="18"/>
          <w:szCs w:val="18"/>
        </w:rPr>
        <w:t>-4/2006, 2007 m. lapkričio 23 d. sprendimas byloje Nr. I</w:t>
      </w:r>
      <w:r>
        <w:rPr>
          <w:rFonts w:eastAsia="Andale Sans UI" w:cs="Tahoma"/>
          <w:color w:val="000000"/>
          <w:sz w:val="18"/>
          <w:szCs w:val="18"/>
          <w:vertAlign w:val="superscript"/>
        </w:rPr>
        <w:t>8</w:t>
      </w:r>
      <w:r>
        <w:rPr>
          <w:rFonts w:eastAsia="Andale Sans UI" w:cs="Tahoma"/>
          <w:color w:val="000000"/>
          <w:sz w:val="18"/>
          <w:szCs w:val="18"/>
        </w:rPr>
        <w:t>-15/2007, 2008 m. lapkričio 28 d. sprendimas byloje Nr. I</w:t>
      </w:r>
      <w:r>
        <w:rPr>
          <w:rFonts w:eastAsia="Andale Sans UI" w:cs="Tahoma"/>
          <w:color w:val="000000"/>
          <w:sz w:val="18"/>
          <w:szCs w:val="18"/>
          <w:vertAlign w:val="superscript"/>
        </w:rPr>
        <w:t>444</w:t>
      </w:r>
      <w:r>
        <w:rPr>
          <w:rFonts w:eastAsia="Andale Sans UI" w:cs="Tahoma"/>
          <w:color w:val="000000"/>
          <w:sz w:val="18"/>
          <w:szCs w:val="18"/>
        </w:rPr>
        <w:t xml:space="preserve">-4/2008, </w:t>
      </w:r>
      <w:r>
        <w:rPr>
          <w:rFonts w:eastAsia="Andale Sans UI" w:cs="Tahoma"/>
          <w:color w:val="000080"/>
          <w:sz w:val="18"/>
          <w:szCs w:val="18"/>
          <w:u w:val="single"/>
        </w:rPr>
        <w:t>2012 m. gegužės 21 d. sprendimas administracinėje byloje Nr. I</w:t>
      </w:r>
      <w:r>
        <w:rPr>
          <w:rFonts w:eastAsia="Andale Sans UI" w:cs="Tahoma"/>
          <w:color w:val="000080"/>
          <w:sz w:val="18"/>
          <w:szCs w:val="18"/>
          <w:u w:val="single"/>
          <w:vertAlign w:val="superscript"/>
        </w:rPr>
        <w:t>502</w:t>
      </w:r>
      <w:r>
        <w:rPr>
          <w:rFonts w:eastAsia="Andale Sans UI" w:cs="Tahoma"/>
          <w:color w:val="000080"/>
          <w:sz w:val="18"/>
          <w:szCs w:val="18"/>
          <w:u w:val="single"/>
        </w:rPr>
        <w:t>-12/2012</w:t>
      </w:r>
      <w:r>
        <w:rPr>
          <w:rFonts w:eastAsia="Andale Sans UI" w:cs="Tahoma"/>
          <w:color w:val="000000"/>
          <w:sz w:val="18"/>
          <w:szCs w:val="18"/>
        </w:rPr>
        <w:t>.</w:t>
      </w:r>
    </w:p>
  </w:footnote>
  <w:footnote w:id="3">
    <w:p>
      <w:pPr>
        <w:rPr>
          <w:rFonts w:eastAsia="Andale Sans UI" w:cs="Tahoma"/>
          <w:sz w:val="18"/>
          <w:szCs w:val="18"/>
        </w:rPr>
      </w:pPr>
      <w:r>
        <w:rPr>
          <w:rFonts w:eastAsia="Andale Sans UI" w:cs="Tahoma"/>
          <w:sz w:val="18"/>
          <w:szCs w:val="18"/>
          <w:vertAlign w:val="superscript"/>
        </w:rPr>
        <w:footnoteRef/>
      </w:r>
      <w:r>
        <w:rPr>
          <w:rFonts w:eastAsia="Andale Sans UI" w:cs="Tahoma"/>
          <w:sz w:val="18"/>
          <w:szCs w:val="18"/>
        </w:rPr>
        <w:t xml:space="preserve"> Lietuvos Respublikos aplinkos ministro 2004 m. balandžio 27 d. įsakymo Nr. D1-207 „Dėl Atliekų tarpvalstybinių vežimų tvarkos aprašo patvirtinimo“ 2.1 papunktis.</w:t>
      </w:r>
    </w:p>
  </w:footnote>
  <w:footnote w:id="4">
    <w:p>
      <w:pPr>
        <w:shd w:val="clear" w:color="auto" w:fill="FFFFFF"/>
        <w:jc w:val="both"/>
        <w:rPr>
          <w:rFonts w:eastAsia="Andale Sans UI" w:cs="Tahoma"/>
          <w:color w:val="000000"/>
          <w:sz w:val="18"/>
          <w:szCs w:val="18"/>
          <w:lang w:eastAsia="en-GB" w:bidi="en-US"/>
        </w:rPr>
      </w:pPr>
      <w:r>
        <w:rPr>
          <w:rFonts w:eastAsia="Andale Sans UI"/>
          <w:sz w:val="18"/>
          <w:szCs w:val="18"/>
          <w:vertAlign w:val="superscript"/>
          <w:lang w:bidi="en-US"/>
        </w:rPr>
        <w:footnoteRef/>
      </w:r>
      <w:r>
        <w:rPr>
          <w:rFonts w:eastAsia="Andale Sans UI"/>
          <w:sz w:val="18"/>
          <w:szCs w:val="18"/>
          <w:lang w:bidi="en-US"/>
        </w:rPr>
        <w:t xml:space="preserve"> </w:t>
      </w:r>
      <w:r>
        <w:rPr>
          <w:color w:val="000000"/>
          <w:sz w:val="18"/>
          <w:szCs w:val="18"/>
          <w:lang w:eastAsia="en-GB" w:bidi="en-US"/>
        </w:rPr>
        <w:t xml:space="preserve">Konstitucinio Teismo 2006 m. gegužės 31 d. </w:t>
      </w:r>
      <w:r>
        <w:rPr>
          <w:rFonts w:eastAsia="Andale Sans UI"/>
          <w:color w:val="000080"/>
          <w:sz w:val="18"/>
          <w:szCs w:val="18"/>
          <w:u w:val="single"/>
          <w:lang w:bidi="en-US"/>
        </w:rPr>
        <w:t>nutarimo</w:t>
      </w:r>
      <w:r>
        <w:rPr>
          <w:rFonts w:eastAsia="Andale Sans UI"/>
          <w:color w:val="000000"/>
          <w:sz w:val="18"/>
          <w:szCs w:val="18"/>
          <w:lang w:eastAsia="en-GB" w:bidi="en-US"/>
        </w:rPr>
        <w:t xml:space="preserve"> „</w:t>
      </w:r>
      <w:r>
        <w:rPr>
          <w:color w:val="000000"/>
          <w:sz w:val="18"/>
          <w:szCs w:val="18"/>
          <w:lang w:eastAsia="en-GB" w:bidi="en-US"/>
        </w:rPr>
        <w:t>Dėl Lietuvos Respublikos vyriausybės 2001 m. rugsėjo 26 d. nutarimo Nr. 1170 „Dėl cukraus rinkos reguliavimo priemonių“ 2.3, 2.4 punktų, Lietuvos Respublikos Vyriausybės 2002 m. birželio 12 d. nutarimo Nr. 879 „Dėl Lietuvos Respublikos Vyriausybės 2001 m. kovo 12 d. nutarimo Nr. 284 „Dėl baltojo cukraus gamybos kvotos nustatymo“ pakeitimo“ 2 punkto atitikties Lietuvos Respublikos Konstitucijai, Lietuvos Respublikos cukraus įstatymo 4 straipsnio 1 daliai (2000 m. gegužės 18 d. redakcija), 2 daliai (1999 m. liepos 8 d. redakcija)“ 2.6 papunktis.</w:t>
      </w:r>
    </w:p>
  </w:footnote>
  <w:footnote w:id="5">
    <w:p>
      <w:pPr>
        <w:jc w:val="both"/>
        <w:rPr>
          <w:rFonts w:eastAsia="Andale Sans UI"/>
          <w:sz w:val="18"/>
          <w:szCs w:val="18"/>
        </w:rPr>
      </w:pPr>
      <w:r>
        <w:rPr>
          <w:rFonts w:eastAsia="Andale Sans UI"/>
          <w:sz w:val="18"/>
          <w:szCs w:val="18"/>
          <w:vertAlign w:val="superscript"/>
        </w:rPr>
        <w:footnoteRef/>
      </w:r>
      <w:r>
        <w:rPr>
          <w:rFonts w:eastAsia="Andale Sans UI"/>
          <w:sz w:val="18"/>
          <w:szCs w:val="18"/>
        </w:rPr>
        <w:t xml:space="preserve"> Ekonomikos ir inovacijų ministerijos paskelbti administracinės naštos mažinimo principai: https://eimin.lrv.lt/lt/veiklos-sritys/verslo-aplinka/geresnis-reglamentavimas/administracines-nastos-ir-prisitaikymo-prie-reguliavimo-islaidu-vertinimo-praktine-informacija/administracines-nastos-mazinimo-principai/</w:t>
      </w:r>
    </w:p>
  </w:footnote>
  <w:footnote w:id="6">
    <w:p>
      <w:pPr>
        <w:rPr>
          <w:rFonts w:eastAsia="Andale Sans UI"/>
          <w:sz w:val="18"/>
          <w:szCs w:val="18"/>
        </w:rPr>
      </w:pPr>
      <w:r>
        <w:rPr>
          <w:rFonts w:eastAsia="Andale Sans UI"/>
          <w:sz w:val="18"/>
          <w:szCs w:val="18"/>
          <w:vertAlign w:val="superscript"/>
        </w:rPr>
        <w:footnoteRef/>
      </w:r>
      <w:r>
        <w:rPr>
          <w:rFonts w:eastAsia="Andale Sans UI"/>
          <w:sz w:val="18"/>
          <w:szCs w:val="18"/>
        </w:rPr>
        <w:t xml:space="preserve"> Reglamento (EB) Nr. 1013/2006 9 straipsnio 4 dalis: „4. Planuotam vežimui raštiškas leidimas galioja vienerius kalendorinius metus nuo jo išdavimo arba iki vėlesnės dienos, kuri nurodyta pranešimo dokumente. Tačiau tai netaikoma, jeigu atitinkamos kompetentingos institucijos nustatė trumpesnį laikotarpį.“</w:t>
      </w:r>
    </w:p>
  </w:footnote>
  <w:footnote w:id="7">
    <w:p>
      <w:pPr>
        <w:rPr>
          <w:rFonts w:eastAsia="Andale Sans UI"/>
          <w:sz w:val="18"/>
          <w:szCs w:val="18"/>
        </w:rPr>
      </w:pPr>
      <w:r>
        <w:rPr>
          <w:rFonts w:eastAsia="Andale Sans UI"/>
          <w:sz w:val="18"/>
          <w:szCs w:val="18"/>
          <w:vertAlign w:val="superscript"/>
        </w:rPr>
        <w:footnoteRef/>
      </w:r>
      <w:r>
        <w:rPr>
          <w:rFonts w:eastAsia="Andale Sans UI"/>
          <w:sz w:val="18"/>
          <w:szCs w:val="18"/>
        </w:rPr>
        <w:t xml:space="preserve"> https://www.oecd.org/en/data/tools/transboundary-movements-of-waste.html</w:t>
      </w:r>
    </w:p>
  </w:footnote>
  <w:footnote w:id="8">
    <w:p>
      <w:pPr>
        <w:tabs>
          <w:tab w:val="left" w:pos="2127"/>
        </w:tabs>
        <w:jc w:val="both"/>
        <w:rPr>
          <w:rFonts w:eastAsia="Andale Sans UI"/>
          <w:sz w:val="20"/>
        </w:rPr>
      </w:pPr>
      <w:r>
        <w:rPr>
          <w:rFonts w:eastAsia="Andale Sans UI"/>
          <w:sz w:val="20"/>
          <w:vertAlign w:val="superscript"/>
        </w:rPr>
        <w:footnoteRef/>
      </w:r>
      <w:r>
        <w:rPr>
          <w:rFonts w:eastAsia="Andale Sans UI"/>
          <w:sz w:val="20"/>
        </w:rPr>
        <w:t xml:space="preserve"> </w:t>
      </w:r>
      <w:hyperlink r:id="rId3" w:history="1">
        <w:r>
          <w:rPr>
            <w:rFonts w:eastAsia="Andale Sans UI"/>
            <w:sz w:val="20"/>
          </w:rPr>
          <w:t>Devynioliktosios Lietuvos Respublikos Vyriausybės programa</w:t>
        </w:r>
      </w:hyperlink>
      <w:r>
        <w:rPr>
          <w:rFonts w:eastAsia="Andale Sans UI"/>
          <w:sz w:val="20"/>
        </w:rPr>
        <w:t xml:space="preserve">, kuriai pritarta Lietuvos Respublikos Seimo 2024 m. gruodžio 12 d. nutarimu Nr. XV-54 „Dėl </w:t>
      </w:r>
      <w:r>
        <w:rPr>
          <w:rFonts w:eastAsia="Andale Sans UI"/>
          <w:sz w:val="20"/>
          <w:shd w:val="clear" w:color="auto" w:fill="FFFFFF"/>
        </w:rPr>
        <w:t>Devynioliktosios Lietuvos Respublikos Vyriausybės programos</w:t>
      </w:r>
      <w:r>
        <w:rPr>
          <w:rFonts w:eastAsia="Andale Sans UI"/>
          <w:sz w:val="20"/>
        </w:rPr>
        <w:t>“.</w:t>
      </w:r>
    </w:p>
  </w:footnote>
  <w:footnote w:id="9">
    <w:p>
      <w:pPr>
        <w:tabs>
          <w:tab w:val="left" w:pos="2127"/>
        </w:tabs>
        <w:jc w:val="both"/>
        <w:rPr>
          <w:color w:val="000000"/>
          <w:sz w:val="20"/>
          <w:lang w:eastAsia="lt-LT" w:bidi="en-US"/>
        </w:rPr>
      </w:pPr>
      <w:r>
        <w:rPr>
          <w:rFonts w:eastAsia="Andale Sans UI"/>
          <w:sz w:val="20"/>
          <w:vertAlign w:val="superscript"/>
          <w:lang w:bidi="en-US"/>
        </w:rPr>
        <w:footnoteRef/>
      </w:r>
      <w:r>
        <w:rPr>
          <w:rFonts w:eastAsia="Andale Sans UI"/>
          <w:sz w:val="20"/>
          <w:lang w:bidi="en-US"/>
        </w:rPr>
        <w:t xml:space="preserve"> </w:t>
      </w:r>
      <w:hyperlink r:id="rId4" w:history="1">
        <w:r>
          <w:rPr>
            <w:rFonts w:eastAsia="Andale Sans UI"/>
            <w:color w:val="000080"/>
            <w:sz w:val="20"/>
            <w:u w:val="single"/>
            <w:lang w:bidi="en-US"/>
          </w:rPr>
          <w:t>Europos Sąjungos reikalų koordinavimo taisyklių</w:t>
        </w:r>
      </w:hyperlink>
      <w:r>
        <w:rPr>
          <w:rFonts w:eastAsia="Andale Sans UI"/>
          <w:sz w:val="20"/>
          <w:lang w:bidi="en-US"/>
        </w:rPr>
        <w:t>, patvirtintų Lietuvos Respublikos Vyriausybės 2004 m. sausio 9 d. nutarimu Nr. 21 „Dėl Europos Sąjungos reikalų koordinavimo“, 7 priedas.</w:t>
      </w:r>
    </w:p>
  </w:footnote>
  <w:footnote w:id="10">
    <w:p>
      <w:pPr>
        <w:jc w:val="both"/>
        <w:rPr>
          <w:rFonts w:eastAsia="Andale Sans UI"/>
          <w:sz w:val="20"/>
        </w:rPr>
      </w:pPr>
      <w:r>
        <w:rPr>
          <w:rFonts w:eastAsia="Andale Sans UI"/>
          <w:sz w:val="20"/>
          <w:vertAlign w:val="superscript"/>
        </w:rPr>
        <w:footnoteRef/>
      </w:r>
      <w:r>
        <w:rPr>
          <w:rFonts w:eastAsia="Andale Sans UI"/>
          <w:sz w:val="20"/>
        </w:rPr>
        <w:t xml:space="preserve"> </w:t>
      </w:r>
      <w:hyperlink r:id="rId5" w:history="1">
        <w:r>
          <w:rPr>
            <w:color w:val="000080"/>
            <w:sz w:val="20"/>
            <w:u w:val="single"/>
            <w:lang w:eastAsia="lt-LT"/>
          </w:rPr>
          <w:t>Informacijos apie techninius reglamentus ir atitikties įvertinimo procedūras teikimo taisyklės</w:t>
        </w:r>
      </w:hyperlink>
      <w:r>
        <w:rPr>
          <w:sz w:val="20"/>
          <w:lang w:eastAsia="lt-LT"/>
        </w:rPr>
        <w:t>, patvirtintos Lietuvos Respublikos Vyriausybės 1999 m. gegužės 20 d. nutarimu Nr. 617 „Dėl Informacijos apie techninius reglamentus ir atitikties įvertinimo procedūras teikimo taisyklių patvirtinimo“.</w:t>
      </w:r>
    </w:p>
  </w:footnote>
  <w:footnote w:id="11">
    <w:p>
      <w:pPr>
        <w:jc w:val="both"/>
        <w:rPr>
          <w:sz w:val="18"/>
          <w:szCs w:val="18"/>
          <w:lang w:eastAsia="lt-LT"/>
        </w:rPr>
      </w:pPr>
      <w:r>
        <w:rPr>
          <w:rFonts w:eastAsia="Andale Sans UI"/>
          <w:sz w:val="18"/>
          <w:szCs w:val="18"/>
          <w:vertAlign w:val="superscript"/>
        </w:rPr>
        <w:footnoteRef/>
        <w:t xml:space="preserve"> </w:t>
      </w:r>
      <w:hyperlink r:id="rId6" w:history="1">
        <w:r>
          <w:rPr>
            <w:color w:val="000080"/>
            <w:sz w:val="18"/>
            <w:szCs w:val="18"/>
            <w:u w:val="single"/>
            <w:lang w:eastAsia="lt-LT"/>
          </w:rPr>
          <w:t>Lietuvos Respublikos paslaugų įstatymo ir Pranešimų ir informacijos apie nustatomus įsisteigimo arba nustatomus ar panaikinamus paslaugų teikimo laisvei taikomus reikalavimus teikimo tvarkos aprašas</w:t>
        </w:r>
      </w:hyperlink>
      <w:r>
        <w:rPr>
          <w:sz w:val="18"/>
          <w:szCs w:val="18"/>
          <w:lang w:eastAsia="lt-LT"/>
        </w:rPr>
        <w:t>, patvirtintas Lietuvos Respublikos Vyriausybės 2011 m. lapkričio 30 d. nutarimu Nr. 1389 „Dėl pranešimų ir informacijos apie nustatomus įsisteigimo arba nustatomus ar panaikinamus paslaugų teikimo laisvei taikomus reikalavimus teikimo“.</w:t>
      </w:r>
    </w:p>
  </w:footnote>
  <w:footnote w:id="12">
    <w:p>
      <w:pPr>
        <w:jc w:val="both"/>
        <w:rPr>
          <w:rFonts w:eastAsia="Andale Sans UI"/>
          <w:sz w:val="18"/>
          <w:szCs w:val="18"/>
        </w:rPr>
      </w:pPr>
      <w:r>
        <w:rPr>
          <w:rFonts w:eastAsia="Andale Sans UI"/>
          <w:sz w:val="18"/>
          <w:szCs w:val="18"/>
          <w:vertAlign w:val="superscript"/>
        </w:rPr>
        <w:footnoteRef/>
      </w:r>
      <w:r>
        <w:rPr>
          <w:rFonts w:eastAsia="Andale Sans UI"/>
          <w:sz w:val="18"/>
          <w:szCs w:val="18"/>
        </w:rPr>
        <w:t xml:space="preserve"> </w:t>
      </w:r>
      <w:r>
        <w:rPr>
          <w:rFonts w:eastAsia="Andale Sans UI"/>
          <w:color w:val="000080"/>
          <w:sz w:val="18"/>
          <w:szCs w:val="18"/>
          <w:u w:val="single"/>
        </w:rPr>
        <w:t>Numatomo teisinio reguliavimo poveikio vertinimo metodikos</w:t>
      </w:r>
      <w:r>
        <w:rPr>
          <w:rFonts w:eastAsia="Andale Sans UI"/>
          <w:sz w:val="18"/>
          <w:szCs w:val="18"/>
        </w:rPr>
        <w:t>, patvirtintos Lietuvos Respublikos Vyriausybės 2003 m. vasario 26 d. nutarimu Nr. 276 „Dėl Numatomo teisinio reguliavimo poveikio vertinimo metodikos patvirtinimo“, 4 punktas.</w:t>
      </w:r>
    </w:p>
  </w:footnote>
  <w:footnote w:id="13">
    <w:p>
      <w:pPr>
        <w:jc w:val="both"/>
        <w:rPr>
          <w:rFonts w:eastAsia="Andale Sans UI"/>
          <w:sz w:val="18"/>
          <w:szCs w:val="18"/>
        </w:rPr>
      </w:pPr>
      <w:r>
        <w:rPr>
          <w:rFonts w:eastAsia="Andale Sans UI"/>
          <w:sz w:val="18"/>
          <w:szCs w:val="18"/>
          <w:vertAlign w:val="superscript"/>
        </w:rPr>
        <w:footnoteRef/>
      </w:r>
      <w:r>
        <w:rPr>
          <w:rFonts w:eastAsia="Andale Sans UI"/>
          <w:sz w:val="18"/>
          <w:szCs w:val="18"/>
        </w:rPr>
        <w:t xml:space="preserve"> </w:t>
      </w:r>
      <w:r>
        <w:rPr>
          <w:rFonts w:eastAsia="Andale Sans UI"/>
          <w:color w:val="000080"/>
          <w:sz w:val="18"/>
          <w:szCs w:val="18"/>
          <w:u w:val="single"/>
        </w:rPr>
        <w:t>Numatomo teisinio reguliavimo poveikio vertinimo metodikos</w:t>
      </w:r>
      <w:r>
        <w:rPr>
          <w:rFonts w:eastAsia="Andale Sans UI"/>
          <w:sz w:val="18"/>
          <w:szCs w:val="18"/>
        </w:rPr>
        <w:t>, patvirtintos Lietuvos Respublikos Vyriausybės 2003 m. vasario 26 d. nutarimu Nr. 276 „Dėl Numatomo teisinio reguliavimo poveikio vertinimo metodikos patvirtinimo“, 171 ir 35 punktai.</w:t>
      </w:r>
    </w:p>
  </w:footnote>
  <w:footnote w:id="14">
    <w:p>
      <w:pPr>
        <w:rPr>
          <w:rFonts w:eastAsia="Andale Sans UI"/>
          <w:sz w:val="18"/>
          <w:szCs w:val="18"/>
          <w:lang w:val="fi-FI"/>
        </w:rPr>
      </w:pPr>
      <w:r>
        <w:rPr>
          <w:rFonts w:eastAsia="Andale Sans UI"/>
          <w:sz w:val="18"/>
          <w:szCs w:val="18"/>
          <w:vertAlign w:val="superscript"/>
        </w:rPr>
        <w:footnoteRef/>
      </w:r>
      <w:r>
        <w:rPr>
          <w:rFonts w:eastAsia="Andale Sans UI"/>
          <w:sz w:val="18"/>
          <w:szCs w:val="18"/>
        </w:rPr>
        <w:t xml:space="preserve"> </w:t>
      </w:r>
      <w:hyperlink r:id="rId9" w:history="1">
        <w:r>
          <w:rPr>
            <w:rFonts w:eastAsia="Andale Sans UI"/>
            <w:color w:val="000080"/>
            <w:sz w:val="18"/>
            <w:szCs w:val="18"/>
            <w:u w:val="single"/>
          </w:rPr>
          <w:t>Teisėkūros poveikio aplinkai ir klimato kaitai (ex ante) vertinimo tvarkos aprašas</w:t>
        </w:r>
      </w:hyperlink>
      <w:r>
        <w:rPr>
          <w:rFonts w:eastAsia="Andale Sans UI"/>
          <w:sz w:val="18"/>
          <w:szCs w:val="18"/>
        </w:rPr>
        <w:t>, patvirtintas Lietuvos Respublikos aplinkos ministro 2024 m. vasario 27 d. įsakymu Nr. D1-57 „Dėl Teisėkūros poveikio aplinkai ir klimato kaitai (ex ante) vertinimo tvarkos aprašo patvirtinimo“.</w:t>
      </w:r>
    </w:p>
  </w:footnote>
  <w:footnote w:id="15">
    <w:p>
      <w:pPr>
        <w:rPr>
          <w:rFonts w:eastAsia="Andale Sans UI"/>
          <w:sz w:val="18"/>
          <w:szCs w:val="18"/>
          <w:lang w:val="fi-FI"/>
        </w:rPr>
      </w:pPr>
      <w:r>
        <w:rPr>
          <w:rFonts w:eastAsia="Andale Sans UI"/>
          <w:sz w:val="18"/>
          <w:szCs w:val="18"/>
          <w:vertAlign w:val="superscript"/>
        </w:rPr>
        <w:footnoteRef/>
      </w:r>
      <w:r>
        <w:rPr>
          <w:rFonts w:eastAsia="Andale Sans UI"/>
          <w:sz w:val="18"/>
          <w:szCs w:val="18"/>
        </w:rPr>
        <w:t xml:space="preserve"> </w:t>
      </w:r>
      <w:r>
        <w:rPr>
          <w:rFonts w:eastAsia="Andale Sans UI"/>
          <w:color w:val="000080"/>
          <w:sz w:val="18"/>
          <w:szCs w:val="18"/>
          <w:u w:val="single"/>
        </w:rPr>
        <w:t>https://aaa.lrv.lt/lt/veiklos-sritys/teisekuros-poveikio-vertinimas/</w:t>
      </w:r>
    </w:p>
  </w:footnote>
  <w:footnote w:id="16">
    <w:p>
      <w:pPr>
        <w:rPr>
          <w:rFonts w:eastAsia="Andale Sans UI"/>
          <w:sz w:val="20"/>
        </w:rPr>
      </w:pPr>
      <w:r>
        <w:rPr>
          <w:rFonts w:eastAsia="Andale Sans UI"/>
          <w:sz w:val="18"/>
          <w:szCs w:val="18"/>
          <w:vertAlign w:val="superscript"/>
        </w:rPr>
        <w:footnoteRef/>
      </w:r>
      <w:r>
        <w:rPr>
          <w:rFonts w:eastAsia="Andale Sans UI"/>
          <w:sz w:val="18"/>
          <w:szCs w:val="18"/>
        </w:rPr>
        <w:t xml:space="preserve"> </w:t>
      </w:r>
      <w:r>
        <w:rPr>
          <w:rFonts w:eastAsia="Andale Sans UI"/>
          <w:color w:val="000080"/>
          <w:sz w:val="18"/>
          <w:szCs w:val="18"/>
          <w:u w:val="single"/>
        </w:rPr>
        <w:t>https://epilietis.lrv.lt/lt/</w:t>
      </w:r>
      <w:r>
        <w:rPr>
          <w:rFonts w:eastAsia="Andale Sans UI"/>
          <w:sz w:val="20"/>
        </w:rPr>
        <w:t>.</w:t>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suppressLineNumbers/>
      <w:tabs>
        <w:tab w:val="center" w:pos="4800"/>
        <w:tab w:val="right" w:pos="9601"/>
      </w:tabs>
      <w:jc w:val="both"/>
      <w:rPr>
        <w:rFonts w:eastAsia="Andale Sans UI" w:cs="Tahoma"/>
        <w:szCs w:val="24"/>
        <w:lang w:bidi="en-US"/>
      </w:rPr>
    </w:pPr>
    <w:r>
      <w:rPr>
        <w:rFonts w:eastAsia="Andale Sans UI" w:cs="Tahoma"/>
        <w:szCs w:val="24"/>
        <w:lang w:bidi="en-US"/>
      </w:rPr>
      <w:fldChar w:fldCharType="begin"/>
    </w:r>
    <w:r>
      <w:rPr>
        <w:rFonts w:eastAsia="Andale Sans UI" w:cs="Tahoma"/>
        <w:szCs w:val="24"/>
        <w:lang w:bidi="en-US"/>
      </w:rPr>
      <w:instrText xml:space="preserve">PAGE  </w:instrText>
    </w:r>
    <w:r>
      <w:rPr>
        <w:rFonts w:eastAsia="Andale Sans UI" w:cs="Tahoma"/>
        <w:szCs w:val="24"/>
        <w:lang w:bidi="en-US"/>
      </w:rPr>
      <w:fldChar w:fldCharType="end"/>
    </w:r>
  </w:p>
  <w:p>
    <w:pPr>
      <w:suppressLineNumbers/>
      <w:tabs>
        <w:tab w:val="center" w:pos="4800"/>
        <w:tab w:val="right" w:pos="9601"/>
      </w:tabs>
      <w:jc w:val="both"/>
      <w:rPr>
        <w:rFonts w:eastAsia="Andale Sans UI" w:cs="Tahoma"/>
        <w:szCs w:val="24"/>
        <w:lang w:bidi="en-US"/>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suppressLineNumbers/>
      <w:shd w:val="clear" w:color="auto" w:fill="FFFFFF"/>
      <w:tabs>
        <w:tab w:val="center" w:pos="4800"/>
        <w:tab w:val="right" w:pos="9601"/>
      </w:tabs>
      <w:jc w:val="center"/>
      <w:rPr>
        <w:rFonts w:eastAsia="Andale Sans UI" w:cs="Tahoma"/>
        <w:szCs w:val="24"/>
        <w:lang w:bidi="en-US"/>
      </w:rPr>
    </w:pPr>
    <w:r>
      <w:rPr>
        <w:rFonts w:eastAsia="Andale Sans UI" w:cs="Tahoma"/>
        <w:szCs w:val="24"/>
        <w:lang w:bidi="en-US"/>
      </w:rPr>
      <w:fldChar w:fldCharType="begin"/>
    </w:r>
    <w:r>
      <w:rPr>
        <w:rFonts w:eastAsia="Andale Sans UI" w:cs="Tahoma"/>
        <w:szCs w:val="24"/>
        <w:lang w:bidi="en-US"/>
      </w:rPr>
      <w:instrText>PAGE   \* MERGEFORMAT</w:instrText>
    </w:r>
    <w:r>
      <w:rPr>
        <w:rFonts w:eastAsia="Andale Sans UI" w:cs="Tahoma"/>
        <w:szCs w:val="24"/>
        <w:lang w:bidi="en-US"/>
      </w:rPr>
      <w:fldChar w:fldCharType="separate"/>
    </w:r>
    <w:r>
      <w:rPr>
        <w:rFonts w:eastAsia="Andale Sans UI" w:cs="Tahoma"/>
        <w:szCs w:val="24"/>
        <w:lang w:bidi="en-US"/>
      </w:rPr>
      <w:t>6</w:t>
    </w:r>
    <w:r>
      <w:rPr>
        <w:rFonts w:eastAsia="Andale Sans UI" w:cs="Tahoma"/>
        <w:szCs w:val="24"/>
        <w:lang w:bidi="en-US"/>
      </w:rPr>
      <w:fldChar w:fldCharType="end"/>
    </w:r>
  </w:p>
  <w:p>
    <w:pPr>
      <w:suppressLineNumbers/>
      <w:tabs>
        <w:tab w:val="center" w:pos="4800"/>
        <w:tab w:val="right" w:pos="9601"/>
      </w:tabs>
      <w:jc w:val="both"/>
      <w:rPr>
        <w:rFonts w:eastAsia="Andale Sans UI" w:cs="Tahoma"/>
        <w:szCs w:val="24"/>
        <w:lang w:bidi="en-US"/>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suppressLineNumbers/>
      <w:tabs>
        <w:tab w:val="center" w:pos="4800"/>
        <w:tab w:val="right" w:pos="9601"/>
      </w:tabs>
      <w:jc w:val="both"/>
      <w:rPr>
        <w:rFonts w:eastAsia="Andale Sans UI" w:cs="Tahoma"/>
        <w:szCs w:val="24"/>
        <w:lang w:bidi="en-US"/>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567"/>
  <w:hyphenationZone w:val="396"/>
  <w:doNotHyphenateCaps/>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strictFirstAndLastChars/>
  <w:hdrShapeDefaults>
    <o:shapedefaults v:ext="edit" spidmax="2050"/>
  </w:hdrShapeDefaults>
  <w:footnotePr>
    <w:pos w:val="beneathText"/>
    <w:numRestart w:val="eachPage"/>
    <w:footnote w:id="-1"/>
    <w:footnote w:id="0"/>
    <w:footnote w:id="1"/>
  </w:footnotePr>
  <w:endnotePr>
    <w:numFmt w:val="decimal"/>
    <w:endnote w:id="-1"/>
    <w:endnote w:id="0"/>
    <w:endnote w:id="1"/>
  </w:endnotePr>
  <w:compat>
    <w:spaceForUL/>
    <w:balanceSingleByteDoubleByteWidth/>
    <w:doNotLeaveBackslashAlone/>
    <w:ulTrailSpace/>
    <w:doNotExpandShiftReturn/>
    <w:adjustLineHeightInTabl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17D58"/>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5:docId w15:val="{1C47C4EB-B86B-4D50-9459-8C372028B51A}"/>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480274677">
      <w:bodyDiv w:val="1"/>
      <w:marLeft w:val="0"/>
      <w:marRight w:val="0"/>
      <w:marTop w:val="0"/>
      <w:marBottom w:val="0"/>
      <w:divBdr>
        <w:top w:val="none" w:sz="0" w:space="0" w:color="auto"/>
        <w:left w:val="none" w:sz="0" w:space="0" w:color="auto"/>
        <w:bottom w:val="none" w:sz="0" w:space="0" w:color="auto"/>
        <w:right w:val="none" w:sz="0" w:space="0" w:color="auto"/>
      </w:divBdr>
    </w:div>
    <w:div w:id="493882544">
      <w:bodyDiv w:val="1"/>
      <w:marLeft w:val="0"/>
      <w:marRight w:val="0"/>
      <w:marTop w:val="0"/>
      <w:marBottom w:val="0"/>
      <w:divBdr>
        <w:top w:val="none" w:sz="0" w:space="0" w:color="auto"/>
        <w:left w:val="none" w:sz="0" w:space="0" w:color="auto"/>
        <w:bottom w:val="none" w:sz="0" w:space="0" w:color="auto"/>
        <w:right w:val="none" w:sz="0" w:space="0" w:color="auto"/>
      </w:divBdr>
      <w:divsChild>
        <w:div w:id="598099785">
          <w:marLeft w:val="0"/>
          <w:marRight w:val="0"/>
          <w:marTop w:val="0"/>
          <w:marBottom w:val="0"/>
          <w:divBdr>
            <w:top w:val="none" w:sz="0" w:space="0" w:color="auto"/>
            <w:left w:val="none" w:sz="0" w:space="0" w:color="auto"/>
            <w:bottom w:val="none" w:sz="0" w:space="0" w:color="auto"/>
            <w:right w:val="none" w:sz="0" w:space="0" w:color="auto"/>
          </w:divBdr>
        </w:div>
        <w:div w:id="1297907655">
          <w:marLeft w:val="0"/>
          <w:marRight w:val="0"/>
          <w:marTop w:val="0"/>
          <w:marBottom w:val="0"/>
          <w:divBdr>
            <w:top w:val="none" w:sz="0" w:space="0" w:color="auto"/>
            <w:left w:val="none" w:sz="0" w:space="0" w:color="auto"/>
            <w:bottom w:val="none" w:sz="0" w:space="0" w:color="auto"/>
            <w:right w:val="none" w:sz="0" w:space="0" w:color="auto"/>
          </w:divBdr>
        </w:div>
      </w:divsChild>
    </w:div>
    <w:div w:id="733696414">
      <w:bodyDiv w:val="1"/>
      <w:marLeft w:val="0"/>
      <w:marRight w:val="0"/>
      <w:marTop w:val="0"/>
      <w:marBottom w:val="0"/>
      <w:divBdr>
        <w:top w:val="none" w:sz="0" w:space="0" w:color="auto"/>
        <w:left w:val="none" w:sz="0" w:space="0" w:color="auto"/>
        <w:bottom w:val="none" w:sz="0" w:space="0" w:color="auto"/>
        <w:right w:val="none" w:sz="0" w:space="0" w:color="auto"/>
      </w:divBdr>
    </w:div>
    <w:div w:id="750080809">
      <w:bodyDiv w:val="1"/>
      <w:marLeft w:val="0"/>
      <w:marRight w:val="0"/>
      <w:marTop w:val="0"/>
      <w:marBottom w:val="0"/>
      <w:divBdr>
        <w:top w:val="none" w:sz="0" w:space="0" w:color="auto"/>
        <w:left w:val="none" w:sz="0" w:space="0" w:color="auto"/>
        <w:bottom w:val="none" w:sz="0" w:space="0" w:color="auto"/>
        <w:right w:val="none" w:sz="0" w:space="0" w:color="auto"/>
      </w:divBdr>
    </w:div>
    <w:div w:id="782111478">
      <w:bodyDiv w:val="1"/>
      <w:marLeft w:val="0"/>
      <w:marRight w:val="0"/>
      <w:marTop w:val="0"/>
      <w:marBottom w:val="0"/>
      <w:divBdr>
        <w:top w:val="none" w:sz="0" w:space="0" w:color="auto"/>
        <w:left w:val="none" w:sz="0" w:space="0" w:color="auto"/>
        <w:bottom w:val="none" w:sz="0" w:space="0" w:color="auto"/>
        <w:right w:val="none" w:sz="0" w:space="0" w:color="auto"/>
      </w:divBdr>
    </w:div>
    <w:div w:id="916746596">
      <w:bodyDiv w:val="1"/>
      <w:marLeft w:val="0"/>
      <w:marRight w:val="0"/>
      <w:marTop w:val="0"/>
      <w:marBottom w:val="0"/>
      <w:divBdr>
        <w:top w:val="none" w:sz="0" w:space="0" w:color="auto"/>
        <w:left w:val="none" w:sz="0" w:space="0" w:color="auto"/>
        <w:bottom w:val="none" w:sz="0" w:space="0" w:color="auto"/>
        <w:right w:val="none" w:sz="0" w:space="0" w:color="auto"/>
      </w:divBdr>
      <w:divsChild>
        <w:div w:id="822156668">
          <w:marLeft w:val="0"/>
          <w:marRight w:val="0"/>
          <w:marTop w:val="0"/>
          <w:marBottom w:val="0"/>
          <w:divBdr>
            <w:top w:val="none" w:sz="0" w:space="0" w:color="auto"/>
            <w:left w:val="none" w:sz="0" w:space="0" w:color="auto"/>
            <w:bottom w:val="none" w:sz="0" w:space="0" w:color="auto"/>
            <w:right w:val="none" w:sz="0" w:space="0" w:color="auto"/>
          </w:divBdr>
        </w:div>
        <w:div w:id="1060790193">
          <w:marLeft w:val="0"/>
          <w:marRight w:val="0"/>
          <w:marTop w:val="0"/>
          <w:marBottom w:val="0"/>
          <w:divBdr>
            <w:top w:val="none" w:sz="0" w:space="0" w:color="auto"/>
            <w:left w:val="none" w:sz="0" w:space="0" w:color="auto"/>
            <w:bottom w:val="none" w:sz="0" w:space="0" w:color="auto"/>
            <w:right w:val="none" w:sz="0" w:space="0" w:color="auto"/>
          </w:divBdr>
        </w:div>
        <w:div w:id="1093864504">
          <w:marLeft w:val="0"/>
          <w:marRight w:val="0"/>
          <w:marTop w:val="0"/>
          <w:marBottom w:val="0"/>
          <w:divBdr>
            <w:top w:val="none" w:sz="0" w:space="0" w:color="auto"/>
            <w:left w:val="none" w:sz="0" w:space="0" w:color="auto"/>
            <w:bottom w:val="none" w:sz="0" w:space="0" w:color="auto"/>
            <w:right w:val="none" w:sz="0" w:space="0" w:color="auto"/>
          </w:divBdr>
        </w:div>
      </w:divsChild>
    </w:div>
    <w:div w:id="938220315">
      <w:bodyDiv w:val="1"/>
      <w:marLeft w:val="0"/>
      <w:marRight w:val="0"/>
      <w:marTop w:val="0"/>
      <w:marBottom w:val="0"/>
      <w:divBdr>
        <w:top w:val="none" w:sz="0" w:space="0" w:color="auto"/>
        <w:left w:val="none" w:sz="0" w:space="0" w:color="auto"/>
        <w:bottom w:val="none" w:sz="0" w:space="0" w:color="auto"/>
        <w:right w:val="none" w:sz="0" w:space="0" w:color="auto"/>
      </w:divBdr>
    </w:div>
    <w:div w:id="943852631">
      <w:bodyDiv w:val="1"/>
      <w:marLeft w:val="0"/>
      <w:marRight w:val="0"/>
      <w:marTop w:val="0"/>
      <w:marBottom w:val="0"/>
      <w:divBdr>
        <w:top w:val="none" w:sz="0" w:space="0" w:color="auto"/>
        <w:left w:val="none" w:sz="0" w:space="0" w:color="auto"/>
        <w:bottom w:val="none" w:sz="0" w:space="0" w:color="auto"/>
        <w:right w:val="none" w:sz="0" w:space="0" w:color="auto"/>
      </w:divBdr>
    </w:div>
    <w:div w:id="969284312">
      <w:bodyDiv w:val="1"/>
      <w:marLeft w:val="0"/>
      <w:marRight w:val="0"/>
      <w:marTop w:val="0"/>
      <w:marBottom w:val="0"/>
      <w:divBdr>
        <w:top w:val="none" w:sz="0" w:space="0" w:color="auto"/>
        <w:left w:val="none" w:sz="0" w:space="0" w:color="auto"/>
        <w:bottom w:val="none" w:sz="0" w:space="0" w:color="auto"/>
        <w:right w:val="none" w:sz="0" w:space="0" w:color="auto"/>
      </w:divBdr>
    </w:div>
    <w:div w:id="1163862557">
      <w:bodyDiv w:val="1"/>
      <w:marLeft w:val="0"/>
      <w:marRight w:val="0"/>
      <w:marTop w:val="0"/>
      <w:marBottom w:val="0"/>
      <w:divBdr>
        <w:top w:val="none" w:sz="0" w:space="0" w:color="auto"/>
        <w:left w:val="none" w:sz="0" w:space="0" w:color="auto"/>
        <w:bottom w:val="none" w:sz="0" w:space="0" w:color="auto"/>
        <w:right w:val="none" w:sz="0" w:space="0" w:color="auto"/>
      </w:divBdr>
    </w:div>
    <w:div w:id="1184318278">
      <w:bodyDiv w:val="1"/>
      <w:marLeft w:val="0"/>
      <w:marRight w:val="0"/>
      <w:marTop w:val="0"/>
      <w:marBottom w:val="0"/>
      <w:divBdr>
        <w:top w:val="none" w:sz="0" w:space="0" w:color="auto"/>
        <w:left w:val="none" w:sz="0" w:space="0" w:color="auto"/>
        <w:bottom w:val="none" w:sz="0" w:space="0" w:color="auto"/>
        <w:right w:val="none" w:sz="0" w:space="0" w:color="auto"/>
      </w:divBdr>
      <w:divsChild>
        <w:div w:id="1058750904">
          <w:marLeft w:val="0"/>
          <w:marRight w:val="0"/>
          <w:marTop w:val="0"/>
          <w:marBottom w:val="0"/>
          <w:divBdr>
            <w:top w:val="none" w:sz="0" w:space="0" w:color="auto"/>
            <w:left w:val="none" w:sz="0" w:space="0" w:color="auto"/>
            <w:bottom w:val="none" w:sz="0" w:space="0" w:color="auto"/>
            <w:right w:val="none" w:sz="0" w:space="0" w:color="auto"/>
          </w:divBdr>
        </w:div>
        <w:div w:id="1167481611">
          <w:marLeft w:val="0"/>
          <w:marRight w:val="0"/>
          <w:marTop w:val="0"/>
          <w:marBottom w:val="0"/>
          <w:divBdr>
            <w:top w:val="none" w:sz="0" w:space="0" w:color="auto"/>
            <w:left w:val="none" w:sz="0" w:space="0" w:color="auto"/>
            <w:bottom w:val="none" w:sz="0" w:space="0" w:color="auto"/>
            <w:right w:val="none" w:sz="0" w:space="0" w:color="auto"/>
          </w:divBdr>
        </w:div>
        <w:div w:id="1336346376">
          <w:marLeft w:val="0"/>
          <w:marRight w:val="0"/>
          <w:marTop w:val="0"/>
          <w:marBottom w:val="0"/>
          <w:divBdr>
            <w:top w:val="none" w:sz="0" w:space="0" w:color="auto"/>
            <w:left w:val="none" w:sz="0" w:space="0" w:color="auto"/>
            <w:bottom w:val="none" w:sz="0" w:space="0" w:color="auto"/>
            <w:right w:val="none" w:sz="0" w:space="0" w:color="auto"/>
          </w:divBdr>
        </w:div>
      </w:divsChild>
    </w:div>
    <w:div w:id="1403454310">
      <w:bodyDiv w:val="1"/>
      <w:marLeft w:val="0"/>
      <w:marRight w:val="0"/>
      <w:marTop w:val="0"/>
      <w:marBottom w:val="0"/>
      <w:divBdr>
        <w:top w:val="none" w:sz="0" w:space="0" w:color="auto"/>
        <w:left w:val="none" w:sz="0" w:space="0" w:color="auto"/>
        <w:bottom w:val="none" w:sz="0" w:space="0" w:color="auto"/>
        <w:right w:val="none" w:sz="0" w:space="0" w:color="auto"/>
      </w:divBdr>
    </w:div>
    <w:div w:id="16599618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image" Target="media/image1.png"/>
  <Relationship Id="rId13" Type="http://schemas.openxmlformats.org/officeDocument/2006/relationships/header" Target="header1.xml"/>
  <Relationship Id="rId14" Type="http://schemas.openxmlformats.org/officeDocument/2006/relationships/header" Target="header2.xml"/>
  <Relationship Id="rId15" Type="http://schemas.openxmlformats.org/officeDocument/2006/relationships/footer" Target="footer1.xml"/>
  <Relationship Id="rId16" Type="http://schemas.openxmlformats.org/officeDocument/2006/relationships/footer" Target="footer2.xml"/>
  <Relationship Id="rId17" Type="http://schemas.openxmlformats.org/officeDocument/2006/relationships/header" Target="header3.xml"/>
  <Relationship Id="rId18" Type="http://schemas.openxmlformats.org/officeDocument/2006/relationships/footer" Target="footer3.xml"/>
  <Relationship Id="rId19" Type="http://schemas.openxmlformats.org/officeDocument/2006/relationships/fontTable" Target="fontTable.xml"/>
  <Relationship Id="rId2" Type="http://schemas.openxmlformats.org/officeDocument/2006/relationships/customXml" Target="../customXml/item2.xml"/>
  <Relationship Id="rId20" Type="http://schemas.openxmlformats.org/officeDocument/2006/relationships/theme" Target="theme/theme1.xml"/>
  <Relationship Id="rId21" Type="http://schemas.openxmlformats.org/officeDocument/2006/relationships/customXml" Target="../customXml/item5.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styles" Target="styles.xml"/>
  <Relationship Id="rId6" Type="http://schemas.openxmlformats.org/officeDocument/2006/relationships/settings" Target="settings.xml"/>
  <Relationship Id="rId7" Type="http://schemas.openxmlformats.org/officeDocument/2006/relationships/webSettings" Target="webSettings.xml"/>
  <Relationship Id="rId8" Type="http://schemas.openxmlformats.org/officeDocument/2006/relationships/footnotes" Target="footnotes.xml"/>
  <Relationship Id="rId9" Type="http://schemas.openxmlformats.org/officeDocument/2006/relationships/endnotes" Target="endnotes.xml"/>
</Relationships>

</file>

<file path=word/_rels/footnotes.xml.rels><?xml version="1.0" encoding="UTF-8"?>

<Relationships xmlns="http://schemas.openxmlformats.org/package/2006/relationships">
  <Relationship Id="rId3" Type="http://schemas.openxmlformats.org/officeDocument/2006/relationships/hyperlink" TargetMode="External" Target="https://www.e-tar.lt/portal/lt/legalAct/ed22bb703bc311eb8d9fe110e148c770"/>
  <Relationship Id="rId4" Type="http://schemas.openxmlformats.org/officeDocument/2006/relationships/hyperlink" TargetMode="External" Target="https://www.e-tar.lt/portal/lt/legalAct/TAR.DB68BCA9E3A0/asr"/>
  <Relationship Id="rId5" Type="http://schemas.openxmlformats.org/officeDocument/2006/relationships/hyperlink" TargetMode="External" Target="https://www.e-tar.lt/portal/lt/legalAct/TAR.EDD5FD371B32/asr"/>
  <Relationship Id="rId6" Type="http://schemas.openxmlformats.org/officeDocument/2006/relationships/hyperlink" TargetMode="External" Target="https://www.e-tar.lt/portal/lt/legalAct/TAR.DCD24028BD0E"/>
  <Relationship Id="rId9" Type="http://schemas.openxmlformats.org/officeDocument/2006/relationships/hyperlink" TargetMode="External" Target="https://www.e-tar.lt/portal/lt/legalAct/0635c170d54511eead77e967e3995264"/>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50164633ED94994D9773E53D567FF5BF" ma:contentTypeVersion="14" ma:contentTypeDescription="Create a new document." ma:contentTypeScope="" ma:versionID="61ed51282d73df9eb0f6847447833eee">
  <xsd:schema xmlns:xsd="http://www.w3.org/2001/XMLSchema" xmlns:xs="http://www.w3.org/2001/XMLSchema" xmlns:p="http://schemas.microsoft.com/office/2006/metadata/properties" xmlns:ns2="47c1ea38-b788-4873-88f4-3b1f34597b9a" xmlns:ns3="0379a545-9986-45d7-9e6d-3845025712a0" targetNamespace="http://schemas.microsoft.com/office/2006/metadata/properties" ma:root="true" ma:fieldsID="9cbf64811bb342611d32b26bb80ee5bb" ns2:_="" ns3:_="">
    <xsd:import namespace="47c1ea38-b788-4873-88f4-3b1f34597b9a"/>
    <xsd:import namespace="0379a545-9986-45d7-9e6d-3845025712a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3:SharedWithUsers" minOccurs="0"/>
                <xsd:element ref="ns3:SharedWithDetails" minOccurs="0"/>
                <xsd:element ref="ns2:lcf76f155ced4ddcb4097134ff3c332f" minOccurs="0"/>
                <xsd:element ref="ns3:TaxCatchAll" minOccurs="0"/>
                <xsd:element ref="ns2:MediaServiceDateTaken" minOccurs="0"/>
                <xsd:element ref="ns2:MediaServiceOCR" minOccurs="0"/>
                <xsd:element ref="ns2:MediaServiceGenerationTime" minOccurs="0"/>
                <xsd:element ref="ns2:MediaServiceEventHashCode"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7c1ea38-b788-4873-88f4-3b1f34597b9a"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lcf76f155ced4ddcb4097134ff3c332f" ma:index="15" nillable="true" ma:taxonomy="true" ma:internalName="lcf76f155ced4ddcb4097134ff3c332f" ma:taxonomyFieldName="MediaServiceImageTags" ma:displayName="Image Tags" ma:readOnly="false" ma:fieldId="{5cf76f15-5ced-4ddc-b409-7134ff3c332f}" ma:taxonomyMulti="true" ma:sspId="b763af57-ddc4-4b49-90b1-28f02697adfa" ma:termSetId="09814cd3-568e-fe90-9814-8d621ff8fb84" ma:anchorId="fba54fb3-c3e1-fe81-a776-ca4b69148c4d" ma:open="true" ma:isKeyword="false">
      <xsd:complexType>
        <xsd:sequence>
          <xsd:element ref="pc:Terms" minOccurs="0" maxOccurs="1"/>
        </xsd:sequence>
      </xsd:complexType>
    </xsd:element>
    <xsd:element name="MediaServiceDateTaken" ma:index="17" nillable="true" ma:displayName="MediaServiceDateTaken" ma:hidden="true" ma:indexed="true" ma:internalName="MediaServiceDateTaken"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element name="MediaLengthInSeconds" ma:index="21"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0379a545-9986-45d7-9e6d-3845025712a0"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TaxCatchAll" ma:index="16" nillable="true" ma:displayName="Taxonomy Catch All Column" ma:hidden="true" ma:list="{3f5c7397-6a17-43fd-b0d0-62600e53cad0}" ma:internalName="TaxCatchAll" ma:showField="CatchAllData" ma:web="0379a545-9986-45d7-9e6d-3845025712a0">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SharedWithUsers xmlns="0379a545-9986-45d7-9e6d-3845025712a0">
      <UserInfo>
        <DisplayName>Jurgita Užkurnienė</DisplayName>
        <AccountId>118</AccountId>
        <AccountType/>
      </UserInfo>
      <UserInfo>
        <DisplayName>Aplinkos Ministerija Members</DisplayName>
        <AccountId>8</AccountId>
        <AccountType/>
      </UserInfo>
      <UserInfo>
        <DisplayName>Aurimas Jančiauskas</DisplayName>
        <AccountId>3359</AccountId>
        <AccountType/>
      </UserInfo>
      <UserInfo>
        <DisplayName>Mindaugas Kauzonas</DisplayName>
        <AccountId>3417</AccountId>
        <AccountType/>
      </UserInfo>
    </SharedWithUsers>
    <lcf76f155ced4ddcb4097134ff3c332f xmlns="47c1ea38-b788-4873-88f4-3b1f34597b9a">
      <Terms xmlns="http://schemas.microsoft.com/office/infopath/2007/PartnerControls"/>
    </lcf76f155ced4ddcb4097134ff3c332f>
    <TaxCatchAll xmlns="0379a545-9986-45d7-9e6d-3845025712a0" xsi:nil="true"/>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5.xml><?xml version="1.0" encoding="utf-8"?>
<Parts xmlns="http://lrs.lt/TAIS/DocParts">
  <Part Type="lentele" DocPartId="d74b67d0556743c5b7ff655e906ca900" PartId="60284c2f2d934ce69ae3b4acc24ee996"/>
  <Part Type="pastraipa" DocPartId="4af8613ffa874ba2b044b6acc88cb7e4" PartId="c8af97129ac84528ae7a7768d7462cf6">
    <Part Type="punktas" Nr="1" Abbr="1 p." DocPartId="839440c3e5414456bd4337ad50072ab6" PartId="9642e8dbf642450685ad392bd1413b26"/>
    <Part Type="punktas" Nr="2" Abbr="2 p." DocPartId="8185c79952214702a7445e3a2494e1de" PartId="3da2a18147da4d91b603412cc6547458"/>
    <Part Type="punktas" Nr="1" Abbr="1 p." Notes="Numeris ne iš eilės. Trūksta dalių? [DocDalys]" DocPartId="d01ffad7b62a4ef98020a016cfa4c820" PartId="5741b20b19ae47c09d1e6f943719d06c"/>
    <Part Type="punktas" Nr="2" Abbr="2 p." DocPartId="8639eb71b0bb426db1d9fbcb0e44aaa5" PartId="4e0b8d3dff7d44a481c4309f189c89f3"/>
    <Part Type="punktas" Nr="3" Abbr="3 p." DocPartId="646dbf5671b8456396b13ca213440aca" PartId="15dfbbc5a17c497b9ed4ab94182bb5d4"/>
    <Part Type="punktas" Nr="3" Abbr="3 p." Notes="Numeris ne iš eilės. Trūksta dalių? [DocDalys]" DocPartId="7e19de0fd83d4c9e907d250498566d1e" PartId="575df1e1738141ccb82fe4f1b8510089"/>
    <Part Type="punktas" Nr="4" Abbr="4 p." DocPartId="684d16623b404f788537f196a76b5b8f" PartId="19f0ff2061d342a28b3108b019fd6eb5"/>
    <Part Type="punktas" Nr="5" Abbr="5 p." DocPartId="3cbebb94dd85498ba0fe560be7490907" PartId="85c0282e7eb04220996653840cf7e196"/>
    <Part Type="punktas" Nr="6" Abbr="6 p." DocPartId="9671b0b4931d44f8bcae1f0609c4dda0" PartId="90d47c1a884a4b4ebc893f05667c606e"/>
    <Part Type="punktas" Nr="7" Abbr="7 p." DocPartId="3ccd88e003be46ef9d7d4e71c16f81ed" PartId="970dd4a4a6414d04b64ba5e86247e565"/>
    <Part Type="punktas" Nr="8" Abbr="8 p." DocPartId="9d0c4acbaefa4117a0dfeb3e171ed913" PartId="f5071d7a4a8e448fb2d5dc017a892a0a"/>
    <Part Type="punktas" Nr="9" Abbr="9 p." DocPartId="0f2fad2f2a86475fb43f27d1df2adfc9" PartId="64bed03173da4662b84eabc8cb80a7e0"/>
    <Part Type="punktas" Nr="10" Abbr="10 p." DocPartId="b989fa8d54b442bf988433891ba53e4b" PartId="07617156fce84902bd8e212f3726242d"/>
    <Part Type="punktas" Nr="11" Abbr="11 p." DocPartId="3e8f1779fdfa4faebe8c8ef1e911fe11" PartId="12a54ed698f24ec2822e69ae3859eaa1"/>
    <Part Type="punktas" Nr="12" Abbr="12 p." DocPartId="07369f5b970e407ab77c0dc46d44df1f" PartId="a258424fe8eb44e2bd237c328474652f"/>
    <Part Type="punktas" Nr="13" Abbr="13 p." DocPartId="83bdab7db6624b1b9da662a10db13f18" PartId="7dfb26c954f04c36bb9cb31669edf9e9"/>
    <Part Type="punktas" Nr="14" Abbr="14 p." DocPartId="8f63b518b4bd454baa2c99e0970841c3" PartId="1b49bd8669ab4669b367c8425c9f6951"/>
    <Part Type="punktas" Nr="15" Abbr="15 p." DocPartId="c2ee4ff942374579a65d8082758eb0b5" PartId="a74c24e737fa4d45a8ea700449dbf0ab"/>
    <Part Type="punktas" Nr="1" Abbr="1 p." Notes="Numeris ne iš eilės. Trūksta dalių? [DocDalys]" DocPartId="a5139c81dffa49128e17bbcab5e26354" PartId="3612689d3d5f4d2085df7200a802d0cb"/>
    <Part Type="punktas" Nr="2" Abbr="2 p." DocPartId="45e785f6884a46ac99ae6de8af9ad2d3" PartId="ebc7070b7cb24ba5b8b81d09bf783785"/>
    <Part Type="punktas" Nr="3" Abbr="3 p." DocPartId="64fbf67f5f1f4485975029236f09d903" PartId="847a147a44a842c3b400247cd50c0275"/>
    <Part Type="punktas" Nr="4" Abbr="4 p." DocPartId="c3eb85fdf1724a678fbcd1554cb3dd31" PartId="7798f8228ec14b919ed347378adc06ce"/>
    <Part Type="punktas" Nr="5" Abbr="5 p." DocPartId="728a0d83d4f44b6fb0eb951f2d898b87" PartId="2519b7f7ce91495789e914623876b1a1"/>
    <Part Type="punktas" Nr="6" Abbr="6 p." DocPartId="ca6894ba8bcf4a0882157a125a20b82a" PartId="13c8f2c85be74ce0bf2fff9d12a25a08"/>
    <Part Type="signatura" DocPartId="fc49e91b295e46c093c0df00bde30957" PartId="158b6c9932604df0b90db94131ba482b"/>
  </Part>
</Parts>
</file>

<file path=customXml/itemProps1.xml><?xml version="1.0" encoding="utf-8"?>
<ds:datastoreItem xmlns:ds="http://schemas.openxmlformats.org/officeDocument/2006/customXml" ds:itemID="{2AEFC569-0007-4DA6-BC18-54DFCE01E7B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7c1ea38-b788-4873-88f4-3b1f34597b9a"/>
    <ds:schemaRef ds:uri="0379a545-9986-45d7-9e6d-3845025712a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4DEE301B-E495-4750-B0E8-CBFC8E239BAA}">
  <ds:schemaRefs>
    <ds:schemaRef ds:uri="http://schemas.microsoft.com/sharepoint/v3/contenttype/forms"/>
  </ds:schemaRefs>
</ds:datastoreItem>
</file>

<file path=customXml/itemProps3.xml><?xml version="1.0" encoding="utf-8"?>
<ds:datastoreItem xmlns:ds="http://schemas.openxmlformats.org/officeDocument/2006/customXml" ds:itemID="{2ECC1323-9F72-4681-9895-5BB6B34E3FBB}">
  <ds:schemaRefs>
    <ds:schemaRef ds:uri="http://purl.org/dc/dcmitype/"/>
    <ds:schemaRef ds:uri="http://schemas.microsoft.com/office/infopath/2007/PartnerControls"/>
    <ds:schemaRef ds:uri="http://schemas.microsoft.com/office/2006/metadata/properties"/>
    <ds:schemaRef ds:uri="http://schemas.openxmlformats.org/package/2006/metadata/core-properties"/>
    <ds:schemaRef ds:uri="0379a545-9986-45d7-9e6d-3845025712a0"/>
    <ds:schemaRef ds:uri="http://schemas.microsoft.com/office/2006/documentManagement/types"/>
    <ds:schemaRef ds:uri="http://purl.org/dc/terms/"/>
    <ds:schemaRef ds:uri="47c1ea38-b788-4873-88f4-3b1f34597b9a"/>
    <ds:schemaRef ds:uri="http://www.w3.org/XML/1998/namespace"/>
    <ds:schemaRef ds:uri="http://purl.org/dc/elements/1.1/"/>
  </ds:schemaRefs>
</ds:datastoreItem>
</file>

<file path=customXml/itemProps4.xml><?xml version="1.0" encoding="utf-8"?>
<ds:datastoreItem xmlns:ds="http://schemas.openxmlformats.org/officeDocument/2006/customXml" ds:itemID="{1225ABC0-5F10-4AC6-B4B2-DD939B24167A}">
  <ds:schemaRefs>
    <ds:schemaRef ds:uri="http://schemas.openxmlformats.org/officeDocument/2006/bibliography"/>
  </ds:schemaRefs>
</ds:datastoreItem>
</file>

<file path=customXml/itemProps5.xml><?xml version="1.0" encoding="utf-8"?>
<ds:datastoreItem xmlns:ds="http://schemas.openxmlformats.org/officeDocument/2006/customXml" ds:itemID="{E5B7E1C9-25CD-454A-816A-A6ABC487B74E}">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2066</Words>
  <Characters>15048</Characters>
  <Application>Microsoft Office Word</Application>
  <DocSecurity>4</DocSecurity>
  <Lines>250</Lines>
  <Paragraphs>104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17010</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2024-12-27T12:42:00Z</dcterms:created>
  <dc:creator>Aurimas Jančiauskas</dc:creator>
  <lastModifiedBy>adlibuser</lastModifiedBy>
  <dcterms:modified xsi:type="dcterms:W3CDTF">2024-12-27T12:42:00Z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0x01010050164633ED94994D9773E53D567FF5BF</vt:lpwstr>
  </property>
  <property fmtid="{D5CDD505-2E9C-101B-9397-08002B2CF9AE}" pid="3" name="MediaServiceImageTags">
    <vt:lpwstr/>
  </property>
</Properties>
</file>