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style1.xml" ContentType="application/vnd.ms-office.chartstyle+xml"/>
  <Override PartName="/word/charts/style2.xml" ContentType="application/vnd.ms-office.chart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0fe9d29c9574fc1b3e3b0fd85c0e2de"/>
        <w:lock w:val="sdtLocked"/>
        <w:richText/>
      </w:sdtPr>
      <w:sdtContent>
        <w:p w14:paraId="50ED6AB9" w14:textId="77777777">
          <w:pPr>
            <w:tabs>
              <w:tab w:val="center" w:pos="4819"/>
              <w:tab w:val="right" w:pos="9638"/>
            </w:tabs>
            <w:rPr>
              <w:szCs w:val="24"/>
            </w:rPr>
          </w:pPr>
        </w:p>
        <w:p w14:paraId="375C2DC6" w14:textId="77777777">
          <w:pPr>
            <w:jc w:val="center"/>
            <w:rPr>
              <w:b/>
              <w:szCs w:val="24"/>
            </w:rPr>
          </w:pPr>
          <w:r>
            <w:rPr>
              <w:b/>
              <w:szCs w:val="24"/>
            </w:rPr>
            <w:t xml:space="preserve">LIETUVOS RESPUBLIKOS INVESTICIJŲ ĮSTATYMO NR. VIII-1312 </w:t>
          </w:r>
        </w:p>
        <w:p w14:paraId="6654D03B" w14:textId="77777777">
          <w:pPr>
            <w:jc w:val="center"/>
            <w:rPr>
              <w:b/>
              <w:szCs w:val="24"/>
            </w:rPr>
          </w:pPr>
          <w:r>
            <w:rPr>
              <w:b/>
              <w:szCs w:val="24"/>
            </w:rPr>
            <w:t>2 IR 15</w:t>
          </w:r>
          <w:r>
            <w:rPr>
              <w:b/>
              <w:szCs w:val="24"/>
              <w:vertAlign w:val="superscript"/>
            </w:rPr>
            <w:t>4</w:t>
          </w:r>
          <w:r>
            <w:rPr>
              <w:b/>
              <w:szCs w:val="24"/>
            </w:rPr>
            <w:t xml:space="preserve"> STRAIPSNIŲ PAKEITIMO ĮSTATYMO IR LIETUVOS RESPUBLIKOS PELNO MOKESČIO ĮSTATYMO NR. IX-675 58 STRAIPSNIO PAKEITIMO ĮSTATYMO PROJEKTŲ</w:t>
          </w:r>
        </w:p>
        <w:p w14:paraId="5EC55653" w14:textId="77777777">
          <w:pPr>
            <w:jc w:val="center"/>
            <w:rPr>
              <w:b/>
              <w:szCs w:val="24"/>
            </w:rPr>
          </w:pPr>
          <w:r>
            <w:rPr>
              <w:b/>
              <w:szCs w:val="24"/>
            </w:rPr>
            <w:t>AIŠKINAMASIS RAŠTAS</w:t>
          </w:r>
        </w:p>
        <w:p w14:paraId="538DA7C3" w14:textId="77777777">
          <w:pPr>
            <w:ind w:firstLine="720"/>
            <w:jc w:val="center"/>
            <w:rPr>
              <w:b/>
              <w:szCs w:val="24"/>
            </w:rPr>
          </w:pPr>
        </w:p>
        <w:sdt>
          <w:sdtPr>
            <w:alias w:val="1 p."/>
            <w:tag w:val="part_afdf2c136f4940d4a75fa007c3b081ec"/>
            <w:lock w:val="sdtLocked"/>
            <w:richText/>
          </w:sdtPr>
          <w:sdtContent>
            <w:p w14:paraId="7C69B61C" w14:textId="77777777">
              <w:pPr>
                <w:ind w:firstLine="567"/>
                <w:jc w:val="both"/>
                <w:rPr>
                  <w:b/>
                  <w:szCs w:val="24"/>
                </w:rPr>
              </w:pPr>
              <w:sdt>
                <w:sdtPr>
                  <w:alias w:val="Numeris"/>
                  <w:tag w:val="nr_afdf2c136f4940d4a75fa007c3b081ec"/>
                  <w:lock w:val="sdtLocked"/>
                  <w:richText/>
                </w:sdtPr>
                <w:sdtContent>
                  <w:r>
                    <w:rPr>
                      <w:b/>
                      <w:szCs w:val="24"/>
                    </w:rPr>
                    <w:t>1</w:t>
                  </w:r>
                </w:sdtContent>
              </w:sdt>
              <w:r>
                <w:rPr>
                  <w:b/>
                  <w:szCs w:val="24"/>
                </w:rPr>
                <w:t xml:space="preserve">. Įstatymų projektų rengimą paskatinusios priežastys, parengtų projektų tikslai ir uždaviniai </w:t>
              </w:r>
            </w:p>
            <w:p w14:paraId="7E7C3AF1" w14:textId="77777777">
              <w:pPr>
                <w:ind w:firstLine="567"/>
                <w:jc w:val="both"/>
                <w:rPr>
                  <w:szCs w:val="24"/>
                </w:rPr>
              </w:pPr>
              <w:r>
                <w:rPr>
                  <w:szCs w:val="24"/>
                </w:rPr>
                <w:t>Teikiami Lietuvos Respublikos investicijų įstatymo Nr. VIII-1312 2 ir 15</w:t>
              </w:r>
              <w:r>
                <w:rPr>
                  <w:szCs w:val="24"/>
                  <w:vertAlign w:val="superscript"/>
                </w:rPr>
                <w:t>4</w:t>
              </w:r>
              <w:r>
                <w:rPr>
                  <w:szCs w:val="24"/>
                </w:rPr>
                <w:t xml:space="preserve">  straipsnių pakeitimo įstatymo (toliau – Investicijų įstatymo pakeitimo įstatymas) ir Lietuvos Respublikos pelno mokesčio įstatymo Nr. IX-675 58 straipsnio pakeitimo įstatymo (toliau – Pelno mokesčio pakeitimo įstatymas) projektai (toliau – Įstatymų projektai) parengti siekiant prisidėti prie Aštuonioliktosios Lietuvos Respublikos Vyriausybės programoje, </w:t>
              </w:r>
              <w:r>
                <w:rPr>
                  <w:color w:val="000000"/>
                  <w:szCs w:val="24"/>
                  <w:shd w:val="clear" w:color="auto" w:fill="FFFFFF"/>
                </w:rPr>
                <w:t xml:space="preserve">kuriai pritarta  Lietuvos Respublikos Seimo 2020 m. gruodžio 11 d. nutarimu Nr. XIV-72 „Dėl </w:t>
              </w:r>
              <w:r>
                <w:rPr>
                  <w:szCs w:val="24"/>
                </w:rPr>
                <w:t>Aštuonioliktosios Lietuvos Respublikos Vyriausybės programos“ (toliau – Vyriausybės programa)</w:t>
              </w:r>
              <w:r>
                <w:rPr>
                  <w:color w:val="000000"/>
                  <w:szCs w:val="24"/>
                  <w:shd w:val="clear" w:color="auto" w:fill="FFFFFF"/>
                </w:rPr>
                <w:t xml:space="preserve">, 6 punkte </w:t>
              </w:r>
              <w:r>
                <w:rPr>
                  <w:szCs w:val="24"/>
                </w:rPr>
                <w:t xml:space="preserve">nustatyto </w:t>
              </w:r>
              <w:r>
                <w:rPr>
                  <w:color w:val="000000"/>
                  <w:szCs w:val="24"/>
                  <w:shd w:val="clear" w:color="auto" w:fill="FFFFFF"/>
                </w:rPr>
                <w:t>įsipareigojamo pasiekti esminį ekonomikos proveržį, pereinant prie aukštesnės, negu dabar esama, pridėtinės ekonominės vertės, įgyvendinimo. Taip pat, be kita ko, įsipareigojo skatinti augantį darbo našumą ir didėjančias tiesiogines užsienio investicijas bei sukurti draugišką aplinką, palankią steigti naujas darbo vietas ir vystyti verslą. Įstatymų projektų siūlomais pakeitimais siekiama prisidėti ir prie Vyriausybės programoje numatytos misijos – aukštos pridėtinės vertės ekonomikos.</w:t>
              </w:r>
            </w:p>
            <w:p w14:paraId="7EEE299B" w14:textId="77777777">
              <w:pPr>
                <w:ind w:firstLine="567"/>
                <w:jc w:val="both"/>
                <w:rPr>
                  <w:szCs w:val="24"/>
                </w:rPr>
              </w:pPr>
              <w:r>
                <w:rPr>
                  <w:szCs w:val="24"/>
                </w:rPr>
                <w:t xml:space="preserve">Įstatymų projektų rengimą, be kita ko, paskatino tai, kad vidaus ir užsienio investicijų pritraukimas įgyja vis didesnę reikšmę ir tampa vienu iš svarbiausių uždavinių šalims tarptautinėje politikoje, prisideda prie naujų darbo vietų kūrimo ir ekonomikos plėtros. Kuo palankesnę investicinę aplinką Lietuva sudarys tiek vietos, tiek užsienio investuotojams, tuo didesnė bus šalies galimybė konkuruoti su kitomis valstybėmis dėl investicijų pritraukimo. </w:t>
              </w:r>
            </w:p>
            <w:p w14:paraId="11BF1B78" w14:textId="77777777">
              <w:pPr>
                <w:ind w:firstLine="567"/>
                <w:jc w:val="both"/>
                <w:rPr>
                  <w:szCs w:val="24"/>
                </w:rPr>
              </w:pPr>
              <w:r>
                <w:rPr>
                  <w:szCs w:val="24"/>
                </w:rPr>
                <w:t xml:space="preserve">Įstatymų projektų tikslas – sudaryti galimybę projektams, atitinkantiems tiek dabar teisės aktuose numatytus Stambių projektų kriterijus, tiek siūlomus nustatyti kriterijus, taikyti pelno mokesčio lengvatą ir kitas specialiąsias investavimo ir verslo sąlygas, numatytas Lietuvos Respublikos investicijų įstatyme (toliau – Investicijų įstatymas). Siūlomi Stambių projektų kriterijai leistų užtikrinti, kad Stambiais projektais būtų pripažįstami ir tie projektai, kurie yra imlūs kapitalo investicijoms, bet dėl savo išskirtinio pobūdžio sukuria mažiau naujų darbo vietų, nei numatyta dabartiniame teisiniame reguliavime, tačiau užtikrinant, kad naujai sukuriamose darbo vietose mokamas didesnis darbo užmokestis. </w:t>
              </w:r>
            </w:p>
            <w:p w14:paraId="6B8D7D51" w14:textId="77777777">
              <w:pPr>
                <w:ind w:firstLine="567"/>
                <w:jc w:val="both"/>
                <w:rPr>
                  <w:szCs w:val="24"/>
                </w:rPr>
              </w:pPr>
              <w:r>
                <w:rPr>
                  <w:szCs w:val="24"/>
                </w:rPr>
                <w:t xml:space="preserve">Įstatymų projektais siūlomas teisinis reguliavimas būtų taikomas paskatinti tik naujus investicinius projektus, kurie be specialių sąlygų nebūtų įgyvendinami. </w:t>
              </w:r>
            </w:p>
            <w:p w14:paraId="2E0D8B81" w14:textId="77777777">
              <w:pPr>
                <w:ind w:firstLine="567"/>
                <w:jc w:val="both"/>
                <w:rPr>
                  <w:szCs w:val="24"/>
                </w:rPr>
              </w:pPr>
              <w:r>
                <w:rPr>
                  <w:szCs w:val="24"/>
                </w:rPr>
                <w:t>Atsižvelgiant į išdėstytas aplinkybes, Investicijų įstatymo pakeitimo įstatymo projektu siekiama patikslinti Stambaus projekto sąvoką, numatant kriterijus, kuriuos atitinkantis investicinis projektas galėtų būti laikomas Stambiu projektu ir jam galėtų būti taikomos teisiniame reguliavime įtvirtintos lengvatos.</w:t>
              </w:r>
            </w:p>
            <w:p w14:paraId="58ADB019" w14:textId="77777777">
              <w:pPr>
                <w:ind w:firstLine="630"/>
                <w:jc w:val="both"/>
              </w:pPr>
              <w:r>
                <w:t>Atitinkamai Pelno mokesčio pakeitimo įstatymo projektu siekiama suderinti šiame įstatyme nustatytas pelno mokesčio taikymo lengvatas su Stambaus projekto kriterijais, kuriuos siūloma nustatyti Investicijų įstatymo pakeitimo įstatymo projekte.</w:t>
              </w:r>
            </w:p>
            <w:p w14:paraId="1A499FED" w14:textId="56F7DBFB">
              <w:pPr>
                <w:ind w:firstLine="630"/>
                <w:jc w:val="both"/>
              </w:pPr>
              <w:r>
                <w:rPr>
                  <w:szCs w:val="24"/>
                </w:rPr>
                <w:t xml:space="preserve">Investicijų įstatymo pakeitimo įstatymo </w:t>
              </w:r>
              <w:r>
                <w:t xml:space="preserve">įsigaliojimas numatomas 2024 m. gegužės 1 d.  Iki šio įstatymo įsigaliojimo dienos gautos paraiškos dėl stambaus projekto investicijų sutarties sudarymo baigiamos vertinti ir stambaus projekto investicijų sutartys sudaromos pagal iki šio įstatymo įsigaliojimo dienos galiojusį teisinį reguliavimą. </w:t>
              </w:r>
              <w:r>
                <w:rPr>
                  <w:szCs w:val="24"/>
                </w:rPr>
                <w:t xml:space="preserve">Pelno mokesčio pakeitimo įstatymo </w:t>
              </w:r>
              <w:r>
                <w:t xml:space="preserve">įsigaliojimas numatomas 2024 m. </w:t>
              </w:r>
              <w:r>
                <w:rPr>
                  <w:szCs w:val="24"/>
                  <w:lang w:eastAsia="lt-LT"/>
                </w:rPr>
                <w:t>gegužės</w:t>
              </w:r>
              <w:r>
                <w:t xml:space="preserve"> 1 d.  Šis įstatymas yra taikomas apskaičiuojant ir deklaruojant 2025 metų ir vėlesnių mokestinių laikotarpių pelno mokestį.</w:t>
              </w:r>
            </w:p>
            <w:p w14:paraId="15890FB5" w14:textId="77777777">
              <w:pPr>
                <w:ind w:firstLine="567"/>
                <w:jc w:val="both"/>
                <w:rPr>
                  <w:szCs w:val="24"/>
                </w:rPr>
              </w:pPr>
            </w:p>
          </w:sdtContent>
        </w:sdt>
        <w:sdt>
          <w:sdtPr>
            <w:alias w:val="2 p."/>
            <w:tag w:val="part_98657dcc4ec946beabf70e365cc32d2c"/>
            <w:lock w:val="sdtLocked"/>
            <w:richText/>
          </w:sdtPr>
          <w:sdtContent>
            <w:p w14:paraId="462C469B" w14:textId="77777777">
              <w:pPr>
                <w:ind w:firstLine="567"/>
                <w:jc w:val="both"/>
                <w:rPr>
                  <w:b/>
                  <w:szCs w:val="24"/>
                </w:rPr>
              </w:pPr>
              <w:sdt>
                <w:sdtPr>
                  <w:alias w:val="Numeris"/>
                  <w:tag w:val="nr_98657dcc4ec946beabf70e365cc32d2c"/>
                  <w:lock w:val="sdtLocked"/>
                  <w:richText/>
                </w:sdtPr>
                <w:sdtContent>
                  <w:r>
                    <w:rPr>
                      <w:b/>
                      <w:szCs w:val="24"/>
                    </w:rPr>
                    <w:t>2</w:t>
                  </w:r>
                </w:sdtContent>
              </w:sdt>
              <w:r>
                <w:rPr>
                  <w:b/>
                  <w:szCs w:val="24"/>
                </w:rPr>
                <w:t xml:space="preserve">. Įstatymų projektų iniciatoriai (institucija, asmenys ar piliečių įgalioti atstovai) ir rengėjai </w:t>
              </w:r>
            </w:p>
            <w:p w14:paraId="2B9D7676" w14:textId="77777777">
              <w:pPr>
                <w:ind w:right="-1" w:firstLine="567"/>
                <w:jc w:val="both"/>
                <w:rPr>
                  <w:szCs w:val="24"/>
                  <w:highlight w:val="yellow"/>
                  <w:lang w:eastAsia="lt-LT"/>
                </w:rPr>
              </w:pPr>
              <w:r>
                <w:rPr>
                  <w:szCs w:val="24"/>
                </w:rPr>
                <w:t>Įstatymų projektų iniciatorė – Ekonomikos ir inovacijų ministerija.</w:t>
              </w:r>
            </w:p>
            <w:p w14:paraId="52D651A7" w14:textId="77777777">
              <w:pPr>
                <w:ind w:right="-1" w:firstLine="567"/>
                <w:jc w:val="both"/>
                <w:rPr>
                  <w:szCs w:val="24"/>
                </w:rPr>
              </w:pPr>
              <w:r>
                <w:rPr>
                  <w:szCs w:val="24"/>
                </w:rPr>
                <w:t>Įstatymų projektus parengė Ekonomikos ir inovacijų ministerijos Ekonominės plėtros grupės patarėjas Žygimantas Račkys.</w:t>
              </w:r>
            </w:p>
            <w:p w14:paraId="030743C5" w14:textId="77777777">
              <w:pPr>
                <w:jc w:val="both"/>
                <w:rPr>
                  <w:szCs w:val="24"/>
                  <w:lang w:eastAsia="lt-LT"/>
                </w:rPr>
              </w:pPr>
            </w:p>
          </w:sdtContent>
        </w:sdt>
        <w:sdt>
          <w:sdtPr>
            <w:alias w:val="3 p."/>
            <w:tag w:val="part_b6e9c247b1a5498dba8dacfda33143a9"/>
            <w:lock w:val="sdtLocked"/>
            <w:richText/>
          </w:sdtPr>
          <w:sdtContent>
            <w:p w14:paraId="48BF96B6" w14:textId="77777777">
              <w:pPr>
                <w:ind w:firstLine="567"/>
                <w:jc w:val="both"/>
                <w:rPr>
                  <w:b/>
                  <w:szCs w:val="24"/>
                </w:rPr>
              </w:pPr>
              <w:sdt>
                <w:sdtPr>
                  <w:alias w:val="Numeris"/>
                  <w:tag w:val="nr_b6e9c247b1a5498dba8dacfda33143a9"/>
                  <w:lock w:val="sdtLocked"/>
                  <w:richText/>
                </w:sdtPr>
                <w:sdtContent>
                  <w:r>
                    <w:rPr>
                      <w:b/>
                      <w:szCs w:val="24"/>
                    </w:rPr>
                    <w:t>3</w:t>
                  </w:r>
                </w:sdtContent>
              </w:sdt>
              <w:r>
                <w:rPr>
                  <w:b/>
                  <w:szCs w:val="24"/>
                </w:rPr>
                <w:t>.</w:t>
              </w:r>
              <w:r>
                <w:rPr>
                  <w:szCs w:val="24"/>
                </w:rPr>
                <w:t xml:space="preserve"> </w:t>
              </w:r>
              <w:r>
                <w:rPr>
                  <w:b/>
                  <w:szCs w:val="24"/>
                </w:rPr>
                <w:t xml:space="preserve">Kaip šiuo metu yra reguliuojami Įstatymų projektuose aptarti teisiniai santykiai </w:t>
              </w:r>
            </w:p>
            <w:p w14:paraId="79059C28" w14:textId="77777777">
              <w:pPr>
                <w:ind w:firstLine="567"/>
                <w:jc w:val="both"/>
                <w:rPr>
                  <w:color w:val="000000"/>
                  <w:szCs w:val="24"/>
                </w:rPr>
              </w:pPr>
              <w:r>
                <w:rPr>
                  <w:szCs w:val="24"/>
                </w:rPr>
                <w:t xml:space="preserve">Investicijų įstatymas nustato, kokius kriterijus atitinkantis projektas gali būti laikomas Stambiu projektu. Teisinis reglamentavimas yra orientuotas į naujas darbo vietas kuriančius investicinius projektus ir numato, kad Stambūs projektai – tai tokie projektai, kurie sukuria ne mažiau kaip 150, </w:t>
              </w:r>
              <w:r>
                <w:rPr>
                  <w:color w:val="000000"/>
                  <w:szCs w:val="24"/>
                </w:rPr>
                <w:t xml:space="preserve">o kai investuojama Vilniuje – ne mažiau kaip 200 naujų darbo vietų, dėl kurių įstatymų nustatyta tvarka bus sudarytos viso darbo laiko darbo sutartys, ir kiekviena sukurta darbo vieta išlaikoma ne trumpiau kaip penkerius metus nuo pirmosios darbuotojo priėmimo į sukurtą darbo vietą dienos ir investuojama Lietuvos Respublikoje ne mažiau kaip 20 milijonų eurų, o kai investuojama Vilniuje – ne mažiau kaip 30 milijonų eurų vertės privačių kapitalo investicijų. </w:t>
              </w:r>
            </w:p>
            <w:p w14:paraId="6744ABC8" w14:textId="77777777">
              <w:pPr>
                <w:ind w:firstLine="567"/>
                <w:jc w:val="both"/>
                <w:rPr>
                  <w:color w:val="000000"/>
                  <w:sz w:val="22"/>
                  <w:szCs w:val="22"/>
                </w:rPr>
              </w:pPr>
              <w:r>
                <w:rPr>
                  <w:szCs w:val="24"/>
                </w:rPr>
                <w:t>Lietuvos Respublikos pelno mokesčio įstatymas (toliau – Pelno mokesčio įstatymas) nustato, kad juridiniai asmenys, kurie įgyvendina Stambų projektą pagal galiojančią stambaus projekto investicijų sutartį ir kurių projektai atitinka Investicijų įstatyme nustatytus Stambaus projekto kriterijus, nemoka pelno mokesčio pradedant tuo mokestiniu laikotarpiu, kurį Pelno mokesčio įstatyme nustatyti kriterijai buvo pasiekti. Lengvata netaikoma tą mokestinį laikotarpį, kurį juridinio asmens privačių kapitalo investicijų suma ir (arba) vidutinis darbuotojų skaičius mokestiniais metais taip sumažėjo, ir lengvatos taikymas atnaujinamas tą mokestinį laikotarpį, kurį juridinio asmens privačios kapitalo investicijos į Stambų projektą vėl pasiekia 20 milijonų eurų sumą, o kai investuojama Vilniuje, – 30 milijonų eurų sumą ir (arba) vidutinis darbuotojų, reikalingų Stambiam projektui įgyvendinti, skaičius mokestiniais metais vėl tampa ne mažesnis kaip 150, o kai investuojama Vilniuje, – ne mažesnis kaip 200. Ši lengvata juridiniam asmeniui, įgyvendinančiam Stambų projektą, taikoma ne ilgiau negu 20 metų nuo Stambaus projekto investicijų sutarties įsigaliojimo dienos.</w:t>
              </w:r>
              <w:r>
                <w:rPr>
                  <w:color w:val="000000"/>
                  <w:sz w:val="22"/>
                  <w:szCs w:val="22"/>
                </w:rPr>
                <w:t> </w:t>
              </w:r>
            </w:p>
            <w:p w14:paraId="507EFE3B" w14:textId="77777777">
              <w:pPr>
                <w:jc w:val="both"/>
                <w:rPr>
                  <w:i/>
                  <w:szCs w:val="24"/>
                </w:rPr>
              </w:pPr>
            </w:p>
          </w:sdtContent>
        </w:sdt>
        <w:sdt>
          <w:sdtPr>
            <w:alias w:val="4 p."/>
            <w:tag w:val="part_368103a4677440afafb67be7b3d395e6"/>
            <w:lock w:val="sdtLocked"/>
            <w:richText/>
          </w:sdtPr>
          <w:sdtContent>
            <w:p w14:paraId="32EC10D3" w14:textId="77777777">
              <w:pPr>
                <w:ind w:firstLine="567"/>
                <w:jc w:val="both"/>
                <w:rPr>
                  <w:b/>
                  <w:szCs w:val="24"/>
                </w:rPr>
              </w:pPr>
              <w:sdt>
                <w:sdtPr>
                  <w:alias w:val="Numeris"/>
                  <w:tag w:val="nr_368103a4677440afafb67be7b3d395e6"/>
                  <w:lock w:val="sdtLocked"/>
                  <w:richText/>
                </w:sdtPr>
                <w:sdtContent>
                  <w:r>
                    <w:rPr>
                      <w:b/>
                      <w:szCs w:val="24"/>
                    </w:rPr>
                    <w:t>4</w:t>
                  </w:r>
                </w:sdtContent>
              </w:sdt>
              <w:r>
                <w:rPr>
                  <w:b/>
                  <w:szCs w:val="24"/>
                </w:rPr>
                <w:t>. Kokios siūlomos naujos teisinio reguliavimo nuostatos ir kokių teigiamų rezultatų laukiama</w:t>
              </w:r>
            </w:p>
            <w:p w14:paraId="254E3E01" w14:textId="30A0E048">
              <w:pPr>
                <w:ind w:firstLine="567"/>
                <w:jc w:val="both"/>
                <w:rPr>
                  <w:color w:val="000000"/>
                  <w:szCs w:val="24"/>
                </w:rPr>
              </w:pPr>
              <w:r>
                <w:rPr>
                  <w:color w:val="000000"/>
                  <w:szCs w:val="24"/>
                </w:rPr>
                <w:t>Dabartinis teisinis reguliavimas skatina darbo vietų kūrimui imlius Stambius projektus, kuriuose įdarbinami įvairių kvalifikacijų darbuotojai ir jiems mokamas kvalifikaciją atitinkantis darbo užmokestis. Investicijų įstatymo pakeitimo</w:t>
              </w:r>
              <w:r>
                <w:rPr>
                  <w:szCs w:val="24"/>
                </w:rPr>
                <w:t xml:space="preserve"> įstatymo projektu siūloma įtvirtinti galimybę skatinti ir tokius Stambius projektus, kurie kuria mažiau, bet tik aukštos kvalifikacijos darbo vietas. Įstatymų pakeitimuose siūloma tokio pobūdžio projektams (</w:t>
              </w:r>
              <w:r>
                <w:rPr>
                  <w:color w:val="000000"/>
                  <w:szCs w:val="24"/>
                </w:rPr>
                <w:t>tik apdirbamosios gamybos investicijų projektams)</w:t>
              </w:r>
              <w:r>
                <w:rPr>
                  <w:szCs w:val="24"/>
                </w:rPr>
                <w:t xml:space="preserve"> nustatyti tokius kriterijus, t. y. papildyti 2 straipsnio 25 dalį šiais Stambaus projekto kriterijais:</w:t>
              </w:r>
            </w:p>
            <w:sdt>
              <w:sdtPr>
                <w:alias w:val="4 p. 1 pp."/>
                <w:tag w:val="part_1c0698be4da544da80ded705af4e77c9"/>
                <w:lock w:val="sdtLocked"/>
                <w:richText/>
              </w:sdtPr>
              <w:sdtContent>
                <w:p w14:paraId="45AD6D8D" w14:textId="77777777">
                  <w:pPr>
                    <w:ind w:firstLine="540"/>
                    <w:jc w:val="both"/>
                    <w:rPr>
                      <w:color w:val="000000"/>
                      <w:szCs w:val="24"/>
                    </w:rPr>
                  </w:pPr>
                  <w:sdt>
                    <w:sdtPr>
                      <w:alias w:val="Numeris"/>
                      <w:tag w:val="nr_1c0698be4da544da80ded705af4e77c9"/>
                      <w:lock w:val="sdtLocked"/>
                      <w:richText/>
                    </w:sdtPr>
                    <w:sdtContent>
                      <w:r>
                        <w:t>1</w:t>
                      </w:r>
                    </w:sdtContent>
                  </w:sdt>
                  <w:r>
                    <w:t>)</w:t>
                    <w:tab/>
                  </w:r>
                  <w:r>
                    <w:rPr>
                      <w:color w:val="000000"/>
                      <w:szCs w:val="24"/>
                    </w:rPr>
                    <w:t>sukurs Lietuvos Respublikoje nuo 20 iki 149, o kai investuojama Vilniuje – nuo 20 iki 199 naujų darbo vietų, dėl kurių įstatymų nustatyta tvarka bus sudarytos viso darbo laiko darbo sutartys, ir kiekvieną sukurtą darbo vietą išlaikys ne trumpiau kaip penkerius metus nuo pirmosios darbuotojo priėmimo į sukurtą darbo vietą dienos,</w:t>
                  </w:r>
                </w:p>
              </w:sdtContent>
            </w:sdt>
            <w:sdt>
              <w:sdtPr>
                <w:alias w:val="4 p. 2 pp."/>
                <w:tag w:val="part_d911c1cdb885494a9f0286a308373a15"/>
                <w:lock w:val="sdtLocked"/>
                <w:richText/>
              </w:sdtPr>
              <w:sdtContent>
                <w:p w14:paraId="2950951D" w14:textId="11B43A6B">
                  <w:pPr>
                    <w:ind w:firstLine="540"/>
                    <w:jc w:val="both"/>
                    <w:rPr>
                      <w:color w:val="000000"/>
                      <w:szCs w:val="24"/>
                    </w:rPr>
                  </w:pPr>
                  <w:sdt>
                    <w:sdtPr>
                      <w:alias w:val="Numeris"/>
                      <w:tag w:val="nr_d911c1cdb885494a9f0286a308373a15"/>
                      <w:lock w:val="sdtLocked"/>
                      <w:richText/>
                    </w:sdtPr>
                    <w:sdtContent>
                      <w:r>
                        <w:t>2</w:t>
                      </w:r>
                    </w:sdtContent>
                  </w:sdt>
                  <w:r>
                    <w:t>)</w:t>
                    <w:tab/>
                  </w:r>
                  <w:r>
                    <w:rPr>
                      <w:color w:val="000000"/>
                      <w:szCs w:val="24"/>
                    </w:rPr>
                    <w:t xml:space="preserve">užtikrinant, kad 20 </w:t>
                  </w:r>
                  <w:r>
                    <w:rPr>
                      <w:szCs w:val="24"/>
                      <w:lang w:eastAsia="lt-LT"/>
                    </w:rPr>
                    <w:t>investicijų projektu sukurtų naujų darbo vietų įdarbintų asmenų atitinkamų metų vidutinis bruto darbo užmokestis (taikoma kiekvienam darbuotojui atskirai) būtų ne mažesnis kaip 1,2</w:t>
                  </w:r>
                  <w:r>
                    <w:rPr>
                      <w:szCs w:val="24"/>
                      <w:lang w:val="en-US" w:eastAsia="lt-LT"/>
                    </w:rPr>
                    <w:t>5</w:t>
                  </w:r>
                  <w:r>
                    <w:rPr>
                      <w:szCs w:val="24"/>
                      <w:lang w:eastAsia="lt-LT"/>
                    </w:rPr>
                    <w:t xml:space="preserve"> </w:t>
                  </w:r>
                  <w:r>
                    <w:rPr>
                      <w:color w:val="000000"/>
                      <w:szCs w:val="24"/>
                      <w:shd w:val="clear" w:color="auto" w:fill="FFFFFF"/>
                    </w:rPr>
                    <w:t>Valstybės duomenų agentūros paskutinio skelbiamo savivaldybės, kurioje investuojama, vidutinio mėnesinio bruto darbo užmokesčio, įskaitant individualias įmones, dydžio, o šį skaičių viršijančiose</w:t>
                  </w:r>
                  <w:r>
                    <w:rPr>
                      <w:szCs w:val="24"/>
                      <w:lang w:eastAsia="lt-LT"/>
                    </w:rPr>
                    <w:t xml:space="preserve"> investiciniu projektu sukurtose naujose darbo vietose įdarbintų asmenų atitinkamų metų vidutinis bruto darbo užmokestis (taikoma kiekvienam darbuotojui atskirai) bus ne mažesnis kaip </w:t>
                  </w:r>
                  <w:r>
                    <w:rPr>
                      <w:color w:val="000000"/>
                      <w:szCs w:val="24"/>
                      <w:shd w:val="clear" w:color="auto" w:fill="FFFFFF"/>
                    </w:rPr>
                    <w:t xml:space="preserve">Valstybės duomenų agentūros paskutinis skelbiamas savivaldybės, kurioje investuojama, vidutinis mėnesinis bruto darbo užmokestis, įskaitant individualias įmones, </w:t>
                  </w:r>
                  <w:r>
                    <w:rPr>
                      <w:color w:val="000000"/>
                      <w:szCs w:val="24"/>
                    </w:rPr>
                    <w:t xml:space="preserve">ir </w:t>
                  </w:r>
                </w:p>
              </w:sdtContent>
            </w:sdt>
            <w:sdt>
              <w:sdtPr>
                <w:alias w:val="4 p. 3 pp."/>
                <w:tag w:val="part_995fad4ef9564af88378bb2d121d37b9"/>
                <w:lock w:val="sdtLocked"/>
                <w:richText/>
              </w:sdtPr>
              <w:sdtContent>
                <w:p w14:paraId="137539AD" w14:textId="77777777">
                  <w:pPr>
                    <w:ind w:firstLine="540"/>
                    <w:jc w:val="both"/>
                    <w:rPr>
                      <w:color w:val="000000"/>
                      <w:szCs w:val="24"/>
                    </w:rPr>
                  </w:pPr>
                  <w:sdt>
                    <w:sdtPr>
                      <w:alias w:val="Numeris"/>
                      <w:tag w:val="nr_995fad4ef9564af88378bb2d121d37b9"/>
                      <w:lock w:val="sdtLocked"/>
                      <w:richText/>
                    </w:sdtPr>
                    <w:sdtContent>
                      <w:r>
                        <w:t>3</w:t>
                      </w:r>
                    </w:sdtContent>
                  </w:sdt>
                  <w:r>
                    <w:t>)</w:t>
                    <w:tab/>
                  </w:r>
                  <w:r>
                    <w:rPr>
                      <w:color w:val="000000"/>
                      <w:szCs w:val="24"/>
                    </w:rPr>
                    <w:t>investuos Lietuvos Respublikoje ne mažiau kaip 20 milijonų eurų, o kai investuojama Vilniuje – ne mažiau kaip 30 milijonų eurų vertės privačių kapitalo investicijų.</w:t>
                  </w:r>
                </w:p>
                <w:p w14:paraId="133267E9" w14:textId="57291120">
                  <w:pPr>
                    <w:ind w:firstLine="567"/>
                    <w:jc w:val="both"/>
                    <w:rPr>
                      <w:szCs w:val="24"/>
                    </w:rPr>
                  </w:pPr>
                  <w:r>
                    <w:rPr>
                      <w:szCs w:val="24"/>
                    </w:rPr>
                    <w:t>Pelno mokesčio pakeitimo įstatymo projektu yra siūloma papildyti įstatymo 58 straipsnio 16</w:t>
                  </w:r>
                  <w:r>
                    <w:rPr>
                      <w:szCs w:val="24"/>
                      <w:vertAlign w:val="superscript"/>
                    </w:rPr>
                    <w:t>2</w:t>
                  </w:r>
                  <w:r>
                    <w:rPr>
                      <w:szCs w:val="24"/>
                    </w:rPr>
                    <w:t xml:space="preserve"> ir 16</w:t>
                  </w:r>
                  <w:r>
                    <w:rPr>
                      <w:szCs w:val="24"/>
                      <w:vertAlign w:val="superscript"/>
                    </w:rPr>
                    <w:t xml:space="preserve">3 </w:t>
                  </w:r>
                  <w:r>
                    <w:rPr>
                      <w:szCs w:val="24"/>
                    </w:rPr>
                    <w:t xml:space="preserve">dalis ir numatyti, kad pelno mokesčio nemoka taip pat ir tie juridiniai asmenys, kurie sukuria Lietuvos Respublikoje nuo 20 iki 149, o kai investuojama Vilniuje – nuo 20 iki 199 naujų darbo vietų, dėl kurių įstatymų nustatyta tvarka sudarytos viso darbo laiko darbo sutartys, ir kiekvieną sukurtą darbo vietą išlaiko ne trumpiau kaip penkerius metus nuo pirmosios darbuotojo priėmimo į sukurtą darbo vietą dienos, užtikrinant, kad 20 </w:t>
                  </w:r>
                  <w:r>
                    <w:rPr>
                      <w:szCs w:val="24"/>
                      <w:lang w:eastAsia="lt-LT"/>
                    </w:rPr>
                    <w:t xml:space="preserve">investicijų projektu sukurtų naujų darbo vietų įdarbintų asmenų atitinkamų metų vidutinis bruto darbo užmokestis (taikoma kiekvienam darbuotojui atskirai) yra ne mažesnis kaip 1,25 </w:t>
                  </w:r>
                  <w:r>
                    <w:rPr>
                      <w:color w:val="000000"/>
                      <w:szCs w:val="24"/>
                      <w:shd w:val="clear" w:color="auto" w:fill="FFFFFF"/>
                    </w:rPr>
                    <w:t xml:space="preserve">Valstybės duomenų agentūros </w:t>
                  </w:r>
                  <w:r>
                    <w:rPr>
                      <w:szCs w:val="24"/>
                      <w:shd w:val="clear" w:color="auto" w:fill="FFFFFF"/>
                    </w:rPr>
                    <w:t>paskutinio skelbiamo savivaldybės, kurioje investuojama, vidutinio mėnesinio bruto darbo užmokesčio, įskaitant individualias įmones, dydžio, o šį skaičių viršijančiose</w:t>
                  </w:r>
                  <w:r>
                    <w:rPr>
                      <w:szCs w:val="24"/>
                      <w:lang w:eastAsia="lt-LT"/>
                    </w:rPr>
                    <w:t xml:space="preserve"> investiciniu projektu sukurtose naujose darbo vietose įdarbintų asmenų atitinkamų metų vidutinis bruto darbo užmokestis (taikoma kiekvienam darbuotojui atskirai) yra ne mažesnis kaip </w:t>
                  </w:r>
                  <w:r>
                    <w:rPr>
                      <w:color w:val="000000"/>
                      <w:szCs w:val="24"/>
                      <w:shd w:val="clear" w:color="auto" w:fill="FFFFFF"/>
                    </w:rPr>
                    <w:t>Valstybės duomenų agentūros</w:t>
                  </w:r>
                  <w:r>
                    <w:rPr>
                      <w:szCs w:val="24"/>
                      <w:shd w:val="clear" w:color="auto" w:fill="FFFFFF"/>
                    </w:rPr>
                    <w:t xml:space="preserve"> paskutinis skelbiamas savivaldybės, kurioje investuojama, vidutinis mėnesinis bruto darbo užmokestis, įskaitant individualias įmones, </w:t>
                  </w:r>
                  <w:r>
                    <w:rPr>
                      <w:szCs w:val="24"/>
                    </w:rPr>
                    <w:t>ir investuoja Lietuvos Respublikoje ne mažiau kaip 20 milijonų eurų, o kai investuojama Vilniuje – ne mažiau kaip 30 milijonų eurų vertės privačių kapitalo investicijų (taikoma tik apdirbamosios gamybos investicijų projektams).</w:t>
                  </w:r>
                </w:p>
                <w:p w14:paraId="0FC902C1" w14:textId="77777777">
                  <w:pPr>
                    <w:ind w:firstLine="567"/>
                    <w:jc w:val="both"/>
                    <w:rPr>
                      <w:szCs w:val="24"/>
                    </w:rPr>
                  </w:pPr>
                  <w:r>
                    <w:rPr>
                      <w:szCs w:val="24"/>
                    </w:rPr>
                    <w:t xml:space="preserve">Įstatymų projektuose siūlomas minimalus 20 darbo vietų skaičius pasirinktas remiantis Investicijų įstatymo 12 straipsnio 2 dalies 7 punkte nustatytu vienu iš valstybės skatinamų investicijų kriterijų – steigiamose naujose darbo vietose įdarbinama ne mažiau kaip 20 asmenų. </w:t>
                  </w:r>
                </w:p>
                <w:p w14:paraId="2A606B1E" w14:textId="77777777">
                  <w:pPr>
                    <w:ind w:firstLine="567"/>
                    <w:jc w:val="both"/>
                    <w:rPr>
                      <w:szCs w:val="24"/>
                    </w:rPr>
                  </w:pPr>
                  <w:r>
                    <w:rPr>
                      <w:szCs w:val="24"/>
                    </w:rPr>
                    <w:t xml:space="preserve">Nustatant minimalaus darbo užmokesčio reikalavimą visoms naujoms darbo vietoms, viršijančioms 20 (ne mažesnį kaip </w:t>
                  </w:r>
                  <w:r>
                    <w:rPr>
                      <w:color w:val="000000"/>
                      <w:szCs w:val="24"/>
                      <w:shd w:val="clear" w:color="auto" w:fill="FFFFFF"/>
                    </w:rPr>
                    <w:t>skelbiamas savivaldybės, kurioje investuojama, vidutinis mėnesinis bruto darbo užmokestis, įskaitant individualias įmones)</w:t>
                  </w:r>
                  <w:r>
                    <w:rPr>
                      <w:szCs w:val="24"/>
                    </w:rPr>
                    <w:t xml:space="preserve">, siekiama, kad jis būtų ne mažesnis nei nustatyta Investicijų įstatymo 12 straipsnio 2 dalies 7 punkte, t. y. ne mažesnis nei skelbiamas </w:t>
                  </w:r>
                  <w:r>
                    <w:rPr>
                      <w:color w:val="000000"/>
                      <w:szCs w:val="24"/>
                      <w:shd w:val="clear" w:color="auto" w:fill="FFFFFF"/>
                    </w:rPr>
                    <w:t>vidutinis mėnesinis bruto darbo užmokestis</w:t>
                  </w:r>
                  <w:r>
                    <w:rPr>
                      <w:szCs w:val="24"/>
                    </w:rPr>
                    <w:t xml:space="preserve">, nustatytas naujai steigiamoms darbo vietoms pagal investicijų sutartį Lietuvos Respublikoje. </w:t>
                  </w:r>
                </w:p>
                <w:p w14:paraId="73B8A458" w14:textId="6D027C1D">
                  <w:pPr>
                    <w:ind w:firstLine="567"/>
                    <w:jc w:val="both"/>
                  </w:pPr>
                  <w:r>
                    <w:t>VšĮ „Investuok Lietuvoje“ atliko 2018-2022 metų laikotarpiu įgyvendinamų 6 apdirbamosios gamybos projektų, kurie į ilgalaikį turtą investavo ne mažiau nei 20 mln. Eur, analizę, kurios pagrindiniai skaičiavimai apibendrinti žemiau pateiktoje lentelėje. Analizuotuose projektuose įdarbintų darbuotojų dalis, kurių DU viršiją tam tikrą ribą:</w:t>
                  </w:r>
                </w:p>
              </w:sdtContent>
            </w:sdt>
            <w:sdt>
              <w:sdtPr>
                <w:alias w:val="1.5 pp."/>
                <w:tag w:val="part_c606e2679ac543b8951be4c4192f81fc"/>
                <w:lock w:val="sdtLocked"/>
                <w:richText/>
              </w:sdtPr>
              <w:sdtContent>
                <w:p w14:paraId="0D85C752" w14:textId="77777777">
                  <w:pPr>
                    <w:jc w:val="both"/>
                  </w:pPr>
                  <w:sdt>
                    <w:sdtPr>
                      <w:alias w:val="Numeris"/>
                      <w:tag w:val="nr_c606e2679ac543b8951be4c4192f81fc"/>
                      <w:lock w:val="sdtLocked"/>
                      <w:richText/>
                    </w:sdtPr>
                    <w:sdtContent>
                      <w:r>
                        <w:t>1.5</w:t>
                      </w:r>
                    </w:sdtContent>
                  </w:sdt>
                  <w:r>
                    <w:t xml:space="preserve"> VDU</w:t>
                    <w:tab/>
                    <w:t>17%</w:t>
                  </w:r>
                </w:p>
              </w:sdtContent>
            </w:sdt>
            <w:sdt>
              <w:sdtPr>
                <w:alias w:val="1.4 pp."/>
                <w:tag w:val="part_85c8d0d8e02f4dddb7f7a20c6017a27f"/>
                <w:lock w:val="sdtLocked"/>
                <w:richText/>
              </w:sdtPr>
              <w:sdtContent>
                <w:p w14:paraId="603C584C" w14:textId="77777777">
                  <w:pPr>
                    <w:jc w:val="both"/>
                  </w:pPr>
                  <w:sdt>
                    <w:sdtPr>
                      <w:alias w:val="Numeris"/>
                      <w:tag w:val="nr_85c8d0d8e02f4dddb7f7a20c6017a27f"/>
                      <w:lock w:val="sdtLocked"/>
                      <w:richText/>
                    </w:sdtPr>
                    <w:sdtContent>
                      <w:r>
                        <w:t>1.4</w:t>
                      </w:r>
                    </w:sdtContent>
                  </w:sdt>
                  <w:r>
                    <w:t xml:space="preserve"> VDU</w:t>
                    <w:tab/>
                    <w:t>20%</w:t>
                  </w:r>
                </w:p>
              </w:sdtContent>
            </w:sdt>
            <w:sdt>
              <w:sdtPr>
                <w:alias w:val="1.3 pp."/>
                <w:tag w:val="part_728924ca2855491f84a62b0c96de27f6"/>
                <w:lock w:val="sdtLocked"/>
                <w:richText/>
              </w:sdtPr>
              <w:sdtContent>
                <w:p w14:paraId="06144EB4" w14:textId="77777777">
                  <w:pPr>
                    <w:jc w:val="both"/>
                  </w:pPr>
                  <w:sdt>
                    <w:sdtPr>
                      <w:alias w:val="Numeris"/>
                      <w:tag w:val="nr_728924ca2855491f84a62b0c96de27f6"/>
                      <w:lock w:val="sdtLocked"/>
                      <w:richText/>
                    </w:sdtPr>
                    <w:sdtContent>
                      <w:r>
                        <w:t>1.3</w:t>
                      </w:r>
                    </w:sdtContent>
                  </w:sdt>
                  <w:r>
                    <w:t xml:space="preserve"> VDU</w:t>
                    <w:tab/>
                    <w:t>24%</w:t>
                  </w:r>
                </w:p>
              </w:sdtContent>
            </w:sdt>
            <w:sdt>
              <w:sdtPr>
                <w:alias w:val="1.25 pp."/>
                <w:tag w:val="part_2da5ac44aff545b2bdea5fe1e0714029"/>
                <w:lock w:val="sdtLocked"/>
                <w:richText/>
              </w:sdtPr>
              <w:sdtContent>
                <w:p w14:paraId="541C02DE" w14:textId="77777777">
                  <w:pPr>
                    <w:jc w:val="both"/>
                  </w:pPr>
                  <w:sdt>
                    <w:sdtPr>
                      <w:alias w:val="Numeris"/>
                      <w:tag w:val="nr_2da5ac44aff545b2bdea5fe1e0714029"/>
                      <w:lock w:val="sdtLocked"/>
                      <w:richText/>
                    </w:sdtPr>
                    <w:sdtContent>
                      <w:r>
                        <w:t>1.25</w:t>
                      </w:r>
                    </w:sdtContent>
                  </w:sdt>
                  <w:r>
                    <w:t xml:space="preserve"> VDU</w:t>
                    <w:tab/>
                    <w:t>27%</w:t>
                  </w:r>
                </w:p>
              </w:sdtContent>
            </w:sdt>
            <w:sdt>
              <w:sdtPr>
                <w:alias w:val="1.2 pp."/>
                <w:tag w:val="part_2d76299bfa8b43e5b8ec22b0d59a8196"/>
                <w:lock w:val="sdtLocked"/>
                <w:richText/>
              </w:sdtPr>
              <w:sdtContent>
                <w:p w14:paraId="51A6D052" w14:textId="77777777">
                  <w:pPr>
                    <w:jc w:val="both"/>
                  </w:pPr>
                  <w:sdt>
                    <w:sdtPr>
                      <w:alias w:val="Numeris"/>
                      <w:tag w:val="nr_2d76299bfa8b43e5b8ec22b0d59a8196"/>
                      <w:lock w:val="sdtLocked"/>
                      <w:richText/>
                    </w:sdtPr>
                    <w:sdtContent>
                      <w:r>
                        <w:t>1.2</w:t>
                      </w:r>
                    </w:sdtContent>
                  </w:sdt>
                  <w:r>
                    <w:t xml:space="preserve"> VDU</w:t>
                    <w:tab/>
                    <w:t>32%</w:t>
                  </w:r>
                </w:p>
                <w:p w14:paraId="21F0B9F0" w14:textId="77777777">
                  <w:pPr>
                    <w:jc w:val="both"/>
                  </w:pPr>
                  <w:r>
                    <w:t>Pavyzdžiui, ne mažesnį nei 1,5 savivaldybės VDU atitinkantį darbo užmokestį gauna tik 17 proc. šiuose projektuose pasamdytų darbuotojų. Tokį arba aukštesnį atlygį gamybos įmonėse paprastai gauna aukšto lygio specialistai ir vadovaujančias pareigas užimantys darbuotojai, tačiau ne visi gamybos procesai reikalauja aukšto lygio kompetencijų, todėl gamybos įmonėse natūralu, kad yra ženklesnė sąlyginai mažesnes pajamas gaunančių darbuotojų dalis.</w:t>
                  </w:r>
                </w:p>
                <w:p w14:paraId="1E49A488" w14:textId="77777777">
                  <w:pPr>
                    <w:jc w:val="both"/>
                  </w:pPr>
                  <w:r>
                    <w:t>Ekstrapoliuojant šios analizės duomenis, buvo įvertintas numanomas vidutinis DU koeficientą atitinkančių darbuotojų skaičius, priklausomai nuo projekto dydžio ir DU koeficiento:</w:t>
                  </w:r>
                </w:p>
                <w:p w14:paraId="621EEB9D" w14:textId="77777777">
                  <w:pPr>
                    <w:jc w:val="both"/>
                    <w:rPr>
                      <w:highlight w:val="green"/>
                    </w:rPr>
                  </w:pPr>
                </w:p>
                <w:p w14:paraId="5741E20A" w14:textId="77777777">
                  <w:pPr>
                    <w:jc w:val="both"/>
                    <w:rPr>
                      <w:highlight w:val="green"/>
                    </w:rPr>
                  </w:pPr>
                  <w:r>
                    <w:rPr>
                      <w:lang w:val="en-US"/>
                    </w:rPr>
                    <w:drawing>
                      <wp:inline distT="0" distB="0" distL="0" distR="0" wp14:anchorId="2E8A44CB" wp14:editId="097DEB6D">
                        <wp:extent cx="5753386" cy="1295400"/>
                        <wp:effectExtent l="0" t="0" r="0" b="0"/>
                        <wp:docPr id="438928870" name="Picture 438928870" descr="A graph with numbers and a green rectangle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8928870" name="Picture 438928870" descr="A graph with numbers and a green rectangle  Description automatically generated"/>
                                <pic:cNvPicPr/>
                              </pic:nvPicPr>
                              <pic:blipFill>
                                <a:blip r:embed="rId10"/>
                                <a:stretch>
                                  <a:fillRect/>
                                </a:stretch>
                              </pic:blipFill>
                              <pic:spPr>
                                <a:xfrm>
                                  <a:off x="0" y="0"/>
                                  <a:ext cx="5761494" cy="1297226"/>
                                </a:xfrm>
                                <a:prstGeom prst="rect">
                                  <a:avLst/>
                                </a:prstGeom>
                              </pic:spPr>
                            </pic:pic>
                          </a:graphicData>
                        </a:graphic>
                      </wp:inline>
                    </w:drawing>
                  </w:r>
                </w:p>
                <w:p w14:paraId="15898B14" w14:textId="77B9D554">
                  <w:pPr>
                    <w:spacing w:line="240" w:lineRule="atLeast"/>
                    <w:ind w:firstLine="567"/>
                    <w:jc w:val="both"/>
                    <w:rPr>
                      <w:highlight w:val="green"/>
                    </w:rPr>
                  </w:pPr>
                  <w:r>
                    <w:rPr>
                      <w:i/>
                      <w:iCs/>
                      <w:color w:val="000000"/>
                      <w:sz w:val="18"/>
                      <w:szCs w:val="18"/>
                    </w:rPr>
                    <w:t>Šaltinis: VšĮ Investuok Lietuvoje skaičiavimai remiantis įstaigos administruojamų projektų pagal TUI Invest LT+ priemonę duomenimis, vidutinis DU koeficientą atitinkančių darbuotojų skaičius, priklausomai nuo projekto dydžio ir koeficiento</w:t>
                  </w:r>
                </w:p>
                <w:p w14:paraId="618F53B6" w14:textId="77777777">
                  <w:pPr>
                    <w:jc w:val="both"/>
                    <w:rPr>
                      <w:highlight w:val="green"/>
                    </w:rPr>
                  </w:pPr>
                </w:p>
                <w:p w14:paraId="58A931E4" w14:textId="1041442F">
                  <w:pPr>
                    <w:ind w:firstLine="567"/>
                    <w:jc w:val="both"/>
                  </w:pPr>
                  <w:r>
                    <w:t>Atkreiptinas dėmesys, kad siūlomi pakeitimai yra orientuoti į mažiau darbo vietų kuriančius (nuo 20 iki 149), bet kapitalui imlius projektus. Tokiems projektams aukšta darbo užmokesčio kartelė 20 darbuotojų būtų sunkiai pasiekiama. Vertinama, kad 1,3 - 1,5 VDU reikalavimo neatitiktų virš pusės iki 80 darbo vietų kuriančių projektų, o dar mažiau darbo vietų kuriantiems projektams toks reikalavimas būtų beveik neįveikiamas. Todėl, aukštesnė nei 1,25 VDU kartelė stipriai apribotų galimybę pasiūlyti konkurencingas paskatas projektams, kad tokie projektai būtų įgyvendinami Lietuvos regionuose. Atsižvelgiant į tai, siūloma nustatyti 1,25 savivaldybės VDU reikalavimą.</w:t>
                  </w:r>
                </w:p>
                <w:p w14:paraId="0BC32582" w14:textId="0BB4B4D7">
                  <w:pPr>
                    <w:ind w:firstLine="567"/>
                    <w:jc w:val="both"/>
                    <w:rPr>
                      <w:color w:val="000000"/>
                      <w:szCs w:val="24"/>
                    </w:rPr>
                  </w:pPr>
                  <w:r>
                    <w:t>DU diferencijavimas pagal savivaldybes yra tikslingas, nes labiau skatina investuotojus rinktis regionus. Vadovaujantis vėliausiais statistikos duomenimis net 56 iš 60 savivaldybių, vidutinis darbo užmokestis yra mažesnis už bendrą šalies vidurkį. Jei darbo užmokesčio reikalavimas nebūtų diferencijuojamas, pavyzdžiui Molėtų r. savivaldybėje besikuriantis investuotojas, siekiantis atitikti 1,25 bendrą šalies vidurkio reikalavimą, turėtų darbuotojams mokėti net 65 proc. daugiau nei savivaldybės, kurioje jis veiktų, vidurkis. Tuo tarpu Vilniaus m. savivaldybėje besikuriantis investuotojas,  nediferencijuojant darbo užmokesčio, galėtų mokėti vos 5 proc. savivaldybės vidurkį pranokstantį darbo užmokestį.</w:t>
                  </w:r>
                </w:p>
                <w:p w14:paraId="1470FFF9" w14:textId="042FB32A">
                  <w:pPr>
                    <w:spacing w:line="240" w:lineRule="atLeast"/>
                    <w:ind w:firstLine="567"/>
                    <w:jc w:val="both"/>
                    <w:rPr>
                      <w:szCs w:val="24"/>
                    </w:rPr>
                  </w:pPr>
                  <w:r>
                    <w:rPr>
                      <w:color w:val="000000"/>
                      <w:szCs w:val="24"/>
                    </w:rPr>
                    <w:t xml:space="preserve">Siekiant suderinti siūlomus pakeitimus su Europos Sąjungos valstybės pagalbos teikimo taisyklėmis, siūloma nustatyti, kad pelno mokesčio lengvata taikoma tiek, kiek ji suderinama su 2014 m. birželio 17 d. Komisijos reglamento </w:t>
                  </w:r>
                  <w:fldSimple w:instr="HYPERLINK http://eur-lex.europa.eu/legal-content/LIT/TXT/?uri=CELEX:32014R0651&amp;locale=lt \t _blank">
                    <w:r>
                      <w:rPr>
                        <w:color w:val="0000FF" w:themeColor="hyperlink"/>
                        <w:szCs w:val="24"/>
                        <w:u w:val="single"/>
                      </w:rPr>
                      <w:t>(ES) Nr. 651/2014</w:t>
                    </w:r>
                  </w:fldSimple>
                  <w:r>
                    <w:rPr>
                      <w:color w:val="000000"/>
                      <w:szCs w:val="24"/>
                    </w:rPr>
                    <w:t xml:space="preserve">, kuriuo tam tikrų kategorijų pagalba skelbiama suderinama su vidaus rinka taikant Sutarties 107 ir 108 straipsnius, nuostatomis (taikoma </w:t>
                  </w:r>
                  <w:r>
                    <w:rPr>
                      <w:szCs w:val="24"/>
                    </w:rPr>
                    <w:t xml:space="preserve">Pelno mokesčio pakeitimo įstatymo </w:t>
                  </w:r>
                  <w:r>
                    <w:rPr>
                      <w:color w:val="000000"/>
                      <w:szCs w:val="24"/>
                    </w:rPr>
                    <w:t>projekte dėstomos 58 straipsnio 16</w:t>
                  </w:r>
                  <w:r>
                    <w:rPr>
                      <w:color w:val="000000"/>
                      <w:szCs w:val="24"/>
                      <w:vertAlign w:val="superscript"/>
                    </w:rPr>
                    <w:t>2</w:t>
                  </w:r>
                  <w:r>
                    <w:rPr>
                      <w:color w:val="000000"/>
                      <w:szCs w:val="24"/>
                    </w:rPr>
                    <w:t xml:space="preserve"> dalies nuostatų atžvilgiu) bei valstybės pagalbos schema suderinta su Europos Komisija pagal </w:t>
                  </w:r>
                  <w:r>
                    <w:rPr>
                      <w:szCs w:val="24"/>
                    </w:rPr>
                    <w:t>2013 m. liepos 23 d. Europos Komisijos komunikato Nr. 2013/C 209/01 „2014–2020 m. regioninės valstybės pagalbos gairės“ sąlygas (</w:t>
                  </w:r>
                  <w:r>
                    <w:rPr>
                      <w:color w:val="000000"/>
                      <w:szCs w:val="24"/>
                    </w:rPr>
                    <w:t xml:space="preserve">taikoma </w:t>
                  </w:r>
                  <w:r>
                    <w:rPr>
                      <w:szCs w:val="24"/>
                    </w:rPr>
                    <w:t xml:space="preserve">Pelno mokesčio pakeitimo įstatymo </w:t>
                  </w:r>
                  <w:r>
                    <w:rPr>
                      <w:color w:val="000000"/>
                      <w:szCs w:val="24"/>
                    </w:rPr>
                    <w:t>projekte dėstomos 58 straipsnio 16</w:t>
                  </w:r>
                  <w:r>
                    <w:rPr>
                      <w:color w:val="000000"/>
                      <w:szCs w:val="24"/>
                      <w:vertAlign w:val="superscript"/>
                    </w:rPr>
                    <w:t>3</w:t>
                  </w:r>
                  <w:r>
                    <w:rPr>
                      <w:color w:val="000000"/>
                      <w:szCs w:val="24"/>
                    </w:rPr>
                    <w:t xml:space="preserve"> dalies atžvilgiu). Europos Komisija turės būti informuota teikiant pranešimą apie priimtą pakeitimą apie valstybės pagalbą, kuriai taikoma išimtis, priėmus Pelno mokesčio ir Investicijų įstatymų pakeitimus.</w:t>
                  </w:r>
                </w:p>
                <w:p w14:paraId="4E18B7B7" w14:textId="77777777">
                  <w:pPr>
                    <w:spacing w:line="240" w:lineRule="atLeast"/>
                    <w:ind w:firstLine="567"/>
                    <w:jc w:val="both"/>
                    <w:rPr>
                      <w:caps/>
                      <w:color w:val="000000"/>
                      <w:szCs w:val="24"/>
                    </w:rPr>
                  </w:pPr>
                  <w:r>
                    <w:rPr>
                      <w:color w:val="000000"/>
                      <w:szCs w:val="24"/>
                    </w:rPr>
                    <w:t>Įstatymų pakeitimų projektais siūlomi Stambaus projekto kriterijai leistų orientuotis į itin aukštos pridėtinės vertės projektus, kuriančius mažiau bet aukštos kvalifikacijos darbo vietų nei numato iki šiol galiojanti teisinio reguliavimo taikymo aprėptis.</w:t>
                  </w:r>
                </w:p>
                <w:p w14:paraId="254CD387" w14:textId="77777777">
                  <w:pPr>
                    <w:spacing w:line="240" w:lineRule="atLeast"/>
                    <w:ind w:firstLine="567"/>
                    <w:jc w:val="both"/>
                    <w:rPr>
                      <w:szCs w:val="24"/>
                    </w:rPr>
                  </w:pPr>
                  <w:r>
                    <w:rPr>
                      <w:szCs w:val="24"/>
                    </w:rPr>
                    <w:t xml:space="preserve">Tiek teorija, tiek empiriniai duomenys rodo, kad aukštesniu našumu pasižymi kapitalui, o ne darbo jėgai imlūs projektai, t. y. </w:t>
                  </w:r>
                  <w:r>
                    <w:rPr>
                      <w:color w:val="000000"/>
                      <w:szCs w:val="24"/>
                    </w:rPr>
                    <w:t>tikslingiau</w:t>
                  </w:r>
                  <w:r>
                    <w:rPr>
                      <w:szCs w:val="24"/>
                    </w:rPr>
                    <w:t xml:space="preserve"> orientuotis į aukštą investicijų į ilgalaikį turtą lygį, nei darbo vietų skaičių. Atsižvelgiant į tai siūlomame įstatymų projekte nemažinami reikalavimai investicijoms, tik didinamas lankstumas darbo vietų atžvilgiu. Vertinama, kad įgyvendinus įstatymo pakeitimus valdžios sektorius nepatirtų pajamų iš pelno mokesčio praradimų. Priešingai, atsirastų galimybė surinkti daugiau pajamų kitų mokesčių pavidalu ir netgi surinkti daugiau pelno mokesčio, kitoms Lietuvos įmonėms pelnantis iš augančios paklausos jų prekėms ir pasaugoms (dėl </w:t>
                  </w:r>
                  <w:r>
                    <w:rPr>
                      <w:color w:val="000000"/>
                      <w:szCs w:val="24"/>
                    </w:rPr>
                    <w:t>augančio</w:t>
                  </w:r>
                  <w:r>
                    <w:rPr>
                      <w:szCs w:val="24"/>
                    </w:rPr>
                    <w:t xml:space="preserve"> tarpinio vartojimo, naujoms investicijoms atėjus į Lietuvą). Nauda valstybės biudžetui – kuriantis naujoms darbo vietoms, plečiasi fizinių mokesčių mokėtojų bazė. Tuo atveju, jei naudojantis stambių projektų lengvata bus pasiekta valstybės pagalbos sumos riba (pagal BBIR taikomos lubos), stambių projektų vykdytojai turės sumokėti lubas viršijančią mokesčių dalį. Aktualus ir multiplikatoriaus efektas, t. y. didelių verslų tarpinis vartojimas, pirkdami prekes ir paslaugas verslai jas perka iš vietos tiekėjų. Atitinkamai tiekėjų mokesčiai didėja dėl didesnių apyvartų.</w:t>
                  </w:r>
                </w:p>
                <w:p w14:paraId="0F5BB90A" w14:textId="77777777">
                  <w:pPr>
                    <w:spacing w:line="240" w:lineRule="atLeast"/>
                    <w:ind w:firstLine="567"/>
                    <w:jc w:val="both"/>
                    <w:rPr>
                      <w:color w:val="000000"/>
                      <w:szCs w:val="24"/>
                    </w:rPr>
                  </w:pPr>
                  <w:r>
                    <w:rPr>
                      <w:color w:val="000000"/>
                      <w:szCs w:val="24"/>
                    </w:rPr>
                    <w:t>Vienam darbuotojui tenkantis kapitalo investicijų dydis Įstatymų projektuose nustatytus kriterijus atitinkančiuose projektuose siektų ne mažiau nei 134 tūkst. Eur (minimali Stambaus projekto kapitalo investicijų suma tenkanti viršutinei sukuriamų darbo vietų ribai). Palyginimui, viso Lietuvos apdirbamosios gamybos sektoriaus atitinkamas rodiklis 2020 metais siekė vos 40 tūkst. Eur</w:t>
                  </w:r>
                  <w:r>
                    <w:rPr>
                      <w:color w:val="000000"/>
                      <w:szCs w:val="24"/>
                      <w:vertAlign w:val="superscript"/>
                    </w:rPr>
                    <w:footnoteReference w:id="2"/>
                  </w:r>
                  <w:r>
                    <w:rPr>
                      <w:color w:val="000000"/>
                      <w:szCs w:val="24"/>
                    </w:rPr>
                    <w:t>. Tai leidžia daryti išvadą, kad projektai į kuriuos nukreipti Įstatymo projektais siūlomi pakeitimai būtų daugiau nei 3 kartus imlesni kapitalui už visą Lietuvos apdirbamosios gamybos sektorių.</w:t>
                  </w:r>
                </w:p>
                <w:p w14:paraId="4CD663B0" w14:textId="77777777">
                  <w:pPr>
                    <w:spacing w:line="240" w:lineRule="atLeast"/>
                    <w:ind w:firstLine="567"/>
                    <w:jc w:val="both"/>
                    <w:rPr>
                      <w:color w:val="000000"/>
                      <w:szCs w:val="24"/>
                    </w:rPr>
                  </w:pPr>
                  <w:r>
                    <w:rPr>
                      <w:color w:val="000000"/>
                      <w:szCs w:val="24"/>
                    </w:rPr>
                    <w:t>Aukštas projekto imlumas kapitalui lemia dvi itin svarbias ekonominio naudingumo savybes:</w:t>
                  </w:r>
                </w:p>
                <w:sdt>
                  <w:sdtPr>
                    <w:alias w:val="1.2 pp. 1 pp."/>
                    <w:tag w:val="part_13e68d671586434a96c93d0895b56713"/>
                    <w:lock w:val="sdtLocked"/>
                    <w:richText/>
                  </w:sdtPr>
                  <w:sdtContent>
                    <w:p w14:paraId="57BB3379" w14:textId="77777777">
                      <w:pPr>
                        <w:spacing w:line="240" w:lineRule="atLeast"/>
                        <w:ind w:firstLine="540"/>
                        <w:jc w:val="both"/>
                        <w:rPr>
                          <w:color w:val="000000"/>
                          <w:szCs w:val="24"/>
                        </w:rPr>
                      </w:pPr>
                      <w:sdt>
                        <w:sdtPr>
                          <w:alias w:val="Numeris"/>
                          <w:tag w:val="nr_13e68d671586434a96c93d0895b56713"/>
                          <w:lock w:val="sdtLocked"/>
                          <w:richText/>
                        </w:sdtPr>
                        <w:sdtContent>
                          <w:r>
                            <w:rPr>
                              <w:color w:val="000000"/>
                            </w:rPr>
                            <w:t>1</w:t>
                          </w:r>
                        </w:sdtContent>
                      </w:sdt>
                      <w:r>
                        <w:rPr>
                          <w:color w:val="000000"/>
                        </w:rPr>
                        <w:t>)</w:t>
                        <w:tab/>
                      </w:r>
                      <w:r>
                        <w:rPr>
                          <w:b/>
                          <w:color w:val="000000"/>
                          <w:szCs w:val="24"/>
                        </w:rPr>
                        <w:t>aukštą darbuotojų produktyvumą</w:t>
                      </w:r>
                      <w:r>
                        <w:rPr>
                          <w:color w:val="000000"/>
                          <w:szCs w:val="24"/>
                        </w:rPr>
                        <w:t>. Produktyvumas yra glaudžiai susijęs su projekto imlumu kapitalui, nes kuo daugiau investicijų į ilgalaikį turtą tenka vienam darbuotojui, tuo labiau automatizuotas gamybos procesas ir tuo daugiau pridėtinės vertės gali sukurti vienas darbuotojas. Tai patvirtina ir empiriniai duomenys. Nagrinėjant Europos Sąjungos šalių ūkio šakų darbuotojų produktyvumą, aiškiai matoma jo priklausomybė nuo imlumo kapitalui.</w:t>
                      </w:r>
                    </w:p>
                    <w:p w14:paraId="43B28F4F" w14:textId="77777777">
                      <w:pPr>
                        <w:spacing w:line="240" w:lineRule="atLeast"/>
                        <w:ind w:firstLine="567"/>
                        <w:jc w:val="both"/>
                        <w:rPr>
                          <w:color w:val="000000"/>
                          <w:szCs w:val="24"/>
                        </w:rPr>
                      </w:pPr>
                    </w:p>
                    <w:p w14:paraId="49B0EEC9" w14:textId="7A0B2C0A">
                      <w:pPr>
                        <w:spacing w:line="240" w:lineRule="atLeast"/>
                        <w:ind w:firstLine="567"/>
                        <w:jc w:val="both"/>
                        <w:rPr>
                          <w:color w:val="000000"/>
                          <w:szCs w:val="24"/>
                        </w:rPr>
                      </w:pPr>
                      <w:r>
                        <w:rPr>
                          <w:color w:val="000000"/>
                          <w:szCs w:val="24"/>
                          <w:lang w:val="en-US"/>
                        </w:rPr>
                        <w:drawing>
                          <wp:anchor distT="0" distB="0" distL="114300" distR="114300" simplePos="0" relativeHeight="251658240" behindDoc="0" locked="0" layoutInCell="1" allowOverlap="1" wp14:anchorId="4CD1FA69" wp14:editId="2E806A4F">
                            <wp:simplePos x="1438275" y="5067300"/>
                            <wp:positionH relativeFrom="column">
                              <wp:align>left</wp:align>
                            </wp:positionH>
                            <wp:positionV relativeFrom="paragraph">
                              <wp:align>top</wp:align>
                            </wp:positionV>
                            <wp:extent cx="4398095" cy="3556623"/>
                            <wp:effectExtent l="0" t="0" r="2540" b="6350"/>
                            <wp:wrapSquare wrapText="bothSides"/>
                            <wp:docPr id="1" name="Chart 1">
                              <a:extLst xmlns:a="http://schemas.openxmlformats.org/drawingml/2006/main">
                                <a:ext uri="{FF2B5EF4-FFF2-40B4-BE49-F238E27FC236}">
                                  <a16:creationId xmlns:a16="http://schemas.microsoft.com/office/drawing/2014/main" id="{9FD7058B-11E2-B6E8-1A9E-FD296E927DD3}"/>
                                </a:ext>
                              </a:extLst>
                            </wp:docPr>
                            <wp:cNvGraphicFramePr/>
                            <a:graphic xmlns:a="http://schemas.openxmlformats.org/drawingml/2006/main">
                              <a:graphicData uri="http://schemas.openxmlformats.org/drawingml/2006/chart">
                                <c:chart xmlns:c="http://schemas.openxmlformats.org/drawingml/2006/chart" r:id="rId12"/>
                              </a:graphicData>
                            </a:graphic>
                          </wp:anchor>
                        </w:drawing>
                      </w:r>
                      <w:r>
                        <w:rPr>
                          <w:color w:val="000000"/>
                          <w:szCs w:val="24"/>
                        </w:rPr>
                        <w:br w:type="textWrapping" w:clear="all"/>
                      </w:r>
                      <w:r>
                        <w:rPr>
                          <w:i/>
                          <w:iCs/>
                          <w:color w:val="000000"/>
                          <w:sz w:val="18"/>
                          <w:szCs w:val="18"/>
                        </w:rPr>
                        <w:t>Šaltinis: Eurostat, grafike esantys taškai atspindi skirtingų ES apdiriamosios gamybos ūkio šakų parametrus</w:t>
                      </w:r>
                    </w:p>
                    <w:p w14:paraId="23C57B73" w14:textId="77777777">
                      <w:pPr>
                        <w:spacing w:line="240" w:lineRule="atLeast"/>
                        <w:ind w:firstLine="567"/>
                        <w:jc w:val="both"/>
                        <w:rPr>
                          <w:color w:val="000000"/>
                          <w:szCs w:val="24"/>
                        </w:rPr>
                      </w:pPr>
                    </w:p>
                  </w:sdtContent>
                </w:sdt>
                <w:sdt>
                  <w:sdtPr>
                    <w:alias w:val="1.2 pp. 2 pp."/>
                    <w:tag w:val="part_f4a6abf39ae444459c33423a36825f5c"/>
                    <w:lock w:val="sdtLocked"/>
                    <w:richText/>
                  </w:sdtPr>
                  <w:sdtContent>
                    <w:p w14:paraId="6A1DA9DD" w14:textId="77777777">
                      <w:pPr>
                        <w:spacing w:line="240" w:lineRule="atLeast"/>
                        <w:ind w:firstLine="540"/>
                        <w:jc w:val="both"/>
                        <w:rPr>
                          <w:color w:val="000000"/>
                          <w:szCs w:val="24"/>
                        </w:rPr>
                      </w:pPr>
                      <w:sdt>
                        <w:sdtPr>
                          <w:alias w:val="Numeris"/>
                          <w:tag w:val="nr_f4a6abf39ae444459c33423a36825f5c"/>
                          <w:lock w:val="sdtLocked"/>
                          <w:richText/>
                        </w:sdtPr>
                        <w:sdtContent>
                          <w:r>
                            <w:rPr>
                              <w:color w:val="000000"/>
                            </w:rPr>
                            <w:t>2</w:t>
                          </w:r>
                        </w:sdtContent>
                      </w:sdt>
                      <w:r>
                        <w:rPr>
                          <w:color w:val="000000"/>
                        </w:rPr>
                        <w:t>)</w:t>
                        <w:tab/>
                      </w:r>
                      <w:r>
                        <w:rPr>
                          <w:b/>
                          <w:color w:val="000000"/>
                          <w:szCs w:val="24"/>
                        </w:rPr>
                        <w:t>aukštą tarpinį vartojimą</w:t>
                      </w:r>
                      <w:r>
                        <w:rPr>
                          <w:color w:val="000000"/>
                          <w:szCs w:val="24"/>
                        </w:rPr>
                        <w:t>. Didesnės vertės ir pajėgumų įranga tenkanti vienam darbuotojui taip pat lemia didesnius</w:t>
                      </w:r>
                      <w:r>
                        <w:rPr>
                          <w:bCs/>
                          <w:color w:val="000000"/>
                          <w:szCs w:val="24"/>
                        </w:rPr>
                        <w:t xml:space="preserve"> </w:t>
                      </w:r>
                      <w:r>
                        <w:rPr>
                          <w:color w:val="000000"/>
                          <w:szCs w:val="24"/>
                        </w:rPr>
                        <w:t>žaliavų apdorojimo kiekius. Tai yra, aukštesnis imlumas kapitalui lemia ir didesnį tarpinių prekių vartojimą tenkantį vienam darbuotojui. Vartodamas tarpines prekes ir paslaugas verslas bent dalį jų perka iš vietinių tiekėjų, taip dar labiau paskatindamas šalies ūkį. Statistiniai duomenys taip pat rodo stiprią ūkio šakų tarpinio vartojimo tenkančio vienam darbuotojui priklausomybę nuo jų imlumo kapitalui.</w:t>
                      </w:r>
                    </w:p>
                    <w:p w14:paraId="0F0A813E" w14:textId="77777777">
                      <w:pPr>
                        <w:spacing w:line="240" w:lineRule="atLeast"/>
                        <w:ind w:firstLine="567"/>
                        <w:jc w:val="both"/>
                        <w:rPr>
                          <w:color w:val="000000"/>
                          <w:szCs w:val="24"/>
                        </w:rPr>
                      </w:pPr>
                      <w:r>
                        <w:rPr>
                          <w:color w:val="000000"/>
                          <w:szCs w:val="24"/>
                          <w:lang w:val="en-US"/>
                        </w:rPr>
                        <w:drawing>
                          <wp:inline distT="0" distB="0" distL="0" distR="0" wp14:anchorId="0F7B29DA" wp14:editId="030138CF">
                            <wp:extent cx="4889479" cy="4014787"/>
                            <wp:effectExtent l="0" t="0" r="6985" b="5080"/>
                            <wp:docPr id="2" name="Chart 2">
                              <a:extLst xmlns:a="http://schemas.openxmlformats.org/drawingml/2006/main">
                                <a:ext uri="{FF2B5EF4-FFF2-40B4-BE49-F238E27FC236}">
                                  <a16:creationId xmlns:a16="http://schemas.microsoft.com/office/drawing/2014/main" id="{B0121608-D264-06D2-561F-9BA5A05E14EF}"/>
                                </a:ext>
                              </a:extLst>
                            </wp:docPr>
                            <wp:cNvGraphicFramePr/>
                            <a:graphic xmlns:a="http://schemas.openxmlformats.org/drawingml/2006/main">
                              <a:graphicData uri="http://schemas.openxmlformats.org/drawingml/2006/chart">
                                <c:chart xmlns:c="http://schemas.openxmlformats.org/drawingml/2006/chart" r:id="rId13"/>
                              </a:graphicData>
                            </a:graphic>
                          </wp:inline>
                        </w:drawing>
                      </w:r>
                    </w:p>
                    <w:p w14:paraId="210CE7F7" w14:textId="77777777">
                      <w:pPr>
                        <w:spacing w:line="240" w:lineRule="atLeast"/>
                        <w:ind w:firstLine="567"/>
                        <w:jc w:val="both"/>
                        <w:rPr>
                          <w:i/>
                          <w:iCs/>
                          <w:color w:val="000000"/>
                          <w:sz w:val="18"/>
                          <w:szCs w:val="18"/>
                        </w:rPr>
                      </w:pPr>
                      <w:r>
                        <w:rPr>
                          <w:i/>
                          <w:iCs/>
                          <w:color w:val="000000"/>
                          <w:sz w:val="18"/>
                          <w:szCs w:val="18"/>
                        </w:rPr>
                        <w:t>Šaltinis: Eurostat, grafike esantys taškai atspindi skirtingų ES apdiriamosios gamybos ūkio šakų parametrus</w:t>
                      </w:r>
                    </w:p>
                    <w:p w14:paraId="072BAA4D" w14:textId="77777777">
                      <w:pPr>
                        <w:jc w:val="both"/>
                        <w:rPr>
                          <w:szCs w:val="24"/>
                          <w:lang w:eastAsia="lt-LT"/>
                        </w:rPr>
                      </w:pPr>
                    </w:p>
                    <w:p w14:paraId="31310EF6" w14:textId="77777777">
                      <w:pPr>
                        <w:ind w:firstLine="567"/>
                        <w:jc w:val="both"/>
                        <w:rPr>
                          <w:szCs w:val="24"/>
                        </w:rPr>
                      </w:pPr>
                      <w:r>
                        <w:rPr>
                          <w:szCs w:val="24"/>
                        </w:rPr>
                        <w:t>Galiojančio Investicijų įstatymo 15</w:t>
                      </w:r>
                      <w:r>
                        <w:rPr>
                          <w:szCs w:val="24"/>
                          <w:vertAlign w:val="superscript"/>
                        </w:rPr>
                        <w:t>4</w:t>
                      </w:r>
                      <w:r>
                        <w:rPr>
                          <w:szCs w:val="24"/>
                        </w:rPr>
                        <w:t xml:space="preserve"> straipsnio 9 dalyje įtvirtinta, kad įsigaliojus stambaus projekto investicijų sutarčiai, kuria numatoma įgyvendinti stambų projektą iš anksto savivaldybės suplanuotoje teritorijoje, ir įtraukus stambų projektą į stambių projektų sąrašą, ne anksčiau kaip kitais biudžetiniais metais po stambaus projekto investicijų sutarties įsigaliojimo gali būti skiriama speciali tikslinė iki 5 procentų stambaus projekto vertės valstybės biudžeto dotacija savivaldybės biudžetui savivaldybės</w:t>
                      </w:r>
                      <w:r>
                        <w:rPr>
                          <w:i/>
                          <w:szCs w:val="24"/>
                        </w:rPr>
                        <w:t xml:space="preserve"> viešajai infrastruktūrai plėtoti</w:t>
                      </w:r>
                      <w:r>
                        <w:rPr>
                          <w:szCs w:val="24"/>
                        </w:rPr>
                        <w:t>. Atsižvelgiant į tai, ir siekiant teisinio aiškumo, Investicijų įstatymo pakeitimo įstatymo projektu siūloma patikslinti minėtą dalį ir nustatyti, kad Lietuvos Respublikos ekonomikos ir inovacijų ministras nustato valstybės biudžeto specialios tikslinės dotacijos savivaldybės biudžetui</w:t>
                      </w:r>
                      <w:r>
                        <w:rPr>
                          <w:sz w:val="20"/>
                          <w:lang w:val="en-GB"/>
                        </w:rPr>
                        <w:t xml:space="preserve"> </w:t>
                      </w:r>
                      <w:r>
                        <w:rPr>
                          <w:szCs w:val="24"/>
                        </w:rPr>
                        <w:t xml:space="preserve">savivaldybės </w:t>
                      </w:r>
                      <w:r>
                        <w:rPr>
                          <w:i/>
                          <w:szCs w:val="24"/>
                        </w:rPr>
                        <w:t>viešajai infrastruktūrai plėtoti</w:t>
                      </w:r>
                      <w:r>
                        <w:rPr>
                          <w:szCs w:val="24"/>
                        </w:rPr>
                        <w:t xml:space="preserve"> skyrimo, grąžinimo ir apskaičiavimo tvarką nustato. </w:t>
                      </w:r>
                    </w:p>
                    <w:p w14:paraId="4217B5AE" w14:textId="77777777">
                      <w:pPr>
                        <w:jc w:val="both"/>
                        <w:rPr>
                          <w:szCs w:val="24"/>
                          <w:lang w:eastAsia="lt-LT"/>
                        </w:rPr>
                      </w:pPr>
                    </w:p>
                  </w:sdtContent>
                </w:sdt>
              </w:sdtContent>
            </w:sdt>
          </w:sdtContent>
        </w:sdt>
        <w:sdt>
          <w:sdtPr>
            <w:alias w:val="5 p."/>
            <w:tag w:val="part_d414e3f1e45141a68aad3ef42ae619c7"/>
            <w:lock w:val="sdtLocked"/>
            <w:richText/>
          </w:sdtPr>
          <w:sdtContent>
            <w:p w14:paraId="22A1A489" w14:textId="77777777">
              <w:pPr>
                <w:ind w:firstLine="567"/>
                <w:jc w:val="both"/>
                <w:rPr>
                  <w:b/>
                  <w:szCs w:val="24"/>
                </w:rPr>
              </w:pPr>
              <w:sdt>
                <w:sdtPr>
                  <w:alias w:val="Numeris"/>
                  <w:tag w:val="nr_d414e3f1e45141a68aad3ef42ae619c7"/>
                  <w:lock w:val="sdtLocked"/>
                  <w:richText/>
                </w:sdtPr>
                <w:sdtContent>
                  <w:r>
                    <w:rPr>
                      <w:b/>
                      <w:szCs w:val="24"/>
                    </w:rPr>
                    <w:t>5</w:t>
                  </w:r>
                </w:sdtContent>
              </w:sdt>
              <w:r>
                <w:rPr>
                  <w:b/>
                  <w:szCs w:val="24"/>
                </w:rPr>
                <w:t>.</w:t>
              </w:r>
              <w:r>
                <w:rPr>
                  <w:b/>
                  <w:i/>
                  <w:szCs w:val="24"/>
                </w:rPr>
                <w:t xml:space="preserve"> </w:t>
              </w:r>
              <w:r>
                <w:rPr>
                  <w:b/>
                  <w:szCs w:val="24"/>
                </w:rPr>
                <w:t xml:space="preserve">Numatomo teisinio reguliavimo poveikio vertinimo rezultatai (jeigu rengiant Įstatymų projektus toks vertinimas turi būti atliktas ir jo rezultatai nepateikiami atskiru dokumentu), galimos neigiamos priimtų įstatymų pasekmės ir kokių priemonių reikėtų imtis, kad tokių pasekmių būtų išvengta </w:t>
              </w:r>
            </w:p>
            <w:p w14:paraId="2E31EAD2" w14:textId="77777777">
              <w:pPr>
                <w:tabs>
                  <w:tab w:val="left" w:pos="426"/>
                </w:tabs>
                <w:ind w:firstLine="567"/>
                <w:jc w:val="both"/>
                <w:rPr>
                  <w:szCs w:val="24"/>
                </w:rPr>
              </w:pPr>
              <w:r>
                <w:rPr>
                  <w:szCs w:val="24"/>
                </w:rPr>
                <w:t xml:space="preserve">Priėmus įstatymus, neigiamų pasekmių nenumatoma. Numatomo teisinio reguliavimo poveikio vertinimas parengtas. </w:t>
              </w:r>
            </w:p>
            <w:p w14:paraId="4C0A45F7" w14:textId="77777777">
              <w:pPr>
                <w:ind w:firstLine="567"/>
                <w:jc w:val="both"/>
                <w:rPr>
                  <w:szCs w:val="24"/>
                </w:rPr>
              </w:pPr>
            </w:p>
          </w:sdtContent>
        </w:sdt>
        <w:sdt>
          <w:sdtPr>
            <w:alias w:val="6 p."/>
            <w:tag w:val="part_9d9d24cc93004dbca90bed6d1dbb4b40"/>
            <w:lock w:val="sdtLocked"/>
            <w:richText/>
          </w:sdtPr>
          <w:sdtContent>
            <w:p w14:paraId="412B001A" w14:textId="77777777">
              <w:pPr>
                <w:ind w:firstLine="567"/>
                <w:jc w:val="both"/>
                <w:rPr>
                  <w:b/>
                  <w:szCs w:val="24"/>
                </w:rPr>
              </w:pPr>
              <w:sdt>
                <w:sdtPr>
                  <w:alias w:val="Numeris"/>
                  <w:tag w:val="nr_9d9d24cc93004dbca90bed6d1dbb4b40"/>
                  <w:lock w:val="sdtLocked"/>
                  <w:richText/>
                </w:sdtPr>
                <w:sdtContent>
                  <w:r>
                    <w:rPr>
                      <w:b/>
                      <w:szCs w:val="24"/>
                    </w:rPr>
                    <w:t>6</w:t>
                  </w:r>
                </w:sdtContent>
              </w:sdt>
              <w:r>
                <w:rPr>
                  <w:b/>
                  <w:szCs w:val="24"/>
                </w:rPr>
                <w:t>. Kokią įtaką priimti įstatymai turės kriminogeninei situacijai, korupcijai</w:t>
              </w:r>
            </w:p>
            <w:p w14:paraId="29AFCA73" w14:textId="77777777">
              <w:pPr>
                <w:ind w:firstLine="567"/>
                <w:jc w:val="both"/>
                <w:rPr>
                  <w:szCs w:val="24"/>
                </w:rPr>
              </w:pPr>
              <w:r>
                <w:rPr>
                  <w:szCs w:val="24"/>
                </w:rPr>
                <w:t xml:space="preserve">Priimti Įstatymų projektai įtakos kriminogeninei situacijai ir korupcijai neturės. </w:t>
              </w:r>
            </w:p>
            <w:p w14:paraId="57F671EC" w14:textId="77777777">
              <w:pPr>
                <w:ind w:firstLine="567"/>
                <w:jc w:val="both"/>
                <w:rPr>
                  <w:b/>
                  <w:szCs w:val="24"/>
                </w:rPr>
              </w:pPr>
            </w:p>
          </w:sdtContent>
        </w:sdt>
        <w:sdt>
          <w:sdtPr>
            <w:alias w:val="7 p."/>
            <w:tag w:val="part_0093c4beddeb4cb2a9e225fdbfc03167"/>
            <w:lock w:val="sdtLocked"/>
            <w:richText/>
          </w:sdtPr>
          <w:sdtContent>
            <w:p w14:paraId="247D43E7" w14:textId="77777777">
              <w:pPr>
                <w:ind w:firstLine="567"/>
                <w:jc w:val="both"/>
                <w:rPr>
                  <w:b/>
                  <w:szCs w:val="24"/>
                </w:rPr>
              </w:pPr>
              <w:sdt>
                <w:sdtPr>
                  <w:alias w:val="Numeris"/>
                  <w:tag w:val="nr_0093c4beddeb4cb2a9e225fdbfc03167"/>
                  <w:lock w:val="sdtLocked"/>
                  <w:richText/>
                </w:sdtPr>
                <w:sdtContent>
                  <w:r>
                    <w:rPr>
                      <w:b/>
                      <w:szCs w:val="24"/>
                    </w:rPr>
                    <w:t>7</w:t>
                  </w:r>
                </w:sdtContent>
              </w:sdt>
              <w:r>
                <w:rPr>
                  <w:b/>
                  <w:szCs w:val="24"/>
                </w:rPr>
                <w:t>. Kaip įstatymų įgyvendinimas atsilieps verslo sąlygoms ir jo plėtrai</w:t>
              </w:r>
            </w:p>
            <w:p w14:paraId="74A2AE3C" w14:textId="77777777">
              <w:pPr>
                <w:ind w:firstLine="567"/>
                <w:jc w:val="both"/>
                <w:rPr>
                  <w:szCs w:val="24"/>
                </w:rPr>
              </w:pPr>
              <w:r>
                <w:rPr>
                  <w:szCs w:val="24"/>
                </w:rPr>
                <w:t xml:space="preserve">Priimti Įstatymų projektai turės teigiamą įtaką verslo sąlygoms ir jo plėtrai. Lengvatos taikomos stambiems projektams aprėps ir itin aukštos pridėtinės vertės projektus kuriančius mažiau darbo vietų, nei numato šiuo metu galiojantis reguliavimas. Priėmus Įstatymų projektus taip pat pagerėtų Lietuvos Respublikos pozicijos konkuruojant su kitomis Europos Sąjungos valstybėmis dėl Stambių projektų. Įstatymų projektai teigiamai paveiktų tiek užsienio, tiek Lietuvos kapitalo investicijas. </w:t>
              </w:r>
            </w:p>
            <w:p w14:paraId="20033247" w14:textId="77777777">
              <w:pPr>
                <w:ind w:firstLine="567"/>
                <w:jc w:val="both"/>
                <w:rPr>
                  <w:szCs w:val="24"/>
                </w:rPr>
              </w:pPr>
            </w:p>
          </w:sdtContent>
        </w:sdt>
        <w:sdt>
          <w:sdtPr>
            <w:alias w:val="8 p."/>
            <w:tag w:val="part_a6f9f3973b174429b1dc6ac37df7560c"/>
            <w:lock w:val="sdtLocked"/>
            <w:richText/>
          </w:sdtPr>
          <w:sdtContent>
            <w:p w14:paraId="35AC98A6" w14:textId="77777777">
              <w:pPr>
                <w:ind w:firstLine="567"/>
                <w:jc w:val="both"/>
                <w:rPr>
                  <w:b/>
                  <w:szCs w:val="24"/>
                </w:rPr>
              </w:pPr>
              <w:sdt>
                <w:sdtPr>
                  <w:alias w:val="Numeris"/>
                  <w:tag w:val="nr_a6f9f3973b174429b1dc6ac37df7560c"/>
                  <w:lock w:val="sdtLocked"/>
                  <w:richText/>
                </w:sdtPr>
                <w:sdtContent>
                  <w:r>
                    <w:rPr>
                      <w:b/>
                      <w:szCs w:val="24"/>
                    </w:rPr>
                    <w:t>8</w:t>
                  </w:r>
                </w:sdtContent>
              </w:sdt>
              <w:r>
                <w:rPr>
                  <w:b/>
                  <w:szCs w:val="24"/>
                </w:rPr>
                <w:t>. Įstatymų inkorporavimas į teisinę sistemą, kokius teisės aktus būtina priimti, kokius galiojančius teisės aktus reikia pakeisti ar pripažinti netekusiais galios</w:t>
              </w:r>
            </w:p>
            <w:p w14:paraId="3968DD64" w14:textId="77777777">
              <w:pPr>
                <w:ind w:firstLine="567"/>
                <w:jc w:val="both"/>
                <w:rPr>
                  <w:szCs w:val="24"/>
                </w:rPr>
              </w:pPr>
              <w:r>
                <w:rPr>
                  <w:szCs w:val="24"/>
                </w:rPr>
                <w:t>Siekiant Įstatymų projektais siūlomus pakeitimus įtraukti į teisinę sistemą, priimti naujų, pakeisti ar pripažinti netekusiais galios galiojančių įstatymų nereikės.</w:t>
              </w:r>
            </w:p>
            <w:p w14:paraId="07020AF1" w14:textId="77777777">
              <w:pPr>
                <w:ind w:firstLine="567"/>
                <w:jc w:val="both"/>
                <w:rPr>
                  <w:szCs w:val="24"/>
                </w:rPr>
              </w:pPr>
            </w:p>
          </w:sdtContent>
        </w:sdt>
        <w:sdt>
          <w:sdtPr>
            <w:alias w:val="9 p."/>
            <w:tag w:val="part_6f4e6fdda34f42cdbecd7bf4db590b7f"/>
            <w:lock w:val="sdtLocked"/>
            <w:richText/>
          </w:sdtPr>
          <w:sdtContent>
            <w:p w14:paraId="746A6935" w14:textId="77777777">
              <w:pPr>
                <w:ind w:firstLine="567"/>
                <w:jc w:val="both"/>
                <w:rPr>
                  <w:b/>
                  <w:szCs w:val="24"/>
                </w:rPr>
              </w:pPr>
              <w:sdt>
                <w:sdtPr>
                  <w:alias w:val="Numeris"/>
                  <w:tag w:val="nr_6f4e6fdda34f42cdbecd7bf4db590b7f"/>
                  <w:lock w:val="sdtLocked"/>
                  <w:richText/>
                </w:sdtPr>
                <w:sdtContent>
                  <w:r>
                    <w:rPr>
                      <w:b/>
                      <w:szCs w:val="24"/>
                    </w:rPr>
                    <w:t>9</w:t>
                  </w:r>
                </w:sdtContent>
              </w:sdt>
              <w:r>
                <w:rPr>
                  <w:b/>
                  <w:szCs w:val="24"/>
                </w:rPr>
                <w:t>. Ar Įstatymų projektai parengti laikantis Lietuvos Respublikos valstybinės kalbos, Teisėkūros pagrindų įstatymų reikalavimų, o Įstatymų projektų sąvokos ir jas įvardijantys terminai įvertinti Terminų banko įstatymo ir jo įgyvendinamųjų teisės aktų nustatyta tvarka</w:t>
              </w:r>
            </w:p>
            <w:p w14:paraId="31531628" w14:textId="77777777">
              <w:pPr>
                <w:ind w:firstLine="567"/>
                <w:jc w:val="both"/>
                <w:rPr>
                  <w:color w:val="000000"/>
                  <w:szCs w:val="24"/>
                </w:rPr>
              </w:pPr>
              <w:r>
                <w:rPr>
                  <w:color w:val="000000"/>
                  <w:szCs w:val="24"/>
                </w:rPr>
                <w:t xml:space="preserve">Įstatymų projektai atitinka Lietuvos Respublikos valstybinės kalbos įstatymo, Lietuvos Respublikos teisėkūros pagrindų įstatymo reikalavimus. Įstatymų projektuose pateiktos naujos sąvokos įvertintos </w:t>
              </w:r>
              <w:r>
                <w:rPr>
                  <w:szCs w:val="24"/>
                </w:rPr>
                <w:t>Lietuvos Respublikos t</w:t>
              </w:r>
              <w:r>
                <w:rPr>
                  <w:color w:val="000000"/>
                  <w:szCs w:val="24"/>
                </w:rPr>
                <w:t xml:space="preserve">erminų banko įstatymo ir jo įgyvendinamųjų teisės aktų nustatyta tvarka. </w:t>
              </w:r>
            </w:p>
            <w:p w14:paraId="5B85D8C4" w14:textId="77777777">
              <w:pPr>
                <w:ind w:firstLine="567"/>
                <w:jc w:val="both"/>
                <w:rPr>
                  <w:szCs w:val="24"/>
                </w:rPr>
              </w:pPr>
            </w:p>
          </w:sdtContent>
        </w:sdt>
        <w:sdt>
          <w:sdtPr>
            <w:alias w:val="10 p."/>
            <w:tag w:val="part_9b0ccc02b5504929b1e5c8124108099f"/>
            <w:lock w:val="sdtLocked"/>
            <w:richText/>
          </w:sdtPr>
          <w:sdtContent>
            <w:p w14:paraId="38D9C80C" w14:textId="77777777">
              <w:pPr>
                <w:ind w:firstLine="567"/>
                <w:jc w:val="both"/>
                <w:rPr>
                  <w:b/>
                  <w:szCs w:val="24"/>
                </w:rPr>
              </w:pPr>
              <w:sdt>
                <w:sdtPr>
                  <w:alias w:val="Numeris"/>
                  <w:tag w:val="nr_9b0ccc02b5504929b1e5c8124108099f"/>
                  <w:lock w:val="sdtLocked"/>
                  <w:richText/>
                </w:sdtPr>
                <w:sdtContent>
                  <w:r>
                    <w:rPr>
                      <w:b/>
                      <w:szCs w:val="24"/>
                    </w:rPr>
                    <w:t>10</w:t>
                  </w:r>
                </w:sdtContent>
              </w:sdt>
              <w:r>
                <w:rPr>
                  <w:b/>
                  <w:szCs w:val="24"/>
                </w:rPr>
                <w:t>. Ar Įstatymų projektai atitinka Žmogaus teisių ir pagrindinių laisvių apsaugos konvencijos nuostatas ir Europos Sąjungos dokumentus</w:t>
              </w:r>
            </w:p>
            <w:p w14:paraId="15DC3CF8" w14:textId="77777777">
              <w:pPr>
                <w:tabs>
                  <w:tab w:val="left" w:pos="567"/>
                </w:tabs>
                <w:ind w:firstLine="567"/>
                <w:jc w:val="both"/>
                <w:rPr>
                  <w:szCs w:val="24"/>
                </w:rPr>
              </w:pPr>
              <w:r>
                <w:rPr>
                  <w:szCs w:val="24"/>
                </w:rPr>
                <w:t xml:space="preserve">Įstatymo projektas atitinka Europos žmogaus teisių ir pagrindinių laisvių apsaugos konvencijos nuostatas ir Europos Sąjungos dokumentus. </w:t>
              </w:r>
            </w:p>
            <w:p w14:paraId="3D1BA9F2" w14:textId="77777777">
              <w:pPr>
                <w:ind w:firstLine="567"/>
                <w:jc w:val="both"/>
                <w:rPr>
                  <w:b/>
                  <w:szCs w:val="24"/>
                </w:rPr>
              </w:pPr>
            </w:p>
          </w:sdtContent>
        </w:sdt>
        <w:sdt>
          <w:sdtPr>
            <w:alias w:val="11 p."/>
            <w:tag w:val="part_e2520edd2b0a454689e872416803a5d7"/>
            <w:lock w:val="sdtLocked"/>
            <w:richText/>
          </w:sdtPr>
          <w:sdtContent>
            <w:p w14:paraId="69537710" w14:textId="77777777">
              <w:pPr>
                <w:ind w:firstLine="567"/>
                <w:jc w:val="both"/>
                <w:rPr>
                  <w:b/>
                  <w:szCs w:val="24"/>
                </w:rPr>
              </w:pPr>
              <w:sdt>
                <w:sdtPr>
                  <w:alias w:val="Numeris"/>
                  <w:tag w:val="nr_e2520edd2b0a454689e872416803a5d7"/>
                  <w:lock w:val="sdtLocked"/>
                  <w:richText/>
                </w:sdtPr>
                <w:sdtContent>
                  <w:r>
                    <w:rPr>
                      <w:b/>
                      <w:szCs w:val="24"/>
                    </w:rPr>
                    <w:t>11</w:t>
                  </w:r>
                </w:sdtContent>
              </w:sdt>
              <w:r>
                <w:rPr>
                  <w:b/>
                  <w:szCs w:val="24"/>
                </w:rPr>
                <w:t>. Jeigu Įstatymams įgyvendinti reikia įgyvendinamųjų teisės aktų, – kas ir kada juos turėtų priimti</w:t>
              </w:r>
            </w:p>
            <w:p w14:paraId="420B8BF6" w14:textId="77777777">
              <w:pPr>
                <w:ind w:firstLine="567"/>
                <w:jc w:val="both"/>
                <w:rPr>
                  <w:szCs w:val="24"/>
                </w:rPr>
              </w:pPr>
              <w:r>
                <w:rPr>
                  <w:szCs w:val="24"/>
                </w:rPr>
                <w:t xml:space="preserve">Įstatymams įgyvendinti įgyvendinamųjų teisės aktų priimti nereikės. </w:t>
              </w:r>
            </w:p>
            <w:p w14:paraId="50052C77" w14:textId="77777777">
              <w:pPr>
                <w:tabs>
                  <w:tab w:val="left" w:pos="567"/>
                </w:tabs>
                <w:ind w:left="-142" w:right="-1" w:firstLine="709"/>
                <w:jc w:val="both"/>
                <w:rPr>
                  <w:szCs w:val="24"/>
                </w:rPr>
              </w:pPr>
              <w:r>
                <w:rPr>
                  <w:szCs w:val="24"/>
                </w:rPr>
                <w:t>Pelno mokesčio pakeitimo įstatymo projekto 16</w:t>
              </w:r>
              <w:r>
                <w:rPr>
                  <w:szCs w:val="24"/>
                  <w:vertAlign w:val="superscript"/>
                </w:rPr>
                <w:t>2</w:t>
              </w:r>
              <w:r>
                <w:rPr>
                  <w:szCs w:val="24"/>
                </w:rPr>
                <w:t xml:space="preserve"> daliai įgyvendinti reikės pranešti Europos Komisijai apie naują regioninės valstybės pagalbos schemą. Pelno mokesčio pakeitimo įstatymo projekto 16</w:t>
              </w:r>
              <w:r>
                <w:rPr>
                  <w:szCs w:val="24"/>
                  <w:vertAlign w:val="superscript"/>
                </w:rPr>
                <w:t>3</w:t>
              </w:r>
              <w:r>
                <w:rPr>
                  <w:szCs w:val="24"/>
                </w:rPr>
                <w:t xml:space="preserve"> daliai įgyvendinti reikės Europos Komisijos sprendimo, kad siūloma pelno mokesčio lengvata Stambiems investicijų projektams yra suderinama su Europos Sąjungos valstybės pagalbos taisyklėmis. </w:t>
              </w:r>
            </w:p>
            <w:p w14:paraId="7187B1BC" w14:textId="77777777">
              <w:pPr>
                <w:tabs>
                  <w:tab w:val="left" w:pos="567"/>
                </w:tabs>
                <w:ind w:left="-142" w:right="-1" w:firstLine="709"/>
                <w:jc w:val="both"/>
                <w:rPr>
                  <w:szCs w:val="24"/>
                </w:rPr>
              </w:pPr>
              <w:r>
                <w:rPr>
                  <w:szCs w:val="24"/>
                </w:rPr>
                <w:t xml:space="preserve">Įstatymų projektų nuostatoms suderinti su šiuo metu galiojančiu teisiniu reglamentavimu reikės pakeisti Paraiškų dėl stambių projektų investicijų sutarčių sudarymo teikimo ir planuojamų investicijų projektų vertinimo tvarkos aprašo, patvirtinto  Lietuvos Respublikos Vyriausybės 2021 m. balandžio 28 d. </w:t>
              </w:r>
              <w:r>
                <w:rPr>
                  <w:color w:val="000000"/>
                  <w:szCs w:val="24"/>
                </w:rPr>
                <w:t xml:space="preserve">nutarimu Nr. 313 „Dėl Lietuvos Respublikos investicijų įstatymo </w:t>
              </w:r>
              <w:r>
                <w:rPr>
                  <w:szCs w:val="24"/>
                </w:rPr>
                <w:t>15</w:t>
              </w:r>
              <w:r>
                <w:rPr>
                  <w:szCs w:val="24"/>
                  <w:vertAlign w:val="superscript"/>
                </w:rPr>
                <w:t>4</w:t>
              </w:r>
              <w:r>
                <w:rPr>
                  <w:szCs w:val="24"/>
                </w:rPr>
                <w:t>, 15</w:t>
              </w:r>
              <w:r>
                <w:rPr>
                  <w:szCs w:val="24"/>
                  <w:vertAlign w:val="superscript"/>
                </w:rPr>
                <w:t>5</w:t>
              </w:r>
              <w:r>
                <w:rPr>
                  <w:szCs w:val="24"/>
                </w:rPr>
                <w:t>, 15</w:t>
              </w:r>
              <w:r>
                <w:rPr>
                  <w:szCs w:val="24"/>
                  <w:vertAlign w:val="superscript"/>
                </w:rPr>
                <w:t>6</w:t>
              </w:r>
              <w:r>
                <w:rPr>
                  <w:b/>
                  <w:bCs/>
                  <w:szCs w:val="24"/>
                  <w:vertAlign w:val="superscript"/>
                </w:rPr>
                <w:t> </w:t>
              </w:r>
              <w:r>
                <w:rPr>
                  <w:color w:val="000000"/>
                  <w:szCs w:val="24"/>
                </w:rPr>
                <w:t xml:space="preserve">straipsnių ir Lietuvos Respublikos pelno mokesčio įstatymo 58 straipsnio </w:t>
              </w:r>
              <w:r>
                <w:rPr>
                  <w:szCs w:val="24"/>
                </w:rPr>
                <w:t>16</w:t>
              </w:r>
              <w:r>
                <w:rPr>
                  <w:szCs w:val="24"/>
                  <w:vertAlign w:val="superscript"/>
                </w:rPr>
                <w:t>2</w:t>
              </w:r>
              <w:r>
                <w:rPr>
                  <w:szCs w:val="24"/>
                </w:rPr>
                <w:t xml:space="preserve"> ir 16</w:t>
              </w:r>
              <w:r>
                <w:rPr>
                  <w:szCs w:val="24"/>
                  <w:vertAlign w:val="superscript"/>
                </w:rPr>
                <w:t>3</w:t>
              </w:r>
              <w:r>
                <w:rPr>
                  <w:b/>
                  <w:bCs/>
                  <w:szCs w:val="24"/>
                </w:rPr>
                <w:t> </w:t>
              </w:r>
              <w:r>
                <w:rPr>
                  <w:szCs w:val="24"/>
                </w:rPr>
                <w:t>dalių</w:t>
              </w:r>
              <w:r>
                <w:rPr>
                  <w:color w:val="000000"/>
                  <w:szCs w:val="24"/>
                </w:rPr>
                <w:t xml:space="preserve"> nuostatų įgyvendinimo“ </w:t>
              </w:r>
              <w:r>
                <w:rPr>
                  <w:szCs w:val="24"/>
                </w:rPr>
                <w:t>priedą.</w:t>
              </w:r>
            </w:p>
            <w:p w14:paraId="7DBA77B3" w14:textId="77777777">
              <w:pPr>
                <w:ind w:firstLine="567"/>
                <w:jc w:val="both"/>
                <w:rPr>
                  <w:szCs w:val="24"/>
                </w:rPr>
              </w:pPr>
            </w:p>
          </w:sdtContent>
        </w:sdt>
        <w:sdt>
          <w:sdtPr>
            <w:alias w:val="12 p."/>
            <w:tag w:val="part_9f026cb8fc7040e483c6df6606b4b81f"/>
            <w:lock w:val="sdtLocked"/>
            <w:richText/>
          </w:sdtPr>
          <w:sdtContent>
            <w:p w14:paraId="758EF859" w14:textId="77777777">
              <w:pPr>
                <w:ind w:firstLine="567"/>
                <w:jc w:val="both"/>
                <w:rPr>
                  <w:b/>
                  <w:szCs w:val="24"/>
                </w:rPr>
              </w:pPr>
              <w:sdt>
                <w:sdtPr>
                  <w:alias w:val="Numeris"/>
                  <w:tag w:val="nr_9f026cb8fc7040e483c6df6606b4b81f"/>
                  <w:lock w:val="sdtLocked"/>
                  <w:richText/>
                </w:sdtPr>
                <w:sdtContent>
                  <w:r>
                    <w:rPr>
                      <w:b/>
                      <w:szCs w:val="24"/>
                    </w:rPr>
                    <w:t>12</w:t>
                  </w:r>
                </w:sdtContent>
              </w:sdt>
              <w:r>
                <w:rPr>
                  <w:b/>
                  <w:szCs w:val="24"/>
                </w:rPr>
                <w:t>. Kiek valstybės, savivaldybių biudžetų ir kitų valstybės įsteigtų fondų lėšų prireiks įstatymui įgyvendinti, ar bus galima sutaupyti (pateikiami prognozuojami rodikliai einamaisiais ir artimiausiais 3 biudžetiniais metais)</w:t>
              </w:r>
            </w:p>
            <w:p w14:paraId="08DA64F2" w14:textId="77777777">
              <w:pPr>
                <w:ind w:firstLine="567"/>
                <w:jc w:val="both"/>
                <w:rPr>
                  <w:szCs w:val="24"/>
                </w:rPr>
              </w:pPr>
              <w:r>
                <w:rPr>
                  <w:szCs w:val="24"/>
                </w:rPr>
                <w:t>Dėl Pelno mokesčio pakeitimo įstatymo projektu siūlomos pelno mokesčio lengvatos laukiama teigiamos įtakos valstybės finansams dėl kitų mokesčių, kuriuos mokėtų lengvata besinaudojantys Stambius projektus vykdantys verslo atstovai. Jokių valstybės biudžeto praradimų dėl šios lengvatos pritrauktų investicijų projektų nebūtų patiriama, nes, jei šie investicijų projektai nebūtų vystomi Lietuvoje, pelno mokesčio jų įgyvendintojai ir taip nemokėtų.</w:t>
              </w:r>
              <w:r>
                <w:rPr>
                  <w:color w:val="FFFFFF"/>
                  <w:szCs w:val="24"/>
                </w:rPr>
                <w:t xml:space="preserve"> </w:t>
              </w:r>
              <w:r>
                <w:rPr>
                  <w:szCs w:val="24"/>
                </w:rPr>
                <w:t>Įstatymų projektų tikslas – sudaryti galimybę projektams, atitinkantiems tiek dabar teisės aktuose numatytus Stambių projektų kriterijus, tiek siūlomus nustatyti kriterijus, taikyti pelno mokesčio lengvatą ir kitas specialiąsias investavimo ir verslo sąlygas, numatytas Investicijų įstatyme.</w:t>
              </w:r>
            </w:p>
            <w:p w14:paraId="3D5F6012" w14:textId="77777777">
              <w:pPr>
                <w:ind w:firstLine="567"/>
                <w:jc w:val="both"/>
                <w:rPr>
                  <w:szCs w:val="24"/>
                </w:rPr>
              </w:pPr>
              <w:r>
                <w:rPr>
                  <w:szCs w:val="24"/>
                </w:rPr>
                <w:t>Vertinama, kad Įstatymų pakeitimai paskatins šalyje vystyti daugiau naujų aukštos pridėtinės vertės Lietuvos ir užsienio kapitalo projektų (vidutiniškai po 2-3 naujus projektus per metus) kuriančių nuo 20 iki 149 darbo vietų (vidutiniškai po 85 darbo vietas), ypač šalies regionuose. Atsižvelgiant į Lietuvos darbo užmokesčio struktūros statistiką ir darbo užmokesčio reikalavimą tokiems projektams, vertinama, kad vidutinis darbo užmokestis šiuose projektuose bus ne mažesnis nei 1860 Eur/mėn. Pilnai įgyvendintas, vienas tokius parametrus atitinkantis projektas per metus tiesiogiai lemtų apie 400 tūkst. Eur papildomų Valstybinio socialinio draudimo fondo biudžeto pajamų ir 340 tūkst. Eur gyventojų pajamų mokesčio. Verta atkreipti dėmesį, kad be šių tiesioginių pajamų, valdžios sektorius gaus papildomas netiesiogines pajamas per projektų tarpinį vartojimą. Laukiama, kad Įstatymų projektais siūlomus Stambaus projekto kriterijus atitinkantys projektai pasižymės itin aukštu tarpiniu vartojimu. Vartodamas tarpines prekes ir paslaugas verslas bent dalį jų perka iš vietinių tiekėjų, taip dar labiau paskatindamas šalies ūkį bei kartu didindamas ir mokestinę bazę.</w:t>
              </w:r>
            </w:p>
            <w:p w14:paraId="0EF5694F" w14:textId="77777777">
              <w:pPr>
                <w:ind w:firstLine="567"/>
                <w:jc w:val="both"/>
                <w:rPr>
                  <w:szCs w:val="24"/>
                </w:rPr>
              </w:pPr>
            </w:p>
          </w:sdtContent>
        </w:sdt>
        <w:sdt>
          <w:sdtPr>
            <w:alias w:val="13 p."/>
            <w:tag w:val="part_918961bcc9ff46adbeecda79fead4045"/>
            <w:lock w:val="sdtLocked"/>
            <w:richText/>
          </w:sdtPr>
          <w:sdtContent>
            <w:p w14:paraId="77D5BC36" w14:textId="77777777">
              <w:pPr>
                <w:ind w:firstLine="567"/>
                <w:rPr>
                  <w:b/>
                  <w:szCs w:val="24"/>
                </w:rPr>
              </w:pPr>
              <w:sdt>
                <w:sdtPr>
                  <w:alias w:val="Numeris"/>
                  <w:tag w:val="nr_918961bcc9ff46adbeecda79fead4045"/>
                  <w:lock w:val="sdtLocked"/>
                  <w:richText/>
                </w:sdtPr>
                <w:sdtContent>
                  <w:r>
                    <w:rPr>
                      <w:b/>
                      <w:szCs w:val="24"/>
                    </w:rPr>
                    <w:t>13</w:t>
                  </w:r>
                </w:sdtContent>
              </w:sdt>
              <w:r>
                <w:rPr>
                  <w:b/>
                  <w:szCs w:val="24"/>
                </w:rPr>
                <w:t xml:space="preserve">. Įstatymo projekto rengimo metu gauti specialistų vertinimai ir išvados </w:t>
              </w:r>
            </w:p>
            <w:p w14:paraId="5DA24C84" w14:textId="77777777">
              <w:pPr>
                <w:ind w:firstLine="567"/>
                <w:jc w:val="both"/>
                <w:rPr>
                  <w:szCs w:val="24"/>
                </w:rPr>
              </w:pPr>
              <w:r>
                <w:rPr>
                  <w:szCs w:val="24"/>
                </w:rPr>
                <w:t xml:space="preserve">Rengiant Įstatymų projektus buvo gauti Viešosios įstaigos „Investuok Lietuvoje“ specialistų vertinimai ir išvados. </w:t>
              </w:r>
            </w:p>
            <w:p w14:paraId="365E492F" w14:textId="77777777">
              <w:pPr>
                <w:ind w:firstLine="567"/>
                <w:jc w:val="both"/>
                <w:rPr>
                  <w:b/>
                  <w:szCs w:val="24"/>
                </w:rPr>
              </w:pPr>
            </w:p>
          </w:sdtContent>
        </w:sdt>
        <w:sdt>
          <w:sdtPr>
            <w:alias w:val="14 p."/>
            <w:tag w:val="part_e9b46d29855b4e7ab5d6ae86651954b6"/>
            <w:lock w:val="sdtLocked"/>
            <w:richText/>
          </w:sdtPr>
          <w:sdtContent>
            <w:p w14:paraId="5A2A52C2" w14:textId="77777777">
              <w:pPr>
                <w:ind w:firstLine="567"/>
                <w:jc w:val="both"/>
                <w:rPr>
                  <w:b/>
                  <w:bCs/>
                  <w:i/>
                  <w:color w:val="000000"/>
                  <w:szCs w:val="24"/>
                </w:rPr>
              </w:pPr>
              <w:sdt>
                <w:sdtPr>
                  <w:alias w:val="Numeris"/>
                  <w:tag w:val="nr_e9b46d29855b4e7ab5d6ae86651954b6"/>
                  <w:lock w:val="sdtLocked"/>
                  <w:richText/>
                </w:sdtPr>
                <w:sdtContent>
                  <w:r>
                    <w:rPr>
                      <w:b/>
                      <w:szCs w:val="24"/>
                    </w:rPr>
                    <w:t>14</w:t>
                  </w:r>
                </w:sdtContent>
              </w:sdt>
              <w:r>
                <w:rPr>
                  <w:b/>
                  <w:szCs w:val="24"/>
                </w:rPr>
                <w:t xml:space="preserve">. Reikšminiai žodžiai, kurių reikia šiam projektui įtraukti į kompiuterinę paieškos sistemą, įskaitant Europos žodyno </w:t>
              </w:r>
              <w:r>
                <w:rPr>
                  <w:b/>
                  <w:i/>
                  <w:szCs w:val="24"/>
                </w:rPr>
                <w:t xml:space="preserve">Eurovoc </w:t>
              </w:r>
              <w:r>
                <w:rPr>
                  <w:b/>
                  <w:szCs w:val="24"/>
                </w:rPr>
                <w:t>terminus, temas ir sritis</w:t>
              </w:r>
              <w:r>
                <w:rPr>
                  <w:b/>
                  <w:i/>
                  <w:szCs w:val="24"/>
                </w:rPr>
                <w:t xml:space="preserve"> </w:t>
              </w:r>
            </w:p>
            <w:p w14:paraId="24B5CFA5" w14:textId="77777777">
              <w:pPr>
                <w:ind w:firstLine="567"/>
                <w:jc w:val="both"/>
                <w:rPr>
                  <w:bCs/>
                  <w:szCs w:val="24"/>
                </w:rPr>
              </w:pPr>
              <w:r>
                <w:rPr>
                  <w:bCs/>
                  <w:szCs w:val="24"/>
                </w:rPr>
                <w:t>Reikšminiai žodžiai, kurių reikia šiam projektui įtraukti į kompiuterinę paieškos sistemą, įskaitant Europos žodyno „Eurovoc“ terminus, temas ir sritis: „investicijų skatinimas“, „investicijų projektas“, „pelno mokestis“, „pelno mokesčio tarifas“, „mokestinė lengvata“, „investuotojas“, „aplinkos apsauga“, „poveikis aplinkai“.</w:t>
              </w:r>
            </w:p>
            <w:p w14:paraId="6DEBA762" w14:textId="77777777">
              <w:pPr>
                <w:ind w:firstLine="567"/>
                <w:jc w:val="both"/>
                <w:rPr>
                  <w:bCs/>
                  <w:szCs w:val="24"/>
                </w:rPr>
              </w:pPr>
            </w:p>
          </w:sdtContent>
        </w:sdt>
        <w:sdt>
          <w:sdtPr>
            <w:alias w:val="15 p."/>
            <w:tag w:val="part_d35e14756f1f4666b7e15850eb8a8849"/>
            <w:lock w:val="sdtLocked"/>
            <w:richText/>
          </w:sdtPr>
          <w:sdtContent>
            <w:p w14:paraId="04814E85" w14:textId="77777777">
              <w:pPr>
                <w:ind w:firstLine="567"/>
                <w:jc w:val="both"/>
                <w:rPr>
                  <w:b/>
                  <w:bCs/>
                  <w:szCs w:val="24"/>
                </w:rPr>
              </w:pPr>
              <w:sdt>
                <w:sdtPr>
                  <w:alias w:val="Numeris"/>
                  <w:tag w:val="nr_d35e14756f1f4666b7e15850eb8a8849"/>
                  <w:lock w:val="sdtLocked"/>
                  <w:richText/>
                </w:sdtPr>
                <w:sdtContent>
                  <w:r>
                    <w:rPr>
                      <w:b/>
                      <w:bCs/>
                      <w:szCs w:val="24"/>
                    </w:rPr>
                    <w:t>15</w:t>
                  </w:r>
                </w:sdtContent>
              </w:sdt>
              <w:r>
                <w:rPr>
                  <w:b/>
                  <w:bCs/>
                  <w:szCs w:val="24"/>
                </w:rPr>
                <w:t>. Kiti, iniciatorių nuomone, reikalingi pagrindimai ir paaiškinimai</w:t>
              </w:r>
            </w:p>
            <w:p w14:paraId="6FADF7CA" w14:textId="77777777">
              <w:pPr>
                <w:ind w:firstLine="567"/>
                <w:jc w:val="both"/>
                <w:rPr>
                  <w:bCs/>
                  <w:szCs w:val="24"/>
                </w:rPr>
              </w:pPr>
              <w:r>
                <w:rPr>
                  <w:bCs/>
                  <w:szCs w:val="24"/>
                </w:rPr>
                <w:t>Nėra.</w:t>
              </w:r>
            </w:p>
          </w:sdtContent>
        </w:sdt>
        <w:sdt>
          <w:sdtPr>
            <w:alias w:val="pabaiga"/>
            <w:tag w:val="part_e264127b5ca24d61b93cd9cf60b2991a"/>
            <w:lock w:val="sdtLocked"/>
            <w:richText/>
          </w:sdtPr>
          <w:sdtContent>
            <w:p w14:paraId="0007F86C" w14:textId="77777777">
              <w:pPr>
                <w:ind w:firstLine="567"/>
                <w:jc w:val="center"/>
                <w:rPr>
                  <w:b/>
                  <w:bCs/>
                  <w:szCs w:val="24"/>
                </w:rPr>
              </w:pPr>
              <w:r>
                <w:rPr>
                  <w:b/>
                  <w:bCs/>
                  <w:szCs w:val="24"/>
                </w:rPr>
                <w:t>_______________</w:t>
              </w:r>
            </w:p>
          </w:sdtContent>
        </w:sdt>
      </w:sdtContent>
    </w:sdt>
    <w:sectPr>
      <w:headerReference w:type="even" r:id="rId14"/>
      <w:headerReference w:type="default" r:id="rId15"/>
      <w:footerReference w:type="even" r:id="rId16"/>
      <w:footerReference w:type="default" r:id="rId17"/>
      <w:headerReference w:type="first" r:id="rId18"/>
      <w:footerReference w:type="first" r:id="rId19"/>
      <w:pgSz w:w="12240" w:h="15840" w:code="1"/>
      <w:pgMar w:top="1361" w:right="567" w:bottom="1361" w:left="1701" w:header="709" w:footer="709" w:gutter="0"/>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5C457B" w14:textId="77777777">
      <w:pPr>
        <w:rPr>
          <w:szCs w:val="24"/>
        </w:rPr>
      </w:pPr>
      <w:r>
        <w:rPr>
          <w:szCs w:val="24"/>
        </w:rPr>
        <w:separator/>
      </w:r>
    </w:p>
  </w:endnote>
  <w:endnote w:type="continuationSeparator" w:id="0">
    <w:p w14:paraId="07F6B061" w14:textId="77777777">
      <w:pPr>
        <w:rPr>
          <w:szCs w:val="24"/>
        </w:rPr>
      </w:pPr>
      <w:r>
        <w:rPr>
          <w:szCs w:val="24"/>
        </w:rPr>
        <w:continuationSeparator/>
      </w:r>
    </w:p>
  </w:endnote>
  <w:endnote w:type="continuationNotice" w:id="1">
    <w:p w14:paraId="2FC33816" w14:textId="77777777">
      <w:pPr>
        <w:rPr>
          <w:szCs w:val="24"/>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D225BD" w14:textId="77777777">
    <w:pPr>
      <w:tabs>
        <w:tab w:val="center" w:pos="4819"/>
        <w:tab w:val="right" w:pos="9638"/>
      </w:tabs>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49DE95" w14:textId="77777777">
    <w:pPr>
      <w:tabs>
        <w:tab w:val="center" w:pos="4819"/>
        <w:tab w:val="right" w:pos="9638"/>
      </w:tabs>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C3D425" w14:textId="77777777">
    <w:pPr>
      <w:tabs>
        <w:tab w:val="center" w:pos="4819"/>
        <w:tab w:val="right" w:pos="9638"/>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67E8BCF" w14:textId="77777777">
      <w:pPr>
        <w:rPr>
          <w:szCs w:val="24"/>
        </w:rPr>
      </w:pPr>
      <w:r>
        <w:rPr>
          <w:szCs w:val="24"/>
        </w:rPr>
        <w:separator/>
      </w:r>
    </w:p>
  </w:footnote>
  <w:footnote w:type="continuationSeparator" w:id="0">
    <w:p w14:paraId="46018F1A" w14:textId="77777777">
      <w:pPr>
        <w:rPr>
          <w:szCs w:val="24"/>
        </w:rPr>
      </w:pPr>
      <w:r>
        <w:rPr>
          <w:szCs w:val="24"/>
        </w:rPr>
        <w:continuationSeparator/>
      </w:r>
    </w:p>
  </w:footnote>
  <w:footnote w:type="continuationNotice" w:id="1">
    <w:p w14:paraId="39E93C7D" w14:textId="77777777">
      <w:pPr>
        <w:rPr>
          <w:szCs w:val="24"/>
        </w:rPr>
      </w:pPr>
    </w:p>
  </w:footnote>
  <w:footnote w:id="2">
    <w:p w14:paraId="5FB1176B" w14:textId="1FD7E579">
      <w:pPr>
        <w:rPr>
          <w:sz w:val="20"/>
          <w:lang w:eastAsia="lt-LT"/>
        </w:rPr>
      </w:pPr>
      <w:r>
        <w:rPr>
          <w:sz w:val="20"/>
          <w:vertAlign w:val="superscript"/>
          <w:lang w:eastAsia="lt-LT"/>
        </w:rPr>
        <w:footnoteRef/>
      </w:r>
      <w:r>
        <w:rPr>
          <w:sz w:val="20"/>
          <w:lang w:eastAsia="lt-LT"/>
        </w:rPr>
        <w:t xml:space="preserve"> Valstybės duomenų agentūra, verslo statistika</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826878" w14:textId="77777777">
    <w:pPr>
      <w:tabs>
        <w:tab w:val="center" w:pos="4819"/>
        <w:tab w:val="right" w:pos="9638"/>
      </w:tabs>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23481F" w14:textId="77777777">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14:paraId="6E92896D" w14:textId="77777777">
    <w:pPr>
      <w:tabs>
        <w:tab w:val="center" w:pos="4819"/>
        <w:tab w:val="right" w:pos="9638"/>
      </w:tabs>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94EB5B"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219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DCEC1CD"/>
  <w15:docId w15:val="{200E0891-CB6E-4F5B-88F6-9881E47FFE4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5924956">
      <w:bodyDiv w:val="1"/>
      <w:marLeft w:val="0"/>
      <w:marRight w:val="0"/>
      <w:marTop w:val="0"/>
      <w:marBottom w:val="0"/>
      <w:divBdr>
        <w:top w:val="none" w:sz="0" w:space="0" w:color="auto"/>
        <w:left w:val="none" w:sz="0" w:space="0" w:color="auto"/>
        <w:bottom w:val="none" w:sz="0" w:space="0" w:color="auto"/>
        <w:right w:val="none" w:sz="0" w:space="0" w:color="auto"/>
      </w:divBdr>
    </w:div>
    <w:div w:id="109856779">
      <w:bodyDiv w:val="1"/>
      <w:marLeft w:val="0"/>
      <w:marRight w:val="0"/>
      <w:marTop w:val="0"/>
      <w:marBottom w:val="0"/>
      <w:divBdr>
        <w:top w:val="none" w:sz="0" w:space="0" w:color="auto"/>
        <w:left w:val="none" w:sz="0" w:space="0" w:color="auto"/>
        <w:bottom w:val="none" w:sz="0" w:space="0" w:color="auto"/>
        <w:right w:val="none" w:sz="0" w:space="0" w:color="auto"/>
      </w:divBdr>
    </w:div>
    <w:div w:id="165485542">
      <w:bodyDiv w:val="1"/>
      <w:marLeft w:val="0"/>
      <w:marRight w:val="0"/>
      <w:marTop w:val="0"/>
      <w:marBottom w:val="0"/>
      <w:divBdr>
        <w:top w:val="none" w:sz="0" w:space="0" w:color="auto"/>
        <w:left w:val="none" w:sz="0" w:space="0" w:color="auto"/>
        <w:bottom w:val="none" w:sz="0" w:space="0" w:color="auto"/>
        <w:right w:val="none" w:sz="0" w:space="0" w:color="auto"/>
      </w:divBdr>
    </w:div>
    <w:div w:id="248733631">
      <w:bodyDiv w:val="1"/>
      <w:marLeft w:val="0"/>
      <w:marRight w:val="0"/>
      <w:marTop w:val="0"/>
      <w:marBottom w:val="0"/>
      <w:divBdr>
        <w:top w:val="none" w:sz="0" w:space="0" w:color="auto"/>
        <w:left w:val="none" w:sz="0" w:space="0" w:color="auto"/>
        <w:bottom w:val="none" w:sz="0" w:space="0" w:color="auto"/>
        <w:right w:val="none" w:sz="0" w:space="0" w:color="auto"/>
      </w:divBdr>
    </w:div>
    <w:div w:id="826167449">
      <w:bodyDiv w:val="1"/>
      <w:marLeft w:val="0"/>
      <w:marRight w:val="0"/>
      <w:marTop w:val="0"/>
      <w:marBottom w:val="0"/>
      <w:divBdr>
        <w:top w:val="none" w:sz="0" w:space="0" w:color="auto"/>
        <w:left w:val="none" w:sz="0" w:space="0" w:color="auto"/>
        <w:bottom w:val="none" w:sz="0" w:space="0" w:color="auto"/>
        <w:right w:val="none" w:sz="0" w:space="0" w:color="auto"/>
      </w:divBdr>
    </w:div>
    <w:div w:id="1036731713">
      <w:bodyDiv w:val="1"/>
      <w:marLeft w:val="0"/>
      <w:marRight w:val="0"/>
      <w:marTop w:val="0"/>
      <w:marBottom w:val="0"/>
      <w:divBdr>
        <w:top w:val="none" w:sz="0" w:space="0" w:color="auto"/>
        <w:left w:val="none" w:sz="0" w:space="0" w:color="auto"/>
        <w:bottom w:val="none" w:sz="0" w:space="0" w:color="auto"/>
        <w:right w:val="none" w:sz="0" w:space="0" w:color="auto"/>
      </w:divBdr>
    </w:div>
    <w:div w:id="1177497147">
      <w:bodyDiv w:val="1"/>
      <w:marLeft w:val="0"/>
      <w:marRight w:val="0"/>
      <w:marTop w:val="0"/>
      <w:marBottom w:val="0"/>
      <w:divBdr>
        <w:top w:val="none" w:sz="0" w:space="0" w:color="auto"/>
        <w:left w:val="none" w:sz="0" w:space="0" w:color="auto"/>
        <w:bottom w:val="none" w:sz="0" w:space="0" w:color="auto"/>
        <w:right w:val="none" w:sz="0" w:space="0" w:color="auto"/>
      </w:divBdr>
    </w:div>
    <w:div w:id="1180118600">
      <w:bodyDiv w:val="1"/>
      <w:marLeft w:val="0"/>
      <w:marRight w:val="0"/>
      <w:marTop w:val="0"/>
      <w:marBottom w:val="0"/>
      <w:divBdr>
        <w:top w:val="none" w:sz="0" w:space="0" w:color="auto"/>
        <w:left w:val="none" w:sz="0" w:space="0" w:color="auto"/>
        <w:bottom w:val="none" w:sz="0" w:space="0" w:color="auto"/>
        <w:right w:val="none" w:sz="0" w:space="0" w:color="auto"/>
      </w:divBdr>
    </w:div>
    <w:div w:id="1188718515">
      <w:bodyDiv w:val="1"/>
      <w:marLeft w:val="0"/>
      <w:marRight w:val="0"/>
      <w:marTop w:val="0"/>
      <w:marBottom w:val="0"/>
      <w:divBdr>
        <w:top w:val="none" w:sz="0" w:space="0" w:color="auto"/>
        <w:left w:val="none" w:sz="0" w:space="0" w:color="auto"/>
        <w:bottom w:val="none" w:sz="0" w:space="0" w:color="auto"/>
        <w:right w:val="none" w:sz="0" w:space="0" w:color="auto"/>
      </w:divBdr>
    </w:div>
    <w:div w:id="1484082457">
      <w:bodyDiv w:val="1"/>
      <w:marLeft w:val="0"/>
      <w:marRight w:val="0"/>
      <w:marTop w:val="0"/>
      <w:marBottom w:val="0"/>
      <w:divBdr>
        <w:top w:val="none" w:sz="0" w:space="0" w:color="auto"/>
        <w:left w:val="none" w:sz="0" w:space="0" w:color="auto"/>
        <w:bottom w:val="none" w:sz="0" w:space="0" w:color="auto"/>
        <w:right w:val="none" w:sz="0" w:space="0" w:color="auto"/>
      </w:divBdr>
    </w:div>
    <w:div w:id="1624464620">
      <w:bodyDiv w:val="1"/>
      <w:marLeft w:val="0"/>
      <w:marRight w:val="0"/>
      <w:marTop w:val="0"/>
      <w:marBottom w:val="0"/>
      <w:divBdr>
        <w:top w:val="none" w:sz="0" w:space="0" w:color="auto"/>
        <w:left w:val="none" w:sz="0" w:space="0" w:color="auto"/>
        <w:bottom w:val="none" w:sz="0" w:space="0" w:color="auto"/>
        <w:right w:val="none" w:sz="0" w:space="0" w:color="auto"/>
      </w:divBdr>
    </w:div>
    <w:div w:id="17751284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2" Type="http://schemas.openxmlformats.org/officeDocument/2006/relationships/chart" Target="charts/chart1.xml"/>
  <Relationship Id="rId13" Type="http://schemas.openxmlformats.org/officeDocument/2006/relationships/chart" Target="charts/chart2.xml"/>
  <Relationship Id="rId14" Type="http://schemas.openxmlformats.org/officeDocument/2006/relationships/header" Target="header1.xml"/>
  <Relationship Id="rId15" Type="http://schemas.openxmlformats.org/officeDocument/2006/relationships/header" Target="header2.xml"/>
  <Relationship Id="rId16" Type="http://schemas.openxmlformats.org/officeDocument/2006/relationships/footer" Target="footer1.xml"/>
  <Relationship Id="rId17" Type="http://schemas.openxmlformats.org/officeDocument/2006/relationships/footer" Target="footer2.xml"/>
  <Relationship Id="rId18" Type="http://schemas.openxmlformats.org/officeDocument/2006/relationships/header" Target="header3.xml"/>
  <Relationship Id="rId19" Type="http://schemas.openxmlformats.org/officeDocument/2006/relationships/footer" Target="footer3.xml"/>
  <Relationship Id="rId2" Type="http://schemas.openxmlformats.org/officeDocument/2006/relationships/customXml" Target="../customXml/item2.xml"/>
  <Relationship Id="rId20" Type="http://schemas.openxmlformats.org/officeDocument/2006/relationships/fontTable" Target="fontTable.xml"/>
  <Relationship Id="rId21" Type="http://schemas.openxmlformats.org/officeDocument/2006/relationships/theme" Target="theme/theme1.xml"/>
  <Relationship Id="rId22"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charts/_rels/chart1.xml.rels><?xml version="1.0" encoding="UTF-8"?>

<Relationships xmlns="http://schemas.openxmlformats.org/package/2006/relationships">
  <Relationship Id="rId1" Type="http://schemas.microsoft.com/office/2011/relationships/chartStyle" Target="style1.xml"/>
  <Relationship Id="rId2" Type="http://schemas.microsoft.com/office/2011/relationships/chartColorStyle" Target="colors1.xml"/>
  <Relationship Id="rId3" Type="http://schemas.openxmlformats.org/officeDocument/2006/relationships/oleObject" TargetMode="External" Target="https://investlithuania.sharepoint.com/sites/PVD/Shared%20Documents/General/04_PASKATOS/02_Projektai/05_Giga%20reguliavimas/02_Analiz&#279;%20ir%20duomenys/01_Duomenys/Eurostat%20Investment%20value%20added%20purchases%20employees.xlsx"/>
</Relationships>

</file>

<file path=word/charts/_rels/chart2.xml.rels><?xml version="1.0" encoding="UTF-8"?>

<Relationships xmlns="http://schemas.openxmlformats.org/package/2006/relationships">
  <Relationship Id="rId1" Type="http://schemas.microsoft.com/office/2011/relationships/chartStyle" Target="style2.xml"/>
  <Relationship Id="rId2" Type="http://schemas.microsoft.com/office/2011/relationships/chartColorStyle" Target="colors2.xml"/>
  <Relationship Id="rId3" Type="http://schemas.openxmlformats.org/officeDocument/2006/relationships/oleObject" TargetMode="External" Target="https://investlithuania.sharepoint.com/sites/PVD/Shared%20Documents/General/04_PASKATOS/02_Projektai/05_Giga%20reguliavimas/02_Analiz&#279;%20ir%20duomenys/01_Duomenys/Eurostat%20Investment%20value%20added%20purchases%20employees.xlsx"/>
</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lt-LT" sz="1100"/>
              <a:t>Augant imlumui kapitalui</a:t>
            </a:r>
            <a:r>
              <a:rPr lang="lt-LT" sz="1100" baseline="0"/>
              <a:t> auga produktyvumas</a:t>
            </a:r>
            <a:endParaRPr lang="en-US" sz="1100"/>
          </a:p>
        </c:rich>
      </c:tx>
      <c:layout>
        <c:manualLayout>
          <c:xMode val="edge"/>
          <c:yMode val="edge"/>
          <c:x val="0.26487898829266066"/>
          <c:y val="1.4306113873537998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lineMarker"/>
        <c:varyColors val="0"/>
        <c:ser>
          <c:idx val="0"/>
          <c:order val="0"/>
          <c:spPr>
            <a:ln w="19050" cap="rnd">
              <a:noFill/>
              <a:round/>
            </a:ln>
            <a:effectLst/>
          </c:spPr>
          <c:marker>
            <c:symbol val="circle"/>
            <c:size val="5"/>
            <c:spPr>
              <a:solidFill>
                <a:schemeClr val="accent1"/>
              </a:solidFill>
              <a:ln w="9525">
                <a:noFill/>
              </a:ln>
              <a:effectLst/>
            </c:spPr>
          </c:marker>
          <c:trendline>
            <c:spPr>
              <a:ln w="19050" cap="rnd">
                <a:solidFill>
                  <a:schemeClr val="accent3">
                    <a:lumMod val="75000"/>
                  </a:schemeClr>
                </a:solidFill>
                <a:prstDash val="sysDot"/>
              </a:ln>
              <a:effectLst/>
            </c:spPr>
            <c:trendlineType val="power"/>
            <c:dispRSqr val="0"/>
            <c:dispEq val="0"/>
          </c:trendline>
          <c:xVal>
            <c:numRef>
              <c:f>'Sheet 1'!$AZ$10:$AZ$605</c:f>
              <c:numCache>
                <c:formatCode>General</c:formatCode>
                <c:ptCount val="388"/>
                <c:pt idx="0">
                  <c:v>117.93900955453194</c:v>
                </c:pt>
                <c:pt idx="1">
                  <c:v>129.53736654804271</c:v>
                </c:pt>
                <c:pt idx="2">
                  <c:v>76.459911616161634</c:v>
                </c:pt>
                <c:pt idx="3">
                  <c:v>50.321543408360135</c:v>
                </c:pt>
                <c:pt idx="4">
                  <c:v>141.6849495392716</c:v>
                </c:pt>
                <c:pt idx="5">
                  <c:v>117.92304230423041</c:v>
                </c:pt>
                <c:pt idx="6">
                  <c:v>251.28052412150086</c:v>
                </c:pt>
                <c:pt idx="7">
                  <c:v>108.46316410281612</c:v>
                </c:pt>
                <c:pt idx="8">
                  <c:v>132.94646987090533</c:v>
                </c:pt>
                <c:pt idx="9">
                  <c:v>139.39368736224895</c:v>
                </c:pt>
                <c:pt idx="10">
                  <c:v>82.009848448630308</c:v>
                </c:pt>
                <c:pt idx="11">
                  <c:v>56.027488784957519</c:v>
                </c:pt>
                <c:pt idx="12">
                  <c:v>54.833889963086655</c:v>
                </c:pt>
                <c:pt idx="13">
                  <c:v>51.808600492086228</c:v>
                </c:pt>
                <c:pt idx="14">
                  <c:v>88.200764291060949</c:v>
                </c:pt>
                <c:pt idx="15">
                  <c:v>65.463023205378448</c:v>
                </c:pt>
                <c:pt idx="16">
                  <c:v>62.374581939799334</c:v>
                </c:pt>
                <c:pt idx="17">
                  <c:v>18.816614000321351</c:v>
                </c:pt>
                <c:pt idx="18">
                  <c:v>29.89219491159983</c:v>
                </c:pt>
                <c:pt idx="19">
                  <c:v>16.955229101084292</c:v>
                </c:pt>
                <c:pt idx="20">
                  <c:v>3.398334590995141</c:v>
                </c:pt>
                <c:pt idx="21">
                  <c:v>41.260315078769693</c:v>
                </c:pt>
                <c:pt idx="22">
                  <c:v>33.112170848019908</c:v>
                </c:pt>
                <c:pt idx="23">
                  <c:v>22.817189631650752</c:v>
                </c:pt>
                <c:pt idx="24">
                  <c:v>22.39365440610462</c:v>
                </c:pt>
                <c:pt idx="25">
                  <c:v>16.231278932558773</c:v>
                </c:pt>
                <c:pt idx="26">
                  <c:v>20.604225197942132</c:v>
                </c:pt>
                <c:pt idx="27">
                  <c:v>18.070063887122657</c:v>
                </c:pt>
                <c:pt idx="28">
                  <c:v>18.369905956112852</c:v>
                </c:pt>
                <c:pt idx="29">
                  <c:v>10.814135011116893</c:v>
                </c:pt>
                <c:pt idx="30">
                  <c:v>16.075526809931148</c:v>
                </c:pt>
                <c:pt idx="31">
                  <c:v>8.2777119331295612</c:v>
                </c:pt>
                <c:pt idx="32">
                  <c:v>32.087744060221127</c:v>
                </c:pt>
                <c:pt idx="33">
                  <c:v>64.91510636870008</c:v>
                </c:pt>
                <c:pt idx="34">
                  <c:v>27.060737527114963</c:v>
                </c:pt>
                <c:pt idx="35">
                  <c:v>10.819920209107167</c:v>
                </c:pt>
                <c:pt idx="36">
                  <c:v>15.849056603773583</c:v>
                </c:pt>
                <c:pt idx="37">
                  <c:v>37.187685641401956</c:v>
                </c:pt>
                <c:pt idx="38">
                  <c:v>71.688750191845301</c:v>
                </c:pt>
                <c:pt idx="39">
                  <c:v>31.267217630853995</c:v>
                </c:pt>
                <c:pt idx="40">
                  <c:v>42.822293113154437</c:v>
                </c:pt>
                <c:pt idx="41">
                  <c:v>40.883212443678616</c:v>
                </c:pt>
                <c:pt idx="42">
                  <c:v>39.513417928139752</c:v>
                </c:pt>
                <c:pt idx="43">
                  <c:v>38.880384352700133</c:v>
                </c:pt>
                <c:pt idx="44">
                  <c:v>32.956621154579018</c:v>
                </c:pt>
                <c:pt idx="45">
                  <c:v>41.773235323733758</c:v>
                </c:pt>
                <c:pt idx="46">
                  <c:v>27.626942175236266</c:v>
                </c:pt>
                <c:pt idx="47">
                  <c:v>27.422269848378225</c:v>
                </c:pt>
                <c:pt idx="48">
                  <c:v>56.034579167505427</c:v>
                </c:pt>
                <c:pt idx="49">
                  <c:v>25.52661480639804</c:v>
                </c:pt>
                <c:pt idx="50">
                  <c:v>21.423889477134068</c:v>
                </c:pt>
                <c:pt idx="51">
                  <c:v>27.731502669717774</c:v>
                </c:pt>
                <c:pt idx="52">
                  <c:v>21.17555469054107</c:v>
                </c:pt>
                <c:pt idx="53">
                  <c:v>80.415226551773102</c:v>
                </c:pt>
                <c:pt idx="54">
                  <c:v>98.925410872313535</c:v>
                </c:pt>
                <c:pt idx="55">
                  <c:v>61.486001435750183</c:v>
                </c:pt>
                <c:pt idx="56">
                  <c:v>40.422557091812962</c:v>
                </c:pt>
                <c:pt idx="57">
                  <c:v>68.84633348902382</c:v>
                </c:pt>
                <c:pt idx="58">
                  <c:v>48.613496932515332</c:v>
                </c:pt>
                <c:pt idx="59">
                  <c:v>126.54331969400462</c:v>
                </c:pt>
                <c:pt idx="60">
                  <c:v>57.309993748325446</c:v>
                </c:pt>
                <c:pt idx="61">
                  <c:v>72.717630123494203</c:v>
                </c:pt>
                <c:pt idx="62">
                  <c:v>64.176161262050826</c:v>
                </c:pt>
                <c:pt idx="63">
                  <c:v>37.761299198067306</c:v>
                </c:pt>
                <c:pt idx="64">
                  <c:v>35.301764159702877</c:v>
                </c:pt>
                <c:pt idx="65">
                  <c:v>42.261775558932058</c:v>
                </c:pt>
                <c:pt idx="66">
                  <c:v>31.62270642201835</c:v>
                </c:pt>
                <c:pt idx="67">
                  <c:v>62.240325865580452</c:v>
                </c:pt>
                <c:pt idx="68">
                  <c:v>33.551980198019798</c:v>
                </c:pt>
                <c:pt idx="69">
                  <c:v>83.776824034334751</c:v>
                </c:pt>
                <c:pt idx="70">
                  <c:v>22.406510765427011</c:v>
                </c:pt>
                <c:pt idx="71">
                  <c:v>36.20600841949355</c:v>
                </c:pt>
                <c:pt idx="72">
                  <c:v>88.975361652098357</c:v>
                </c:pt>
                <c:pt idx="73">
                  <c:v>29.805658195357235</c:v>
                </c:pt>
                <c:pt idx="74">
                  <c:v>27.127345135496721</c:v>
                </c:pt>
                <c:pt idx="75">
                  <c:v>43.515710299648184</c:v>
                </c:pt>
                <c:pt idx="76">
                  <c:v>35.153880869998964</c:v>
                </c:pt>
                <c:pt idx="77">
                  <c:v>56.937761143785039</c:v>
                </c:pt>
                <c:pt idx="78">
                  <c:v>32.051873150531051</c:v>
                </c:pt>
                <c:pt idx="79">
                  <c:v>243.37198515769944</c:v>
                </c:pt>
                <c:pt idx="80">
                  <c:v>79.238716167329684</c:v>
                </c:pt>
                <c:pt idx="81">
                  <c:v>40.299394906665412</c:v>
                </c:pt>
                <c:pt idx="82">
                  <c:v>51.068862313797659</c:v>
                </c:pt>
                <c:pt idx="83">
                  <c:v>53.192732112160584</c:v>
                </c:pt>
                <c:pt idx="84">
                  <c:v>30.857979193312325</c:v>
                </c:pt>
                <c:pt idx="85">
                  <c:v>41.68843660994424</c:v>
                </c:pt>
                <c:pt idx="86">
                  <c:v>32.309653494031757</c:v>
                </c:pt>
                <c:pt idx="87">
                  <c:v>33.216987268545239</c:v>
                </c:pt>
                <c:pt idx="88">
                  <c:v>89.703216106077377</c:v>
                </c:pt>
                <c:pt idx="89">
                  <c:v>43.08717991101561</c:v>
                </c:pt>
                <c:pt idx="90">
                  <c:v>25.045974700885246</c:v>
                </c:pt>
                <c:pt idx="91">
                  <c:v>30.085504154063795</c:v>
                </c:pt>
                <c:pt idx="92">
                  <c:v>16.111955274594319</c:v>
                </c:pt>
                <c:pt idx="93">
                  <c:v>31.035558328134748</c:v>
                </c:pt>
                <c:pt idx="94">
                  <c:v>60.603829160530189</c:v>
                </c:pt>
                <c:pt idx="95">
                  <c:v>14.493791786055397</c:v>
                </c:pt>
                <c:pt idx="96">
                  <c:v>4.8177887584928971</c:v>
                </c:pt>
                <c:pt idx="97">
                  <c:v>51.310030927233477</c:v>
                </c:pt>
                <c:pt idx="98">
                  <c:v>78.312302839116725</c:v>
                </c:pt>
                <c:pt idx="99">
                  <c:v>27.126917712691771</c:v>
                </c:pt>
                <c:pt idx="100">
                  <c:v>32.470288624787777</c:v>
                </c:pt>
                <c:pt idx="101">
                  <c:v>32.005723825423317</c:v>
                </c:pt>
                <c:pt idx="102">
                  <c:v>25.790702610910632</c:v>
                </c:pt>
                <c:pt idx="103">
                  <c:v>33.221476510067113</c:v>
                </c:pt>
                <c:pt idx="104">
                  <c:v>22.625280478683621</c:v>
                </c:pt>
                <c:pt idx="105">
                  <c:v>31.196581196581199</c:v>
                </c:pt>
                <c:pt idx="106">
                  <c:v>15.299917830731307</c:v>
                </c:pt>
                <c:pt idx="107">
                  <c:v>20.552677029360964</c:v>
                </c:pt>
                <c:pt idx="108">
                  <c:v>15.379394597529524</c:v>
                </c:pt>
                <c:pt idx="109">
                  <c:v>17.401725790987538</c:v>
                </c:pt>
                <c:pt idx="110">
                  <c:v>17.717001315876669</c:v>
                </c:pt>
                <c:pt idx="111">
                  <c:v>52.172905319272218</c:v>
                </c:pt>
                <c:pt idx="112">
                  <c:v>20.167139703563546</c:v>
                </c:pt>
                <c:pt idx="113">
                  <c:v>5.6563847969398546</c:v>
                </c:pt>
                <c:pt idx="114">
                  <c:v>5.236486486486486</c:v>
                </c:pt>
                <c:pt idx="115">
                  <c:v>37.022430367266452</c:v>
                </c:pt>
                <c:pt idx="116">
                  <c:v>20.689655172413797</c:v>
                </c:pt>
                <c:pt idx="117">
                  <c:v>25.878679750223014</c:v>
                </c:pt>
                <c:pt idx="118">
                  <c:v>32.26156069364162</c:v>
                </c:pt>
                <c:pt idx="119">
                  <c:v>23.72708013733655</c:v>
                </c:pt>
                <c:pt idx="120">
                  <c:v>18.457434985552347</c:v>
                </c:pt>
                <c:pt idx="121">
                  <c:v>9.5289309528930932</c:v>
                </c:pt>
                <c:pt idx="122">
                  <c:v>18.350168350168349</c:v>
                </c:pt>
                <c:pt idx="123">
                  <c:v>6.7285095856524428</c:v>
                </c:pt>
                <c:pt idx="124">
                  <c:v>7.2760572760572764</c:v>
                </c:pt>
                <c:pt idx="125">
                  <c:v>5.8844381425026597</c:v>
                </c:pt>
                <c:pt idx="126">
                  <c:v>44.267766107058101</c:v>
                </c:pt>
                <c:pt idx="127">
                  <c:v>100.48039614204943</c:v>
                </c:pt>
                <c:pt idx="128">
                  <c:v>22.338921922214645</c:v>
                </c:pt>
                <c:pt idx="129">
                  <c:v>11.866293492780358</c:v>
                </c:pt>
                <c:pt idx="130">
                  <c:v>12.085308056872035</c:v>
                </c:pt>
                <c:pt idx="131">
                  <c:v>38.868490233993093</c:v>
                </c:pt>
                <c:pt idx="132">
                  <c:v>78.805069674253161</c:v>
                </c:pt>
                <c:pt idx="133">
                  <c:v>29.665216340343243</c:v>
                </c:pt>
                <c:pt idx="134">
                  <c:v>70.133395542171229</c:v>
                </c:pt>
                <c:pt idx="135">
                  <c:v>72.108772660971027</c:v>
                </c:pt>
                <c:pt idx="136">
                  <c:v>54.333646816127171</c:v>
                </c:pt>
                <c:pt idx="137">
                  <c:v>44.445259298061814</c:v>
                </c:pt>
                <c:pt idx="138">
                  <c:v>69.217785658267118</c:v>
                </c:pt>
                <c:pt idx="139">
                  <c:v>31.776164396671344</c:v>
                </c:pt>
                <c:pt idx="140">
                  <c:v>25.474895840689218</c:v>
                </c:pt>
                <c:pt idx="141">
                  <c:v>35.111878552413842</c:v>
                </c:pt>
                <c:pt idx="142">
                  <c:v>25.894210099728653</c:v>
                </c:pt>
                <c:pt idx="143">
                  <c:v>90.64104965986833</c:v>
                </c:pt>
                <c:pt idx="144">
                  <c:v>38.004299459436893</c:v>
                </c:pt>
                <c:pt idx="145">
                  <c:v>15.04690882848208</c:v>
                </c:pt>
                <c:pt idx="146">
                  <c:v>35.553801311634686</c:v>
                </c:pt>
                <c:pt idx="147">
                  <c:v>15.379384271372421</c:v>
                </c:pt>
                <c:pt idx="148">
                  <c:v>25.365411977751904</c:v>
                </c:pt>
                <c:pt idx="149">
                  <c:v>57.644052930633414</c:v>
                </c:pt>
                <c:pt idx="150">
                  <c:v>63.635237049888467</c:v>
                </c:pt>
                <c:pt idx="151">
                  <c:v>43.53053568515972</c:v>
                </c:pt>
                <c:pt idx="152">
                  <c:v>91.852657936302492</c:v>
                </c:pt>
                <c:pt idx="153">
                  <c:v>64.414210654511294</c:v>
                </c:pt>
                <c:pt idx="154">
                  <c:v>71.635236138136719</c:v>
                </c:pt>
                <c:pt idx="155">
                  <c:v>92.07150201692636</c:v>
                </c:pt>
                <c:pt idx="156">
                  <c:v>46.306121035110174</c:v>
                </c:pt>
                <c:pt idx="157">
                  <c:v>44.129383844598756</c:v>
                </c:pt>
                <c:pt idx="158">
                  <c:v>42.630624780149901</c:v>
                </c:pt>
                <c:pt idx="159">
                  <c:v>77.816753457058809</c:v>
                </c:pt>
                <c:pt idx="160">
                  <c:v>34.971177600878391</c:v>
                </c:pt>
                <c:pt idx="161">
                  <c:v>55.105258018163809</c:v>
                </c:pt>
                <c:pt idx="162">
                  <c:v>38.755175023371073</c:v>
                </c:pt>
                <c:pt idx="163">
                  <c:v>16.596682326528917</c:v>
                </c:pt>
                <c:pt idx="164">
                  <c:v>35.600509716470214</c:v>
                </c:pt>
                <c:pt idx="165">
                  <c:v>3.8425492033739461</c:v>
                </c:pt>
                <c:pt idx="166">
                  <c:v>27.80502949394598</c:v>
                </c:pt>
                <c:pt idx="167">
                  <c:v>35.455957399600628</c:v>
                </c:pt>
                <c:pt idx="168">
                  <c:v>27.426573426573427</c:v>
                </c:pt>
                <c:pt idx="169">
                  <c:v>30.54415700267618</c:v>
                </c:pt>
                <c:pt idx="170">
                  <c:v>59.184823441021791</c:v>
                </c:pt>
                <c:pt idx="171">
                  <c:v>20.212860310421284</c:v>
                </c:pt>
                <c:pt idx="172">
                  <c:v>29.288274449564771</c:v>
                </c:pt>
                <c:pt idx="173">
                  <c:v>13.247823813478517</c:v>
                </c:pt>
                <c:pt idx="174">
                  <c:v>14.722663922925827</c:v>
                </c:pt>
                <c:pt idx="175">
                  <c:v>17.376935119151153</c:v>
                </c:pt>
                <c:pt idx="176">
                  <c:v>27.090592334494776</c:v>
                </c:pt>
                <c:pt idx="177">
                  <c:v>13.283089967027792</c:v>
                </c:pt>
                <c:pt idx="178">
                  <c:v>68.44387207555269</c:v>
                </c:pt>
                <c:pt idx="179">
                  <c:v>123.64377733128474</c:v>
                </c:pt>
                <c:pt idx="180">
                  <c:v>42.12638038333975</c:v>
                </c:pt>
                <c:pt idx="181">
                  <c:v>21.638779751520758</c:v>
                </c:pt>
                <c:pt idx="182">
                  <c:v>29.309705298688776</c:v>
                </c:pt>
                <c:pt idx="183">
                  <c:v>47.408516854348107</c:v>
                </c:pt>
                <c:pt idx="184">
                  <c:v>88.479772175224056</c:v>
                </c:pt>
                <c:pt idx="185">
                  <c:v>44.445318337331393</c:v>
                </c:pt>
                <c:pt idx="186">
                  <c:v>102.57403903554481</c:v>
                </c:pt>
                <c:pt idx="187">
                  <c:v>87.299545342402993</c:v>
                </c:pt>
                <c:pt idx="188">
                  <c:v>62.520941746045864</c:v>
                </c:pt>
                <c:pt idx="189">
                  <c:v>74.32524913517517</c:v>
                </c:pt>
                <c:pt idx="190">
                  <c:v>90.645949830565385</c:v>
                </c:pt>
                <c:pt idx="191">
                  <c:v>44.067455635997874</c:v>
                </c:pt>
                <c:pt idx="192">
                  <c:v>45.53237551663058</c:v>
                </c:pt>
                <c:pt idx="193">
                  <c:v>41.242180892487788</c:v>
                </c:pt>
                <c:pt idx="194">
                  <c:v>39.621114963028276</c:v>
                </c:pt>
                <c:pt idx="195">
                  <c:v>97.116312128750565</c:v>
                </c:pt>
                <c:pt idx="196">
                  <c:v>38.400751482416496</c:v>
                </c:pt>
                <c:pt idx="197">
                  <c:v>34.712976571280372</c:v>
                </c:pt>
                <c:pt idx="198">
                  <c:v>38.164563508481585</c:v>
                </c:pt>
                <c:pt idx="199">
                  <c:v>26.70515524962067</c:v>
                </c:pt>
                <c:pt idx="200">
                  <c:v>26.801335174953959</c:v>
                </c:pt>
                <c:pt idx="201">
                  <c:v>9.4298245614035086</c:v>
                </c:pt>
                <c:pt idx="202">
                  <c:v>3.6125319693094626</c:v>
                </c:pt>
                <c:pt idx="203">
                  <c:v>37.279393173198486</c:v>
                </c:pt>
                <c:pt idx="204">
                  <c:v>31.52350081037277</c:v>
                </c:pt>
                <c:pt idx="205">
                  <c:v>29.128137384412152</c:v>
                </c:pt>
                <c:pt idx="206">
                  <c:v>29.548611111111107</c:v>
                </c:pt>
                <c:pt idx="207">
                  <c:v>30.992598215980259</c:v>
                </c:pt>
                <c:pt idx="208">
                  <c:v>18.263223656809664</c:v>
                </c:pt>
                <c:pt idx="209">
                  <c:v>19.027484143763214</c:v>
                </c:pt>
                <c:pt idx="210">
                  <c:v>13.480662983425413</c:v>
                </c:pt>
                <c:pt idx="211">
                  <c:v>25.466574776016543</c:v>
                </c:pt>
                <c:pt idx="212">
                  <c:v>45.522388059701491</c:v>
                </c:pt>
                <c:pt idx="213">
                  <c:v>12.856821757698357</c:v>
                </c:pt>
                <c:pt idx="214">
                  <c:v>4.7340165934602245</c:v>
                </c:pt>
                <c:pt idx="215">
                  <c:v>22.785654712260218</c:v>
                </c:pt>
                <c:pt idx="216">
                  <c:v>47.816462064801769</c:v>
                </c:pt>
                <c:pt idx="217">
                  <c:v>26.365096359743042</c:v>
                </c:pt>
                <c:pt idx="218">
                  <c:v>35.938008019941478</c:v>
                </c:pt>
                <c:pt idx="219">
                  <c:v>27.029096477794791</c:v>
                </c:pt>
                <c:pt idx="220">
                  <c:v>14.065213196990163</c:v>
                </c:pt>
                <c:pt idx="221">
                  <c:v>17.613443091366758</c:v>
                </c:pt>
                <c:pt idx="222">
                  <c:v>32.234375</c:v>
                </c:pt>
                <c:pt idx="223">
                  <c:v>30.506061719324023</c:v>
                </c:pt>
                <c:pt idx="224">
                  <c:v>56.257573134845074</c:v>
                </c:pt>
                <c:pt idx="225">
                  <c:v>15.607166556071665</c:v>
                </c:pt>
                <c:pt idx="226">
                  <c:v>3.935300983825246</c:v>
                </c:pt>
                <c:pt idx="227">
                  <c:v>12.337536372453929</c:v>
                </c:pt>
                <c:pt idx="228">
                  <c:v>35.177703211668835</c:v>
                </c:pt>
                <c:pt idx="229">
                  <c:v>56.547774017183016</c:v>
                </c:pt>
                <c:pt idx="230">
                  <c:v>28.133333333333329</c:v>
                </c:pt>
                <c:pt idx="231">
                  <c:v>138.72545544765012</c:v>
                </c:pt>
                <c:pt idx="232">
                  <c:v>65.985800109229928</c:v>
                </c:pt>
                <c:pt idx="233">
                  <c:v>51.807670811792654</c:v>
                </c:pt>
                <c:pt idx="234">
                  <c:v>48.893918688076532</c:v>
                </c:pt>
                <c:pt idx="235">
                  <c:v>52.043135803774383</c:v>
                </c:pt>
                <c:pt idx="236">
                  <c:v>28.651994137967126</c:v>
                </c:pt>
                <c:pt idx="237">
                  <c:v>48.941804372369901</c:v>
                </c:pt>
                <c:pt idx="238">
                  <c:v>76.025568569368389</c:v>
                </c:pt>
                <c:pt idx="239">
                  <c:v>11.385291961886148</c:v>
                </c:pt>
                <c:pt idx="240">
                  <c:v>47.216330858960767</c:v>
                </c:pt>
                <c:pt idx="241">
                  <c:v>87.733293196869354</c:v>
                </c:pt>
                <c:pt idx="242">
                  <c:v>39.450988641144306</c:v>
                </c:pt>
                <c:pt idx="243">
                  <c:v>29.723674383868559</c:v>
                </c:pt>
                <c:pt idx="244">
                  <c:v>34.297242770679219</c:v>
                </c:pt>
                <c:pt idx="245">
                  <c:v>53.477057293851189</c:v>
                </c:pt>
                <c:pt idx="246">
                  <c:v>71.476124885215796</c:v>
                </c:pt>
                <c:pt idx="247">
                  <c:v>40.656812160089245</c:v>
                </c:pt>
                <c:pt idx="248">
                  <c:v>209.11561150076642</c:v>
                </c:pt>
                <c:pt idx="249">
                  <c:v>55.00080658170674</c:v>
                </c:pt>
                <c:pt idx="250">
                  <c:v>59.188401959486299</c:v>
                </c:pt>
                <c:pt idx="251">
                  <c:v>59.098077870872345</c:v>
                </c:pt>
                <c:pt idx="252">
                  <c:v>76.861108415024745</c:v>
                </c:pt>
                <c:pt idx="253">
                  <c:v>44.888861060672468</c:v>
                </c:pt>
                <c:pt idx="254">
                  <c:v>34.946972958165382</c:v>
                </c:pt>
                <c:pt idx="255">
                  <c:v>39.418678994737618</c:v>
                </c:pt>
                <c:pt idx="256">
                  <c:v>49.894408447324217</c:v>
                </c:pt>
                <c:pt idx="257">
                  <c:v>42.655675435406309</c:v>
                </c:pt>
                <c:pt idx="258">
                  <c:v>40.027129039867894</c:v>
                </c:pt>
                <c:pt idx="259">
                  <c:v>36.054168219654613</c:v>
                </c:pt>
                <c:pt idx="260">
                  <c:v>28.050632911392405</c:v>
                </c:pt>
                <c:pt idx="261">
                  <c:v>60.028766987402037</c:v>
                </c:pt>
                <c:pt idx="262">
                  <c:v>53.289335533223344</c:v>
                </c:pt>
                <c:pt idx="263">
                  <c:v>118.15450643776825</c:v>
                </c:pt>
                <c:pt idx="264">
                  <c:v>48.455915261823066</c:v>
                </c:pt>
                <c:pt idx="265">
                  <c:v>15.982721382289418</c:v>
                </c:pt>
                <c:pt idx="266">
                  <c:v>17.348165965123272</c:v>
                </c:pt>
                <c:pt idx="267">
                  <c:v>56.205912267462843</c:v>
                </c:pt>
                <c:pt idx="268">
                  <c:v>91.98535623767954</c:v>
                </c:pt>
                <c:pt idx="269">
                  <c:v>49.314624932541825</c:v>
                </c:pt>
                <c:pt idx="270">
                  <c:v>132.98705820904183</c:v>
                </c:pt>
                <c:pt idx="271">
                  <c:v>121.49556083531326</c:v>
                </c:pt>
                <c:pt idx="272">
                  <c:v>52.49768119782695</c:v>
                </c:pt>
                <c:pt idx="273">
                  <c:v>73.485536386042284</c:v>
                </c:pt>
                <c:pt idx="274">
                  <c:v>94.989691710217187</c:v>
                </c:pt>
                <c:pt idx="275">
                  <c:v>53.613447650988554</c:v>
                </c:pt>
                <c:pt idx="276">
                  <c:v>80.723516445520161</c:v>
                </c:pt>
                <c:pt idx="277">
                  <c:v>45.311251700386499</c:v>
                </c:pt>
                <c:pt idx="278">
                  <c:v>35.444588067215456</c:v>
                </c:pt>
                <c:pt idx="279">
                  <c:v>76.380399875686322</c:v>
                </c:pt>
                <c:pt idx="280">
                  <c:v>22.895730071392844</c:v>
                </c:pt>
                <c:pt idx="281">
                  <c:v>34.049766519541997</c:v>
                </c:pt>
                <c:pt idx="282">
                  <c:v>20.519454167300765</c:v>
                </c:pt>
                <c:pt idx="283">
                  <c:v>28.38710149594543</c:v>
                </c:pt>
                <c:pt idx="284">
                  <c:v>55.257208582873922</c:v>
                </c:pt>
                <c:pt idx="285">
                  <c:v>18.715089351382513</c:v>
                </c:pt>
                <c:pt idx="286">
                  <c:v>3.9518574677786211</c:v>
                </c:pt>
                <c:pt idx="287">
                  <c:v>10.054603652796086</c:v>
                </c:pt>
                <c:pt idx="288">
                  <c:v>29.452483215879237</c:v>
                </c:pt>
                <c:pt idx="289">
                  <c:v>54.456584243818284</c:v>
                </c:pt>
                <c:pt idx="290">
                  <c:v>22.31339446396435</c:v>
                </c:pt>
                <c:pt idx="291">
                  <c:v>33.976958080972743</c:v>
                </c:pt>
                <c:pt idx="292">
                  <c:v>41.771809404460143</c:v>
                </c:pt>
                <c:pt idx="293">
                  <c:v>36.858184685128606</c:v>
                </c:pt>
                <c:pt idx="294">
                  <c:v>20.452358036573631</c:v>
                </c:pt>
                <c:pt idx="295">
                  <c:v>24.181495618515136</c:v>
                </c:pt>
                <c:pt idx="296">
                  <c:v>47.800269905533064</c:v>
                </c:pt>
                <c:pt idx="297">
                  <c:v>30.026312032145551</c:v>
                </c:pt>
                <c:pt idx="298">
                  <c:v>13.429859308837591</c:v>
                </c:pt>
                <c:pt idx="299">
                  <c:v>17.244405440982888</c:v>
                </c:pt>
                <c:pt idx="300">
                  <c:v>15.599006031475671</c:v>
                </c:pt>
                <c:pt idx="301">
                  <c:v>31.688892153056834</c:v>
                </c:pt>
                <c:pt idx="302">
                  <c:v>72.569487337862881</c:v>
                </c:pt>
                <c:pt idx="303">
                  <c:v>27.673235431339009</c:v>
                </c:pt>
                <c:pt idx="304">
                  <c:v>8.1103629104344179</c:v>
                </c:pt>
                <c:pt idx="305">
                  <c:v>10.909583672107907</c:v>
                </c:pt>
                <c:pt idx="306">
                  <c:v>37.941741830548573</c:v>
                </c:pt>
                <c:pt idx="307">
                  <c:v>155.62600321027287</c:v>
                </c:pt>
                <c:pt idx="308">
                  <c:v>34.603263533860918</c:v>
                </c:pt>
                <c:pt idx="309">
                  <c:v>83.350935425467711</c:v>
                </c:pt>
                <c:pt idx="310">
                  <c:v>75.961984237366707</c:v>
                </c:pt>
                <c:pt idx="311">
                  <c:v>60.186223536208239</c:v>
                </c:pt>
                <c:pt idx="312">
                  <c:v>35.119969040247682</c:v>
                </c:pt>
                <c:pt idx="313">
                  <c:v>70.014654492165477</c:v>
                </c:pt>
                <c:pt idx="314">
                  <c:v>29.347764363834596</c:v>
                </c:pt>
                <c:pt idx="315">
                  <c:v>38.053875187425675</c:v>
                </c:pt>
                <c:pt idx="316">
                  <c:v>34.466332956563861</c:v>
                </c:pt>
                <c:pt idx="317">
                  <c:v>21.536468208823155</c:v>
                </c:pt>
                <c:pt idx="318">
                  <c:v>22.58725341426404</c:v>
                </c:pt>
                <c:pt idx="319">
                  <c:v>16.52727824240586</c:v>
                </c:pt>
                <c:pt idx="320">
                  <c:v>21.347058345877809</c:v>
                </c:pt>
                <c:pt idx="321">
                  <c:v>59.950202877167094</c:v>
                </c:pt>
                <c:pt idx="322">
                  <c:v>16.71645710909031</c:v>
                </c:pt>
                <c:pt idx="323">
                  <c:v>4.3146356961310364</c:v>
                </c:pt>
                <c:pt idx="324">
                  <c:v>6.5811160819401913</c:v>
                </c:pt>
                <c:pt idx="325">
                  <c:v>26.934349355216881</c:v>
                </c:pt>
                <c:pt idx="326">
                  <c:v>57.216601280198219</c:v>
                </c:pt>
                <c:pt idx="327">
                  <c:v>34.732824427480921</c:v>
                </c:pt>
                <c:pt idx="328">
                  <c:v>43.361583953264173</c:v>
                </c:pt>
                <c:pt idx="329">
                  <c:v>37.970755443012834</c:v>
                </c:pt>
                <c:pt idx="330">
                  <c:v>46.036791559583392</c:v>
                </c:pt>
                <c:pt idx="331">
                  <c:v>23.032778584208213</c:v>
                </c:pt>
                <c:pt idx="332">
                  <c:v>32.509278103675328</c:v>
                </c:pt>
                <c:pt idx="333">
                  <c:v>37.147001579082662</c:v>
                </c:pt>
                <c:pt idx="334">
                  <c:v>42.798901645853491</c:v>
                </c:pt>
                <c:pt idx="335">
                  <c:v>14.297169968926458</c:v>
                </c:pt>
                <c:pt idx="336">
                  <c:v>11.78690714762859</c:v>
                </c:pt>
                <c:pt idx="337">
                  <c:v>14.674665436086755</c:v>
                </c:pt>
                <c:pt idx="338">
                  <c:v>9.2278869534021606</c:v>
                </c:pt>
                <c:pt idx="339">
                  <c:v>28.737242345407243</c:v>
                </c:pt>
                <c:pt idx="340">
                  <c:v>61.432286457291461</c:v>
                </c:pt>
                <c:pt idx="341">
                  <c:v>19.36706774353058</c:v>
                </c:pt>
                <c:pt idx="342">
                  <c:v>5.1687763713080175</c:v>
                </c:pt>
                <c:pt idx="343">
                  <c:v>11.274455620647728</c:v>
                </c:pt>
                <c:pt idx="344">
                  <c:v>36.374600922312879</c:v>
                </c:pt>
                <c:pt idx="345">
                  <c:v>90.026680218523694</c:v>
                </c:pt>
                <c:pt idx="346">
                  <c:v>33.747126436781613</c:v>
                </c:pt>
                <c:pt idx="347">
                  <c:v>44.604357310819609</c:v>
                </c:pt>
                <c:pt idx="348">
                  <c:v>41.655105856806806</c:v>
                </c:pt>
                <c:pt idx="349">
                  <c:v>36.024427246365683</c:v>
                </c:pt>
                <c:pt idx="350">
                  <c:v>30.821597615847605</c:v>
                </c:pt>
                <c:pt idx="351">
                  <c:v>33.297416212090596</c:v>
                </c:pt>
                <c:pt idx="352">
                  <c:v>77.569139582641625</c:v>
                </c:pt>
                <c:pt idx="353">
                  <c:v>22.472710014238256</c:v>
                </c:pt>
                <c:pt idx="354">
                  <c:v>21.60660874519299</c:v>
                </c:pt>
                <c:pt idx="355">
                  <c:v>21.504758779127013</c:v>
                </c:pt>
                <c:pt idx="356">
                  <c:v>61.979250832229077</c:v>
                </c:pt>
                <c:pt idx="357">
                  <c:v>25.418240690771718</c:v>
                </c:pt>
                <c:pt idx="358">
                  <c:v>195.59044955904497</c:v>
                </c:pt>
                <c:pt idx="359">
                  <c:v>34.908282379099504</c:v>
                </c:pt>
                <c:pt idx="360">
                  <c:v>179.8678487788558</c:v>
                </c:pt>
                <c:pt idx="361">
                  <c:v>57.596954134938912</c:v>
                </c:pt>
                <c:pt idx="362">
                  <c:v>52.860142797144064</c:v>
                </c:pt>
                <c:pt idx="363">
                  <c:v>97.78067885117494</c:v>
                </c:pt>
                <c:pt idx="364">
                  <c:v>38.625704215580171</c:v>
                </c:pt>
                <c:pt idx="365">
                  <c:v>36.245975124692215</c:v>
                </c:pt>
                <c:pt idx="366">
                  <c:v>25.16870518768452</c:v>
                </c:pt>
                <c:pt idx="367">
                  <c:v>22.78209595282766</c:v>
                </c:pt>
                <c:pt idx="368">
                  <c:v>18.999460625674217</c:v>
                </c:pt>
                <c:pt idx="369">
                  <c:v>61.375135525840257</c:v>
                </c:pt>
                <c:pt idx="370">
                  <c:v>84.664973627661652</c:v>
                </c:pt>
                <c:pt idx="371">
                  <c:v>31.795108444854641</c:v>
                </c:pt>
                <c:pt idx="372">
                  <c:v>67.386436340371091</c:v>
                </c:pt>
                <c:pt idx="373">
                  <c:v>210.77566513197198</c:v>
                </c:pt>
                <c:pt idx="374">
                  <c:v>27.722661910600831</c:v>
                </c:pt>
                <c:pt idx="375">
                  <c:v>148.67144236142866</c:v>
                </c:pt>
                <c:pt idx="376">
                  <c:v>49.994936708860756</c:v>
                </c:pt>
                <c:pt idx="377">
                  <c:v>60.469884191278325</c:v>
                </c:pt>
                <c:pt idx="378">
                  <c:v>76.812469444684083</c:v>
                </c:pt>
                <c:pt idx="379">
                  <c:v>35.66608857863212</c:v>
                </c:pt>
                <c:pt idx="380">
                  <c:v>35.538166248338989</c:v>
                </c:pt>
                <c:pt idx="381">
                  <c:v>35.222858311183813</c:v>
                </c:pt>
                <c:pt idx="382">
                  <c:v>34.769564482506055</c:v>
                </c:pt>
                <c:pt idx="383">
                  <c:v>115.3534285210647</c:v>
                </c:pt>
                <c:pt idx="384">
                  <c:v>38.394710960550761</c:v>
                </c:pt>
                <c:pt idx="385">
                  <c:v>29.843089921544959</c:v>
                </c:pt>
                <c:pt idx="386">
                  <c:v>42.906350914962331</c:v>
                </c:pt>
                <c:pt idx="387">
                  <c:v>22.58064516129032</c:v>
                </c:pt>
              </c:numCache>
            </c:numRef>
          </c:xVal>
          <c:yVal>
            <c:numRef>
              <c:f>'Sheet 1'!$AY$10:$AY$531</c:f>
              <c:numCache>
                <c:formatCode>General</c:formatCode>
                <c:ptCount val="388"/>
                <c:pt idx="0">
                  <c:v>103.0044150412116</c:v>
                </c:pt>
                <c:pt idx="1">
                  <c:v>204.62633451957296</c:v>
                </c:pt>
                <c:pt idx="2">
                  <c:v>82.212752525252526</c:v>
                </c:pt>
                <c:pt idx="3">
                  <c:v>90.996784565916414</c:v>
                </c:pt>
                <c:pt idx="4">
                  <c:v>119.75647213690216</c:v>
                </c:pt>
                <c:pt idx="5">
                  <c:v>104.4104410441044</c:v>
                </c:pt>
                <c:pt idx="6">
                  <c:v>204.32452028899189</c:v>
                </c:pt>
                <c:pt idx="7">
                  <c:v>114.54268442522239</c:v>
                </c:pt>
                <c:pt idx="8">
                  <c:v>118.08586686850848</c:v>
                </c:pt>
                <c:pt idx="9">
                  <c:v>127.37139767954423</c:v>
                </c:pt>
                <c:pt idx="10">
                  <c:v>102.8421857818999</c:v>
                </c:pt>
                <c:pt idx="11">
                  <c:v>150.31974801947123</c:v>
                </c:pt>
                <c:pt idx="12">
                  <c:v>112.12866936192651</c:v>
                </c:pt>
                <c:pt idx="13">
                  <c:v>135.3310565164702</c:v>
                </c:pt>
                <c:pt idx="14">
                  <c:v>95.233029980695747</c:v>
                </c:pt>
                <c:pt idx="15">
                  <c:v>73.758403816959444</c:v>
                </c:pt>
                <c:pt idx="16">
                  <c:v>112.4581939799331</c:v>
                </c:pt>
                <c:pt idx="17">
                  <c:v>13.84767821755664</c:v>
                </c:pt>
                <c:pt idx="18">
                  <c:v>25.864596808969381</c:v>
                </c:pt>
                <c:pt idx="19">
                  <c:v>11.175236096537251</c:v>
                </c:pt>
                <c:pt idx="20">
                  <c:v>7.6664416113957401</c:v>
                </c:pt>
                <c:pt idx="21">
                  <c:v>9.67741935483871</c:v>
                </c:pt>
                <c:pt idx="22">
                  <c:v>18.442877876840143</c:v>
                </c:pt>
                <c:pt idx="23">
                  <c:v>18.838108231014097</c:v>
                </c:pt>
                <c:pt idx="24">
                  <c:v>16.091569329629507</c:v>
                </c:pt>
                <c:pt idx="25">
                  <c:v>15.113007170736134</c:v>
                </c:pt>
                <c:pt idx="26">
                  <c:v>18.006348743021853</c:v>
                </c:pt>
                <c:pt idx="27">
                  <c:v>18.999606382656612</c:v>
                </c:pt>
                <c:pt idx="28">
                  <c:v>12.400358262427227</c:v>
                </c:pt>
                <c:pt idx="29">
                  <c:v>10.227541510951321</c:v>
                </c:pt>
                <c:pt idx="30">
                  <c:v>27.154183183809725</c:v>
                </c:pt>
                <c:pt idx="31">
                  <c:v>20.921963695340278</c:v>
                </c:pt>
                <c:pt idx="32">
                  <c:v>28.650905669254296</c:v>
                </c:pt>
                <c:pt idx="33">
                  <c:v>69.45171465002349</c:v>
                </c:pt>
                <c:pt idx="34">
                  <c:v>27.137563268257413</c:v>
                </c:pt>
                <c:pt idx="35">
                  <c:v>21.832439125051586</c:v>
                </c:pt>
                <c:pt idx="36">
                  <c:v>19.748427672955973</c:v>
                </c:pt>
                <c:pt idx="37">
                  <c:v>39.462557221232132</c:v>
                </c:pt>
                <c:pt idx="38">
                  <c:v>47.449736532460221</c:v>
                </c:pt>
                <c:pt idx="39">
                  <c:v>33.865514650638616</c:v>
                </c:pt>
                <c:pt idx="40">
                  <c:v>55.141677613060615</c:v>
                </c:pt>
                <c:pt idx="41">
                  <c:v>39.005250841182431</c:v>
                </c:pt>
                <c:pt idx="42">
                  <c:v>42.385495812362755</c:v>
                </c:pt>
                <c:pt idx="43">
                  <c:v>29.012505593368033</c:v>
                </c:pt>
                <c:pt idx="44">
                  <c:v>34.789807745377615</c:v>
                </c:pt>
                <c:pt idx="45">
                  <c:v>39.781995770818646</c:v>
                </c:pt>
                <c:pt idx="46">
                  <c:v>34.921111645042451</c:v>
                </c:pt>
                <c:pt idx="47">
                  <c:v>34.032531507900963</c:v>
                </c:pt>
                <c:pt idx="48">
                  <c:v>49.152295958308173</c:v>
                </c:pt>
                <c:pt idx="49">
                  <c:v>34.883314395594795</c:v>
                </c:pt>
                <c:pt idx="50">
                  <c:v>26.208843846115059</c:v>
                </c:pt>
                <c:pt idx="51">
                  <c:v>31.777269260106788</c:v>
                </c:pt>
                <c:pt idx="52">
                  <c:v>41.618820552744261</c:v>
                </c:pt>
                <c:pt idx="53">
                  <c:v>104.31324274418824</c:v>
                </c:pt>
                <c:pt idx="54">
                  <c:v>122.0606826801517</c:v>
                </c:pt>
                <c:pt idx="55">
                  <c:v>106.46087580760948</c:v>
                </c:pt>
                <c:pt idx="56">
                  <c:v>85.148361037750504</c:v>
                </c:pt>
                <c:pt idx="57">
                  <c:v>100.56048575432041</c:v>
                </c:pt>
                <c:pt idx="58">
                  <c:v>81.398773006134959</c:v>
                </c:pt>
                <c:pt idx="59">
                  <c:v>281.89823874755382</c:v>
                </c:pt>
                <c:pt idx="60">
                  <c:v>102.21487898544252</c:v>
                </c:pt>
                <c:pt idx="61">
                  <c:v>112.91006894461701</c:v>
                </c:pt>
                <c:pt idx="62">
                  <c:v>97.151621384750214</c:v>
                </c:pt>
                <c:pt idx="63">
                  <c:v>90.302989631916262</c:v>
                </c:pt>
                <c:pt idx="64">
                  <c:v>140.30950170225935</c:v>
                </c:pt>
                <c:pt idx="65">
                  <c:v>109.52897764271762</c:v>
                </c:pt>
                <c:pt idx="66">
                  <c:v>97.993119266055047</c:v>
                </c:pt>
                <c:pt idx="67">
                  <c:v>94.908350305498971</c:v>
                </c:pt>
                <c:pt idx="68">
                  <c:v>97.240099009900987</c:v>
                </c:pt>
                <c:pt idx="69">
                  <c:v>311.80734382451118</c:v>
                </c:pt>
                <c:pt idx="70">
                  <c:v>95.477490470794265</c:v>
                </c:pt>
                <c:pt idx="71">
                  <c:v>57.25296602006086</c:v>
                </c:pt>
                <c:pt idx="72">
                  <c:v>99.165516536318549</c:v>
                </c:pt>
                <c:pt idx="73">
                  <c:v>59.361690124954166</c:v>
                </c:pt>
                <c:pt idx="74">
                  <c:v>71.699698204785165</c:v>
                </c:pt>
                <c:pt idx="75">
                  <c:v>57.745966274414656</c:v>
                </c:pt>
                <c:pt idx="76">
                  <c:v>66.284768683837569</c:v>
                </c:pt>
                <c:pt idx="77">
                  <c:v>88.288216928388024</c:v>
                </c:pt>
                <c:pt idx="78">
                  <c:v>60.081649076627741</c:v>
                </c:pt>
                <c:pt idx="79">
                  <c:v>238.01484230055661</c:v>
                </c:pt>
                <c:pt idx="80">
                  <c:v>119.91376922104504</c:v>
                </c:pt>
                <c:pt idx="81">
                  <c:v>69.656145150870984</c:v>
                </c:pt>
                <c:pt idx="82">
                  <c:v>81.42865071876561</c:v>
                </c:pt>
                <c:pt idx="83">
                  <c:v>76.743128592817143</c:v>
                </c:pt>
                <c:pt idx="84">
                  <c:v>67.94280138711251</c:v>
                </c:pt>
                <c:pt idx="85">
                  <c:v>99.450459647233146</c:v>
                </c:pt>
                <c:pt idx="86">
                  <c:v>88.69769542161356</c:v>
                </c:pt>
                <c:pt idx="87">
                  <c:v>89.039850384905378</c:v>
                </c:pt>
                <c:pt idx="88">
                  <c:v>120.83316920992303</c:v>
                </c:pt>
                <c:pt idx="89">
                  <c:v>111.43848919376833</c:v>
                </c:pt>
                <c:pt idx="90">
                  <c:v>58.848361662683438</c:v>
                </c:pt>
                <c:pt idx="91">
                  <c:v>77.404706636341615</c:v>
                </c:pt>
                <c:pt idx="92">
                  <c:v>76.730473612630846</c:v>
                </c:pt>
                <c:pt idx="93">
                  <c:v>28.844354335620711</c:v>
                </c:pt>
                <c:pt idx="94">
                  <c:v>55.449189985272454</c:v>
                </c:pt>
                <c:pt idx="95">
                  <c:v>21.537726838586437</c:v>
                </c:pt>
                <c:pt idx="96">
                  <c:v>14.350422071237389</c:v>
                </c:pt>
                <c:pt idx="97">
                  <c:v>32.146816829083271</c:v>
                </c:pt>
                <c:pt idx="98">
                  <c:v>47.318611987381701</c:v>
                </c:pt>
                <c:pt idx="99">
                  <c:v>26.952580195258019</c:v>
                </c:pt>
                <c:pt idx="100">
                  <c:v>43.548387096774192</c:v>
                </c:pt>
                <c:pt idx="101">
                  <c:v>32.196518006200812</c:v>
                </c:pt>
                <c:pt idx="102">
                  <c:v>35.51263001485885</c:v>
                </c:pt>
                <c:pt idx="103">
                  <c:v>46.140939597315437</c:v>
                </c:pt>
                <c:pt idx="104">
                  <c:v>30.426327599102468</c:v>
                </c:pt>
                <c:pt idx="105">
                  <c:v>36.256410256410255</c:v>
                </c:pt>
                <c:pt idx="106">
                  <c:v>32.3582580115037</c:v>
                </c:pt>
                <c:pt idx="107">
                  <c:v>35.78583765112262</c:v>
                </c:pt>
                <c:pt idx="108">
                  <c:v>25.193430161531154</c:v>
                </c:pt>
                <c:pt idx="109">
                  <c:v>27.181208053691275</c:v>
                </c:pt>
                <c:pt idx="110">
                  <c:v>27.322900987380834</c:v>
                </c:pt>
                <c:pt idx="111">
                  <c:v>61.339668559508624</c:v>
                </c:pt>
                <c:pt idx="112">
                  <c:v>27.625354777672658</c:v>
                </c:pt>
                <c:pt idx="113">
                  <c:v>16.936599658175307</c:v>
                </c:pt>
                <c:pt idx="114">
                  <c:v>18.66554054054054</c:v>
                </c:pt>
                <c:pt idx="115">
                  <c:v>40.682770520088738</c:v>
                </c:pt>
                <c:pt idx="116">
                  <c:v>29.21577186090499</c:v>
                </c:pt>
                <c:pt idx="117">
                  <c:v>60.330062444246209</c:v>
                </c:pt>
                <c:pt idx="118">
                  <c:v>47.769147398843927</c:v>
                </c:pt>
                <c:pt idx="119">
                  <c:v>46.241507779969318</c:v>
                </c:pt>
                <c:pt idx="120">
                  <c:v>33.220715714603244</c:v>
                </c:pt>
                <c:pt idx="121">
                  <c:v>37.158528715852874</c:v>
                </c:pt>
                <c:pt idx="122">
                  <c:v>34.932659932659931</c:v>
                </c:pt>
                <c:pt idx="123">
                  <c:v>19.455782312925169</c:v>
                </c:pt>
                <c:pt idx="124">
                  <c:v>20.063270063270064</c:v>
                </c:pt>
                <c:pt idx="125">
                  <c:v>31.557958170861397</c:v>
                </c:pt>
                <c:pt idx="126">
                  <c:v>52.656675749318808</c:v>
                </c:pt>
                <c:pt idx="127">
                  <c:v>91.663279257972732</c:v>
                </c:pt>
                <c:pt idx="128">
                  <c:v>42.175163271274002</c:v>
                </c:pt>
                <c:pt idx="129">
                  <c:v>36.009159722663952</c:v>
                </c:pt>
                <c:pt idx="130">
                  <c:v>32.972648889396453</c:v>
                </c:pt>
                <c:pt idx="131">
                  <c:v>46.372781193647214</c:v>
                </c:pt>
                <c:pt idx="132">
                  <c:v>84.514081177821296</c:v>
                </c:pt>
                <c:pt idx="133">
                  <c:v>46.887841430988637</c:v>
                </c:pt>
                <c:pt idx="134">
                  <c:v>100.91192501007359</c:v>
                </c:pt>
                <c:pt idx="135">
                  <c:v>110.95228172535946</c:v>
                </c:pt>
                <c:pt idx="136">
                  <c:v>65.610937515800529</c:v>
                </c:pt>
                <c:pt idx="137">
                  <c:v>72.248297537978004</c:v>
                </c:pt>
                <c:pt idx="138">
                  <c:v>75.452654550414309</c:v>
                </c:pt>
                <c:pt idx="139">
                  <c:v>53.834776821252554</c:v>
                </c:pt>
                <c:pt idx="140">
                  <c:v>61.545794788503635</c:v>
                </c:pt>
                <c:pt idx="141">
                  <c:v>63.971508741636079</c:v>
                </c:pt>
                <c:pt idx="142">
                  <c:v>63.751453642034036</c:v>
                </c:pt>
                <c:pt idx="143">
                  <c:v>76.00795901623458</c:v>
                </c:pt>
                <c:pt idx="144">
                  <c:v>94.308434036691509</c:v>
                </c:pt>
                <c:pt idx="145">
                  <c:v>42.376313046267342</c:v>
                </c:pt>
                <c:pt idx="146">
                  <c:v>51.99477775078941</c:v>
                </c:pt>
                <c:pt idx="147">
                  <c:v>50.468539286990406</c:v>
                </c:pt>
                <c:pt idx="148">
                  <c:v>77.96533436812831</c:v>
                </c:pt>
                <c:pt idx="149">
                  <c:v>63.358502078328186</c:v>
                </c:pt>
                <c:pt idx="150">
                  <c:v>87.191516481960136</c:v>
                </c:pt>
                <c:pt idx="151">
                  <c:v>69.371111680685971</c:v>
                </c:pt>
                <c:pt idx="152">
                  <c:v>131.76950993391475</c:v>
                </c:pt>
                <c:pt idx="153">
                  <c:v>83.581892202233888</c:v>
                </c:pt>
                <c:pt idx="154">
                  <c:v>85.523468330029644</c:v>
                </c:pt>
                <c:pt idx="155">
                  <c:v>73.224709325318358</c:v>
                </c:pt>
                <c:pt idx="156">
                  <c:v>72.899643027737369</c:v>
                </c:pt>
                <c:pt idx="157">
                  <c:v>115.73965017139844</c:v>
                </c:pt>
                <c:pt idx="158">
                  <c:v>86.58007955191168</c:v>
                </c:pt>
                <c:pt idx="159">
                  <c:v>94.520638487722664</c:v>
                </c:pt>
                <c:pt idx="160">
                  <c:v>65.209991765028818</c:v>
                </c:pt>
                <c:pt idx="161">
                  <c:v>91.565407848662815</c:v>
                </c:pt>
                <c:pt idx="162">
                  <c:v>80.139039337596998</c:v>
                </c:pt>
                <c:pt idx="163">
                  <c:v>24.383652766806634</c:v>
                </c:pt>
                <c:pt idx="164">
                  <c:v>49.538069448869066</c:v>
                </c:pt>
                <c:pt idx="165">
                  <c:v>13.480162449234614</c:v>
                </c:pt>
                <c:pt idx="166">
                  <c:v>18.745731139397702</c:v>
                </c:pt>
                <c:pt idx="167">
                  <c:v>30.485910805413802</c:v>
                </c:pt>
                <c:pt idx="168">
                  <c:v>29.272727272727273</c:v>
                </c:pt>
                <c:pt idx="169">
                  <c:v>38.590544157002682</c:v>
                </c:pt>
                <c:pt idx="170">
                  <c:v>77.2915101427498</c:v>
                </c:pt>
                <c:pt idx="171">
                  <c:v>25.516629711751662</c:v>
                </c:pt>
                <c:pt idx="172">
                  <c:v>35.603345280764636</c:v>
                </c:pt>
                <c:pt idx="173">
                  <c:v>24.985389560456458</c:v>
                </c:pt>
                <c:pt idx="174">
                  <c:v>26.807595173510432</c:v>
                </c:pt>
                <c:pt idx="175">
                  <c:v>27.117759610367024</c:v>
                </c:pt>
                <c:pt idx="176">
                  <c:v>25.087108013937282</c:v>
                </c:pt>
                <c:pt idx="177">
                  <c:v>18.191238813000471</c:v>
                </c:pt>
                <c:pt idx="178">
                  <c:v>83.639908420977321</c:v>
                </c:pt>
                <c:pt idx="179">
                  <c:v>136.50277744947405</c:v>
                </c:pt>
                <c:pt idx="180">
                  <c:v>75.407127684682564</c:v>
                </c:pt>
                <c:pt idx="181">
                  <c:v>69.340574323811836</c:v>
                </c:pt>
                <c:pt idx="182">
                  <c:v>75.380663587974539</c:v>
                </c:pt>
                <c:pt idx="183">
                  <c:v>70.516447550895876</c:v>
                </c:pt>
                <c:pt idx="184">
                  <c:v>97.338135522238048</c:v>
                </c:pt>
                <c:pt idx="185">
                  <c:v>73.658028235479179</c:v>
                </c:pt>
                <c:pt idx="186">
                  <c:v>128.9366911861423</c:v>
                </c:pt>
                <c:pt idx="187">
                  <c:v>175.91019631339654</c:v>
                </c:pt>
                <c:pt idx="188">
                  <c:v>88.380664528614119</c:v>
                </c:pt>
                <c:pt idx="189">
                  <c:v>91.327377213623436</c:v>
                </c:pt>
                <c:pt idx="190">
                  <c:v>94.994596976405049</c:v>
                </c:pt>
                <c:pt idx="191">
                  <c:v>75.459659493089276</c:v>
                </c:pt>
                <c:pt idx="192">
                  <c:v>93.963505496668262</c:v>
                </c:pt>
                <c:pt idx="193">
                  <c:v>88.446562104857705</c:v>
                </c:pt>
                <c:pt idx="194">
                  <c:v>93.90717992906238</c:v>
                </c:pt>
                <c:pt idx="195">
                  <c:v>93.562471442351622</c:v>
                </c:pt>
                <c:pt idx="196">
                  <c:v>105.30499618387834</c:v>
                </c:pt>
                <c:pt idx="197">
                  <c:v>68.843477133223814</c:v>
                </c:pt>
                <c:pt idx="198">
                  <c:v>95.280823334712451</c:v>
                </c:pt>
                <c:pt idx="199">
                  <c:v>73.807409052218631</c:v>
                </c:pt>
                <c:pt idx="200">
                  <c:v>22.456261510128915</c:v>
                </c:pt>
                <c:pt idx="201">
                  <c:v>17.017543859649123</c:v>
                </c:pt>
                <c:pt idx="202">
                  <c:v>11.812659846547316</c:v>
                </c:pt>
                <c:pt idx="203">
                  <c:v>34.225031605562577</c:v>
                </c:pt>
                <c:pt idx="204">
                  <c:v>29.659643435980552</c:v>
                </c:pt>
                <c:pt idx="205">
                  <c:v>30.977542932628797</c:v>
                </c:pt>
                <c:pt idx="206">
                  <c:v>25.868055555555554</c:v>
                </c:pt>
                <c:pt idx="207">
                  <c:v>43.518694249383188</c:v>
                </c:pt>
                <c:pt idx="208">
                  <c:v>26.541024573094543</c:v>
                </c:pt>
                <c:pt idx="209">
                  <c:v>26.034430685593478</c:v>
                </c:pt>
                <c:pt idx="210">
                  <c:v>19.005524861878452</c:v>
                </c:pt>
                <c:pt idx="211">
                  <c:v>22.213645761543763</c:v>
                </c:pt>
                <c:pt idx="212">
                  <c:v>43.674484719260839</c:v>
                </c:pt>
                <c:pt idx="213">
                  <c:v>18.251292425264104</c:v>
                </c:pt>
                <c:pt idx="214">
                  <c:v>12.717004810709058</c:v>
                </c:pt>
                <c:pt idx="215">
                  <c:v>18.826800111203784</c:v>
                </c:pt>
                <c:pt idx="216">
                  <c:v>35.41960152948279</c:v>
                </c:pt>
                <c:pt idx="217">
                  <c:v>27.462526766595289</c:v>
                </c:pt>
                <c:pt idx="218">
                  <c:v>30.963476753007477</c:v>
                </c:pt>
                <c:pt idx="219">
                  <c:v>26.850433894844311</c:v>
                </c:pt>
                <c:pt idx="220">
                  <c:v>21.937102064441444</c:v>
                </c:pt>
                <c:pt idx="221">
                  <c:v>20.419756446016734</c:v>
                </c:pt>
                <c:pt idx="222">
                  <c:v>17.828125</c:v>
                </c:pt>
                <c:pt idx="223">
                  <c:v>25.114805290227771</c:v>
                </c:pt>
                <c:pt idx="224">
                  <c:v>42.115284749870177</c:v>
                </c:pt>
                <c:pt idx="225">
                  <c:v>19.973457199734572</c:v>
                </c:pt>
                <c:pt idx="226">
                  <c:v>8.8599855483297212</c:v>
                </c:pt>
                <c:pt idx="227">
                  <c:v>18.836081474296797</c:v>
                </c:pt>
                <c:pt idx="228">
                  <c:v>19.831541464082726</c:v>
                </c:pt>
                <c:pt idx="229">
                  <c:v>34.580838323353291</c:v>
                </c:pt>
                <c:pt idx="230">
                  <c:v>21.237037037037037</c:v>
                </c:pt>
                <c:pt idx="231">
                  <c:v>75.331395760969741</c:v>
                </c:pt>
                <c:pt idx="232">
                  <c:v>81.845985800109219</c:v>
                </c:pt>
                <c:pt idx="233">
                  <c:v>32.352941176470594</c:v>
                </c:pt>
                <c:pt idx="234">
                  <c:v>41.911513495046123</c:v>
                </c:pt>
                <c:pt idx="235">
                  <c:v>38.441613363641174</c:v>
                </c:pt>
                <c:pt idx="236">
                  <c:v>25.096828221501099</c:v>
                </c:pt>
                <c:pt idx="237">
                  <c:v>49.502206712511551</c:v>
                </c:pt>
                <c:pt idx="238">
                  <c:v>45.697971274335941</c:v>
                </c:pt>
                <c:pt idx="239">
                  <c:v>17.163449792328368</c:v>
                </c:pt>
                <c:pt idx="240">
                  <c:v>30.037115588547191</c:v>
                </c:pt>
                <c:pt idx="241">
                  <c:v>110.55745785671283</c:v>
                </c:pt>
                <c:pt idx="242">
                  <c:v>94.099705511148514</c:v>
                </c:pt>
                <c:pt idx="243">
                  <c:v>104.55563853622105</c:v>
                </c:pt>
                <c:pt idx="244">
                  <c:v>103.29522528581035</c:v>
                </c:pt>
                <c:pt idx="245">
                  <c:v>95.22691049408607</c:v>
                </c:pt>
                <c:pt idx="246">
                  <c:v>132.39784205693297</c:v>
                </c:pt>
                <c:pt idx="247">
                  <c:v>76.886068888579004</c:v>
                </c:pt>
                <c:pt idx="248">
                  <c:v>220.2819452831065</c:v>
                </c:pt>
                <c:pt idx="249">
                  <c:v>184.76367155992901</c:v>
                </c:pt>
                <c:pt idx="250">
                  <c:v>98.43108698530385</c:v>
                </c:pt>
                <c:pt idx="251">
                  <c:v>106.5943814687038</c:v>
                </c:pt>
                <c:pt idx="252">
                  <c:v>90.954091041444244</c:v>
                </c:pt>
                <c:pt idx="253">
                  <c:v>95.041011833949028</c:v>
                </c:pt>
                <c:pt idx="254">
                  <c:v>189.03846906429771</c:v>
                </c:pt>
                <c:pt idx="255">
                  <c:v>124.65942064624009</c:v>
                </c:pt>
                <c:pt idx="256">
                  <c:v>151.52627789776818</c:v>
                </c:pt>
                <c:pt idx="257">
                  <c:v>111.45189315876672</c:v>
                </c:pt>
                <c:pt idx="258">
                  <c:v>85.14979948100968</c:v>
                </c:pt>
                <c:pt idx="259">
                  <c:v>86.060380171449879</c:v>
                </c:pt>
                <c:pt idx="260">
                  <c:v>90.951175406871613</c:v>
                </c:pt>
                <c:pt idx="261">
                  <c:v>92.034520384882455</c:v>
                </c:pt>
                <c:pt idx="262">
                  <c:v>71.318434078296093</c:v>
                </c:pt>
                <c:pt idx="263">
                  <c:v>223.77682403433474</c:v>
                </c:pt>
                <c:pt idx="264">
                  <c:v>77.398179919439045</c:v>
                </c:pt>
                <c:pt idx="265">
                  <c:v>57.790805307004014</c:v>
                </c:pt>
                <c:pt idx="266">
                  <c:v>64.521948286229701</c:v>
                </c:pt>
                <c:pt idx="267">
                  <c:v>93.720266412940049</c:v>
                </c:pt>
                <c:pt idx="268">
                  <c:v>131.6305266122219</c:v>
                </c:pt>
                <c:pt idx="269">
                  <c:v>81.629789530491095</c:v>
                </c:pt>
                <c:pt idx="270">
                  <c:v>153.07294991584934</c:v>
                </c:pt>
                <c:pt idx="271">
                  <c:v>151.81943228710765</c:v>
                </c:pt>
                <c:pt idx="272">
                  <c:v>83.248310586988197</c:v>
                </c:pt>
                <c:pt idx="273">
                  <c:v>93.887015177065763</c:v>
                </c:pt>
                <c:pt idx="274">
                  <c:v>116.30387879369036</c:v>
                </c:pt>
                <c:pt idx="275">
                  <c:v>85.823438725556485</c:v>
                </c:pt>
                <c:pt idx="276">
                  <c:v>125.62129921770324</c:v>
                </c:pt>
                <c:pt idx="277">
                  <c:v>91.762572063999301</c:v>
                </c:pt>
                <c:pt idx="278">
                  <c:v>101.76202462752568</c:v>
                </c:pt>
                <c:pt idx="279">
                  <c:v>104.00393660002072</c:v>
                </c:pt>
                <c:pt idx="280">
                  <c:v>63.648765404028914</c:v>
                </c:pt>
                <c:pt idx="281">
                  <c:v>80.298087379261815</c:v>
                </c:pt>
                <c:pt idx="282">
                  <c:v>93.608278800791354</c:v>
                </c:pt>
                <c:pt idx="283">
                  <c:v>27.921387238111969</c:v>
                </c:pt>
                <c:pt idx="284">
                  <c:v>65.958037520326826</c:v>
                </c:pt>
                <c:pt idx="285">
                  <c:v>20.728725624664559</c:v>
                </c:pt>
                <c:pt idx="286">
                  <c:v>14.362883136575329</c:v>
                </c:pt>
                <c:pt idx="287">
                  <c:v>19.068913575597815</c:v>
                </c:pt>
                <c:pt idx="288">
                  <c:v>24.344272549101373</c:v>
                </c:pt>
                <c:pt idx="289">
                  <c:v>46.188069368360523</c:v>
                </c:pt>
                <c:pt idx="290">
                  <c:v>30.038992201559687</c:v>
                </c:pt>
                <c:pt idx="291">
                  <c:v>32.023124572383672</c:v>
                </c:pt>
                <c:pt idx="292">
                  <c:v>38.972117000370254</c:v>
                </c:pt>
                <c:pt idx="293">
                  <c:v>34.881527263512083</c:v>
                </c:pt>
                <c:pt idx="294">
                  <c:v>32.519664133284657</c:v>
                </c:pt>
                <c:pt idx="295">
                  <c:v>33.908315221147866</c:v>
                </c:pt>
                <c:pt idx="296">
                  <c:v>37.915322857338914</c:v>
                </c:pt>
                <c:pt idx="297">
                  <c:v>37.499745038448204</c:v>
                </c:pt>
                <c:pt idx="298">
                  <c:v>20.374812184127851</c:v>
                </c:pt>
                <c:pt idx="299">
                  <c:v>26.476923690613905</c:v>
                </c:pt>
                <c:pt idx="300">
                  <c:v>33.201115298015566</c:v>
                </c:pt>
                <c:pt idx="301">
                  <c:v>26.212084649201039</c:v>
                </c:pt>
                <c:pt idx="302">
                  <c:v>56.837554045707229</c:v>
                </c:pt>
                <c:pt idx="303">
                  <c:v>24.300726489080443</c:v>
                </c:pt>
                <c:pt idx="304">
                  <c:v>15.968059114474704</c:v>
                </c:pt>
                <c:pt idx="305">
                  <c:v>17.099255738320096</c:v>
                </c:pt>
                <c:pt idx="306">
                  <c:v>30.267632707378382</c:v>
                </c:pt>
                <c:pt idx="307">
                  <c:v>79.590690208667738</c:v>
                </c:pt>
                <c:pt idx="308">
                  <c:v>29.210729042650048</c:v>
                </c:pt>
                <c:pt idx="309">
                  <c:v>61.14966807483404</c:v>
                </c:pt>
                <c:pt idx="310">
                  <c:v>61.068613815484468</c:v>
                </c:pt>
                <c:pt idx="311">
                  <c:v>48.37054405817787</c:v>
                </c:pt>
                <c:pt idx="312">
                  <c:v>37.412925696594428</c:v>
                </c:pt>
                <c:pt idx="313">
                  <c:v>50.321271559012509</c:v>
                </c:pt>
                <c:pt idx="314">
                  <c:v>29.983759412158861</c:v>
                </c:pt>
                <c:pt idx="315">
                  <c:v>33.757303138410627</c:v>
                </c:pt>
                <c:pt idx="316">
                  <c:v>36.504924915226866</c:v>
                </c:pt>
                <c:pt idx="317">
                  <c:v>21.577550246492223</c:v>
                </c:pt>
                <c:pt idx="318">
                  <c:v>27.12443095599393</c:v>
                </c:pt>
                <c:pt idx="319">
                  <c:v>35.372882090393027</c:v>
                </c:pt>
                <c:pt idx="320">
                  <c:v>11.213826617613071</c:v>
                </c:pt>
                <c:pt idx="321">
                  <c:v>42.926964219845075</c:v>
                </c:pt>
                <c:pt idx="322">
                  <c:v>14.024490331899806</c:v>
                </c:pt>
                <c:pt idx="323">
                  <c:v>8.5948531488280135</c:v>
                </c:pt>
                <c:pt idx="324">
                  <c:v>9.3548387096774199</c:v>
                </c:pt>
                <c:pt idx="325">
                  <c:v>14.277340478981744</c:v>
                </c:pt>
                <c:pt idx="326">
                  <c:v>19.994493771078535</c:v>
                </c:pt>
                <c:pt idx="327">
                  <c:v>38.231552162849873</c:v>
                </c:pt>
                <c:pt idx="328">
                  <c:v>25.580960329222844</c:v>
                </c:pt>
                <c:pt idx="329">
                  <c:v>26.53608400983094</c:v>
                </c:pt>
                <c:pt idx="330">
                  <c:v>19.792371161909912</c:v>
                </c:pt>
                <c:pt idx="331">
                  <c:v>17.002554321529441</c:v>
                </c:pt>
                <c:pt idx="332">
                  <c:v>19.374276706971546</c:v>
                </c:pt>
                <c:pt idx="333">
                  <c:v>23.537512393962764</c:v>
                </c:pt>
                <c:pt idx="334">
                  <c:v>24.516114600168891</c:v>
                </c:pt>
                <c:pt idx="335">
                  <c:v>20.518560593404391</c:v>
                </c:pt>
                <c:pt idx="336">
                  <c:v>11.685036740146963</c:v>
                </c:pt>
                <c:pt idx="337">
                  <c:v>14.074757729580066</c:v>
                </c:pt>
                <c:pt idx="338">
                  <c:v>18.766691912145731</c:v>
                </c:pt>
                <c:pt idx="339">
                  <c:v>21.924583321421427</c:v>
                </c:pt>
                <c:pt idx="340">
                  <c:v>37.367473494698942</c:v>
                </c:pt>
                <c:pt idx="341">
                  <c:v>22.99324212955332</c:v>
                </c:pt>
                <c:pt idx="342">
                  <c:v>12.982797792924375</c:v>
                </c:pt>
                <c:pt idx="343">
                  <c:v>17.199071515419476</c:v>
                </c:pt>
                <c:pt idx="344">
                  <c:v>23.547357218871941</c:v>
                </c:pt>
                <c:pt idx="345">
                  <c:v>42.878922627366286</c:v>
                </c:pt>
                <c:pt idx="346">
                  <c:v>29.885057471264368</c:v>
                </c:pt>
                <c:pt idx="347">
                  <c:v>36.86148964501232</c:v>
                </c:pt>
                <c:pt idx="348">
                  <c:v>36.606550455395379</c:v>
                </c:pt>
                <c:pt idx="349">
                  <c:v>31.392468265703918</c:v>
                </c:pt>
                <c:pt idx="350">
                  <c:v>26.947349967860688</c:v>
                </c:pt>
                <c:pt idx="351">
                  <c:v>31.059330594652838</c:v>
                </c:pt>
                <c:pt idx="352">
                  <c:v>46.642318712263744</c:v>
                </c:pt>
                <c:pt idx="353">
                  <c:v>17.165005537098562</c:v>
                </c:pt>
                <c:pt idx="354">
                  <c:v>24.184589089873239</c:v>
                </c:pt>
                <c:pt idx="355">
                  <c:v>38.693797177551687</c:v>
                </c:pt>
                <c:pt idx="356">
                  <c:v>74.839210109563368</c:v>
                </c:pt>
                <c:pt idx="357">
                  <c:v>69.077172153264982</c:v>
                </c:pt>
                <c:pt idx="358">
                  <c:v>147.64465476446549</c:v>
                </c:pt>
                <c:pt idx="359">
                  <c:v>67.148415786548085</c:v>
                </c:pt>
                <c:pt idx="360">
                  <c:v>199.99999999999997</c:v>
                </c:pt>
                <c:pt idx="361">
                  <c:v>87.604037542057725</c:v>
                </c:pt>
                <c:pt idx="362">
                  <c:v>91.490970180596392</c:v>
                </c:pt>
                <c:pt idx="363">
                  <c:v>93.36507448932575</c:v>
                </c:pt>
                <c:pt idx="364">
                  <c:v>71.281880498432002</c:v>
                </c:pt>
                <c:pt idx="365">
                  <c:v>98.554201654144833</c:v>
                </c:pt>
                <c:pt idx="366">
                  <c:v>94.335723323492189</c:v>
                </c:pt>
                <c:pt idx="367">
                  <c:v>74.162422942910737</c:v>
                </c:pt>
                <c:pt idx="368">
                  <c:v>72.478425026968722</c:v>
                </c:pt>
                <c:pt idx="369">
                  <c:v>75.743133357426814</c:v>
                </c:pt>
                <c:pt idx="370">
                  <c:v>154.54190271537411</c:v>
                </c:pt>
                <c:pt idx="371">
                  <c:v>71.135209967697278</c:v>
                </c:pt>
                <c:pt idx="372">
                  <c:v>81.708253358925134</c:v>
                </c:pt>
                <c:pt idx="373">
                  <c:v>147.19713211260674</c:v>
                </c:pt>
                <c:pt idx="374">
                  <c:v>63.805595808716973</c:v>
                </c:pt>
                <c:pt idx="375">
                  <c:v>162.5870040136158</c:v>
                </c:pt>
                <c:pt idx="376">
                  <c:v>86.258227848101257</c:v>
                </c:pt>
                <c:pt idx="377">
                  <c:v>88.518867401784235</c:v>
                </c:pt>
                <c:pt idx="378">
                  <c:v>121.34989790929744</c:v>
                </c:pt>
                <c:pt idx="379">
                  <c:v>82.924056720637736</c:v>
                </c:pt>
                <c:pt idx="380">
                  <c:v>94.529750479846456</c:v>
                </c:pt>
                <c:pt idx="381">
                  <c:v>87.737681455735014</c:v>
                </c:pt>
                <c:pt idx="382">
                  <c:v>114.00501436700659</c:v>
                </c:pt>
                <c:pt idx="383">
                  <c:v>120.25509304726648</c:v>
                </c:pt>
                <c:pt idx="384">
                  <c:v>97.016719484209375</c:v>
                </c:pt>
                <c:pt idx="385">
                  <c:v>70.028666264333125</c:v>
                </c:pt>
                <c:pt idx="386">
                  <c:v>100.80731969860064</c:v>
                </c:pt>
                <c:pt idx="387">
                  <c:v>74.424856214053506</c:v>
                </c:pt>
              </c:numCache>
            </c:numRef>
          </c:yVal>
          <c:smooth val="0"/>
          <c:extLst>
            <c:ext xmlns:c16="http://schemas.microsoft.com/office/drawing/2014/chart" uri="{C3380CC4-5D6E-409C-BE32-E72D297353CC}">
              <c16:uniqueId val="{00000001-C0A9-4F02-9C50-9254DF24A8C0}"/>
            </c:ext>
          </c:extLst>
        </c:ser>
        <c:dLbls>
          <c:showLegendKey val="0"/>
          <c:showVal val="0"/>
          <c:showCatName val="0"/>
          <c:showSerName val="0"/>
          <c:showPercent val="0"/>
          <c:showBubbleSize val="0"/>
        </c:dLbls>
        <c:axId val="656135103"/>
        <c:axId val="656133023"/>
      </c:scatterChart>
      <c:valAx>
        <c:axId val="656135103"/>
        <c:scaling>
          <c:logBase val="10"/>
          <c:orientation val="minMax"/>
          <c:max val="300"/>
          <c:min val="3"/>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baseline="0"/>
                  <a:t>2015-2019 investicijos tenkan</a:t>
                </a:r>
                <a:r>
                  <a:rPr lang="lt-LT" baseline="0"/>
                  <a:t>čios vienam darbutojui, tūkst. Eur</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56133023"/>
        <c:crossesAt val="3"/>
        <c:crossBetween val="midCat"/>
      </c:valAx>
      <c:valAx>
        <c:axId val="656133023"/>
        <c:scaling>
          <c:logBase val="10"/>
          <c:orientation val="minMax"/>
          <c:max val="500"/>
          <c:min val="5"/>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a:t>2019 </a:t>
                </a:r>
                <a:r>
                  <a:rPr lang="en-US" sz="1000" err="1"/>
                  <a:t>darbuotoj</a:t>
                </a:r>
                <a:r>
                  <a:rPr lang="lt-LT" sz="1000"/>
                  <a:t>ų</a:t>
                </a:r>
                <a:r>
                  <a:rPr lang="en-US" sz="1000"/>
                  <a:t> </a:t>
                </a:r>
                <a:r>
                  <a:rPr lang="lt-LT" sz="1000"/>
                  <a:t>produktyvumas</a:t>
                </a:r>
                <a:r>
                  <a:rPr lang="en-US" sz="1000"/>
                  <a:t>, t</a:t>
                </a:r>
                <a:r>
                  <a:rPr lang="lt-LT" sz="1000" err="1"/>
                  <a:t>ūkst</a:t>
                </a:r>
                <a:r>
                  <a:rPr lang="lt-LT" sz="1000"/>
                  <a:t>.</a:t>
                </a:r>
                <a:r>
                  <a:rPr lang="lt-LT" sz="1000" baseline="0"/>
                  <a:t> Eur/metai</a:t>
                </a:r>
                <a:endParaRPr lang="en-US" sz="1000"/>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56135103"/>
        <c:crossesAt val="3"/>
        <c:crossBetween val="midCat"/>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lt-LT"/>
              <a:t>Augant imlumui kapitalui auga tarpinis vartojimas</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lineMarker"/>
        <c:varyColors val="0"/>
        <c:ser>
          <c:idx val="0"/>
          <c:order val="0"/>
          <c:spPr>
            <a:ln w="19050" cap="rnd">
              <a:noFill/>
              <a:round/>
            </a:ln>
            <a:effectLst/>
          </c:spPr>
          <c:marker>
            <c:symbol val="circle"/>
            <c:size val="5"/>
            <c:spPr>
              <a:solidFill>
                <a:schemeClr val="accent1"/>
              </a:solidFill>
              <a:ln w="9525">
                <a:noFill/>
              </a:ln>
              <a:effectLst/>
            </c:spPr>
          </c:marker>
          <c:trendline>
            <c:spPr>
              <a:ln w="19050" cap="rnd">
                <a:solidFill>
                  <a:schemeClr val="accent3">
                    <a:lumMod val="75000"/>
                  </a:schemeClr>
                </a:solidFill>
                <a:prstDash val="sysDot"/>
              </a:ln>
              <a:effectLst/>
            </c:spPr>
            <c:trendlineType val="linear"/>
            <c:dispRSqr val="0"/>
            <c:dispEq val="0"/>
          </c:trendline>
          <c:xVal>
            <c:numRef>
              <c:f>'Sheet 1'!$AZ$10:$AZ$531</c:f>
              <c:numCache>
                <c:formatCode>General</c:formatCode>
                <c:ptCount val="388"/>
                <c:pt idx="0">
                  <c:v>117.93900955453194</c:v>
                </c:pt>
                <c:pt idx="1">
                  <c:v>129.53736654804271</c:v>
                </c:pt>
                <c:pt idx="2">
                  <c:v>76.459911616161634</c:v>
                </c:pt>
                <c:pt idx="3">
                  <c:v>50.321543408360135</c:v>
                </c:pt>
                <c:pt idx="4">
                  <c:v>141.6849495392716</c:v>
                </c:pt>
                <c:pt idx="5">
                  <c:v>117.92304230423041</c:v>
                </c:pt>
                <c:pt idx="6">
                  <c:v>251.28052412150086</c:v>
                </c:pt>
                <c:pt idx="7">
                  <c:v>108.46316410281612</c:v>
                </c:pt>
                <c:pt idx="8">
                  <c:v>132.94646987090533</c:v>
                </c:pt>
                <c:pt idx="9">
                  <c:v>139.39368736224895</c:v>
                </c:pt>
                <c:pt idx="10">
                  <c:v>82.009848448630308</c:v>
                </c:pt>
                <c:pt idx="11">
                  <c:v>56.027488784957519</c:v>
                </c:pt>
                <c:pt idx="12">
                  <c:v>54.833889963086655</c:v>
                </c:pt>
                <c:pt idx="13">
                  <c:v>51.808600492086228</c:v>
                </c:pt>
                <c:pt idx="14">
                  <c:v>88.200764291060949</c:v>
                </c:pt>
                <c:pt idx="15">
                  <c:v>65.463023205378448</c:v>
                </c:pt>
                <c:pt idx="16">
                  <c:v>62.374581939799334</c:v>
                </c:pt>
                <c:pt idx="17">
                  <c:v>18.816614000321351</c:v>
                </c:pt>
                <c:pt idx="18">
                  <c:v>29.89219491159983</c:v>
                </c:pt>
                <c:pt idx="19">
                  <c:v>16.955229101084292</c:v>
                </c:pt>
                <c:pt idx="20">
                  <c:v>3.398334590995141</c:v>
                </c:pt>
                <c:pt idx="21">
                  <c:v>41.260315078769693</c:v>
                </c:pt>
                <c:pt idx="22">
                  <c:v>33.112170848019908</c:v>
                </c:pt>
                <c:pt idx="23">
                  <c:v>22.817189631650752</c:v>
                </c:pt>
                <c:pt idx="24">
                  <c:v>22.39365440610462</c:v>
                </c:pt>
                <c:pt idx="25">
                  <c:v>16.231278932558773</c:v>
                </c:pt>
                <c:pt idx="26">
                  <c:v>20.604225197942132</c:v>
                </c:pt>
                <c:pt idx="27">
                  <c:v>18.070063887122657</c:v>
                </c:pt>
                <c:pt idx="28">
                  <c:v>18.369905956112852</c:v>
                </c:pt>
                <c:pt idx="29">
                  <c:v>10.814135011116893</c:v>
                </c:pt>
                <c:pt idx="30">
                  <c:v>16.075526809931148</c:v>
                </c:pt>
                <c:pt idx="31">
                  <c:v>8.2777119331295612</c:v>
                </c:pt>
                <c:pt idx="32">
                  <c:v>32.087744060221127</c:v>
                </c:pt>
                <c:pt idx="33">
                  <c:v>64.91510636870008</c:v>
                </c:pt>
                <c:pt idx="34">
                  <c:v>27.060737527114963</c:v>
                </c:pt>
                <c:pt idx="35">
                  <c:v>10.819920209107167</c:v>
                </c:pt>
                <c:pt idx="36">
                  <c:v>15.849056603773583</c:v>
                </c:pt>
                <c:pt idx="37">
                  <c:v>37.187685641401956</c:v>
                </c:pt>
                <c:pt idx="38">
                  <c:v>71.688750191845301</c:v>
                </c:pt>
                <c:pt idx="39">
                  <c:v>31.267217630853995</c:v>
                </c:pt>
                <c:pt idx="40">
                  <c:v>42.822293113154437</c:v>
                </c:pt>
                <c:pt idx="41">
                  <c:v>40.883212443678616</c:v>
                </c:pt>
                <c:pt idx="42">
                  <c:v>39.513417928139752</c:v>
                </c:pt>
                <c:pt idx="43">
                  <c:v>38.880384352700133</c:v>
                </c:pt>
                <c:pt idx="44">
                  <c:v>32.956621154579018</c:v>
                </c:pt>
                <c:pt idx="45">
                  <c:v>41.773235323733758</c:v>
                </c:pt>
                <c:pt idx="46">
                  <c:v>27.626942175236266</c:v>
                </c:pt>
                <c:pt idx="47">
                  <c:v>27.422269848378225</c:v>
                </c:pt>
                <c:pt idx="48">
                  <c:v>56.034579167505427</c:v>
                </c:pt>
                <c:pt idx="49">
                  <c:v>25.52661480639804</c:v>
                </c:pt>
                <c:pt idx="50">
                  <c:v>21.423889477134068</c:v>
                </c:pt>
                <c:pt idx="51">
                  <c:v>27.731502669717774</c:v>
                </c:pt>
                <c:pt idx="52">
                  <c:v>21.17555469054107</c:v>
                </c:pt>
                <c:pt idx="53">
                  <c:v>80.415226551773102</c:v>
                </c:pt>
                <c:pt idx="54">
                  <c:v>98.925410872313535</c:v>
                </c:pt>
                <c:pt idx="55">
                  <c:v>61.486001435750183</c:v>
                </c:pt>
                <c:pt idx="56">
                  <c:v>40.422557091812962</c:v>
                </c:pt>
                <c:pt idx="57">
                  <c:v>68.84633348902382</c:v>
                </c:pt>
                <c:pt idx="58">
                  <c:v>48.613496932515332</c:v>
                </c:pt>
                <c:pt idx="59">
                  <c:v>126.54331969400462</c:v>
                </c:pt>
                <c:pt idx="60">
                  <c:v>57.309993748325446</c:v>
                </c:pt>
                <c:pt idx="61">
                  <c:v>72.717630123494203</c:v>
                </c:pt>
                <c:pt idx="62">
                  <c:v>64.176161262050826</c:v>
                </c:pt>
                <c:pt idx="63">
                  <c:v>37.761299198067306</c:v>
                </c:pt>
                <c:pt idx="64">
                  <c:v>35.301764159702877</c:v>
                </c:pt>
                <c:pt idx="65">
                  <c:v>42.261775558932058</c:v>
                </c:pt>
                <c:pt idx="66">
                  <c:v>31.62270642201835</c:v>
                </c:pt>
                <c:pt idx="67">
                  <c:v>62.240325865580452</c:v>
                </c:pt>
                <c:pt idx="68">
                  <c:v>33.551980198019798</c:v>
                </c:pt>
                <c:pt idx="69">
                  <c:v>83.776824034334751</c:v>
                </c:pt>
                <c:pt idx="70">
                  <c:v>22.406510765427011</c:v>
                </c:pt>
                <c:pt idx="71">
                  <c:v>36.20600841949355</c:v>
                </c:pt>
                <c:pt idx="72">
                  <c:v>88.975361652098357</c:v>
                </c:pt>
                <c:pt idx="73">
                  <c:v>29.805658195357235</c:v>
                </c:pt>
                <c:pt idx="74">
                  <c:v>27.127345135496721</c:v>
                </c:pt>
                <c:pt idx="75">
                  <c:v>43.515710299648184</c:v>
                </c:pt>
                <c:pt idx="76">
                  <c:v>35.153880869998964</c:v>
                </c:pt>
                <c:pt idx="77">
                  <c:v>56.937761143785039</c:v>
                </c:pt>
                <c:pt idx="78">
                  <c:v>32.051873150531051</c:v>
                </c:pt>
                <c:pt idx="79">
                  <c:v>243.37198515769944</c:v>
                </c:pt>
                <c:pt idx="80">
                  <c:v>79.238716167329684</c:v>
                </c:pt>
                <c:pt idx="81">
                  <c:v>40.299394906665412</c:v>
                </c:pt>
                <c:pt idx="82">
                  <c:v>51.068862313797659</c:v>
                </c:pt>
                <c:pt idx="83">
                  <c:v>53.192732112160584</c:v>
                </c:pt>
                <c:pt idx="84">
                  <c:v>30.857979193312325</c:v>
                </c:pt>
                <c:pt idx="85">
                  <c:v>41.68843660994424</c:v>
                </c:pt>
                <c:pt idx="86">
                  <c:v>32.309653494031757</c:v>
                </c:pt>
                <c:pt idx="87">
                  <c:v>33.216987268545239</c:v>
                </c:pt>
                <c:pt idx="88">
                  <c:v>89.703216106077377</c:v>
                </c:pt>
                <c:pt idx="89">
                  <c:v>43.08717991101561</c:v>
                </c:pt>
                <c:pt idx="90">
                  <c:v>25.045974700885246</c:v>
                </c:pt>
                <c:pt idx="91">
                  <c:v>30.085504154063795</c:v>
                </c:pt>
                <c:pt idx="92">
                  <c:v>16.111955274594319</c:v>
                </c:pt>
                <c:pt idx="93">
                  <c:v>31.035558328134748</c:v>
                </c:pt>
                <c:pt idx="94">
                  <c:v>60.603829160530189</c:v>
                </c:pt>
                <c:pt idx="95">
                  <c:v>14.493791786055397</c:v>
                </c:pt>
                <c:pt idx="96">
                  <c:v>4.8177887584928971</c:v>
                </c:pt>
                <c:pt idx="97">
                  <c:v>51.310030927233477</c:v>
                </c:pt>
                <c:pt idx="98">
                  <c:v>78.312302839116725</c:v>
                </c:pt>
                <c:pt idx="99">
                  <c:v>27.126917712691771</c:v>
                </c:pt>
                <c:pt idx="100">
                  <c:v>32.470288624787777</c:v>
                </c:pt>
                <c:pt idx="101">
                  <c:v>32.005723825423317</c:v>
                </c:pt>
                <c:pt idx="102">
                  <c:v>25.790702610910632</c:v>
                </c:pt>
                <c:pt idx="103">
                  <c:v>33.221476510067113</c:v>
                </c:pt>
                <c:pt idx="104">
                  <c:v>22.625280478683621</c:v>
                </c:pt>
                <c:pt idx="105">
                  <c:v>31.196581196581199</c:v>
                </c:pt>
                <c:pt idx="106">
                  <c:v>15.299917830731307</c:v>
                </c:pt>
                <c:pt idx="107">
                  <c:v>20.552677029360964</c:v>
                </c:pt>
                <c:pt idx="108">
                  <c:v>15.379394597529524</c:v>
                </c:pt>
                <c:pt idx="109">
                  <c:v>17.401725790987538</c:v>
                </c:pt>
                <c:pt idx="110">
                  <c:v>17.717001315876669</c:v>
                </c:pt>
                <c:pt idx="111">
                  <c:v>52.172905319272218</c:v>
                </c:pt>
                <c:pt idx="112">
                  <c:v>20.167139703563546</c:v>
                </c:pt>
                <c:pt idx="113">
                  <c:v>5.6563847969398546</c:v>
                </c:pt>
                <c:pt idx="114">
                  <c:v>5.236486486486486</c:v>
                </c:pt>
                <c:pt idx="115">
                  <c:v>37.022430367266452</c:v>
                </c:pt>
                <c:pt idx="116">
                  <c:v>20.689655172413797</c:v>
                </c:pt>
                <c:pt idx="117">
                  <c:v>25.878679750223014</c:v>
                </c:pt>
                <c:pt idx="118">
                  <c:v>32.26156069364162</c:v>
                </c:pt>
                <c:pt idx="119">
                  <c:v>23.72708013733655</c:v>
                </c:pt>
                <c:pt idx="120">
                  <c:v>18.457434985552347</c:v>
                </c:pt>
                <c:pt idx="121">
                  <c:v>9.5289309528930932</c:v>
                </c:pt>
                <c:pt idx="122">
                  <c:v>18.350168350168349</c:v>
                </c:pt>
                <c:pt idx="123">
                  <c:v>6.7285095856524428</c:v>
                </c:pt>
                <c:pt idx="124">
                  <c:v>7.2760572760572764</c:v>
                </c:pt>
                <c:pt idx="125">
                  <c:v>5.8844381425026597</c:v>
                </c:pt>
                <c:pt idx="126">
                  <c:v>44.267766107058101</c:v>
                </c:pt>
                <c:pt idx="127">
                  <c:v>100.48039614204943</c:v>
                </c:pt>
                <c:pt idx="128">
                  <c:v>22.338921922214645</c:v>
                </c:pt>
                <c:pt idx="129">
                  <c:v>11.866293492780358</c:v>
                </c:pt>
                <c:pt idx="130">
                  <c:v>12.085308056872035</c:v>
                </c:pt>
                <c:pt idx="131">
                  <c:v>38.868490233993093</c:v>
                </c:pt>
                <c:pt idx="132">
                  <c:v>78.805069674253161</c:v>
                </c:pt>
                <c:pt idx="133">
                  <c:v>29.665216340343243</c:v>
                </c:pt>
                <c:pt idx="134">
                  <c:v>70.133395542171229</c:v>
                </c:pt>
                <c:pt idx="135">
                  <c:v>72.108772660971027</c:v>
                </c:pt>
                <c:pt idx="136">
                  <c:v>54.333646816127171</c:v>
                </c:pt>
                <c:pt idx="137">
                  <c:v>44.445259298061814</c:v>
                </c:pt>
                <c:pt idx="138">
                  <c:v>69.217785658267118</c:v>
                </c:pt>
                <c:pt idx="139">
                  <c:v>31.776164396671344</c:v>
                </c:pt>
                <c:pt idx="140">
                  <c:v>25.474895840689218</c:v>
                </c:pt>
                <c:pt idx="141">
                  <c:v>35.111878552413842</c:v>
                </c:pt>
                <c:pt idx="142">
                  <c:v>25.894210099728653</c:v>
                </c:pt>
                <c:pt idx="143">
                  <c:v>90.64104965986833</c:v>
                </c:pt>
                <c:pt idx="144">
                  <c:v>38.004299459436893</c:v>
                </c:pt>
                <c:pt idx="145">
                  <c:v>15.04690882848208</c:v>
                </c:pt>
                <c:pt idx="146">
                  <c:v>35.553801311634686</c:v>
                </c:pt>
                <c:pt idx="147">
                  <c:v>15.379384271372421</c:v>
                </c:pt>
                <c:pt idx="148">
                  <c:v>25.365411977751904</c:v>
                </c:pt>
                <c:pt idx="149">
                  <c:v>57.644052930633414</c:v>
                </c:pt>
                <c:pt idx="150">
                  <c:v>63.635237049888467</c:v>
                </c:pt>
                <c:pt idx="151">
                  <c:v>43.53053568515972</c:v>
                </c:pt>
                <c:pt idx="152">
                  <c:v>91.852657936302492</c:v>
                </c:pt>
                <c:pt idx="153">
                  <c:v>64.414210654511294</c:v>
                </c:pt>
                <c:pt idx="154">
                  <c:v>71.635236138136719</c:v>
                </c:pt>
                <c:pt idx="155">
                  <c:v>92.07150201692636</c:v>
                </c:pt>
                <c:pt idx="156">
                  <c:v>46.306121035110174</c:v>
                </c:pt>
                <c:pt idx="157">
                  <c:v>44.129383844598756</c:v>
                </c:pt>
                <c:pt idx="158">
                  <c:v>42.630624780149901</c:v>
                </c:pt>
                <c:pt idx="159">
                  <c:v>77.816753457058809</c:v>
                </c:pt>
                <c:pt idx="160">
                  <c:v>34.971177600878391</c:v>
                </c:pt>
                <c:pt idx="161">
                  <c:v>55.105258018163809</c:v>
                </c:pt>
                <c:pt idx="162">
                  <c:v>38.755175023371073</c:v>
                </c:pt>
                <c:pt idx="163">
                  <c:v>16.596682326528917</c:v>
                </c:pt>
                <c:pt idx="164">
                  <c:v>35.600509716470214</c:v>
                </c:pt>
                <c:pt idx="165">
                  <c:v>3.8425492033739461</c:v>
                </c:pt>
                <c:pt idx="166">
                  <c:v>27.80502949394598</c:v>
                </c:pt>
                <c:pt idx="167">
                  <c:v>35.455957399600628</c:v>
                </c:pt>
                <c:pt idx="168">
                  <c:v>27.426573426573427</c:v>
                </c:pt>
                <c:pt idx="169">
                  <c:v>30.54415700267618</c:v>
                </c:pt>
                <c:pt idx="170">
                  <c:v>59.184823441021791</c:v>
                </c:pt>
                <c:pt idx="171">
                  <c:v>20.212860310421284</c:v>
                </c:pt>
                <c:pt idx="172">
                  <c:v>29.288274449564771</c:v>
                </c:pt>
                <c:pt idx="173">
                  <c:v>13.247823813478517</c:v>
                </c:pt>
                <c:pt idx="174">
                  <c:v>14.722663922925827</c:v>
                </c:pt>
                <c:pt idx="175">
                  <c:v>17.376935119151153</c:v>
                </c:pt>
                <c:pt idx="176">
                  <c:v>27.090592334494776</c:v>
                </c:pt>
                <c:pt idx="177">
                  <c:v>13.283089967027792</c:v>
                </c:pt>
                <c:pt idx="178">
                  <c:v>68.44387207555269</c:v>
                </c:pt>
                <c:pt idx="179">
                  <c:v>123.64377733128474</c:v>
                </c:pt>
                <c:pt idx="180">
                  <c:v>42.12638038333975</c:v>
                </c:pt>
                <c:pt idx="181">
                  <c:v>21.638779751520758</c:v>
                </c:pt>
                <c:pt idx="182">
                  <c:v>29.309705298688776</c:v>
                </c:pt>
                <c:pt idx="183">
                  <c:v>47.408516854348107</c:v>
                </c:pt>
                <c:pt idx="184">
                  <c:v>88.479772175224056</c:v>
                </c:pt>
                <c:pt idx="185">
                  <c:v>44.445318337331393</c:v>
                </c:pt>
                <c:pt idx="186">
                  <c:v>102.57403903554481</c:v>
                </c:pt>
                <c:pt idx="187">
                  <c:v>87.299545342402993</c:v>
                </c:pt>
                <c:pt idx="188">
                  <c:v>62.520941746045864</c:v>
                </c:pt>
                <c:pt idx="189">
                  <c:v>74.32524913517517</c:v>
                </c:pt>
                <c:pt idx="190">
                  <c:v>90.645949830565385</c:v>
                </c:pt>
                <c:pt idx="191">
                  <c:v>44.067455635997874</c:v>
                </c:pt>
                <c:pt idx="192">
                  <c:v>45.53237551663058</c:v>
                </c:pt>
                <c:pt idx="193">
                  <c:v>41.242180892487788</c:v>
                </c:pt>
                <c:pt idx="194">
                  <c:v>39.621114963028276</c:v>
                </c:pt>
                <c:pt idx="195">
                  <c:v>97.116312128750565</c:v>
                </c:pt>
                <c:pt idx="196">
                  <c:v>38.400751482416496</c:v>
                </c:pt>
                <c:pt idx="197">
                  <c:v>34.712976571280372</c:v>
                </c:pt>
                <c:pt idx="198">
                  <c:v>38.164563508481585</c:v>
                </c:pt>
                <c:pt idx="199">
                  <c:v>26.70515524962067</c:v>
                </c:pt>
                <c:pt idx="200">
                  <c:v>26.801335174953959</c:v>
                </c:pt>
                <c:pt idx="201">
                  <c:v>9.4298245614035086</c:v>
                </c:pt>
                <c:pt idx="202">
                  <c:v>3.6125319693094626</c:v>
                </c:pt>
                <c:pt idx="203">
                  <c:v>37.279393173198486</c:v>
                </c:pt>
                <c:pt idx="204">
                  <c:v>31.52350081037277</c:v>
                </c:pt>
                <c:pt idx="205">
                  <c:v>29.128137384412152</c:v>
                </c:pt>
                <c:pt idx="206">
                  <c:v>29.548611111111107</c:v>
                </c:pt>
                <c:pt idx="207">
                  <c:v>30.992598215980259</c:v>
                </c:pt>
                <c:pt idx="208">
                  <c:v>18.263223656809664</c:v>
                </c:pt>
                <c:pt idx="209">
                  <c:v>19.027484143763214</c:v>
                </c:pt>
                <c:pt idx="210">
                  <c:v>13.480662983425413</c:v>
                </c:pt>
                <c:pt idx="211">
                  <c:v>25.466574776016543</c:v>
                </c:pt>
                <c:pt idx="212">
                  <c:v>45.522388059701491</c:v>
                </c:pt>
                <c:pt idx="213">
                  <c:v>12.856821757698357</c:v>
                </c:pt>
                <c:pt idx="214">
                  <c:v>4.7340165934602245</c:v>
                </c:pt>
                <c:pt idx="215">
                  <c:v>22.785654712260218</c:v>
                </c:pt>
                <c:pt idx="216">
                  <c:v>47.816462064801769</c:v>
                </c:pt>
                <c:pt idx="217">
                  <c:v>26.365096359743042</c:v>
                </c:pt>
                <c:pt idx="218">
                  <c:v>35.938008019941478</c:v>
                </c:pt>
                <c:pt idx="219">
                  <c:v>27.029096477794791</c:v>
                </c:pt>
                <c:pt idx="220">
                  <c:v>14.065213196990163</c:v>
                </c:pt>
                <c:pt idx="221">
                  <c:v>17.613443091366758</c:v>
                </c:pt>
                <c:pt idx="222">
                  <c:v>32.234375</c:v>
                </c:pt>
                <c:pt idx="223">
                  <c:v>30.506061719324023</c:v>
                </c:pt>
                <c:pt idx="224">
                  <c:v>56.257573134845074</c:v>
                </c:pt>
                <c:pt idx="225">
                  <c:v>15.607166556071665</c:v>
                </c:pt>
                <c:pt idx="226">
                  <c:v>3.935300983825246</c:v>
                </c:pt>
                <c:pt idx="227">
                  <c:v>12.337536372453929</c:v>
                </c:pt>
                <c:pt idx="228">
                  <c:v>35.177703211668835</c:v>
                </c:pt>
                <c:pt idx="229">
                  <c:v>56.547774017183016</c:v>
                </c:pt>
                <c:pt idx="230">
                  <c:v>28.133333333333329</c:v>
                </c:pt>
                <c:pt idx="231">
                  <c:v>138.72545544765012</c:v>
                </c:pt>
                <c:pt idx="232">
                  <c:v>65.985800109229928</c:v>
                </c:pt>
                <c:pt idx="233">
                  <c:v>51.807670811792654</c:v>
                </c:pt>
                <c:pt idx="234">
                  <c:v>48.893918688076532</c:v>
                </c:pt>
                <c:pt idx="235">
                  <c:v>52.043135803774383</c:v>
                </c:pt>
                <c:pt idx="236">
                  <c:v>28.651994137967126</c:v>
                </c:pt>
                <c:pt idx="237">
                  <c:v>48.941804372369901</c:v>
                </c:pt>
                <c:pt idx="238">
                  <c:v>76.025568569368389</c:v>
                </c:pt>
                <c:pt idx="239">
                  <c:v>11.385291961886148</c:v>
                </c:pt>
                <c:pt idx="240">
                  <c:v>47.216330858960767</c:v>
                </c:pt>
                <c:pt idx="241">
                  <c:v>87.733293196869354</c:v>
                </c:pt>
                <c:pt idx="242">
                  <c:v>39.450988641144306</c:v>
                </c:pt>
                <c:pt idx="243">
                  <c:v>29.723674383868559</c:v>
                </c:pt>
                <c:pt idx="244">
                  <c:v>34.297242770679219</c:v>
                </c:pt>
                <c:pt idx="245">
                  <c:v>53.477057293851189</c:v>
                </c:pt>
                <c:pt idx="246">
                  <c:v>71.476124885215796</c:v>
                </c:pt>
                <c:pt idx="247">
                  <c:v>40.656812160089245</c:v>
                </c:pt>
                <c:pt idx="248">
                  <c:v>209.11561150076642</c:v>
                </c:pt>
                <c:pt idx="249">
                  <c:v>55.00080658170674</c:v>
                </c:pt>
                <c:pt idx="250">
                  <c:v>59.188401959486299</c:v>
                </c:pt>
                <c:pt idx="251">
                  <c:v>59.098077870872345</c:v>
                </c:pt>
                <c:pt idx="252">
                  <c:v>76.861108415024745</c:v>
                </c:pt>
                <c:pt idx="253">
                  <c:v>44.888861060672468</c:v>
                </c:pt>
                <c:pt idx="254">
                  <c:v>34.946972958165382</c:v>
                </c:pt>
                <c:pt idx="255">
                  <c:v>39.418678994737618</c:v>
                </c:pt>
                <c:pt idx="256">
                  <c:v>49.894408447324217</c:v>
                </c:pt>
                <c:pt idx="257">
                  <c:v>42.655675435406309</c:v>
                </c:pt>
                <c:pt idx="258">
                  <c:v>40.027129039867894</c:v>
                </c:pt>
                <c:pt idx="259">
                  <c:v>36.054168219654613</c:v>
                </c:pt>
                <c:pt idx="260">
                  <c:v>28.050632911392405</c:v>
                </c:pt>
                <c:pt idx="261">
                  <c:v>60.028766987402037</c:v>
                </c:pt>
                <c:pt idx="262">
                  <c:v>53.289335533223344</c:v>
                </c:pt>
                <c:pt idx="263">
                  <c:v>118.15450643776825</c:v>
                </c:pt>
                <c:pt idx="264">
                  <c:v>48.455915261823066</c:v>
                </c:pt>
                <c:pt idx="265">
                  <c:v>15.982721382289418</c:v>
                </c:pt>
                <c:pt idx="266">
                  <c:v>17.348165965123272</c:v>
                </c:pt>
                <c:pt idx="267">
                  <c:v>56.205912267462843</c:v>
                </c:pt>
                <c:pt idx="268">
                  <c:v>91.98535623767954</c:v>
                </c:pt>
                <c:pt idx="269">
                  <c:v>49.314624932541825</c:v>
                </c:pt>
                <c:pt idx="270">
                  <c:v>132.98705820904183</c:v>
                </c:pt>
                <c:pt idx="271">
                  <c:v>121.49556083531326</c:v>
                </c:pt>
                <c:pt idx="272">
                  <c:v>52.49768119782695</c:v>
                </c:pt>
                <c:pt idx="273">
                  <c:v>73.485536386042284</c:v>
                </c:pt>
                <c:pt idx="274">
                  <c:v>94.989691710217187</c:v>
                </c:pt>
                <c:pt idx="275">
                  <c:v>53.613447650988554</c:v>
                </c:pt>
                <c:pt idx="276">
                  <c:v>80.723516445520161</c:v>
                </c:pt>
                <c:pt idx="277">
                  <c:v>45.311251700386499</c:v>
                </c:pt>
                <c:pt idx="278">
                  <c:v>35.444588067215456</c:v>
                </c:pt>
                <c:pt idx="279">
                  <c:v>76.380399875686322</c:v>
                </c:pt>
                <c:pt idx="280">
                  <c:v>22.895730071392844</c:v>
                </c:pt>
                <c:pt idx="281">
                  <c:v>34.049766519541997</c:v>
                </c:pt>
                <c:pt idx="282">
                  <c:v>20.519454167300765</c:v>
                </c:pt>
                <c:pt idx="283">
                  <c:v>28.38710149594543</c:v>
                </c:pt>
                <c:pt idx="284">
                  <c:v>55.257208582873922</c:v>
                </c:pt>
                <c:pt idx="285">
                  <c:v>18.715089351382513</c:v>
                </c:pt>
                <c:pt idx="286">
                  <c:v>3.9518574677786211</c:v>
                </c:pt>
                <c:pt idx="287">
                  <c:v>10.054603652796086</c:v>
                </c:pt>
                <c:pt idx="288">
                  <c:v>29.452483215879237</c:v>
                </c:pt>
                <c:pt idx="289">
                  <c:v>54.456584243818284</c:v>
                </c:pt>
                <c:pt idx="290">
                  <c:v>22.31339446396435</c:v>
                </c:pt>
                <c:pt idx="291">
                  <c:v>33.976958080972743</c:v>
                </c:pt>
                <c:pt idx="292">
                  <c:v>41.771809404460143</c:v>
                </c:pt>
                <c:pt idx="293">
                  <c:v>36.858184685128606</c:v>
                </c:pt>
                <c:pt idx="294">
                  <c:v>20.452358036573631</c:v>
                </c:pt>
                <c:pt idx="295">
                  <c:v>24.181495618515136</c:v>
                </c:pt>
                <c:pt idx="296">
                  <c:v>47.800269905533064</c:v>
                </c:pt>
                <c:pt idx="297">
                  <c:v>30.026312032145551</c:v>
                </c:pt>
                <c:pt idx="298">
                  <c:v>13.429859308837591</c:v>
                </c:pt>
                <c:pt idx="299">
                  <c:v>17.244405440982888</c:v>
                </c:pt>
                <c:pt idx="300">
                  <c:v>15.599006031475671</c:v>
                </c:pt>
                <c:pt idx="301">
                  <c:v>31.688892153056834</c:v>
                </c:pt>
                <c:pt idx="302">
                  <c:v>72.569487337862881</c:v>
                </c:pt>
                <c:pt idx="303">
                  <c:v>27.673235431339009</c:v>
                </c:pt>
                <c:pt idx="304">
                  <c:v>8.1103629104344179</c:v>
                </c:pt>
                <c:pt idx="305">
                  <c:v>10.909583672107907</c:v>
                </c:pt>
                <c:pt idx="306">
                  <c:v>37.941741830548573</c:v>
                </c:pt>
                <c:pt idx="307">
                  <c:v>155.62600321027287</c:v>
                </c:pt>
                <c:pt idx="308">
                  <c:v>34.603263533860918</c:v>
                </c:pt>
                <c:pt idx="309">
                  <c:v>83.350935425467711</c:v>
                </c:pt>
                <c:pt idx="310">
                  <c:v>75.961984237366707</c:v>
                </c:pt>
                <c:pt idx="311">
                  <c:v>60.186223536208239</c:v>
                </c:pt>
                <c:pt idx="312">
                  <c:v>35.119969040247682</c:v>
                </c:pt>
                <c:pt idx="313">
                  <c:v>70.014654492165477</c:v>
                </c:pt>
                <c:pt idx="314">
                  <c:v>29.347764363834596</c:v>
                </c:pt>
                <c:pt idx="315">
                  <c:v>38.053875187425675</c:v>
                </c:pt>
                <c:pt idx="316">
                  <c:v>34.466332956563861</c:v>
                </c:pt>
                <c:pt idx="317">
                  <c:v>21.536468208823155</c:v>
                </c:pt>
                <c:pt idx="318">
                  <c:v>22.58725341426404</c:v>
                </c:pt>
                <c:pt idx="319">
                  <c:v>16.52727824240586</c:v>
                </c:pt>
                <c:pt idx="320">
                  <c:v>21.347058345877809</c:v>
                </c:pt>
                <c:pt idx="321">
                  <c:v>59.950202877167094</c:v>
                </c:pt>
                <c:pt idx="322">
                  <c:v>16.71645710909031</c:v>
                </c:pt>
                <c:pt idx="323">
                  <c:v>4.3146356961310364</c:v>
                </c:pt>
                <c:pt idx="324">
                  <c:v>6.5811160819401913</c:v>
                </c:pt>
                <c:pt idx="325">
                  <c:v>26.934349355216881</c:v>
                </c:pt>
                <c:pt idx="326">
                  <c:v>57.216601280198219</c:v>
                </c:pt>
                <c:pt idx="327">
                  <c:v>34.732824427480921</c:v>
                </c:pt>
                <c:pt idx="328">
                  <c:v>43.361583953264173</c:v>
                </c:pt>
                <c:pt idx="329">
                  <c:v>37.970755443012834</c:v>
                </c:pt>
                <c:pt idx="330">
                  <c:v>46.036791559583392</c:v>
                </c:pt>
                <c:pt idx="331">
                  <c:v>23.032778584208213</c:v>
                </c:pt>
                <c:pt idx="332">
                  <c:v>32.509278103675328</c:v>
                </c:pt>
                <c:pt idx="333">
                  <c:v>37.147001579082662</c:v>
                </c:pt>
                <c:pt idx="334">
                  <c:v>42.798901645853491</c:v>
                </c:pt>
                <c:pt idx="335">
                  <c:v>14.297169968926458</c:v>
                </c:pt>
                <c:pt idx="336">
                  <c:v>11.78690714762859</c:v>
                </c:pt>
                <c:pt idx="337">
                  <c:v>14.674665436086755</c:v>
                </c:pt>
                <c:pt idx="338">
                  <c:v>9.2278869534021606</c:v>
                </c:pt>
                <c:pt idx="339">
                  <c:v>28.737242345407243</c:v>
                </c:pt>
                <c:pt idx="340">
                  <c:v>61.432286457291461</c:v>
                </c:pt>
                <c:pt idx="341">
                  <c:v>19.36706774353058</c:v>
                </c:pt>
                <c:pt idx="342">
                  <c:v>5.1687763713080175</c:v>
                </c:pt>
                <c:pt idx="343">
                  <c:v>11.274455620647728</c:v>
                </c:pt>
                <c:pt idx="344">
                  <c:v>36.374600922312879</c:v>
                </c:pt>
                <c:pt idx="345">
                  <c:v>90.026680218523694</c:v>
                </c:pt>
                <c:pt idx="346">
                  <c:v>33.747126436781613</c:v>
                </c:pt>
                <c:pt idx="347">
                  <c:v>44.604357310819609</c:v>
                </c:pt>
                <c:pt idx="348">
                  <c:v>41.655105856806806</c:v>
                </c:pt>
                <c:pt idx="349">
                  <c:v>36.024427246365683</c:v>
                </c:pt>
                <c:pt idx="350">
                  <c:v>30.821597615847605</c:v>
                </c:pt>
                <c:pt idx="351">
                  <c:v>33.297416212090596</c:v>
                </c:pt>
                <c:pt idx="352">
                  <c:v>77.569139582641625</c:v>
                </c:pt>
                <c:pt idx="353">
                  <c:v>22.472710014238256</c:v>
                </c:pt>
                <c:pt idx="354">
                  <c:v>21.60660874519299</c:v>
                </c:pt>
                <c:pt idx="355">
                  <c:v>21.504758779127013</c:v>
                </c:pt>
                <c:pt idx="356">
                  <c:v>61.979250832229077</c:v>
                </c:pt>
                <c:pt idx="357">
                  <c:v>25.418240690771718</c:v>
                </c:pt>
                <c:pt idx="358">
                  <c:v>195.59044955904497</c:v>
                </c:pt>
                <c:pt idx="359">
                  <c:v>34.908282379099504</c:v>
                </c:pt>
                <c:pt idx="360">
                  <c:v>179.8678487788558</c:v>
                </c:pt>
                <c:pt idx="361">
                  <c:v>57.596954134938912</c:v>
                </c:pt>
                <c:pt idx="362">
                  <c:v>52.860142797144064</c:v>
                </c:pt>
                <c:pt idx="363">
                  <c:v>97.78067885117494</c:v>
                </c:pt>
                <c:pt idx="364">
                  <c:v>38.625704215580171</c:v>
                </c:pt>
                <c:pt idx="365">
                  <c:v>36.245975124692215</c:v>
                </c:pt>
                <c:pt idx="366">
                  <c:v>25.16870518768452</c:v>
                </c:pt>
                <c:pt idx="367">
                  <c:v>22.78209595282766</c:v>
                </c:pt>
                <c:pt idx="368">
                  <c:v>18.999460625674217</c:v>
                </c:pt>
                <c:pt idx="369">
                  <c:v>61.375135525840257</c:v>
                </c:pt>
                <c:pt idx="370">
                  <c:v>84.664973627661652</c:v>
                </c:pt>
                <c:pt idx="371">
                  <c:v>31.795108444854641</c:v>
                </c:pt>
                <c:pt idx="372">
                  <c:v>67.386436340371091</c:v>
                </c:pt>
                <c:pt idx="373">
                  <c:v>210.77566513197198</c:v>
                </c:pt>
                <c:pt idx="374">
                  <c:v>27.722661910600831</c:v>
                </c:pt>
                <c:pt idx="375">
                  <c:v>148.67144236142866</c:v>
                </c:pt>
                <c:pt idx="376">
                  <c:v>49.994936708860756</c:v>
                </c:pt>
                <c:pt idx="377">
                  <c:v>60.469884191278325</c:v>
                </c:pt>
                <c:pt idx="378">
                  <c:v>76.812469444684083</c:v>
                </c:pt>
                <c:pt idx="379">
                  <c:v>35.66608857863212</c:v>
                </c:pt>
                <c:pt idx="380">
                  <c:v>35.538166248338989</c:v>
                </c:pt>
                <c:pt idx="381">
                  <c:v>35.222858311183813</c:v>
                </c:pt>
                <c:pt idx="382">
                  <c:v>34.769564482506055</c:v>
                </c:pt>
                <c:pt idx="383">
                  <c:v>115.3534285210647</c:v>
                </c:pt>
                <c:pt idx="384">
                  <c:v>38.394710960550761</c:v>
                </c:pt>
                <c:pt idx="385">
                  <c:v>29.843089921544959</c:v>
                </c:pt>
                <c:pt idx="386">
                  <c:v>42.906350914962331</c:v>
                </c:pt>
                <c:pt idx="387">
                  <c:v>22.58064516129032</c:v>
                </c:pt>
              </c:numCache>
            </c:numRef>
          </c:xVal>
          <c:yVal>
            <c:numRef>
              <c:f>'Sheet 1'!$BA$10:$BA$531</c:f>
              <c:numCache>
                <c:formatCode>General</c:formatCode>
                <c:ptCount val="388"/>
                <c:pt idx="0">
                  <c:v>424.99487417815988</c:v>
                </c:pt>
                <c:pt idx="1">
                  <c:v>347.68683274021356</c:v>
                </c:pt>
                <c:pt idx="2">
                  <c:v>190.14362373737373</c:v>
                </c:pt>
                <c:pt idx="3">
                  <c:v>222.13290460878883</c:v>
                </c:pt>
                <c:pt idx="4">
                  <c:v>240.52215884159722</c:v>
                </c:pt>
                <c:pt idx="5">
                  <c:v>179.99549954995501</c:v>
                </c:pt>
                <c:pt idx="6">
                  <c:v>596.47564544112697</c:v>
                </c:pt>
                <c:pt idx="7">
                  <c:v>272.919840762766</c:v>
                </c:pt>
                <c:pt idx="8">
                  <c:v>217.32475505655773</c:v>
                </c:pt>
                <c:pt idx="9">
                  <c:v>730.17840063209542</c:v>
                </c:pt>
                <c:pt idx="10">
                  <c:v>204.2931586747622</c:v>
                </c:pt>
                <c:pt idx="11">
                  <c:v>258.15596067576604</c:v>
                </c:pt>
                <c:pt idx="12">
                  <c:v>207.15415714536826</c:v>
                </c:pt>
                <c:pt idx="13">
                  <c:v>284.68657045279275</c:v>
                </c:pt>
                <c:pt idx="14">
                  <c:v>466.97789859354685</c:v>
                </c:pt>
                <c:pt idx="15">
                  <c:v>146.63847321622205</c:v>
                </c:pt>
                <c:pt idx="16">
                  <c:v>190.84448160535118</c:v>
                </c:pt>
                <c:pt idx="17">
                  <c:v>51.922767928873661</c:v>
                </c:pt>
                <c:pt idx="18">
                  <c:v>50.357912893488574</c:v>
                </c:pt>
                <c:pt idx="19">
                  <c:v>35.781741867785939</c:v>
                </c:pt>
                <c:pt idx="20">
                  <c:v>10.739107986814409</c:v>
                </c:pt>
                <c:pt idx="21">
                  <c:v>29.594898724681169</c:v>
                </c:pt>
                <c:pt idx="22">
                  <c:v>53.058262492224756</c:v>
                </c:pt>
                <c:pt idx="23">
                  <c:v>27.955889040472947</c:v>
                </c:pt>
                <c:pt idx="24">
                  <c:v>46.671575353927508</c:v>
                </c:pt>
                <c:pt idx="25">
                  <c:v>26.074248888082053</c:v>
                </c:pt>
                <c:pt idx="26">
                  <c:v>55.38001240558981</c:v>
                </c:pt>
                <c:pt idx="27">
                  <c:v>39.134647409695098</c:v>
                </c:pt>
                <c:pt idx="28">
                  <c:v>42.915360501567399</c:v>
                </c:pt>
                <c:pt idx="29">
                  <c:v>21.055868300298023</c:v>
                </c:pt>
                <c:pt idx="30">
                  <c:v>29.60567494262466</c:v>
                </c:pt>
                <c:pt idx="31">
                  <c:v>22.774624165678993</c:v>
                </c:pt>
                <c:pt idx="32">
                  <c:v>98.759115502234764</c:v>
                </c:pt>
                <c:pt idx="33">
                  <c:v>121.83074961411985</c:v>
                </c:pt>
                <c:pt idx="34">
                  <c:v>63.968727404193778</c:v>
                </c:pt>
                <c:pt idx="35">
                  <c:v>28.793506672169485</c:v>
                </c:pt>
                <c:pt idx="36">
                  <c:v>24.050314465408807</c:v>
                </c:pt>
                <c:pt idx="37">
                  <c:v>88.499842750812448</c:v>
                </c:pt>
                <c:pt idx="38">
                  <c:v>123.12886888013506</c:v>
                </c:pt>
                <c:pt idx="39">
                  <c:v>67.474330077635855</c:v>
                </c:pt>
                <c:pt idx="40">
                  <c:v>104.8695815349972</c:v>
                </c:pt>
                <c:pt idx="41">
                  <c:v>93.914379853535294</c:v>
                </c:pt>
                <c:pt idx="42">
                  <c:v>76.899010901459349</c:v>
                </c:pt>
                <c:pt idx="43">
                  <c:v>147.45766703563271</c:v>
                </c:pt>
                <c:pt idx="44">
                  <c:v>68.396257408307818</c:v>
                </c:pt>
                <c:pt idx="45">
                  <c:v>293.25596616654917</c:v>
                </c:pt>
                <c:pt idx="46">
                  <c:v>92.761893320518993</c:v>
                </c:pt>
                <c:pt idx="47">
                  <c:v>81.633452754142411</c:v>
                </c:pt>
                <c:pt idx="48">
                  <c:v>236.86897492674854</c:v>
                </c:pt>
                <c:pt idx="49">
                  <c:v>87.13399178393496</c:v>
                </c:pt>
                <c:pt idx="50">
                  <c:v>56.663137195583111</c:v>
                </c:pt>
                <c:pt idx="51">
                  <c:v>53.949656750572075</c:v>
                </c:pt>
                <c:pt idx="52">
                  <c:v>79.663779680809654</c:v>
                </c:pt>
                <c:pt idx="53">
                  <c:v>353.03726149330049</c:v>
                </c:pt>
                <c:pt idx="54">
                  <c:v>217.95195954487991</c:v>
                </c:pt>
                <c:pt idx="55">
                  <c:v>219.20315865039487</c:v>
                </c:pt>
                <c:pt idx="56">
                  <c:v>141.0750349541712</c:v>
                </c:pt>
                <c:pt idx="57">
                  <c:v>189.91125642223261</c:v>
                </c:pt>
                <c:pt idx="58">
                  <c:v>142.18404907975463</c:v>
                </c:pt>
                <c:pt idx="59">
                  <c:v>281.08877423945916</c:v>
                </c:pt>
                <c:pt idx="60">
                  <c:v>154.99687416272215</c:v>
                </c:pt>
                <c:pt idx="61">
                  <c:v>156.76187589968939</c:v>
                </c:pt>
                <c:pt idx="62">
                  <c:v>235.14460999123571</c:v>
                </c:pt>
                <c:pt idx="63">
                  <c:v>142.54605241083109</c:v>
                </c:pt>
                <c:pt idx="64">
                  <c:v>163.90591148251315</c:v>
                </c:pt>
                <c:pt idx="65">
                  <c:v>176.40546993705235</c:v>
                </c:pt>
                <c:pt idx="66">
                  <c:v>161.98394495412845</c:v>
                </c:pt>
                <c:pt idx="67">
                  <c:v>208.63543788187374</c:v>
                </c:pt>
                <c:pt idx="68">
                  <c:v>169.05940594059408</c:v>
                </c:pt>
                <c:pt idx="69">
                  <c:v>212.84692417739626</c:v>
                </c:pt>
                <c:pt idx="70">
                  <c:v>161.02812403420211</c:v>
                </c:pt>
                <c:pt idx="71">
                  <c:v>179.5929075126422</c:v>
                </c:pt>
                <c:pt idx="72">
                  <c:v>185.91218115830904</c:v>
                </c:pt>
                <c:pt idx="73">
                  <c:v>111.52793839731474</c:v>
                </c:pt>
                <c:pt idx="74">
                  <c:v>143.40250770044491</c:v>
                </c:pt>
                <c:pt idx="75">
                  <c:v>117.34805289336407</c:v>
                </c:pt>
                <c:pt idx="76">
                  <c:v>142.41442925122129</c:v>
                </c:pt>
                <c:pt idx="77">
                  <c:v>175.33614527020339</c:v>
                </c:pt>
                <c:pt idx="78">
                  <c:v>94.562037370799132</c:v>
                </c:pt>
                <c:pt idx="79">
                  <c:v>2343.3256029684608</c:v>
                </c:pt>
                <c:pt idx="80">
                  <c:v>253.02789455422774</c:v>
                </c:pt>
                <c:pt idx="81">
                  <c:v>125.23219087598831</c:v>
                </c:pt>
                <c:pt idx="82">
                  <c:v>127.17134671955118</c:v>
                </c:pt>
                <c:pt idx="83">
                  <c:v>309.53328034601952</c:v>
                </c:pt>
                <c:pt idx="84">
                  <c:v>91.881699872100853</c:v>
                </c:pt>
                <c:pt idx="85">
                  <c:v>145.61131340412251</c:v>
                </c:pt>
                <c:pt idx="86">
                  <c:v>132.31305021958835</c:v>
                </c:pt>
                <c:pt idx="87">
                  <c:v>143.89847956605891</c:v>
                </c:pt>
                <c:pt idx="88">
                  <c:v>329.23148603525482</c:v>
                </c:pt>
                <c:pt idx="89">
                  <c:v>268.29896552199131</c:v>
                </c:pt>
                <c:pt idx="90">
                  <c:v>105.44697832674424</c:v>
                </c:pt>
                <c:pt idx="91">
                  <c:v>77.397281686948503</c:v>
                </c:pt>
                <c:pt idx="92">
                  <c:v>119.61122210753412</c:v>
                </c:pt>
                <c:pt idx="93">
                  <c:v>98.74454148471618</c:v>
                </c:pt>
                <c:pt idx="94">
                  <c:v>98.527245949926368</c:v>
                </c:pt>
                <c:pt idx="95">
                  <c:v>60.577841451766957</c:v>
                </c:pt>
                <c:pt idx="96">
                  <c:v>24.356598723491867</c:v>
                </c:pt>
                <c:pt idx="97">
                  <c:v>106.55307229970241</c:v>
                </c:pt>
                <c:pt idx="98">
                  <c:v>142.90220820189276</c:v>
                </c:pt>
                <c:pt idx="99">
                  <c:v>57.00836820083682</c:v>
                </c:pt>
                <c:pt idx="100">
                  <c:v>150.72156196943973</c:v>
                </c:pt>
                <c:pt idx="101">
                  <c:v>75.029811590746476</c:v>
                </c:pt>
                <c:pt idx="102">
                  <c:v>88.388877096157913</c:v>
                </c:pt>
                <c:pt idx="103">
                  <c:v>85.90604026845638</c:v>
                </c:pt>
                <c:pt idx="104">
                  <c:v>76.335078534031396</c:v>
                </c:pt>
                <c:pt idx="105">
                  <c:v>170.22222222222223</c:v>
                </c:pt>
                <c:pt idx="106">
                  <c:v>90.073952341824167</c:v>
                </c:pt>
                <c:pt idx="107">
                  <c:v>112.84974093264248</c:v>
                </c:pt>
                <c:pt idx="108">
                  <c:v>55.558572010316276</c:v>
                </c:pt>
                <c:pt idx="109">
                  <c:v>63.518696069031641</c:v>
                </c:pt>
                <c:pt idx="110">
                  <c:v>85.303834975812478</c:v>
                </c:pt>
                <c:pt idx="111">
                  <c:v>155.40618843434927</c:v>
                </c:pt>
                <c:pt idx="112">
                  <c:v>62.756228319142224</c:v>
                </c:pt>
                <c:pt idx="113">
                  <c:v>49.825018312037116</c:v>
                </c:pt>
                <c:pt idx="114">
                  <c:v>46.07263513513513</c:v>
                </c:pt>
                <c:pt idx="115">
                  <c:v>132.14197683017008</c:v>
                </c:pt>
                <c:pt idx="116">
                  <c:v>54.954168485377565</c:v>
                </c:pt>
                <c:pt idx="117">
                  <c:v>147.60927743086526</c:v>
                </c:pt>
                <c:pt idx="118">
                  <c:v>109.71820809248554</c:v>
                </c:pt>
                <c:pt idx="119">
                  <c:v>101.21995763021404</c:v>
                </c:pt>
                <c:pt idx="120">
                  <c:v>82.591687041564796</c:v>
                </c:pt>
                <c:pt idx="121">
                  <c:v>64.003011400301119</c:v>
                </c:pt>
                <c:pt idx="122">
                  <c:v>53.198653198653197</c:v>
                </c:pt>
                <c:pt idx="123">
                  <c:v>44.044526901669762</c:v>
                </c:pt>
                <c:pt idx="124">
                  <c:v>30.66933066933067</c:v>
                </c:pt>
                <c:pt idx="125">
                  <c:v>37.885501595179022</c:v>
                </c:pt>
                <c:pt idx="126">
                  <c:v>237.81670255779201</c:v>
                </c:pt>
                <c:pt idx="127">
                  <c:v>258.41801855068178</c:v>
                </c:pt>
                <c:pt idx="128">
                  <c:v>102.10790525392339</c:v>
                </c:pt>
                <c:pt idx="129">
                  <c:v>104.95197506519941</c:v>
                </c:pt>
                <c:pt idx="130">
                  <c:v>91.332153257580075</c:v>
                </c:pt>
                <c:pt idx="131">
                  <c:v>120.80083429291504</c:v>
                </c:pt>
                <c:pt idx="132">
                  <c:v>224.62123770288827</c:v>
                </c:pt>
                <c:pt idx="133">
                  <c:v>76.696076061558287</c:v>
                </c:pt>
                <c:pt idx="134">
                  <c:v>331.46671473713235</c:v>
                </c:pt>
                <c:pt idx="135">
                  <c:v>199.84996874348826</c:v>
                </c:pt>
                <c:pt idx="136">
                  <c:v>147.96893486636532</c:v>
                </c:pt>
                <c:pt idx="137">
                  <c:v>150.61498166579364</c:v>
                </c:pt>
                <c:pt idx="138">
                  <c:v>405.09769154703855</c:v>
                </c:pt>
                <c:pt idx="139">
                  <c:v>112.50201189300644</c:v>
                </c:pt>
                <c:pt idx="140">
                  <c:v>122.15945201610057</c:v>
                </c:pt>
                <c:pt idx="141">
                  <c:v>190.88135837110585</c:v>
                </c:pt>
                <c:pt idx="142">
                  <c:v>131.28766254360926</c:v>
                </c:pt>
                <c:pt idx="143">
                  <c:v>367.12900454154902</c:v>
                </c:pt>
                <c:pt idx="144">
                  <c:v>263.23544758207589</c:v>
                </c:pt>
                <c:pt idx="145">
                  <c:v>81.314649987972089</c:v>
                </c:pt>
                <c:pt idx="146">
                  <c:v>83.804955064367249</c:v>
                </c:pt>
                <c:pt idx="147">
                  <c:v>68.024066667435079</c:v>
                </c:pt>
                <c:pt idx="148">
                  <c:v>151.3355322726685</c:v>
                </c:pt>
                <c:pt idx="149">
                  <c:v>158.47538420470579</c:v>
                </c:pt>
                <c:pt idx="150">
                  <c:v>212.35173317282158</c:v>
                </c:pt>
                <c:pt idx="151">
                  <c:v>121.44837709998369</c:v>
                </c:pt>
                <c:pt idx="152">
                  <c:v>278.39525411910131</c:v>
                </c:pt>
                <c:pt idx="153">
                  <c:v>142.0091165315425</c:v>
                </c:pt>
                <c:pt idx="154">
                  <c:v>180.51246612958954</c:v>
                </c:pt>
                <c:pt idx="155">
                  <c:v>328.58498774025151</c:v>
                </c:pt>
                <c:pt idx="156">
                  <c:v>125.91531115656824</c:v>
                </c:pt>
                <c:pt idx="157">
                  <c:v>185.65702733585303</c:v>
                </c:pt>
                <c:pt idx="158">
                  <c:v>180.45782936926696</c:v>
                </c:pt>
                <c:pt idx="159">
                  <c:v>367.61813486424347</c:v>
                </c:pt>
                <c:pt idx="160">
                  <c:v>125.84133955531158</c:v>
                </c:pt>
                <c:pt idx="161">
                  <c:v>120.06807940737436</c:v>
                </c:pt>
                <c:pt idx="162">
                  <c:v>112.2100874003947</c:v>
                </c:pt>
                <c:pt idx="163">
                  <c:v>51.818899929322754</c:v>
                </c:pt>
                <c:pt idx="164">
                  <c:v>79.117553360942978</c:v>
                </c:pt>
                <c:pt idx="165">
                  <c:v>23.969072164948454</c:v>
                </c:pt>
                <c:pt idx="166">
                  <c:v>43.073579633654148</c:v>
                </c:pt>
                <c:pt idx="167">
                  <c:v>80.652318615487019</c:v>
                </c:pt>
                <c:pt idx="168">
                  <c:v>55.314685314685313</c:v>
                </c:pt>
                <c:pt idx="169">
                  <c:v>88.153434433541477</c:v>
                </c:pt>
                <c:pt idx="170">
                  <c:v>81.968444778362127</c:v>
                </c:pt>
                <c:pt idx="171">
                  <c:v>58.474501108647445</c:v>
                </c:pt>
                <c:pt idx="172">
                  <c:v>68.518518518518519</c:v>
                </c:pt>
                <c:pt idx="173">
                  <c:v>34.471409676724804</c:v>
                </c:pt>
                <c:pt idx="174">
                  <c:v>56.973154990178656</c:v>
                </c:pt>
                <c:pt idx="175">
                  <c:v>54.165941902939636</c:v>
                </c:pt>
                <c:pt idx="176">
                  <c:v>58.013937282229968</c:v>
                </c:pt>
                <c:pt idx="177">
                  <c:v>34.715025906735754</c:v>
                </c:pt>
                <c:pt idx="178">
                  <c:v>333.75152035486872</c:v>
                </c:pt>
                <c:pt idx="179">
                  <c:v>507.05885829098207</c:v>
                </c:pt>
                <c:pt idx="180">
                  <c:v>174.43573531421188</c:v>
                </c:pt>
                <c:pt idx="181">
                  <c:v>164.26631877550398</c:v>
                </c:pt>
                <c:pt idx="182">
                  <c:v>204.26843969658194</c:v>
                </c:pt>
                <c:pt idx="183">
                  <c:v>170.34448327508738</c:v>
                </c:pt>
                <c:pt idx="184">
                  <c:v>299.45891615713208</c:v>
                </c:pt>
                <c:pt idx="185">
                  <c:v>129.63545558220929</c:v>
                </c:pt>
                <c:pt idx="186">
                  <c:v>483.67144577216106</c:v>
                </c:pt>
                <c:pt idx="187">
                  <c:v>286.63341909561905</c:v>
                </c:pt>
                <c:pt idx="188">
                  <c:v>216.82041042403188</c:v>
                </c:pt>
                <c:pt idx="189">
                  <c:v>191.91892677347684</c:v>
                </c:pt>
                <c:pt idx="190">
                  <c:v>542.72899902430822</c:v>
                </c:pt>
                <c:pt idx="191">
                  <c:v>139.57678790964519</c:v>
                </c:pt>
                <c:pt idx="192">
                  <c:v>177.2626310906177</c:v>
                </c:pt>
                <c:pt idx="193">
                  <c:v>231.33086024836922</c:v>
                </c:pt>
                <c:pt idx="194">
                  <c:v>220.41260044486302</c:v>
                </c:pt>
                <c:pt idx="195">
                  <c:v>332.09988468149612</c:v>
                </c:pt>
                <c:pt idx="196">
                  <c:v>268.73363470909413</c:v>
                </c:pt>
                <c:pt idx="197">
                  <c:v>169.54914843952622</c:v>
                </c:pt>
                <c:pt idx="198">
                  <c:v>186.68675010343401</c:v>
                </c:pt>
                <c:pt idx="199">
                  <c:v>99.354205987935316</c:v>
                </c:pt>
                <c:pt idx="200">
                  <c:v>70.718232044198885</c:v>
                </c:pt>
                <c:pt idx="201">
                  <c:v>30.789473684210527</c:v>
                </c:pt>
                <c:pt idx="202">
                  <c:v>14.210358056265987</c:v>
                </c:pt>
                <c:pt idx="203">
                  <c:v>90.912768647281908</c:v>
                </c:pt>
                <c:pt idx="204">
                  <c:v>70.340356564019444</c:v>
                </c:pt>
                <c:pt idx="205">
                  <c:v>49.735799207397619</c:v>
                </c:pt>
                <c:pt idx="206">
                  <c:v>60.138888888888893</c:v>
                </c:pt>
                <c:pt idx="207">
                  <c:v>71.62649459100399</c:v>
                </c:pt>
                <c:pt idx="208">
                  <c:v>56.11203665139525</c:v>
                </c:pt>
                <c:pt idx="209">
                  <c:v>50.135910601026879</c:v>
                </c:pt>
                <c:pt idx="210">
                  <c:v>26.464088397790054</c:v>
                </c:pt>
                <c:pt idx="211">
                  <c:v>81.474844934527923</c:v>
                </c:pt>
                <c:pt idx="212">
                  <c:v>115.45842217484008</c:v>
                </c:pt>
                <c:pt idx="213">
                  <c:v>35.491121600359634</c:v>
                </c:pt>
                <c:pt idx="214">
                  <c:v>17.674126751725581</c:v>
                </c:pt>
                <c:pt idx="215">
                  <c:v>54.762301918265223</c:v>
                </c:pt>
                <c:pt idx="216">
                  <c:v>87.160394445562488</c:v>
                </c:pt>
                <c:pt idx="217">
                  <c:v>47.028907922912197</c:v>
                </c:pt>
                <c:pt idx="218">
                  <c:v>91.980058523897242</c:v>
                </c:pt>
                <c:pt idx="219">
                  <c:v>62.32771822358346</c:v>
                </c:pt>
                <c:pt idx="220">
                  <c:v>58.53752652903723</c:v>
                </c:pt>
                <c:pt idx="221">
                  <c:v>49.646234437716856</c:v>
                </c:pt>
                <c:pt idx="222">
                  <c:v>30.703125</c:v>
                </c:pt>
                <c:pt idx="223">
                  <c:v>89.475799044819993</c:v>
                </c:pt>
                <c:pt idx="224">
                  <c:v>113.71819283365069</c:v>
                </c:pt>
                <c:pt idx="225">
                  <c:v>47.604512276045128</c:v>
                </c:pt>
                <c:pt idx="226">
                  <c:v>9.0767606025234837</c:v>
                </c:pt>
                <c:pt idx="227">
                  <c:v>34.548981571290007</c:v>
                </c:pt>
                <c:pt idx="228">
                  <c:v>50.441690063685549</c:v>
                </c:pt>
                <c:pt idx="229">
                  <c:v>79.256703983337673</c:v>
                </c:pt>
                <c:pt idx="230">
                  <c:v>35.466666666666661</c:v>
                </c:pt>
                <c:pt idx="231">
                  <c:v>188.02722052881549</c:v>
                </c:pt>
                <c:pt idx="232">
                  <c:v>96.39541234298197</c:v>
                </c:pt>
                <c:pt idx="233">
                  <c:v>74.568604163755765</c:v>
                </c:pt>
                <c:pt idx="234">
                  <c:v>79.330372394943623</c:v>
                </c:pt>
                <c:pt idx="235">
                  <c:v>133.79499920706243</c:v>
                </c:pt>
                <c:pt idx="236">
                  <c:v>43.907672982309222</c:v>
                </c:pt>
                <c:pt idx="237">
                  <c:v>215.10007184645383</c:v>
                </c:pt>
                <c:pt idx="238">
                  <c:v>238.89170385672247</c:v>
                </c:pt>
                <c:pt idx="239">
                  <c:v>30.833129733691674</c:v>
                </c:pt>
                <c:pt idx="240">
                  <c:v>35.042417815482501</c:v>
                </c:pt>
                <c:pt idx="241">
                  <c:v>478.97068783865143</c:v>
                </c:pt>
                <c:pt idx="242">
                  <c:v>213.73580143037441</c:v>
                </c:pt>
                <c:pt idx="243">
                  <c:v>237.56534727408516</c:v>
                </c:pt>
                <c:pt idx="244">
                  <c:v>207.4646940147949</c:v>
                </c:pt>
                <c:pt idx="245">
                  <c:v>189.68207365153933</c:v>
                </c:pt>
                <c:pt idx="246">
                  <c:v>294.21487603305786</c:v>
                </c:pt>
                <c:pt idx="247">
                  <c:v>114.36340817180309</c:v>
                </c:pt>
                <c:pt idx="248">
                  <c:v>953.66482419062663</c:v>
                </c:pt>
                <c:pt idx="249">
                  <c:v>289.22406839812874</c:v>
                </c:pt>
                <c:pt idx="250">
                  <c:v>208.89712696941612</c:v>
                </c:pt>
                <c:pt idx="251">
                  <c:v>215.01232134056184</c:v>
                </c:pt>
                <c:pt idx="252">
                  <c:v>311.0453266039018</c:v>
                </c:pt>
                <c:pt idx="253">
                  <c:v>166.76977020850291</c:v>
                </c:pt>
                <c:pt idx="254">
                  <c:v>845.03972136344066</c:v>
                </c:pt>
                <c:pt idx="255">
                  <c:v>248.06964048590959</c:v>
                </c:pt>
                <c:pt idx="256">
                  <c:v>263.56731461483088</c:v>
                </c:pt>
                <c:pt idx="257">
                  <c:v>495.28023598820067</c:v>
                </c:pt>
                <c:pt idx="258">
                  <c:v>337.93347487615006</c:v>
                </c:pt>
                <c:pt idx="259">
                  <c:v>139.50180146602062</c:v>
                </c:pt>
                <c:pt idx="260">
                  <c:v>111.21880650994574</c:v>
                </c:pt>
                <c:pt idx="261">
                  <c:v>170.38240253943059</c:v>
                </c:pt>
                <c:pt idx="262">
                  <c:v>187.91960401979901</c:v>
                </c:pt>
                <c:pt idx="263">
                  <c:v>476.5987124463519</c:v>
                </c:pt>
                <c:pt idx="264">
                  <c:v>142.51827539907504</c:v>
                </c:pt>
                <c:pt idx="265">
                  <c:v>129.06510336315952</c:v>
                </c:pt>
                <c:pt idx="266">
                  <c:v>159.170174383644</c:v>
                </c:pt>
                <c:pt idx="267">
                  <c:v>204.03884641884576</c:v>
                </c:pt>
                <c:pt idx="268">
                  <c:v>273.60180230920867</c:v>
                </c:pt>
                <c:pt idx="269">
                  <c:v>134.48461953588776</c:v>
                </c:pt>
                <c:pt idx="270">
                  <c:v>622.30862979513665</c:v>
                </c:pt>
                <c:pt idx="271">
                  <c:v>164.90558959609854</c:v>
                </c:pt>
                <c:pt idx="272">
                  <c:v>144.91519809195708</c:v>
                </c:pt>
                <c:pt idx="273">
                  <c:v>149.38059411077958</c:v>
                </c:pt>
                <c:pt idx="274">
                  <c:v>285.17763820300138</c:v>
                </c:pt>
                <c:pt idx="275">
                  <c:v>122.43799529386308</c:v>
                </c:pt>
                <c:pt idx="276">
                  <c:v>224.25984354064917</c:v>
                </c:pt>
                <c:pt idx="277">
                  <c:v>183.13864357739726</c:v>
                </c:pt>
                <c:pt idx="278">
                  <c:v>191.08215978411226</c:v>
                </c:pt>
                <c:pt idx="279">
                  <c:v>379.31731068061742</c:v>
                </c:pt>
                <c:pt idx="280">
                  <c:v>81.678868628075122</c:v>
                </c:pt>
                <c:pt idx="281">
                  <c:v>141.26527218064354</c:v>
                </c:pt>
                <c:pt idx="282">
                  <c:v>128.95551159133569</c:v>
                </c:pt>
                <c:pt idx="283">
                  <c:v>110.38818466582745</c:v>
                </c:pt>
                <c:pt idx="284">
                  <c:v>151.37032483242771</c:v>
                </c:pt>
                <c:pt idx="285">
                  <c:v>47.343312063927492</c:v>
                </c:pt>
                <c:pt idx="286">
                  <c:v>16.534441676594824</c:v>
                </c:pt>
                <c:pt idx="287">
                  <c:v>33.986066654114104</c:v>
                </c:pt>
                <c:pt idx="288">
                  <c:v>57.152745923856386</c:v>
                </c:pt>
                <c:pt idx="289">
                  <c:v>122.83375200508461</c:v>
                </c:pt>
                <c:pt idx="290">
                  <c:v>51.300454194875314</c:v>
                </c:pt>
                <c:pt idx="291">
                  <c:v>74.465623091511048</c:v>
                </c:pt>
                <c:pt idx="292">
                  <c:v>72.876733787132238</c:v>
                </c:pt>
                <c:pt idx="293">
                  <c:v>152.58556364301907</c:v>
                </c:pt>
                <c:pt idx="294">
                  <c:v>132.99923666655604</c:v>
                </c:pt>
                <c:pt idx="295">
                  <c:v>62.792322993387451</c:v>
                </c:pt>
                <c:pt idx="296">
                  <c:v>137.78540222786432</c:v>
                </c:pt>
                <c:pt idx="297">
                  <c:v>105.07883411181594</c:v>
                </c:pt>
                <c:pt idx="298">
                  <c:v>41.948367709329332</c:v>
                </c:pt>
                <c:pt idx="299">
                  <c:v>44.389485021341095</c:v>
                </c:pt>
                <c:pt idx="300">
                  <c:v>63.949974917460949</c:v>
                </c:pt>
                <c:pt idx="301">
                  <c:v>103.60399114477867</c:v>
                </c:pt>
                <c:pt idx="302">
                  <c:v>152.63743051266212</c:v>
                </c:pt>
                <c:pt idx="303">
                  <c:v>56.050743151674034</c:v>
                </c:pt>
                <c:pt idx="304">
                  <c:v>30.48924378761695</c:v>
                </c:pt>
                <c:pt idx="305">
                  <c:v>35.760001667813292</c:v>
                </c:pt>
                <c:pt idx="306">
                  <c:v>91.9155700133077</c:v>
                </c:pt>
                <c:pt idx="307">
                  <c:v>283.15409309791335</c:v>
                </c:pt>
                <c:pt idx="308">
                  <c:v>41.480495833041523</c:v>
                </c:pt>
                <c:pt idx="309">
                  <c:v>303.06276403138207</c:v>
                </c:pt>
                <c:pt idx="310">
                  <c:v>95.514603616133527</c:v>
                </c:pt>
                <c:pt idx="311">
                  <c:v>106.76589526625209</c:v>
                </c:pt>
                <c:pt idx="312">
                  <c:v>67.666408668730668</c:v>
                </c:pt>
                <c:pt idx="313">
                  <c:v>262.76631721339191</c:v>
                </c:pt>
                <c:pt idx="314">
                  <c:v>52.658118590362392</c:v>
                </c:pt>
                <c:pt idx="315">
                  <c:v>99.441600744532323</c:v>
                </c:pt>
                <c:pt idx="316">
                  <c:v>73.647666720490875</c:v>
                </c:pt>
                <c:pt idx="317">
                  <c:v>39.312349892554671</c:v>
                </c:pt>
                <c:pt idx="318">
                  <c:v>45.417298937784523</c:v>
                </c:pt>
                <c:pt idx="319">
                  <c:v>46.42717857607142</c:v>
                </c:pt>
                <c:pt idx="320">
                  <c:v>47.054598149871637</c:v>
                </c:pt>
                <c:pt idx="321">
                  <c:v>90.100516414607142</c:v>
                </c:pt>
                <c:pt idx="322">
                  <c:v>33.439479990807925</c:v>
                </c:pt>
                <c:pt idx="323">
                  <c:v>9.2170290878282977</c:v>
                </c:pt>
                <c:pt idx="324">
                  <c:v>13.60018836825995</c:v>
                </c:pt>
                <c:pt idx="325">
                  <c:v>49.028638419025285</c:v>
                </c:pt>
                <c:pt idx="326">
                  <c:v>66.171106063734612</c:v>
                </c:pt>
                <c:pt idx="327">
                  <c:v>43.747728098873132</c:v>
                </c:pt>
                <c:pt idx="328">
                  <c:v>63.828654474293856</c:v>
                </c:pt>
                <c:pt idx="329">
                  <c:v>61.560040713984264</c:v>
                </c:pt>
                <c:pt idx="330">
                  <c:v>131.79020695252262</c:v>
                </c:pt>
                <c:pt idx="331">
                  <c:v>38.584883367653511</c:v>
                </c:pt>
                <c:pt idx="332">
                  <c:v>76.160261782194027</c:v>
                </c:pt>
                <c:pt idx="333">
                  <c:v>62.190150930924318</c:v>
                </c:pt>
                <c:pt idx="334">
                  <c:v>93.346121367014703</c:v>
                </c:pt>
                <c:pt idx="335">
                  <c:v>39.884393063583808</c:v>
                </c:pt>
                <c:pt idx="336">
                  <c:v>25.105210420841683</c:v>
                </c:pt>
                <c:pt idx="337">
                  <c:v>19.832846228785314</c:v>
                </c:pt>
                <c:pt idx="338">
                  <c:v>23.243113963407342</c:v>
                </c:pt>
                <c:pt idx="339">
                  <c:v>76.242888590297042</c:v>
                </c:pt>
                <c:pt idx="340">
                  <c:v>102.26045209041807</c:v>
                </c:pt>
                <c:pt idx="341">
                  <c:v>40.102192187242458</c:v>
                </c:pt>
                <c:pt idx="342">
                  <c:v>16.658552418046092</c:v>
                </c:pt>
                <c:pt idx="343">
                  <c:v>47.739582181938758</c:v>
                </c:pt>
                <c:pt idx="344">
                  <c:v>72.954948563320329</c:v>
                </c:pt>
                <c:pt idx="345">
                  <c:v>146.7539067462838</c:v>
                </c:pt>
                <c:pt idx="346">
                  <c:v>49.103448275862078</c:v>
                </c:pt>
                <c:pt idx="347">
                  <c:v>91.316542482363943</c:v>
                </c:pt>
                <c:pt idx="348">
                  <c:v>83.280053079196577</c:v>
                </c:pt>
                <c:pt idx="349">
                  <c:v>83.611468515353437</c:v>
                </c:pt>
                <c:pt idx="350">
                  <c:v>84.076433121019122</c:v>
                </c:pt>
                <c:pt idx="351">
                  <c:v>87.226973758053305</c:v>
                </c:pt>
                <c:pt idx="352">
                  <c:v>333.65182425203818</c:v>
                </c:pt>
                <c:pt idx="353">
                  <c:v>52.523334915361495</c:v>
                </c:pt>
                <c:pt idx="354">
                  <c:v>46.688505910838913</c:v>
                </c:pt>
                <c:pt idx="355">
                  <c:v>87.003610108303249</c:v>
                </c:pt>
                <c:pt idx="356">
                  <c:v>226.9997737629682</c:v>
                </c:pt>
                <c:pt idx="357">
                  <c:v>160.06475984889371</c:v>
                </c:pt>
                <c:pt idx="358">
                  <c:v>497.14454721445475</c:v>
                </c:pt>
                <c:pt idx="359">
                  <c:v>116.21271076523995</c:v>
                </c:pt>
                <c:pt idx="360">
                  <c:v>381.13917698226834</c:v>
                </c:pt>
                <c:pt idx="361">
                  <c:v>177.11174074729942</c:v>
                </c:pt>
                <c:pt idx="362">
                  <c:v>189.46661066778663</c:v>
                </c:pt>
                <c:pt idx="363">
                  <c:v>487.97419751190296</c:v>
                </c:pt>
                <c:pt idx="364">
                  <c:v>141.97263619459937</c:v>
                </c:pt>
                <c:pt idx="365">
                  <c:v>232.81772839194392</c:v>
                </c:pt>
                <c:pt idx="366">
                  <c:v>257.77730915225646</c:v>
                </c:pt>
                <c:pt idx="367">
                  <c:v>117.93084963816673</c:v>
                </c:pt>
                <c:pt idx="368">
                  <c:v>110.90210355987055</c:v>
                </c:pt>
                <c:pt idx="369">
                  <c:v>236.95337911095049</c:v>
                </c:pt>
                <c:pt idx="370">
                  <c:v>230.98261379175617</c:v>
                </c:pt>
                <c:pt idx="371">
                  <c:v>121.11213659437009</c:v>
                </c:pt>
                <c:pt idx="372">
                  <c:v>226.22520793346126</c:v>
                </c:pt>
                <c:pt idx="373">
                  <c:v>348.34991037851898</c:v>
                </c:pt>
                <c:pt idx="374">
                  <c:v>110.50050161631924</c:v>
                </c:pt>
                <c:pt idx="375">
                  <c:v>311.695371640502</c:v>
                </c:pt>
                <c:pt idx="376">
                  <c:v>159.35189873417721</c:v>
                </c:pt>
                <c:pt idx="377">
                  <c:v>170.89266914168562</c:v>
                </c:pt>
                <c:pt idx="378">
                  <c:v>295.12840422166624</c:v>
                </c:pt>
                <c:pt idx="379">
                  <c:v>133.45963828205839</c:v>
                </c:pt>
                <c:pt idx="380">
                  <c:v>150.16979182046362</c:v>
                </c:pt>
                <c:pt idx="381">
                  <c:v>200.87916581476182</c:v>
                </c:pt>
                <c:pt idx="382">
                  <c:v>182.03138204969295</c:v>
                </c:pt>
                <c:pt idx="383">
                  <c:v>325.12150285815017</c:v>
                </c:pt>
                <c:pt idx="384">
                  <c:v>163.22259862310128</c:v>
                </c:pt>
                <c:pt idx="385">
                  <c:v>120.21726010863004</c:v>
                </c:pt>
                <c:pt idx="386">
                  <c:v>136.67384284176532</c:v>
                </c:pt>
                <c:pt idx="387">
                  <c:v>115.12878219554888</c:v>
                </c:pt>
              </c:numCache>
            </c:numRef>
          </c:yVal>
          <c:smooth val="0"/>
          <c:extLst>
            <c:ext xmlns:c16="http://schemas.microsoft.com/office/drawing/2014/chart" uri="{C3380CC4-5D6E-409C-BE32-E72D297353CC}">
              <c16:uniqueId val="{00000001-8FDF-4CD0-95A1-9885CE48668E}"/>
            </c:ext>
          </c:extLst>
        </c:ser>
        <c:dLbls>
          <c:showLegendKey val="0"/>
          <c:showVal val="0"/>
          <c:showCatName val="0"/>
          <c:showSerName val="0"/>
          <c:showPercent val="0"/>
          <c:showBubbleSize val="0"/>
        </c:dLbls>
        <c:axId val="1911572592"/>
        <c:axId val="1911565520"/>
      </c:scatterChart>
      <c:valAx>
        <c:axId val="1911572592"/>
        <c:scaling>
          <c:logBase val="10"/>
          <c:orientation val="minMax"/>
          <c:max val="300"/>
          <c:min val="3"/>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r>
                  <a:rPr lang="en-US" sz="1000" b="0" i="0" u="none" strike="noStrike" kern="1200" baseline="0">
                    <a:solidFill>
                      <a:sysClr val="windowText" lastClr="000000">
                        <a:lumMod val="65000"/>
                        <a:lumOff val="35000"/>
                      </a:sysClr>
                    </a:solidFill>
                    <a:latin typeface="+mn-lt"/>
                    <a:ea typeface="+mn-ea"/>
                    <a:cs typeface="+mn-cs"/>
                  </a:rPr>
                  <a:t>2015-2019 investicijos tenkan</a:t>
                </a:r>
                <a:r>
                  <a:rPr lang="lt-LT" sz="1000" b="0" i="0" u="none" strike="noStrike" kern="1200" baseline="0">
                    <a:solidFill>
                      <a:sysClr val="windowText" lastClr="000000">
                        <a:lumMod val="65000"/>
                        <a:lumOff val="35000"/>
                      </a:sysClr>
                    </a:solidFill>
                    <a:latin typeface="+mn-lt"/>
                    <a:ea typeface="+mn-ea"/>
                    <a:cs typeface="+mn-cs"/>
                  </a:rPr>
                  <a:t>čios vienam darbutojui, tūkst. Eur</a:t>
                </a:r>
                <a:endParaRPr lang="en-US" sz="1000" b="0" i="0" u="none" strike="noStrike" kern="1200" baseline="0">
                  <a:solidFill>
                    <a:sysClr val="windowText" lastClr="000000">
                      <a:lumMod val="65000"/>
                      <a:lumOff val="35000"/>
                    </a:sysClr>
                  </a:solidFill>
                  <a:latin typeface="+mn-lt"/>
                  <a:ea typeface="+mn-ea"/>
                  <a:cs typeface="+mn-cs"/>
                </a:endParaRPr>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11565520"/>
        <c:crossesAt val="3"/>
        <c:crossBetween val="midCat"/>
      </c:valAx>
      <c:valAx>
        <c:axId val="1911565520"/>
        <c:scaling>
          <c:logBase val="10"/>
          <c:orientation val="minMax"/>
          <c:max val="3000"/>
          <c:min val="5"/>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2019</a:t>
                </a:r>
                <a:r>
                  <a:rPr lang="en-US" baseline="0"/>
                  <a:t> m. </a:t>
                </a:r>
                <a:r>
                  <a:rPr lang="lt-LT"/>
                  <a:t>tarpinis vartojimas tenkantis</a:t>
                </a:r>
                <a:r>
                  <a:rPr lang="lt-LT" baseline="0"/>
                  <a:t> vienam darbuotojui,</a:t>
                </a:r>
                <a:r>
                  <a:rPr lang="en-US" baseline="0"/>
                  <a:t> t</a:t>
                </a:r>
                <a:r>
                  <a:rPr lang="lt-LT" baseline="0" err="1"/>
                  <a:t>ūkst</a:t>
                </a:r>
                <a:r>
                  <a:rPr lang="en-US" baseline="0"/>
                  <a:t>.</a:t>
                </a:r>
                <a:r>
                  <a:rPr lang="lt-LT" baseline="0"/>
                  <a:t> Eur/metai</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11572592"/>
        <c:crossesAt val="3"/>
        <c:crossBetween val="midCat"/>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a36c7b5-cb88-4a06-81a1-a1b3f01cfc59">
      <Terms xmlns="http://schemas.microsoft.com/office/infopath/2007/PartnerControls"/>
    </lcf76f155ced4ddcb4097134ff3c332f>
    <TaxCatchAll xmlns="1ca1b023-5fcb-4542-8be9-aab2fbe2e3d5" xsi:nil="true"/>
    <SharedWithUsers xmlns="1ca1b023-5fcb-4542-8be9-aab2fbe2e3d5">
      <UserInfo>
        <DisplayName>Giedrius Rudis</DisplayName>
        <AccountId>25</AccountId>
        <AccountType/>
      </UserInfo>
    </SharedWithUser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FB81340FF01DBE478931AE6FF6B6FA8D" ma:contentTypeVersion="23" ma:contentTypeDescription="Create a new document." ma:contentTypeScope="" ma:versionID="b2c27871e6493c39d83417299f452002">
  <xsd:schema xmlns:xsd="http://www.w3.org/2001/XMLSchema" xmlns:xs="http://www.w3.org/2001/XMLSchema" xmlns:p="http://schemas.microsoft.com/office/2006/metadata/properties" xmlns:ns2="8a36c7b5-cb88-4a06-81a1-a1b3f01cfc59" xmlns:ns3="1ca1b023-5fcb-4542-8be9-aab2fbe2e3d5" targetNamespace="http://schemas.microsoft.com/office/2006/metadata/properties" ma:root="true" ma:fieldsID="9063b04ac3d997ae2966cb801de6a468" ns2:_="" ns3:_="">
    <xsd:import namespace="8a36c7b5-cb88-4a06-81a1-a1b3f01cfc59"/>
    <xsd:import namespace="1ca1b023-5fcb-4542-8be9-aab2fbe2e3d5"/>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ServiceAutoKeyPoints" minOccurs="0"/>
                <xsd:element ref="ns2:MediaServiceKeyPoints" minOccurs="0"/>
                <xsd:element ref="ns2:MediaLengthInSeconds" minOccurs="0"/>
                <xsd:element ref="ns3:TaxCatchAll" minOccurs="0"/>
                <xsd:element ref="ns2:MediaServiceOCR" minOccurs="0"/>
                <xsd:element ref="ns2:lcf76f155ced4ddcb4097134ff3c332f" minOccurs="0"/>
                <xsd:element ref="ns2:MediaServiceLocation"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36c7b5-cb88-4a06-81a1-a1b3f01cfc5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LengthInSeconds" ma:index="18" nillable="true" ma:displayName="MediaLengthInSeconds" ma:hidden="true" ma:internalName="MediaLengthInSeconds" ma:readOnly="true">
      <xsd:simpleType>
        <xsd:restriction base="dms:Unknown"/>
      </xsd:simpleType>
    </xsd:element>
    <xsd:element name="MediaServiceOCR" ma:index="20" nillable="true" ma:displayName="Extracted Text" ma:internalName="MediaServiceOCR"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f90a7231-cc71-4d06-a101-8d40a72f6c82" ma:termSetId="09814cd3-568e-fe90-9814-8d621ff8fb84" ma:anchorId="fba54fb3-c3e1-fe81-a776-ca4b69148c4d" ma:open="true" ma:isKeyword="false">
      <xsd:complexType>
        <xsd:sequence>
          <xsd:element ref="pc:Terms" minOccurs="0" maxOccurs="1"/>
        </xsd:sequence>
      </xsd:complexType>
    </xsd:element>
    <xsd:element name="MediaServiceLocation" ma:index="23" nillable="true" ma:displayName="Location" ma:description="" ma:indexed="true" ma:internalName="MediaServiceLocation" ma:readOnly="true">
      <xsd:simpleType>
        <xsd:restriction base="dms:Text"/>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ca1b023-5fcb-4542-8be9-aab2fbe2e3d5"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TaxCatchAll" ma:index="19" nillable="true" ma:displayName="Taxonomy Catch All Column" ma:hidden="true" ma:list="{6b82ba3f-e5a1-43df-9be4-e395c1375a36}" ma:internalName="TaxCatchAll" ma:showField="CatchAllData" ma:web="1ca1b023-5fcb-4542-8be9-aab2fbe2e3d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1ba0d6ec8cf9493182f9a1736e810acb" PartId="40fe9d29c9574fc1b3e3b0fd85c0e2de">
    <Part Type="punktas" Nr="1" Abbr="1 p." DocPartId="df71f18399bc46da9e3956cc132c294e" PartId="afdf2c136f4940d4a75fa007c3b081ec"/>
    <Part Type="punktas" Nr="2" Abbr="2 p." DocPartId="7b27424ce30f4e7eb47fe07b7e770ed3" PartId="98657dcc4ec946beabf70e365cc32d2c"/>
    <Part Type="punktas" Nr="3" Abbr="3 p." DocPartId="483c779bbdff4a6c8801b0c99d5051dc" PartId="b6e9c247b1a5498dba8dacfda33143a9"/>
    <Part Type="punktas" Nr="4" Abbr="4 p." DocPartId="4c666be55996443ca7b60e781d85fe7b" PartId="368103a4677440afafb67be7b3d395e6">
      <Part Type="strPapunktis" Nr="1" Abbr="4 p. 1 pp." DocPartId="62c13290780a4441b7d543bf8f98f15c" PartId="1c0698be4da544da80ded705af4e77c9"/>
      <Part Type="strPapunktis" Nr="2" Abbr="4 p. 2 pp." DocPartId="bfcbaed15a6a4efdb7383e5f6fae4f50" PartId="d911c1cdb885494a9f0286a308373a15"/>
      <Part Type="strPapunktis" Nr="3" Abbr="4 p. 3 pp." DocPartId="b08d2b775f9b44f89c05c84bc3b71dc9" PartId="995fad4ef9564af88378bb2d121d37b9"/>
      <Part Type="papunktis" Nr="1.5" Abbr="1.5 pp." Notes="Numeris ne iš eilės. Trūksta dalių? [DocDalys]" DocPartId="1b79be5432cb411aa6a93b33ac9d9662" PartId="c606e2679ac543b8951be4c4192f81fc"/>
      <Part Type="papunktis" Nr="1.4" Abbr="1.4 pp." Notes="Numeris ne iš eilės. Trūksta dalių? [DocDalys]" DocPartId="1c67314073074ece9d0d126c930889ad" PartId="85c8d0d8e02f4dddb7f7a20c6017a27f"/>
      <Part Type="papunktis" Nr="1.3" Abbr="1.3 pp." Notes="Numeris ne iš eilės. Trūksta dalių? [DocDalys]" DocPartId="c46acdd5fd9048a8ae53519bb4f84674" PartId="728924ca2855491f84a62b0c96de27f6"/>
      <Part Type="papunktis" Nr="1.25" Abbr="1.25 pp." Notes="Numeris ne iš eilės. Trūksta dalių? [DocDalys]" DocPartId="d730cd0259434f3aa264bfba52e854b2" PartId="2da5ac44aff545b2bdea5fe1e0714029"/>
      <Part Type="papunktis" Nr="1.2" Abbr="1.2 pp." Notes="Numeris ne iš eilės. Trūksta dalių? [DocDalys]" DocPartId="ab2220aaf5874751b7e396f4b43f3152" PartId="2d76299bfa8b43e5b8ec22b0d59a8196">
        <Part Type="strPapunktis" Nr="1" Abbr="1.2 pp. 1 pp." DocPartId="9e4643fa84544d228be7621e0591ad4c" PartId="13e68d671586434a96c93d0895b56713"/>
        <Part Type="strPapunktis" Nr="2" Abbr="1.2 pp. 2 pp." DocPartId="2fb2601c7de74cb09a3de09e06d43c2d" PartId="f4a6abf39ae444459c33423a36825f5c"/>
      </Part>
    </Part>
    <Part Type="punktas" Nr="5" Abbr="5 p." DocPartId="a2a9f8ddb2614437a79a1d9a12df2bd0" PartId="d414e3f1e45141a68aad3ef42ae619c7"/>
    <Part Type="punktas" Nr="6" Abbr="6 p." DocPartId="a147b5df9e8741659f9758f06069eb1a" PartId="9d9d24cc93004dbca90bed6d1dbb4b40"/>
    <Part Type="punktas" Nr="7" Abbr="7 p." DocPartId="049f9eae723146efae0932c0809651a6" PartId="0093c4beddeb4cb2a9e225fdbfc03167"/>
    <Part Type="punktas" Nr="8" Abbr="8 p." DocPartId="940eb8b73f244521a6280a385c5561b5" PartId="a6f9f3973b174429b1dc6ac37df7560c"/>
    <Part Type="punktas" Nr="9" Abbr="9 p." DocPartId="ca8df56696084e91a27da786fafbceeb" PartId="6f4e6fdda34f42cdbecd7bf4db590b7f"/>
    <Part Type="punktas" Nr="10" Abbr="10 p." DocPartId="0870d3e709754c159621bc7b6faba4eb" PartId="9b0ccc02b5504929b1e5c8124108099f"/>
    <Part Type="punktas" Nr="11" Abbr="11 p." DocPartId="9c0ef71f56b44ece862131de751576e4" PartId="e2520edd2b0a454689e872416803a5d7"/>
    <Part Type="punktas" Nr="12" Abbr="12 p." DocPartId="40ad3bd94e234b5cb131a8d525b06e80" PartId="9f026cb8fc7040e483c6df6606b4b81f"/>
    <Part Type="punktas" Nr="13" Abbr="13 p." DocPartId="5e83454fd25d4f80bfe066f09bd9185b" PartId="918961bcc9ff46adbeecda79fead4045"/>
    <Part Type="punktas" Nr="14" Abbr="14 p." DocPartId="b6762f1063464cef8cea1cb84cfcbb5d" PartId="e9b46d29855b4e7ab5d6ae86651954b6"/>
    <Part Type="punktas" Nr="15" Abbr="15 p." DocPartId="7aa076c0eab94d29acb22c020a4c6fbc" PartId="d35e14756f1f4666b7e15850eb8a8849"/>
    <Part Type="pabaiga" DocPartId="a928862cd12c44b3bdb74c24af24b461" PartId="e264127b5ca24d61b93cd9cf60b2991a"/>
  </Part>
</Parts>
</file>

<file path=customXml/itemProps1.xml><?xml version="1.0" encoding="utf-8"?>
<ds:datastoreItem xmlns:ds="http://schemas.openxmlformats.org/officeDocument/2006/customXml" ds:itemID="{257BBEAB-E918-4FB2-9BD1-0948FBD4FE90}">
  <ds:schemaRefs>
    <ds:schemaRef ds:uri="http://schemas.microsoft.com/sharepoint/v3/contenttype/forms"/>
  </ds:schemaRefs>
</ds:datastoreItem>
</file>

<file path=customXml/itemProps2.xml><?xml version="1.0" encoding="utf-8"?>
<ds:datastoreItem xmlns:ds="http://schemas.openxmlformats.org/officeDocument/2006/customXml" ds:itemID="{6C19E652-9D8E-4E24-BA30-002B155C1D1A}">
  <ds:schemaRefs>
    <ds:schemaRef ds:uri="http://schemas.microsoft.com/office/2006/metadata/properties"/>
    <ds:schemaRef ds:uri="http://schemas.microsoft.com/office/infopath/2007/PartnerControls"/>
    <ds:schemaRef ds:uri="8a36c7b5-cb88-4a06-81a1-a1b3f01cfc59"/>
    <ds:schemaRef ds:uri="1ca1b023-5fcb-4542-8be9-aab2fbe2e3d5"/>
  </ds:schemaRefs>
</ds:datastoreItem>
</file>

<file path=customXml/itemProps3.xml><?xml version="1.0" encoding="utf-8"?>
<ds:datastoreItem xmlns:ds="http://schemas.openxmlformats.org/officeDocument/2006/customXml" ds:itemID="{8D26AF0B-6BE7-46DB-BE03-DE99BC0DB97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36c7b5-cb88-4a06-81a1-a1b3f01cfc59"/>
    <ds:schemaRef ds:uri="1ca1b023-5fcb-4542-8be9-aab2fbe2e3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C3CD281-55ED-448C-8F6D-1B0064913881}">
  <ds:schemaRefs>
    <ds:schemaRef ds:uri="http://schemas.openxmlformats.org/officeDocument/2006/bibliography"/>
  </ds:schemaRefs>
</ds:datastoreItem>
</file>

<file path=customXml/itemProps5.xml><?xml version="1.0" encoding="utf-8"?>
<ds:datastoreItem xmlns:ds="http://schemas.openxmlformats.org/officeDocument/2006/customXml" ds:itemID="{4232B891-895E-4441-A17A-3DDF418124A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3052</Words>
  <Characters>21609</Characters>
  <Application>Microsoft Office Word</Application>
  <DocSecurity>4</DocSecurity>
  <Lines>308</Lines>
  <Paragraphs>82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24579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2023-09-29T11:04:00Z</dcterms:created>
  <dc:creator>Elena Mickevičienė</dc:creator>
  <lastModifiedBy>adlibuser</lastModifiedBy>
  <lastPrinted>2018-10-26T23:38:00Z</lastPrinted>
  <dcterms:modified xsi:type="dcterms:W3CDTF">2023-09-29T11:04:00Z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0x010100FB81340FF01DBE478931AE6FF6B6FA8D</vt:lpwstr>
  </property>
  <property fmtid="{D5CDD505-2E9C-101B-9397-08002B2CF9AE}" pid="3" name="MediaServiceImageTags">
    <vt:lpwstr/>
  </property>
</Properties>
</file>