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b37e4bac80bb4f878047d54845d78e06"/>
        <w:lock w:val="sdtLocked"/>
        <w:richText/>
      </w:sdtPr>
      <w:sdtContent>
        <w:p w14:paraId="70978E7F" w14:textId="77777777">
          <w:pPr>
            <w:tabs>
              <w:tab w:val="center" w:pos="4986"/>
              <w:tab w:val="right" w:pos="9972"/>
            </w:tabs>
          </w:pPr>
        </w:p>
        <w:p w14:paraId="0559E6CE" w14:textId="77777777">
          <w:pPr>
            <w:jc w:val="center"/>
            <w:rPr>
              <w:b/>
              <w:color w:val="000000"/>
              <w:sz w:val="22"/>
              <w:szCs w:val="22"/>
            </w:rPr>
          </w:pPr>
          <w:r>
            <w:rPr>
              <w:b/>
              <w:color w:val="000000"/>
              <w:sz w:val="22"/>
              <w:szCs w:val="22"/>
            </w:rPr>
            <w:t>NUMATOMO TEISINIO REGULIAVIMO POVEIKIO VERTINIMO PAŽYMA</w:t>
          </w:r>
        </w:p>
        <w:p w14:paraId="64F82003" w14:textId="36016680">
          <w:pPr>
            <w:rPr>
              <w:b/>
              <w:color w:val="0000FF"/>
              <w:sz w:val="22"/>
              <w:szCs w:val="22"/>
            </w:rPr>
          </w:pPr>
        </w:p>
        <w:p w14:paraId="6EC61B5C" w14:textId="77777777">
          <w:pPr>
            <w:rPr>
              <w:b/>
              <w:color w:val="0000FF"/>
              <w:sz w:val="22"/>
              <w:szCs w:val="22"/>
            </w:rPr>
          </w:pPr>
        </w:p>
        <w:tbl>
          <w:tblPr>
            <w:tblW w:w="0" w:type="auto"/>
            <w:tblLook w:val="00A0" w:firstRow="1" w:lastRow="0" w:firstColumn="1" w:lastColumn="0" w:noHBand="0" w:noVBand="0"/>
          </w:tblPr>
          <w:tblGrid>
            <w:gridCol w:w="2209"/>
            <w:gridCol w:w="7147"/>
          </w:tblGrid>
          <w:tr w14:paraId="7D031C59" w14:textId="77777777">
            <w:tc>
              <w:tcPr>
                <w:tcW w:w="2235" w:type="dxa"/>
                <w:shd w:val="clear" w:color="auto" w:fill="DBE5F1"/>
                <w:hideMark/>
              </w:tcPr>
              <w:p w14:paraId="1DF0EF41" w14:textId="77777777">
                <w:pPr>
                  <w:rPr>
                    <w:sz w:val="22"/>
                    <w:szCs w:val="22"/>
                    <w:shd w:val="clear" w:color="auto" w:fill="DBE5F1"/>
                  </w:rPr>
                </w:pPr>
                <w:r>
                  <w:rPr>
                    <w:b/>
                    <w:sz w:val="22"/>
                    <w:szCs w:val="22"/>
                    <w:shd w:val="clear" w:color="auto" w:fill="DBE5F1"/>
                  </w:rPr>
                  <w:t>Projekto pavadinimas</w:t>
                </w:r>
              </w:p>
            </w:tc>
            <w:tc>
              <w:tcPr>
                <w:tcW w:w="7337" w:type="dxa"/>
                <w:shd w:val="clear" w:color="auto" w:fill="DBE5F1"/>
              </w:tcPr>
              <w:p w14:paraId="3F175420" w14:textId="31501DBF">
                <w:pPr>
                  <w:jc w:val="both"/>
                  <w:rPr>
                    <w:sz w:val="22"/>
                    <w:szCs w:val="22"/>
                  </w:rPr>
                </w:pPr>
                <w:r>
                  <w:rPr>
                    <w:sz w:val="22"/>
                    <w:szCs w:val="22"/>
                  </w:rPr>
                  <w:t>Lietuvos Respublikos investicijų įstatymo Nr. VIII-1312 2 ir 15</w:t>
                </w:r>
                <w:r>
                  <w:rPr>
                    <w:sz w:val="22"/>
                    <w:szCs w:val="22"/>
                    <w:vertAlign w:val="superscript"/>
                  </w:rPr>
                  <w:t>4</w:t>
                </w:r>
                <w:r>
                  <w:rPr>
                    <w:sz w:val="22"/>
                    <w:szCs w:val="22"/>
                  </w:rPr>
                  <w:t xml:space="preserve"> straipsnių pakeitimo įstatymo ir Lietuvos Respublikos pelno mokesčio įstatymo                 Nr. IX-675 58 straipsnio pakeitimo įstatymo projektai (toliau – įstatymų projektai)</w:t>
                </w:r>
              </w:p>
            </w:tc>
          </w:tr>
        </w:tbl>
        <w:p w14:paraId="7B638288" w14:textId="77777777">
          <w:pPr>
            <w:rPr>
              <w:sz w:val="22"/>
              <w:szCs w:val="22"/>
            </w:rPr>
          </w:pPr>
        </w:p>
        <w:tbl>
          <w:tblPr>
            <w:tblW w:w="0" w:type="auto"/>
            <w:tblLook w:val="00A0" w:firstRow="1" w:lastRow="0" w:firstColumn="1" w:lastColumn="0" w:noHBand="0" w:noVBand="0"/>
          </w:tblPr>
          <w:tblGrid>
            <w:gridCol w:w="2199"/>
            <w:gridCol w:w="7157"/>
          </w:tblGrid>
          <w:tr w14:paraId="6E4E1A09" w14:textId="77777777">
            <w:tc>
              <w:tcPr>
                <w:tcW w:w="2235" w:type="dxa"/>
                <w:shd w:val="clear" w:color="auto" w:fill="DBE5F1"/>
                <w:hideMark/>
              </w:tcPr>
              <w:p w14:paraId="33939384" w14:textId="77777777">
                <w:pPr>
                  <w:rPr>
                    <w:sz w:val="22"/>
                    <w:szCs w:val="22"/>
                  </w:rPr>
                </w:pPr>
                <w:r>
                  <w:rPr>
                    <w:b/>
                    <w:sz w:val="22"/>
                    <w:szCs w:val="22"/>
                    <w:shd w:val="clear" w:color="auto" w:fill="DBE5F1"/>
                  </w:rPr>
                  <w:t>Projekto rengėjas</w:t>
                </w:r>
              </w:p>
            </w:tc>
            <w:tc>
              <w:tcPr>
                <w:tcW w:w="7337" w:type="dxa"/>
                <w:shd w:val="clear" w:color="auto" w:fill="DBE5F1"/>
                <w:hideMark/>
              </w:tcPr>
              <w:p w14:paraId="3F8F0F63" w14:textId="49654730">
                <w:pPr>
                  <w:jc w:val="both"/>
                  <w:rPr>
                    <w:b/>
                    <w:sz w:val="22"/>
                    <w:szCs w:val="22"/>
                  </w:rPr>
                </w:pPr>
                <w:r>
                  <w:rPr>
                    <w:sz w:val="22"/>
                    <w:szCs w:val="22"/>
                  </w:rPr>
                  <w:t>Lietuvos Respublikos ekonomikos ir inovacijų ministerija</w:t>
                </w:r>
              </w:p>
            </w:tc>
          </w:tr>
        </w:tbl>
        <w:p w14:paraId="4549B9A4" w14:textId="77777777">
          <w:pPr>
            <w:rPr>
              <w:sz w:val="22"/>
              <w:szCs w:val="22"/>
            </w:rPr>
          </w:pPr>
        </w:p>
        <w:tbl>
          <w:tblPr>
            <w:tblW w:w="0" w:type="auto"/>
            <w:tblLook w:val="00A0" w:firstRow="1" w:lastRow="0" w:firstColumn="1" w:lastColumn="0" w:noHBand="0" w:noVBand="0"/>
          </w:tblPr>
          <w:tblGrid>
            <w:gridCol w:w="2198"/>
            <w:gridCol w:w="7158"/>
          </w:tblGrid>
          <w:tr w14:paraId="3FD531DD" w14:textId="77777777">
            <w:tc>
              <w:tcPr>
                <w:tcW w:w="2235" w:type="dxa"/>
                <w:shd w:val="clear" w:color="auto" w:fill="DBE5F1"/>
                <w:hideMark/>
              </w:tcPr>
              <w:p w14:paraId="3863917C" w14:textId="77777777">
                <w:pPr>
                  <w:rPr>
                    <w:b/>
                    <w:sz w:val="22"/>
                    <w:szCs w:val="22"/>
                  </w:rPr>
                </w:pPr>
                <w:r>
                  <w:rPr>
                    <w:b/>
                    <w:sz w:val="22"/>
                    <w:szCs w:val="22"/>
                  </w:rPr>
                  <w:t>Projekto tikslai</w:t>
                </w:r>
              </w:p>
            </w:tc>
            <w:tc>
              <w:tcPr>
                <w:tcW w:w="7337" w:type="dxa"/>
                <w:shd w:val="clear" w:color="auto" w:fill="DBE5F1"/>
                <w:hideMark/>
              </w:tcPr>
              <w:p w14:paraId="15A39699" w14:textId="0D626727">
                <w:pPr>
                  <w:jc w:val="both"/>
                  <w:rPr>
                    <w:b/>
                    <w:sz w:val="22"/>
                    <w:szCs w:val="22"/>
                  </w:rPr>
                </w:pPr>
                <w:r>
                  <w:rPr>
                    <w:sz w:val="22"/>
                    <w:szCs w:val="22"/>
                  </w:rPr>
                  <w:t xml:space="preserve">Projekto tikslas – sudaryti galimybę projektams, atitinkantiems tiek dabar teisės aktuose numatytus Stambių projektų kriterijus, tiek siūlomus nustatyti kriterijus, taikyti pelno mokesčio lengvatą ir kitas specialiąsias investavimo ir verslo sąlygas, numatytas Lietuvos Respublikos investicijų įstatyme (toliau – Investicijų įstatymas). </w:t>
                </w:r>
              </w:p>
            </w:tc>
          </w:tr>
        </w:tbl>
        <w:p w14:paraId="70E6D3A8" w14:textId="77777777">
          <w:pPr>
            <w:rPr>
              <w:sz w:val="22"/>
              <w:szCs w:val="22"/>
            </w:rPr>
          </w:pPr>
        </w:p>
        <w:tbl>
          <w:tblPr>
            <w:tblW w:w="0" w:type="auto"/>
            <w:tblLook w:val="00A0" w:firstRow="1" w:lastRow="0" w:firstColumn="1" w:lastColumn="0" w:noHBand="0" w:noVBand="0"/>
          </w:tblPr>
          <w:tblGrid>
            <w:gridCol w:w="2096"/>
            <w:gridCol w:w="7260"/>
          </w:tblGrid>
          <w:tr w14:paraId="5FEE5368" w14:textId="77777777">
            <w:trPr>
              <w:trHeight w:val="415"/>
            </w:trPr>
            <w:tc>
              <w:tcPr>
                <w:tcW w:w="2164" w:type="dxa"/>
                <w:shd w:val="clear" w:color="auto" w:fill="DBE5F1"/>
              </w:tcPr>
              <w:p w14:paraId="6252D535" w14:textId="77777777">
                <w:pPr>
                  <w:rPr>
                    <w:sz w:val="22"/>
                    <w:szCs w:val="22"/>
                  </w:rPr>
                </w:pPr>
              </w:p>
            </w:tc>
            <w:tc>
              <w:tcPr>
                <w:tcW w:w="7475" w:type="dxa"/>
                <w:shd w:val="clear" w:color="auto" w:fill="DBE5F1"/>
                <w:hideMark/>
              </w:tcPr>
              <w:p w14:paraId="1ECA31CA" w14:textId="77777777">
                <w:pPr>
                  <w:jc w:val="center"/>
                  <w:rPr>
                    <w:b/>
                    <w:sz w:val="22"/>
                    <w:szCs w:val="22"/>
                  </w:rPr>
                </w:pPr>
                <w:r>
                  <w:rPr>
                    <w:b/>
                    <w:sz w:val="22"/>
                    <w:szCs w:val="22"/>
                  </w:rPr>
                  <w:t xml:space="preserve">Siūlomo projekto poveikio įvertinimas </w:t>
                </w:r>
              </w:p>
              <w:p w14:paraId="4DE4DC90" w14:textId="77777777">
                <w:pPr>
                  <w:jc w:val="center"/>
                  <w:rPr>
                    <w:b/>
                    <w:sz w:val="22"/>
                    <w:szCs w:val="22"/>
                  </w:rPr>
                </w:pPr>
                <w:r>
                  <w:rPr>
                    <w:b/>
                    <w:sz w:val="22"/>
                    <w:szCs w:val="22"/>
                  </w:rPr>
                  <w:t>(</w:t>
                </w:r>
                <w:r>
                  <w:rPr>
                    <w:b/>
                    <w:bCs/>
                    <w:sz w:val="22"/>
                    <w:szCs w:val="22"/>
                  </w:rPr>
                  <w:t>teigiamos ir (ar) neigiamos pasekmės)*</w:t>
                </w:r>
              </w:p>
            </w:tc>
          </w:tr>
        </w:tbl>
        <w:p w14:paraId="5502A77A" w14:textId="77777777">
          <w:pPr>
            <w:rPr>
              <w:sz w:val="22"/>
              <w:szCs w:val="22"/>
            </w:rPr>
          </w:pPr>
        </w:p>
        <w:tbl>
          <w:tblPr>
            <w:tblW w:w="9498" w:type="dxa"/>
            <w:tblLook w:val="00A0" w:firstRow="1" w:lastRow="0" w:firstColumn="1" w:lastColumn="0" w:noHBand="0" w:noVBand="0"/>
          </w:tblPr>
          <w:tblGrid>
            <w:gridCol w:w="2194"/>
            <w:gridCol w:w="7304"/>
          </w:tblGrid>
          <w:tr w14:paraId="09F508D3" w14:textId="77777777">
            <w:trPr>
              <w:trHeight w:val="1320"/>
            </w:trPr>
            <w:tc>
              <w:tcPr>
                <w:tcW w:w="2194" w:type="dxa"/>
                <w:shd w:val="clear" w:color="auto" w:fill="DBE5F1"/>
              </w:tcPr>
              <w:p w14:paraId="61DFE655" w14:textId="77777777">
                <w:pPr>
                  <w:tabs>
                    <w:tab w:val="left" w:pos="9498"/>
                  </w:tabs>
                  <w:rPr>
                    <w:b/>
                    <w:sz w:val="22"/>
                    <w:szCs w:val="22"/>
                  </w:rPr>
                </w:pPr>
                <w:r>
                  <w:rPr>
                    <w:b/>
                    <w:sz w:val="22"/>
                    <w:szCs w:val="22"/>
                  </w:rPr>
                  <w:t xml:space="preserve">Poveikis atitinkamai </w:t>
                </w:r>
              </w:p>
              <w:p w14:paraId="6594441C" w14:textId="77777777">
                <w:pPr>
                  <w:tabs>
                    <w:tab w:val="left" w:pos="9498"/>
                  </w:tabs>
                  <w:rPr>
                    <w:b/>
                    <w:sz w:val="22"/>
                    <w:szCs w:val="22"/>
                  </w:rPr>
                </w:pPr>
                <w:r>
                  <w:rPr>
                    <w:b/>
                    <w:sz w:val="22"/>
                    <w:szCs w:val="22"/>
                  </w:rPr>
                  <w:t>sričiai (investicinei aplinkai)</w:t>
                </w:r>
              </w:p>
            </w:tc>
            <w:tc>
              <w:tcPr>
                <w:tcW w:w="7304" w:type="dxa"/>
              </w:tcPr>
              <w:p w14:paraId="7B2B1A88" w14:textId="77777777">
                <w:pPr>
                  <w:tabs>
                    <w:tab w:val="left" w:pos="9498"/>
                  </w:tabs>
                  <w:jc w:val="both"/>
                  <w:rPr>
                    <w:sz w:val="22"/>
                    <w:szCs w:val="22"/>
                  </w:rPr>
                </w:pPr>
                <w:r>
                  <w:rPr>
                    <w:sz w:val="22"/>
                    <w:szCs w:val="22"/>
                  </w:rPr>
                  <w:t>Siūlomi Stambių projektų kriterijai leistų užtikrinti, kad Stambiais projektais būtų pripažįstami ir tie projektai, kurie yra imlūs kapitalo investicijoms, bet dėl savo išskirtinio pobūdžio sukuria mažiau naujų darbo vietų, nei numatyta dabartiniame teisiniame reguliavime, tačiau užtikrinant, kad naujai sukuriamose darbo vietose mokamas didesnis darbo užmokestis. Įstatymų projektais siūlomas teisinis reguliavimas būtų taikomas paskatinti tik naujus investicinius projektus, kurie be specialių sąlygų nebūtų įgyvendinami.</w:t>
                </w:r>
              </w:p>
              <w:p w14:paraId="7CEF8BA6" w14:textId="77777777">
                <w:pPr>
                  <w:tabs>
                    <w:tab w:val="left" w:pos="9498"/>
                  </w:tabs>
                  <w:jc w:val="both"/>
                  <w:rPr>
                    <w:sz w:val="22"/>
                    <w:szCs w:val="22"/>
                  </w:rPr>
                </w:pPr>
                <w:r>
                  <w:rPr>
                    <w:sz w:val="22"/>
                    <w:szCs w:val="22"/>
                  </w:rPr>
                  <w:t xml:space="preserve">Priimti Įstatymų projektai turės teigiamą įtaką verslo sąlygoms ir jo plėtrai. Lengvatos taikomos stambiems projektams aprėps ir itin aukštos pridėtinės vertės projektus kuriančius mažiau darbo vietų, nei numato šiuo metu galiojantis reguliavimas. Priėmus Įstatymų projektus taip pat pagerėtų Lietuvos Respublikos pozicijos konkuruojant su kitomis Europos Sąjungos valstybėmis dėl Stambių projektų. Įstatymų projektai teigiamai paveiktų tiek užsienio, tiek Lietuvos kapitalo investicijas. </w:t>
                </w:r>
              </w:p>
              <w:p w14:paraId="5EEB7504" w14:textId="1E19A2BE">
                <w:pPr>
                  <w:tabs>
                    <w:tab w:val="left" w:pos="9498"/>
                  </w:tabs>
                  <w:jc w:val="both"/>
                  <w:rPr>
                    <w:sz w:val="22"/>
                    <w:szCs w:val="22"/>
                  </w:rPr>
                </w:pPr>
                <w:r>
                  <w:rPr>
                    <w:sz w:val="22"/>
                    <w:szCs w:val="22"/>
                  </w:rPr>
                  <w:t>Vertinama, kad Įstatymų pakeitimai paskatins šalyje vystyti daugiau naujų aukštos pridėtinės vertės Lietuvos ir užsienio kapitalo projektų (vidutiniškai po 2-3 naujus projektus per metus) kuriančių nuo 20 iki 149 darbo vietų (vidutiniškai po 85 darbo vietas), ypač šalies regionuose. Atsižvelgiant į Lietuvos darbo užmokesčio struktūros statistiką ir darbo užmokesčio reikalavimą tokiems projektams, vertinama, kad vidutinis darbo užmokestis šiuose projektuose bus ne mažesnis nei 1860 Eur/mėn. Pilnai įgyvendintas, vienas tokius parametrus atitinkantis projektas per metus tiesiogiai lemtų apie 400 tūkst. Eur papildomų Valstybinio socialinio draudimo fondo biudžeto pajamų ir 340 tūkst. Eur gyventojų pajamų mokesčio. Verta atkreipti dėmesį, kad be šių tiesioginių pajamų, valdžios sektorius gaus papildomas netiesiogines pajamas per projektų tarpinį vartojimą. Laukiama, kad Įstatymų projektais siūlomus Stambaus projekto kriterijus atitinkantys projektai pasižymės itin aukštu tarpiniu vartojimu. Vartodamas tarpines prekes ir paslaugas verslas bent dalį jų perka iš vietinių tiekėjų, taip dar labiau paskatindamas šalies ūkį bei kartu didindamas ir mokestinę bazę.</w:t>
                </w:r>
              </w:p>
            </w:tc>
          </w:tr>
        </w:tbl>
        <w:p w14:paraId="18604F7C" w14:textId="77777777">
          <w:pPr>
            <w:tabs>
              <w:tab w:val="left" w:pos="9498"/>
            </w:tabs>
            <w:rPr>
              <w:sz w:val="22"/>
              <w:szCs w:val="22"/>
            </w:rPr>
          </w:pPr>
        </w:p>
        <w:tbl>
          <w:tblPr>
            <w:tblW w:w="9639" w:type="dxa"/>
            <w:tblLook w:val="00A0" w:firstRow="1" w:lastRow="0" w:firstColumn="1" w:lastColumn="0" w:noHBand="0" w:noVBand="0"/>
          </w:tblPr>
          <w:tblGrid>
            <w:gridCol w:w="2235"/>
            <w:gridCol w:w="7404"/>
          </w:tblGrid>
          <w:tr w14:paraId="19AE648B" w14:textId="77777777">
            <w:tc>
              <w:tcPr>
                <w:tcW w:w="2235" w:type="dxa"/>
                <w:shd w:val="clear" w:color="auto" w:fill="DBE5F1"/>
                <w:hideMark/>
              </w:tcPr>
              <w:p w14:paraId="41D610CD" w14:textId="77777777">
                <w:pPr>
                  <w:tabs>
                    <w:tab w:val="left" w:pos="9498"/>
                  </w:tabs>
                  <w:rPr>
                    <w:b/>
                    <w:sz w:val="22"/>
                    <w:szCs w:val="22"/>
                  </w:rPr>
                </w:pPr>
                <w:r>
                  <w:rPr>
                    <w:b/>
                    <w:sz w:val="22"/>
                    <w:szCs w:val="22"/>
                  </w:rPr>
                  <w:t xml:space="preserve">Poveikis </w:t>
                </w:r>
              </w:p>
              <w:p w14:paraId="4C4F709F" w14:textId="77777777">
                <w:pPr>
                  <w:tabs>
                    <w:tab w:val="left" w:pos="9498"/>
                  </w:tabs>
                  <w:rPr>
                    <w:b/>
                    <w:sz w:val="22"/>
                    <w:szCs w:val="22"/>
                  </w:rPr>
                </w:pPr>
                <w:r>
                  <w:rPr>
                    <w:b/>
                    <w:sz w:val="22"/>
                    <w:szCs w:val="22"/>
                  </w:rPr>
                  <w:t>valstybės finansams</w:t>
                </w:r>
              </w:p>
            </w:tc>
            <w:tc>
              <w:tcPr>
                <w:tcW w:w="7404" w:type="dxa"/>
                <w:hideMark/>
              </w:tcPr>
              <w:p w14:paraId="11365A8E" w14:textId="4E3DC1B7">
                <w:pPr>
                  <w:jc w:val="both"/>
                  <w:rPr>
                    <w:sz w:val="22"/>
                    <w:szCs w:val="22"/>
                  </w:rPr>
                </w:pPr>
                <w:r>
                  <w:rPr>
                    <w:sz w:val="22"/>
                    <w:szCs w:val="22"/>
                  </w:rPr>
                  <w:t xml:space="preserve">Siūlomoms projekto nuostatoms įgyvendinti papildomų valstybės, savivaldybių biudžetų ir kitų valstybės įsteigtų fondų lėšų nereikės. </w:t>
                </w:r>
              </w:p>
              <w:p w14:paraId="720A8C1F" w14:textId="5A45E2E6">
                <w:pPr>
                  <w:jc w:val="both"/>
                  <w:rPr>
                    <w:color w:val="FF0000"/>
                    <w:sz w:val="22"/>
                    <w:szCs w:val="22"/>
                  </w:rPr>
                </w:pPr>
              </w:p>
            </w:tc>
          </w:tr>
        </w:tbl>
        <w:p w14:paraId="5253F5E5" w14:textId="77777777">
          <w:pPr>
            <w:rPr>
              <w:sz w:val="22"/>
              <w:szCs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210"/>
            <w:gridCol w:w="7077"/>
          </w:tblGrid>
          <w:tr w14:paraId="53039E98" w14:textId="77777777">
            <w:tc>
              <w:tcPr>
                <w:tcW w:w="2210" w:type="dxa"/>
                <w:tcBorders>
                  <w:top w:val="nil"/>
                  <w:left w:val="nil"/>
                  <w:bottom w:val="nil"/>
                  <w:right w:val="nil"/>
                </w:tcBorders>
                <w:shd w:val="clear" w:color="auto" w:fill="DBE5F1"/>
              </w:tcPr>
              <w:p w14:paraId="7A0D4461" w14:textId="77777777">
                <w:pPr>
                  <w:shd w:val="clear" w:color="auto" w:fill="DBE5F1"/>
                  <w:rPr>
                    <w:b/>
                    <w:sz w:val="22"/>
                    <w:szCs w:val="22"/>
                  </w:rPr>
                </w:pPr>
                <w:r>
                  <w:rPr>
                    <w:b/>
                    <w:sz w:val="22"/>
                    <w:szCs w:val="22"/>
                  </w:rPr>
                  <w:t>Poveikis administracinei naštai</w:t>
                </w:r>
              </w:p>
              <w:p w14:paraId="6A05368C" w14:textId="77777777">
                <w:pPr>
                  <w:rPr>
                    <w:sz w:val="22"/>
                    <w:szCs w:val="22"/>
                  </w:rPr>
                </w:pPr>
              </w:p>
            </w:tc>
            <w:tc>
              <w:tcPr>
                <w:tcW w:w="7077" w:type="dxa"/>
                <w:tcBorders>
                  <w:top w:val="nil"/>
                  <w:left w:val="nil"/>
                  <w:bottom w:val="nil"/>
                  <w:right w:val="nil"/>
                </w:tcBorders>
                <w:hideMark/>
              </w:tcPr>
              <w:p w14:paraId="6A72D934" w14:textId="0BA78915">
                <w:pPr>
                  <w:jc w:val="both"/>
                  <w:rPr>
                    <w:sz w:val="22"/>
                    <w:szCs w:val="22"/>
                  </w:rPr>
                </w:pPr>
                <w:r>
                  <w:rPr>
                    <w:color w:val="000000"/>
                    <w:sz w:val="22"/>
                    <w:szCs w:val="22"/>
                    <w:shd w:val="clear" w:color="auto" w:fill="FFFFFF"/>
                  </w:rPr>
                  <w:t xml:space="preserve">Poveikis piliečių ir kitų privačių subjektų administracinei naštai nenumatomas. </w:t>
                </w:r>
              </w:p>
            </w:tc>
          </w:tr>
        </w:tbl>
        <w:p w14:paraId="4CE80CFA" w14:textId="77777777">
          <w:pPr>
            <w:rPr>
              <w:i/>
              <w:sz w:val="22"/>
              <w:szCs w:val="22"/>
            </w:rPr>
          </w:pPr>
        </w:p>
        <w:tbl>
          <w:tblPr>
            <w:tblW w:w="0" w:type="auto"/>
            <w:tblLook w:val="00A0" w:firstRow="1" w:lastRow="0" w:firstColumn="1" w:lastColumn="0" w:noHBand="0" w:noVBand="0"/>
          </w:tblPr>
          <w:tblGrid>
            <w:gridCol w:w="9356"/>
          </w:tblGrid>
          <w:tr w14:paraId="219B9119" w14:textId="77777777">
            <w:trPr>
              <w:trHeight w:val="458"/>
            </w:trPr>
            <w:tc>
              <w:tcPr>
                <w:tcW w:w="9606" w:type="dxa"/>
                <w:vMerge w:val="restart"/>
                <w:shd w:val="clear" w:color="auto" w:fill="DBE5F1"/>
                <w:hideMark/>
              </w:tcPr>
              <w:p w14:paraId="7D46B1E7" w14:textId="77777777">
                <w:pPr>
                  <w:rPr>
                    <w:b/>
                    <w:sz w:val="22"/>
                    <w:szCs w:val="22"/>
                  </w:rPr>
                </w:pPr>
                <w:r>
                  <w:rPr>
                    <w:b/>
                    <w:sz w:val="22"/>
                    <w:szCs w:val="22"/>
                  </w:rPr>
                  <w:t>Kita svarbi informacija</w:t>
                </w:r>
              </w:p>
              <w:p w14:paraId="0A0BAF93" w14:textId="10980211">
                <w:pPr>
                  <w:tabs>
                    <w:tab w:val="num" w:pos="720"/>
                  </w:tabs>
                  <w:jc w:val="both"/>
                  <w:rPr>
                    <w:rFonts w:eastAsia="+mn-ea"/>
                    <w:bCs/>
                    <w:color w:val="000000"/>
                    <w:sz w:val="22"/>
                    <w:szCs w:val="22"/>
                    <w:lang w:eastAsia="lt-LT"/>
                  </w:rPr>
                </w:pPr>
                <w:r>
                  <w:rPr>
                    <w:sz w:val="22"/>
                    <w:szCs w:val="22"/>
                  </w:rPr>
                  <w:t>Teisės aktų nustatyta tvarka projektas suderintas su suinteresuotoms institucijoms ir visuomene.</w:t>
                </w:r>
              </w:p>
            </w:tc>
          </w:tr>
          <w:tr w14:paraId="4E6A34E9" w14:textId="77777777">
            <w:trPr>
              <w:trHeight w:val="458"/>
            </w:trPr>
            <w:tc>
              <w:tcPr>
                <w:tcW w:w="0" w:type="auto"/>
                <w:vMerge/>
                <w:vAlign w:val="center"/>
                <w:hideMark/>
              </w:tcPr>
              <w:p w14:paraId="681A2780" w14:textId="77777777">
                <w:pPr>
                  <w:rPr>
                    <w:b/>
                    <w:sz w:val="22"/>
                    <w:szCs w:val="22"/>
                  </w:rPr>
                </w:pPr>
              </w:p>
            </w:tc>
          </w:tr>
          <w:tr w14:paraId="5BCDC6E3" w14:textId="77777777">
            <w:trPr>
              <w:trHeight w:val="458"/>
            </w:trPr>
            <w:tc>
              <w:tcPr>
                <w:tcW w:w="0" w:type="auto"/>
                <w:vMerge/>
                <w:vAlign w:val="center"/>
                <w:hideMark/>
              </w:tcPr>
              <w:p w14:paraId="5B7CBF8F" w14:textId="77777777">
                <w:pPr>
                  <w:rPr>
                    <w:b/>
                    <w:sz w:val="22"/>
                    <w:szCs w:val="22"/>
                  </w:rPr>
                </w:pPr>
              </w:p>
            </w:tc>
          </w:tr>
        </w:tbl>
        <w:p w14:paraId="4A448BBE" w14:textId="77777777">
          <w:pPr>
            <w:jc w:val="both"/>
            <w:rPr>
              <w:b/>
              <w:sz w:val="22"/>
              <w:szCs w:val="22"/>
            </w:rPr>
          </w:pPr>
        </w:p>
        <w:sdt>
          <w:sdtPr>
            <w:alias w:val="lentele"/>
            <w:tag w:val="part_aba69fe2f42644bfa322a9d86721f939"/>
            <w:lock w:val="sdtLocked"/>
            <w:richText/>
          </w:sdtPr>
          <w:sdtContent>
            <w:p w14:paraId="0053C890" w14:textId="4EF28E29">
              <w:pPr>
                <w:jc w:val="both"/>
                <w:rPr>
                  <w:b/>
                  <w:sz w:val="22"/>
                  <w:szCs w:val="22"/>
                </w:rPr>
              </w:pPr>
              <w:sdt>
                <w:sdtPr>
                  <w:alias w:val="Pavadinimas"/>
                  <w:tag w:val="title_aba69fe2f42644bfa322a9d86721f939"/>
                  <w:lock w:val="sdtLocked"/>
                  <w:richText/>
                </w:sdtPr>
                <w:sdtContent>
                  <w:r>
                    <w:rPr>
                      <w:b/>
                      <w:sz w:val="22"/>
                      <w:szCs w:val="22"/>
                    </w:rPr>
                    <w:t>Informacija apie asmenį ir instituciją, atsakingą už poveikio vertinimą</w:t>
                  </w:r>
                </w:sdtContent>
              </w:sdt>
            </w:p>
            <w:p w14:paraId="2941E47A" w14:textId="77777777">
              <w:pPr>
                <w:ind w:left="1296"/>
                <w:jc w:val="both"/>
                <w:rPr>
                  <w:b/>
                  <w:sz w:val="22"/>
                  <w:szCs w:val="22"/>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688"/>
                <w:gridCol w:w="6658"/>
              </w:tblGrid>
              <w:tr w14:paraId="536F5319" w14:textId="77777777">
                <w:tc>
                  <w:tcPr>
                    <w:tcW w:w="1438" w:type="pct"/>
                    <w:tcBorders>
                      <w:top w:val="single" w:sz="4" w:space="0" w:color="auto"/>
                      <w:left w:val="single" w:sz="4" w:space="0" w:color="auto"/>
                      <w:bottom w:val="single" w:sz="4" w:space="0" w:color="auto"/>
                      <w:right w:val="single" w:sz="4" w:space="0" w:color="auto"/>
                    </w:tcBorders>
                    <w:tcMar>
                      <w:top w:w="28" w:type="dxa"/>
                      <w:bottom w:w="28" w:type="dxa"/>
                    </w:tcMar>
                    <w:hideMark/>
                  </w:tcPr>
                  <w:p w14:paraId="5FE6DD95" w14:textId="77777777">
                    <w:pPr>
                      <w:rPr>
                        <w:sz w:val="22"/>
                        <w:szCs w:val="22"/>
                      </w:rPr>
                    </w:pPr>
                    <w:r>
                      <w:rPr>
                        <w:sz w:val="22"/>
                        <w:szCs w:val="22"/>
                      </w:rPr>
                      <w:t>Vardas ir pavardė</w:t>
                    </w:r>
                  </w:p>
                </w:tc>
                <w:tc>
                  <w:tcPr>
                    <w:tcW w:w="3562" w:type="pct"/>
                    <w:tcBorders>
                      <w:top w:val="single" w:sz="4" w:space="0" w:color="auto"/>
                      <w:left w:val="single" w:sz="4" w:space="0" w:color="auto"/>
                      <w:bottom w:val="single" w:sz="4" w:space="0" w:color="auto"/>
                      <w:right w:val="single" w:sz="4" w:space="0" w:color="auto"/>
                    </w:tcBorders>
                    <w:tcMar>
                      <w:top w:w="28" w:type="dxa"/>
                      <w:bottom w:w="28" w:type="dxa"/>
                    </w:tcMar>
                  </w:tcPr>
                  <w:p w14:paraId="36CF8D5F" w14:textId="7FD5F9F0">
                    <w:pPr>
                      <w:rPr>
                        <w:sz w:val="22"/>
                        <w:szCs w:val="22"/>
                      </w:rPr>
                    </w:pPr>
                    <w:r>
                      <w:rPr>
                        <w:sz w:val="22"/>
                        <w:szCs w:val="22"/>
                      </w:rPr>
                      <w:t>Žygimantas Račkys</w:t>
                    </w:r>
                  </w:p>
                </w:tc>
              </w:tr>
              <w:tr w14:paraId="316DC293" w14:textId="77777777">
                <w:tc>
                  <w:tcPr>
                    <w:tcW w:w="1438" w:type="pct"/>
                    <w:tcBorders>
                      <w:top w:val="single" w:sz="4" w:space="0" w:color="auto"/>
                      <w:left w:val="single" w:sz="4" w:space="0" w:color="auto"/>
                      <w:bottom w:val="single" w:sz="4" w:space="0" w:color="auto"/>
                      <w:right w:val="single" w:sz="4" w:space="0" w:color="auto"/>
                    </w:tcBorders>
                    <w:tcMar>
                      <w:top w:w="28" w:type="dxa"/>
                      <w:bottom w:w="28" w:type="dxa"/>
                    </w:tcMar>
                    <w:hideMark/>
                  </w:tcPr>
                  <w:p w14:paraId="70D3BAE6" w14:textId="77777777">
                    <w:pPr>
                      <w:rPr>
                        <w:b/>
                        <w:sz w:val="22"/>
                        <w:szCs w:val="22"/>
                      </w:rPr>
                    </w:pPr>
                    <w:r>
                      <w:rPr>
                        <w:sz w:val="22"/>
                        <w:szCs w:val="22"/>
                      </w:rPr>
                      <w:t>Pareigos</w:t>
                    </w:r>
                  </w:p>
                </w:tc>
                <w:tc>
                  <w:tcPr>
                    <w:tcW w:w="3562" w:type="pct"/>
                    <w:tcBorders>
                      <w:top w:val="single" w:sz="4" w:space="0" w:color="auto"/>
                      <w:left w:val="single" w:sz="4" w:space="0" w:color="auto"/>
                      <w:bottom w:val="single" w:sz="4" w:space="0" w:color="auto"/>
                      <w:right w:val="single" w:sz="4" w:space="0" w:color="auto"/>
                    </w:tcBorders>
                    <w:tcMar>
                      <w:top w:w="28" w:type="dxa"/>
                      <w:bottom w:w="28" w:type="dxa"/>
                    </w:tcMar>
                  </w:tcPr>
                  <w:p w14:paraId="05B5FB13" w14:textId="0E1C36F8">
                    <w:pPr>
                      <w:jc w:val="both"/>
                      <w:rPr>
                        <w:sz w:val="22"/>
                        <w:szCs w:val="22"/>
                      </w:rPr>
                    </w:pPr>
                    <w:r>
                      <w:rPr>
                        <w:sz w:val="22"/>
                        <w:szCs w:val="22"/>
                      </w:rPr>
                      <w:t>Ekonominės plėtros grupės patarėjas</w:t>
                    </w:r>
                  </w:p>
                </w:tc>
              </w:tr>
              <w:tr w14:paraId="4146BFF6" w14:textId="77777777">
                <w:tc>
                  <w:tcPr>
                    <w:tcW w:w="1438" w:type="pct"/>
                    <w:tcBorders>
                      <w:top w:val="single" w:sz="4" w:space="0" w:color="auto"/>
                      <w:left w:val="single" w:sz="4" w:space="0" w:color="auto"/>
                      <w:bottom w:val="single" w:sz="4" w:space="0" w:color="auto"/>
                      <w:right w:val="single" w:sz="4" w:space="0" w:color="auto"/>
                    </w:tcBorders>
                    <w:tcMar>
                      <w:top w:w="28" w:type="dxa"/>
                      <w:bottom w:w="28" w:type="dxa"/>
                    </w:tcMar>
                    <w:hideMark/>
                  </w:tcPr>
                  <w:p w14:paraId="5ACE3D7E" w14:textId="77777777">
                    <w:pPr>
                      <w:rPr>
                        <w:b/>
                        <w:sz w:val="22"/>
                        <w:szCs w:val="22"/>
                      </w:rPr>
                    </w:pPr>
                    <w:r>
                      <w:rPr>
                        <w:sz w:val="22"/>
                        <w:szCs w:val="22"/>
                      </w:rPr>
                      <w:t>Institucija (padalinys)</w:t>
                    </w:r>
                  </w:p>
                </w:tc>
                <w:tc>
                  <w:tcPr>
                    <w:tcW w:w="3562" w:type="pct"/>
                    <w:tcBorders>
                      <w:top w:val="single" w:sz="4" w:space="0" w:color="auto"/>
                      <w:left w:val="single" w:sz="4" w:space="0" w:color="auto"/>
                      <w:bottom w:val="single" w:sz="4" w:space="0" w:color="auto"/>
                      <w:right w:val="single" w:sz="4" w:space="0" w:color="auto"/>
                    </w:tcBorders>
                    <w:tcMar>
                      <w:top w:w="28" w:type="dxa"/>
                      <w:bottom w:w="28" w:type="dxa"/>
                    </w:tcMar>
                  </w:tcPr>
                  <w:p w14:paraId="3519FE8A" w14:textId="3EC7059E">
                    <w:pPr>
                      <w:jc w:val="both"/>
                      <w:rPr>
                        <w:sz w:val="22"/>
                        <w:szCs w:val="22"/>
                      </w:rPr>
                    </w:pPr>
                    <w:r>
                      <w:rPr>
                        <w:sz w:val="22"/>
                        <w:szCs w:val="22"/>
                      </w:rPr>
                      <w:t>Lietuvos Respublikos ekonomikos ir inovacijų ministerija</w:t>
                    </w:r>
                  </w:p>
                </w:tc>
              </w:tr>
              <w:tr w14:paraId="74F6338B" w14:textId="77777777">
                <w:tc>
                  <w:tcPr>
                    <w:tcW w:w="1438" w:type="pct"/>
                    <w:tcBorders>
                      <w:top w:val="single" w:sz="4" w:space="0" w:color="auto"/>
                      <w:left w:val="single" w:sz="4" w:space="0" w:color="auto"/>
                      <w:bottom w:val="single" w:sz="4" w:space="0" w:color="auto"/>
                      <w:right w:val="single" w:sz="4" w:space="0" w:color="auto"/>
                    </w:tcBorders>
                    <w:tcMar>
                      <w:top w:w="28" w:type="dxa"/>
                      <w:bottom w:w="28" w:type="dxa"/>
                    </w:tcMar>
                    <w:hideMark/>
                  </w:tcPr>
                  <w:p w14:paraId="523F1350" w14:textId="77777777">
                    <w:pPr>
                      <w:rPr>
                        <w:sz w:val="22"/>
                        <w:szCs w:val="22"/>
                      </w:rPr>
                    </w:pPr>
                    <w:r>
                      <w:rPr>
                        <w:sz w:val="22"/>
                        <w:szCs w:val="22"/>
                      </w:rPr>
                      <w:t>Telefono numeris ir elektroninio pašto adresas</w:t>
                    </w:r>
                  </w:p>
                </w:tc>
                <w:tc>
                  <w:tcPr>
                    <w:tcW w:w="3562" w:type="pct"/>
                    <w:tcBorders>
                      <w:top w:val="single" w:sz="4" w:space="0" w:color="auto"/>
                      <w:left w:val="single" w:sz="4" w:space="0" w:color="auto"/>
                      <w:bottom w:val="single" w:sz="4" w:space="0" w:color="auto"/>
                      <w:right w:val="single" w:sz="4" w:space="0" w:color="auto"/>
                    </w:tcBorders>
                    <w:tcMar>
                      <w:top w:w="28" w:type="dxa"/>
                      <w:bottom w:w="28" w:type="dxa"/>
                    </w:tcMar>
                  </w:tcPr>
                  <w:p w14:paraId="58D4C0D3" w14:textId="6AAAA40E">
                    <w:pPr>
                      <w:jc w:val="both"/>
                      <w:rPr>
                        <w:sz w:val="22"/>
                        <w:szCs w:val="22"/>
                      </w:rPr>
                    </w:pPr>
                    <w:r>
                      <w:rPr>
                        <w:sz w:val="22"/>
                        <w:szCs w:val="22"/>
                      </w:rPr>
                      <w:t>Tel. 8 636 75197, el. p. zygimantas.rackys@eimin.lt</w:t>
                    </w:r>
                  </w:p>
                </w:tc>
              </w:tr>
            </w:tbl>
            <w:p w14:paraId="02CD881A" w14:textId="77777777">
              <w:pPr>
                <w:tabs>
                  <w:tab w:val="left" w:pos="6237"/>
                </w:tabs>
                <w:jc w:val="center"/>
                <w:rPr>
                  <w:sz w:val="22"/>
                  <w:szCs w:val="22"/>
                </w:rPr>
              </w:pPr>
            </w:p>
          </w:sdtContent>
        </w:sdt>
        <w:sdt>
          <w:sdtPr>
            <w:alias w:val="pabaiga"/>
            <w:tag w:val="part_fca32ec936d74856a0e0bda09d26c02e"/>
            <w:lock w:val="sdtLocked"/>
            <w:richText/>
          </w:sdtPr>
          <w:sdtContent>
            <w:p w14:paraId="194C18AE" w14:textId="7A3D69C7">
              <w:pPr>
                <w:tabs>
                  <w:tab w:val="left" w:pos="6237"/>
                </w:tabs>
                <w:jc w:val="center"/>
              </w:pPr>
              <w:r>
                <w:rPr>
                  <w:sz w:val="22"/>
                  <w:szCs w:val="22"/>
                </w:rPr>
                <w:t>________________</w:t>
              </w:r>
            </w:p>
          </w:sdtContent>
        </w:sdt>
      </w:sdtContent>
    </w:sdt>
    <w:sectPr>
      <w:headerReference w:type="even" r:id="rId9"/>
      <w:headerReference w:type="default" r:id="rId10"/>
      <w:footerReference w:type="even" r:id="rId11"/>
      <w:footerReference w:type="default" r:id="rId12"/>
      <w:headerReference w:type="first" r:id="rId13"/>
      <w:footerReference w:type="first" r:id="rId14"/>
      <w:pgSz w:w="11906" w:h="16838"/>
      <w:pgMar w:top="1701" w:right="849" w:bottom="1134"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6850698" w14:textId="77777777">
      <w:r>
        <w:separator/>
      </w:r>
    </w:p>
  </w:endnote>
  <w:endnote w:type="continuationSeparator" w:id="0">
    <w:p w14:paraId="1B370D1F" w14:textId="77777777">
      <w:r>
        <w:continuationSeparator/>
      </w:r>
    </w:p>
  </w:endnote>
  <w:endnote w:type="continuationNotice" w:id="1">
    <w:p w14:paraId="3994AE9E" w14:textId="77777777"/>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mn-ea">
    <w:panose1 w:val="00000000000000000000"/>
    <w:charset w:val="00"/>
    <w:family w:val="roman"/>
    <w:notTrueType/>
    <w:pitch w:val="default"/>
  </w:font>
  <w:font w:name="Calibri Light">
    <w:panose1 w:val="020F0302020204030204"/>
    <w:charset w:val="BA"/>
    <w:family w:val="swiss"/>
    <w:pitch w:val="variable"/>
    <w:sig w:usb0="E4002EFF" w:usb1="C200247B" w:usb2="00000009" w:usb3="00000000" w:csb0="000001FF" w:csb1="00000000"/>
  </w:font>
  <w:font w:name="Calibri">
    <w:panose1 w:val="020F0502020204030204"/>
    <w:charset w:val="BA"/>
    <w:family w:val="swiss"/>
    <w:pitch w:val="variable"/>
    <w:sig w:usb0="E4002EFF" w:usb1="C2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1FA94E4" w14:textId="77777777">
    <w:pPr>
      <w:tabs>
        <w:tab w:val="center" w:pos="4819"/>
        <w:tab w:val="right" w:pos="9638"/>
      </w:tabs>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BB5FDBF" w14:textId="77777777">
    <w:pPr>
      <w:tabs>
        <w:tab w:val="center" w:pos="4819"/>
        <w:tab w:val="right" w:pos="9638"/>
      </w:tabs>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53C6710" w14:textId="77777777">
    <w:pPr>
      <w:tabs>
        <w:tab w:val="center" w:pos="4819"/>
        <w:tab w:val="right" w:pos="9638"/>
      </w:tabs>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FDF27F9" w14:textId="77777777">
      <w:r>
        <w:separator/>
      </w:r>
    </w:p>
  </w:footnote>
  <w:footnote w:type="continuationSeparator" w:id="0">
    <w:p w14:paraId="23EECCE7" w14:textId="77777777">
      <w:r>
        <w:continuationSeparator/>
      </w:r>
    </w:p>
  </w:footnote>
  <w:footnote w:type="continuationNotice" w:id="1">
    <w:p w14:paraId="394FA326" w14:textId="77777777"/>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1F08214" w14:textId="77777777">
    <w:pPr>
      <w:tabs>
        <w:tab w:val="center" w:pos="4153"/>
        <w:tab w:val="right" w:pos="8306"/>
      </w:tabs>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2915466" w14:textId="527814E6">
    <w:pPr>
      <w:tabs>
        <w:tab w:val="center" w:pos="4153"/>
        <w:tab w:val="right" w:pos="8306"/>
      </w:tabs>
      <w:jc w:val="center"/>
      <w:rPr>
        <w:sz w:val="22"/>
        <w:szCs w:val="22"/>
      </w:rPr>
    </w:pPr>
    <w:r>
      <w:rPr>
        <w:sz w:val="22"/>
        <w:szCs w:val="22"/>
      </w:rPr>
      <w:fldChar w:fldCharType="begin"/>
    </w:r>
    <w:r>
      <w:rPr>
        <w:sz w:val="22"/>
        <w:szCs w:val="22"/>
      </w:rPr>
      <w:instrText>PAGE   \* MERGEFORMAT</w:instrText>
    </w:r>
    <w:r>
      <w:rPr>
        <w:sz w:val="22"/>
        <w:szCs w:val="22"/>
      </w:rPr>
      <w:fldChar w:fldCharType="separate"/>
    </w:r>
    <w:r>
      <w:rPr>
        <w:sz w:val="22"/>
        <w:szCs w:val="22"/>
      </w:rPr>
      <w:t>2</w:t>
    </w:r>
    <w:r>
      <w:rPr>
        <w:sz w:val="22"/>
        <w:szCs w:val="22"/>
      </w:rPr>
      <w:fldChar w:fldCharType="end"/>
    </w:r>
  </w:p>
  <w:p w14:paraId="2C46D7F7" w14:textId="77777777">
    <w:pPr>
      <w:tabs>
        <w:tab w:val="center" w:pos="4153"/>
        <w:tab w:val="right" w:pos="8306"/>
      </w:tabs>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0EEA693" w14:textId="77777777">
    <w:pPr>
      <w:tabs>
        <w:tab w:val="center" w:pos="4153"/>
        <w:tab w:val="right" w:pos="8306"/>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D32D5"/>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81121C9"/>
  <w15:docId w15:val="{1F7B38BC-1074-485D-B9C7-800FB0B8F6F4}"/>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857646277">
      <w:bodyDiv w:val="1"/>
      <w:marLeft w:val="0"/>
      <w:marRight w:val="0"/>
      <w:marTop w:val="0"/>
      <w:marBottom w:val="0"/>
      <w:divBdr>
        <w:top w:val="none" w:sz="0" w:space="0" w:color="auto"/>
        <w:left w:val="none" w:sz="0" w:space="0" w:color="auto"/>
        <w:bottom w:val="none" w:sz="0" w:space="0" w:color="auto"/>
        <w:right w:val="none" w:sz="0" w:space="0" w:color="auto"/>
      </w:divBdr>
      <w:divsChild>
        <w:div w:id="1156872411">
          <w:marLeft w:val="547"/>
          <w:marRight w:val="0"/>
          <w:marTop w:val="0"/>
          <w:marBottom w:val="0"/>
          <w:divBdr>
            <w:top w:val="none" w:sz="0" w:space="0" w:color="auto"/>
            <w:left w:val="none" w:sz="0" w:space="0" w:color="auto"/>
            <w:bottom w:val="none" w:sz="0" w:space="0" w:color="auto"/>
            <w:right w:val="none" w:sz="0" w:space="0" w:color="auto"/>
          </w:divBdr>
        </w:div>
        <w:div w:id="1281105998">
          <w:marLeft w:val="547"/>
          <w:marRight w:val="0"/>
          <w:marTop w:val="0"/>
          <w:marBottom w:val="0"/>
          <w:divBdr>
            <w:top w:val="none" w:sz="0" w:space="0" w:color="auto"/>
            <w:left w:val="none" w:sz="0" w:space="0" w:color="auto"/>
            <w:bottom w:val="none" w:sz="0" w:space="0" w:color="auto"/>
            <w:right w:val="none" w:sz="0" w:space="0" w:color="auto"/>
          </w:divBdr>
        </w:div>
      </w:divsChild>
    </w:div>
    <w:div w:id="1883442371">
      <w:bodyDiv w:val="1"/>
      <w:marLeft w:val="0"/>
      <w:marRight w:val="0"/>
      <w:marTop w:val="0"/>
      <w:marBottom w:val="0"/>
      <w:divBdr>
        <w:top w:val="none" w:sz="0" w:space="0" w:color="auto"/>
        <w:left w:val="none" w:sz="0" w:space="0" w:color="auto"/>
        <w:bottom w:val="none" w:sz="0" w:space="0" w:color="auto"/>
        <w:right w:val="none" w:sz="0" w:space="0" w:color="auto"/>
      </w:divBdr>
    </w:div>
    <w:div w:id="2059278600">
      <w:bodyDiv w:val="1"/>
      <w:marLeft w:val="0"/>
      <w:marRight w:val="0"/>
      <w:marTop w:val="0"/>
      <w:marBottom w:val="0"/>
      <w:divBdr>
        <w:top w:val="none" w:sz="0" w:space="0" w:color="auto"/>
        <w:left w:val="none" w:sz="0" w:space="0" w:color="auto"/>
        <w:bottom w:val="none" w:sz="0" w:space="0" w:color="auto"/>
        <w:right w:val="none" w:sz="0" w:space="0" w:color="auto"/>
      </w:divBdr>
    </w:div>
    <w:div w:id="211539956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2.xml"/>
  <Relationship Id="rId11" Type="http://schemas.openxmlformats.org/officeDocument/2006/relationships/footer" Target="footer1.xml"/>
  <Relationship Id="rId12" Type="http://schemas.openxmlformats.org/officeDocument/2006/relationships/footer" Target="footer2.xml"/>
  <Relationship Id="rId13" Type="http://schemas.openxmlformats.org/officeDocument/2006/relationships/header" Target="header3.xml"/>
  <Relationship Id="rId14" Type="http://schemas.openxmlformats.org/officeDocument/2006/relationships/footer" Target="footer3.xml"/>
  <Relationship Id="rId15" Type="http://schemas.openxmlformats.org/officeDocument/2006/relationships/fontTable" Target="fontTable.xml"/>
  <Relationship Id="rId16" Type="http://schemas.openxmlformats.org/officeDocument/2006/relationships/theme" Target="theme/theme1.xml"/>
  <Relationship Id="rId17" Type="http://schemas.openxmlformats.org/officeDocument/2006/relationships/customXml" Target="../customXml/item4.xml"/>
  <Relationship Id="rId2" Type="http://schemas.openxmlformats.org/officeDocument/2006/relationships/customXml" Target="../customXml/item2.xml"/>
  <Relationship Id="rId3" Type="http://schemas.openxmlformats.org/officeDocument/2006/relationships/customXml" Target="../customXml/item3.xml"/>
  <Relationship Id="rId4" Type="http://schemas.openxmlformats.org/officeDocument/2006/relationships/styles" Target="styles.xml"/>
  <Relationship Id="rId5" Type="http://schemas.openxmlformats.org/officeDocument/2006/relationships/settings" Target="settings.xml"/>
  <Relationship Id="rId6" Type="http://schemas.openxmlformats.org/officeDocument/2006/relationships/webSettings" Target="webSettings.xml"/>
  <Relationship Id="rId7" Type="http://schemas.openxmlformats.org/officeDocument/2006/relationships/footnotes" Target="footnotes.xml"/>
  <Relationship Id="rId8" Type="http://schemas.openxmlformats.org/officeDocument/2006/relationships/endnotes" Target="endnotes.xml"/>
  <Relationship Id="rId9" Type="http://schemas.openxmlformats.org/officeDocument/2006/relationships/header" Target="header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kumentas" ma:contentTypeID="0x010100657515EA7AEC554EB00DB8F34993E554" ma:contentTypeVersion="7" ma:contentTypeDescription="Kurkite naują dokumentą." ma:contentTypeScope="" ma:versionID="7741ea6a42d19e11a58e4c8711ef1e2e">
  <xsd:schema xmlns:xsd="http://www.w3.org/2001/XMLSchema" xmlns:xs="http://www.w3.org/2001/XMLSchema" xmlns:p="http://schemas.microsoft.com/office/2006/metadata/properties" xmlns:ns3="a4fad770-7824-4887-9211-652cd312ea27" targetNamespace="http://schemas.microsoft.com/office/2006/metadata/properties" ma:root="true" ma:fieldsID="dad671bea655770f1895400a7b4351ee" ns3:_="">
    <xsd:import namespace="a4fad770-7824-4887-9211-652cd312ea27"/>
    <xsd:element name="properties">
      <xsd:complexType>
        <xsd:sequence>
          <xsd:element name="documentManagement">
            <xsd:complexType>
              <xsd:all>
                <xsd:element ref="ns3:MediaServiceMetadata" minOccurs="0"/>
                <xsd:element ref="ns3:MediaServiceFastMetadata" minOccurs="0"/>
                <xsd:element ref="ns3:MediaServiceAutoTags" minOccurs="0"/>
                <xsd:element ref="ns3:MediaServiceOCR" minOccurs="0"/>
                <xsd:element ref="ns3:MediaServiceGenerationTime" minOccurs="0"/>
                <xsd:element ref="ns3:MediaServiceEventHashCode" minOccurs="0"/>
                <xsd:element ref="ns3:MediaServiceDateTake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4fad770-7824-4887-9211-652cd312ea27"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DateTaken" ma:index="14" nillable="true" ma:displayName="MediaServiceDateTaken" ma:hidden="true" ma:internalName="MediaServiceDateTaken" ma:readOnly="true">
      <xsd:simpleType>
        <xsd:restriction base="dms:Text"/>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arts xmlns="http://lrs.lt/TAIS/DocParts">
  <Part Type="pagrindine" DocPartId="738513be069b40939dd740ef31dc97ee" PartId="b37e4bac80bb4f878047d54845d78e06">
    <Part Type="lentele" Title="Informacija apie asmenį ir instituciją, atsakingą už poveikio vertinimą" DocPartId="39eca3d5559241bd959c3bab5552172f" PartId="aba69fe2f42644bfa322a9d86721f939"/>
    <Part Type="pabaiga" DocPartId="b341c8b39a874dd2bd0d4b9845ccb246" PartId="fca32ec936d74856a0e0bda09d26c02e"/>
  </Part>
</Parts>
</file>

<file path=customXml/itemProps1.xml><?xml version="1.0" encoding="utf-8"?>
<ds:datastoreItem xmlns:ds="http://schemas.openxmlformats.org/officeDocument/2006/customXml" ds:itemID="{5635683D-AECA-48D3-B475-00B0C0653AD4}">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53C31045-60AD-4D77-8806-44E63F4ADD66}">
  <ds:schemaRefs>
    <ds:schemaRef ds:uri="http://schemas.microsoft.com/sharepoint/v3/contenttype/forms"/>
  </ds:schemaRefs>
</ds:datastoreItem>
</file>

<file path=customXml/itemProps3.xml><?xml version="1.0" encoding="utf-8"?>
<ds:datastoreItem xmlns:ds="http://schemas.openxmlformats.org/officeDocument/2006/customXml" ds:itemID="{D6E79AA5-1252-495B-B1A2-08A9038AFB6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4fad770-7824-4887-9211-652cd312ea2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4AD6C807-0C7E-411A-ADAB-DFCFDD4CD8C3}">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464</Words>
  <Characters>3384</Characters>
  <Application>Microsoft Office Word</Application>
  <DocSecurity>4</DocSecurity>
  <Lines>91</Lines>
  <Paragraphs>35</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vector>
  </TitlesOfParts>
  <Company>u m</Company>
  <LinksUpToDate>false</LinksUpToDate>
  <CharactersWithSpaces>3813</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2023-09-29T11:04:00Z</dcterms:created>
  <dc:creator>Kazlauskas Arvydas</dc:creator>
  <lastModifiedBy>adlibuser</lastModifiedBy>
  <lastPrinted>2018-12-03T07:33:00Z</lastPrinted>
  <dcterms:modified xsi:type="dcterms:W3CDTF">2023-09-29T11:04:00Z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0x010100657515EA7AEC554EB00DB8F34993E554</vt:lpwstr>
  </property>
</Properties>
</file>